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Default Extension="png" ContentType="image/png"/>
  <Default Extension="jpeg" ContentType="image/jpeg"/>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9"/>
        <w:rPr>
          <w:rFonts w:ascii="Times New Roman"/>
          <w:sz w:val="29"/>
        </w:rPr>
      </w:pPr>
    </w:p>
    <w:p>
      <w:pPr>
        <w:spacing w:line="427" w:lineRule="auto" w:before="101"/>
        <w:ind w:left="3700" w:right="3695" w:firstLine="0"/>
        <w:jc w:val="center"/>
        <w:rPr>
          <w:sz w:val="22"/>
        </w:rPr>
      </w:pPr>
      <w:r>
        <w:rPr>
          <w:sz w:val="28"/>
        </w:rPr>
        <w:t>TRIBUNALE DI ALESSANDRIA S</w:t>
      </w:r>
      <w:r>
        <w:rPr>
          <w:sz w:val="22"/>
        </w:rPr>
        <w:t>EZIONE FALLIMENTARE</w:t>
      </w:r>
    </w:p>
    <w:p>
      <w:pPr>
        <w:pStyle w:val="BodyText"/>
        <w:rPr>
          <w:sz w:val="32"/>
        </w:rPr>
      </w:pPr>
    </w:p>
    <w:p>
      <w:pPr>
        <w:pStyle w:val="BodyText"/>
        <w:rPr>
          <w:sz w:val="32"/>
        </w:rPr>
      </w:pPr>
    </w:p>
    <w:p>
      <w:pPr>
        <w:pStyle w:val="BodyText"/>
        <w:rPr>
          <w:sz w:val="32"/>
        </w:rPr>
      </w:pPr>
    </w:p>
    <w:p>
      <w:pPr>
        <w:pStyle w:val="BodyText"/>
        <w:rPr>
          <w:sz w:val="32"/>
        </w:rPr>
      </w:pPr>
    </w:p>
    <w:p>
      <w:pPr>
        <w:spacing w:before="250"/>
        <w:ind w:left="3695" w:right="3695" w:firstLine="0"/>
        <w:jc w:val="center"/>
        <w:rPr>
          <w:b/>
          <w:sz w:val="32"/>
        </w:rPr>
      </w:pPr>
      <w:r>
        <w:rPr>
          <w:b/>
          <w:sz w:val="32"/>
        </w:rPr>
        <w:t>BIOCHEMTEX S.p.A.</w:t>
      </w:r>
    </w:p>
    <w:p>
      <w:pPr>
        <w:spacing w:before="252"/>
        <w:ind w:left="3486" w:right="3483" w:firstLine="0"/>
        <w:jc w:val="center"/>
        <w:rPr>
          <w:sz w:val="28"/>
        </w:rPr>
      </w:pPr>
      <w:r>
        <w:rPr>
          <w:sz w:val="28"/>
        </w:rPr>
        <w:t>RELAZIONE EX ART. 161, comma 3, L.F.</w:t>
      </w:r>
    </w:p>
    <w:p>
      <w:pPr>
        <w:pStyle w:val="BodyText"/>
        <w:rPr>
          <w:sz w:val="32"/>
        </w:rPr>
      </w:pPr>
    </w:p>
    <w:p>
      <w:pPr>
        <w:pStyle w:val="BodyText"/>
        <w:rPr>
          <w:sz w:val="32"/>
        </w:rPr>
      </w:pPr>
    </w:p>
    <w:p>
      <w:pPr>
        <w:pStyle w:val="BodyText"/>
        <w:rPr>
          <w:sz w:val="32"/>
        </w:rPr>
      </w:pPr>
    </w:p>
    <w:p>
      <w:pPr>
        <w:pStyle w:val="BodyText"/>
        <w:rPr>
          <w:sz w:val="26"/>
        </w:rPr>
      </w:pPr>
    </w:p>
    <w:p>
      <w:pPr>
        <w:spacing w:line="453" w:lineRule="auto" w:before="0"/>
        <w:ind w:left="4136" w:right="4132" w:firstLine="0"/>
        <w:jc w:val="center"/>
        <w:rPr>
          <w:sz w:val="19"/>
        </w:rPr>
      </w:pPr>
      <w:r>
        <w:rPr>
          <w:sz w:val="24"/>
        </w:rPr>
        <w:t>DOTT. ALESSANDRO SOLIDORO D</w:t>
      </w:r>
      <w:r>
        <w:rPr>
          <w:sz w:val="19"/>
        </w:rPr>
        <w:t>OTTORE </w:t>
      </w:r>
      <w:r>
        <w:rPr>
          <w:sz w:val="24"/>
        </w:rPr>
        <w:t>C</w:t>
      </w:r>
      <w:r>
        <w:rPr>
          <w:sz w:val="19"/>
        </w:rPr>
        <w:t>OMMERCIALISTA </w:t>
      </w:r>
      <w:r>
        <w:rPr>
          <w:sz w:val="24"/>
        </w:rPr>
        <w:t>R</w:t>
      </w:r>
      <w:r>
        <w:rPr>
          <w:sz w:val="19"/>
        </w:rPr>
        <w:t>EVISORE </w:t>
      </w:r>
      <w:r>
        <w:rPr>
          <w:sz w:val="24"/>
        </w:rPr>
        <w:t>L</w:t>
      </w:r>
      <w:r>
        <w:rPr>
          <w:sz w:val="19"/>
        </w:rPr>
        <w:t>EGALE</w:t>
      </w:r>
    </w:p>
    <w:p>
      <w:pPr>
        <w:spacing w:before="0"/>
        <w:ind w:left="3698" w:right="3695" w:firstLine="0"/>
        <w:jc w:val="center"/>
        <w:rPr>
          <w:sz w:val="19"/>
        </w:rPr>
      </w:pPr>
      <w:r>
        <w:rPr>
          <w:sz w:val="24"/>
        </w:rPr>
        <w:t>V</w:t>
      </w:r>
      <w:r>
        <w:rPr>
          <w:sz w:val="19"/>
        </w:rPr>
        <w:t>IA </w:t>
      </w:r>
      <w:r>
        <w:rPr>
          <w:sz w:val="24"/>
        </w:rPr>
        <w:t>B</w:t>
      </w:r>
      <w:r>
        <w:rPr>
          <w:sz w:val="19"/>
        </w:rPr>
        <w:t>ORGOGNA </w:t>
      </w:r>
      <w:r>
        <w:rPr>
          <w:sz w:val="24"/>
        </w:rPr>
        <w:t>3 – 20122 M</w:t>
      </w:r>
      <w:r>
        <w:rPr>
          <w:sz w:val="19"/>
        </w:rPr>
        <w:t>ILANO</w:t>
      </w:r>
    </w:p>
    <w:p>
      <w:pPr>
        <w:pStyle w:val="BodyText"/>
        <w:rPr>
          <w:sz w:val="26"/>
        </w:rPr>
      </w:pPr>
    </w:p>
    <w:p>
      <w:pPr>
        <w:pStyle w:val="BodyText"/>
        <w:rPr>
          <w:sz w:val="26"/>
        </w:rPr>
      </w:pPr>
    </w:p>
    <w:p>
      <w:pPr>
        <w:spacing w:line="453" w:lineRule="auto" w:before="164"/>
        <w:ind w:left="4465" w:right="4460" w:firstLine="0"/>
        <w:jc w:val="center"/>
        <w:rPr>
          <w:sz w:val="19"/>
        </w:rPr>
      </w:pPr>
      <w:r>
        <w:rPr>
          <w:sz w:val="24"/>
        </w:rPr>
        <w:t>DOTT. CARLO PAGLIUGHI D</w:t>
      </w:r>
      <w:r>
        <w:rPr>
          <w:sz w:val="19"/>
        </w:rPr>
        <w:t>OTTORE </w:t>
      </w:r>
      <w:r>
        <w:rPr>
          <w:sz w:val="24"/>
        </w:rPr>
        <w:t>C</w:t>
      </w:r>
      <w:r>
        <w:rPr>
          <w:sz w:val="19"/>
        </w:rPr>
        <w:t>OMMERCIALISTA </w:t>
      </w:r>
      <w:r>
        <w:rPr>
          <w:sz w:val="24"/>
        </w:rPr>
        <w:t>R</w:t>
      </w:r>
      <w:r>
        <w:rPr>
          <w:sz w:val="19"/>
        </w:rPr>
        <w:t>EVISORE </w:t>
      </w:r>
      <w:r>
        <w:rPr>
          <w:sz w:val="24"/>
        </w:rPr>
        <w:t>L</w:t>
      </w:r>
      <w:r>
        <w:rPr>
          <w:sz w:val="19"/>
        </w:rPr>
        <w:t>EGALE</w:t>
      </w:r>
    </w:p>
    <w:p>
      <w:pPr>
        <w:spacing w:before="1"/>
        <w:ind w:left="3701" w:right="3695" w:firstLine="0"/>
        <w:jc w:val="center"/>
        <w:rPr>
          <w:sz w:val="19"/>
        </w:rPr>
      </w:pPr>
      <w:r>
        <w:rPr>
          <w:sz w:val="19"/>
        </w:rPr>
        <w:t>PIAZZA DELLA REPUBBLICA </w:t>
      </w:r>
      <w:r>
        <w:rPr>
          <w:sz w:val="24"/>
        </w:rPr>
        <w:t>30 – 20124 M</w:t>
      </w:r>
      <w:r>
        <w:rPr>
          <w:sz w:val="19"/>
        </w:rPr>
        <w:t>ILANO</w:t>
      </w:r>
    </w:p>
    <w:p>
      <w:pPr>
        <w:spacing w:after="0"/>
        <w:jc w:val="center"/>
        <w:rPr>
          <w:sz w:val="19"/>
        </w:rPr>
        <w:sectPr>
          <w:headerReference w:type="default" r:id="rId5"/>
          <w:type w:val="continuous"/>
          <w:pgSz w:w="11910" w:h="16840"/>
          <w:pgMar w:header="957" w:top="1740" w:bottom="280" w:left="0" w:right="0"/>
        </w:sectPr>
      </w:pPr>
    </w:p>
    <w:p>
      <w:pPr>
        <w:pStyle w:val="BodyText"/>
        <w:rPr>
          <w:sz w:val="20"/>
        </w:rPr>
      </w:pPr>
    </w:p>
    <w:p>
      <w:pPr>
        <w:pStyle w:val="BodyText"/>
        <w:rPr>
          <w:sz w:val="20"/>
        </w:rPr>
      </w:pPr>
    </w:p>
    <w:p>
      <w:pPr>
        <w:pStyle w:val="BodyText"/>
        <w:rPr>
          <w:sz w:val="20"/>
        </w:rPr>
      </w:pPr>
    </w:p>
    <w:p>
      <w:pPr>
        <w:pStyle w:val="BodyText"/>
        <w:spacing w:before="6"/>
        <w:rPr>
          <w:sz w:val="27"/>
        </w:rPr>
      </w:pPr>
    </w:p>
    <w:p>
      <w:pPr>
        <w:pStyle w:val="BodyText"/>
        <w:spacing w:before="100"/>
        <w:ind w:left="1418"/>
      </w:pPr>
      <w:r>
        <w:rPr/>
        <w:t>Sommario</w:t>
      </w:r>
    </w:p>
    <w:sdt>
      <w:sdtPr>
        <w:docPartObj>
          <w:docPartGallery w:val="Table of Contents"/>
          <w:docPartUnique/>
        </w:docPartObj>
      </w:sdtPr>
      <w:sdtEndPr/>
      <w:sdtContent>
        <w:p>
          <w:pPr>
            <w:pStyle w:val="TOC1"/>
            <w:numPr>
              <w:ilvl w:val="0"/>
              <w:numId w:val="1"/>
            </w:numPr>
            <w:tabs>
              <w:tab w:pos="2695" w:val="left" w:leader="none"/>
              <w:tab w:pos="2696" w:val="left" w:leader="none"/>
              <w:tab w:pos="10480" w:val="right" w:leader="dot"/>
            </w:tabs>
            <w:spacing w:line="240" w:lineRule="auto" w:before="39" w:after="0"/>
            <w:ind w:left="2695" w:right="0" w:hanging="1277"/>
            <w:jc w:val="left"/>
          </w:pPr>
          <w:hyperlink w:history="true" w:anchor="_bookmark0">
            <w:r>
              <w:rPr/>
              <w:t>ASPETTI</w:t>
            </w:r>
            <w:r>
              <w:rPr>
                <w:spacing w:val="-2"/>
              </w:rPr>
              <w:t> </w:t>
            </w:r>
            <w:r>
              <w:rPr/>
              <w:t>INTRODUTTIVI</w:t>
              <w:tab/>
              <w:t>4</w:t>
            </w:r>
          </w:hyperlink>
        </w:p>
        <w:p>
          <w:pPr>
            <w:pStyle w:val="TOC2"/>
            <w:numPr>
              <w:ilvl w:val="1"/>
              <w:numId w:val="1"/>
            </w:numPr>
            <w:tabs>
              <w:tab w:pos="2695" w:val="left" w:leader="none"/>
              <w:tab w:pos="2696" w:val="left" w:leader="none"/>
              <w:tab w:pos="10480" w:val="right" w:leader="dot"/>
            </w:tabs>
            <w:spacing w:line="276" w:lineRule="auto" w:before="140" w:after="0"/>
            <w:ind w:left="2695" w:right="1423" w:hanging="1056"/>
            <w:jc w:val="left"/>
          </w:pPr>
          <w:hyperlink w:history="true" w:anchor="_bookmark1">
            <w:r>
              <w:rPr/>
              <w:t>CONFERIMENTO DELL’INCARICO E DICHIARAZIONE DI</w:t>
            </w:r>
          </w:hyperlink>
          <w:r>
            <w:rPr/>
            <w:t> </w:t>
          </w:r>
          <w:hyperlink w:history="true" w:anchor="_bookmark1">
            <w:r>
              <w:rPr/>
              <w:t>INDIPENDENZA</w:t>
              <w:tab/>
              <w:t>4</w:t>
            </w:r>
          </w:hyperlink>
        </w:p>
        <w:p>
          <w:pPr>
            <w:pStyle w:val="TOC2"/>
            <w:numPr>
              <w:ilvl w:val="1"/>
              <w:numId w:val="1"/>
            </w:numPr>
            <w:tabs>
              <w:tab w:pos="2695" w:val="left" w:leader="none"/>
              <w:tab w:pos="2696" w:val="left" w:leader="none"/>
              <w:tab w:pos="10480" w:val="right" w:leader="dot"/>
            </w:tabs>
            <w:spacing w:line="240" w:lineRule="auto" w:before="99" w:after="0"/>
            <w:ind w:left="2695" w:right="0" w:hanging="1056"/>
            <w:jc w:val="left"/>
          </w:pPr>
          <w:hyperlink w:history="true" w:anchor="_bookmark2">
            <w:r>
              <w:rPr/>
              <w:t>LA NATURA E IL</w:t>
            </w:r>
            <w:r>
              <w:rPr>
                <w:spacing w:val="-2"/>
              </w:rPr>
              <w:t> </w:t>
            </w:r>
            <w:r>
              <w:rPr/>
              <w:t>FINALISMO</w:t>
            </w:r>
            <w:r>
              <w:rPr>
                <w:spacing w:val="-2"/>
              </w:rPr>
              <w:t> </w:t>
            </w:r>
            <w:r>
              <w:rPr/>
              <w:t>DELL’INCARICO</w:t>
              <w:tab/>
              <w:t>5</w:t>
            </w:r>
          </w:hyperlink>
        </w:p>
        <w:p>
          <w:pPr>
            <w:pStyle w:val="TOC2"/>
            <w:numPr>
              <w:ilvl w:val="1"/>
              <w:numId w:val="1"/>
            </w:numPr>
            <w:tabs>
              <w:tab w:pos="2695" w:val="left" w:leader="none"/>
              <w:tab w:pos="2696" w:val="left" w:leader="none"/>
              <w:tab w:pos="10480" w:val="right" w:leader="dot"/>
            </w:tabs>
            <w:spacing w:line="276" w:lineRule="auto" w:before="140" w:after="0"/>
            <w:ind w:left="2695" w:right="1423" w:hanging="1056"/>
            <w:jc w:val="left"/>
          </w:pPr>
          <w:hyperlink w:history="true" w:anchor="_bookmark3">
            <w:r>
              <w:rPr/>
              <w:t>PRINCIPI DI RIFERIMENTO E MODALITA’ DI SVOLGIMENTO DEL</w:t>
            </w:r>
          </w:hyperlink>
          <w:r>
            <w:rPr/>
            <w:t> </w:t>
          </w:r>
          <w:hyperlink w:history="true" w:anchor="_bookmark3">
            <w:r>
              <w:rPr/>
              <w:t>LAVORO</w:t>
              <w:tab/>
              <w:t>7</w:t>
            </w:r>
          </w:hyperlink>
        </w:p>
        <w:p>
          <w:pPr>
            <w:pStyle w:val="TOC2"/>
            <w:numPr>
              <w:ilvl w:val="1"/>
              <w:numId w:val="1"/>
            </w:numPr>
            <w:tabs>
              <w:tab w:pos="2695" w:val="left" w:leader="none"/>
              <w:tab w:pos="2696" w:val="left" w:leader="none"/>
              <w:tab w:pos="10480" w:val="right" w:leader="dot"/>
            </w:tabs>
            <w:spacing w:line="240" w:lineRule="auto" w:before="103" w:after="0"/>
            <w:ind w:left="2695" w:right="0" w:hanging="1056"/>
            <w:jc w:val="left"/>
          </w:pPr>
          <w:hyperlink w:history="true" w:anchor="_bookmark4">
            <w:r>
              <w:rPr/>
              <w:t>LA</w:t>
            </w:r>
            <w:r>
              <w:rPr>
                <w:spacing w:val="-1"/>
              </w:rPr>
              <w:t> </w:t>
            </w:r>
            <w:r>
              <w:rPr/>
              <w:t>DOCUMENTAZIONE</w:t>
            </w:r>
            <w:r>
              <w:rPr>
                <w:spacing w:val="-1"/>
              </w:rPr>
              <w:t> </w:t>
            </w:r>
            <w:r>
              <w:rPr/>
              <w:t>ESAMINATA</w:t>
              <w:tab/>
              <w:t>11</w:t>
            </w:r>
          </w:hyperlink>
        </w:p>
        <w:p>
          <w:pPr>
            <w:pStyle w:val="TOC2"/>
            <w:numPr>
              <w:ilvl w:val="1"/>
              <w:numId w:val="1"/>
            </w:numPr>
            <w:tabs>
              <w:tab w:pos="2695" w:val="left" w:leader="none"/>
              <w:tab w:pos="2696" w:val="left" w:leader="none"/>
              <w:tab w:pos="10480" w:val="right" w:leader="dot"/>
            </w:tabs>
            <w:spacing w:line="240" w:lineRule="auto" w:before="140" w:after="0"/>
            <w:ind w:left="2695" w:right="0" w:hanging="1056"/>
            <w:jc w:val="left"/>
          </w:pPr>
          <w:hyperlink w:history="true" w:anchor="_bookmark5">
            <w:r>
              <w:rPr/>
              <w:t>DATI</w:t>
            </w:r>
            <w:r>
              <w:rPr>
                <w:spacing w:val="-2"/>
              </w:rPr>
              <w:t> </w:t>
            </w:r>
            <w:r>
              <w:rPr/>
              <w:t>SOCIETARI</w:t>
              <w:tab/>
              <w:t>12</w:t>
            </w:r>
          </w:hyperlink>
        </w:p>
        <w:p>
          <w:pPr>
            <w:pStyle w:val="TOC3"/>
            <w:numPr>
              <w:ilvl w:val="2"/>
              <w:numId w:val="1"/>
            </w:numPr>
            <w:tabs>
              <w:tab w:pos="2695" w:val="left" w:leader="none"/>
              <w:tab w:pos="2696" w:val="left" w:leader="none"/>
              <w:tab w:pos="10480" w:val="right" w:leader="dot"/>
            </w:tabs>
            <w:spacing w:line="240" w:lineRule="auto" w:before="140" w:after="0"/>
            <w:ind w:left="2695" w:right="0" w:hanging="837"/>
            <w:jc w:val="left"/>
          </w:pPr>
          <w:hyperlink w:history="true" w:anchor="_bookmark6">
            <w:r>
              <w:rPr/>
              <w:t>Sede e oggetto</w:t>
            </w:r>
            <w:r>
              <w:rPr>
                <w:spacing w:val="-2"/>
              </w:rPr>
              <w:t> </w:t>
            </w:r>
            <w:r>
              <w:rPr/>
              <w:t>Sociale</w:t>
              <w:tab/>
              <w:t>12</w:t>
            </w:r>
          </w:hyperlink>
        </w:p>
        <w:p>
          <w:pPr>
            <w:pStyle w:val="TOC3"/>
            <w:numPr>
              <w:ilvl w:val="2"/>
              <w:numId w:val="1"/>
            </w:numPr>
            <w:tabs>
              <w:tab w:pos="2695" w:val="left" w:leader="none"/>
              <w:tab w:pos="2696" w:val="left" w:leader="none"/>
              <w:tab w:pos="10480" w:val="right" w:leader="dot"/>
            </w:tabs>
            <w:spacing w:line="240" w:lineRule="auto" w:before="140" w:after="0"/>
            <w:ind w:left="2695" w:right="0" w:hanging="837"/>
            <w:jc w:val="left"/>
          </w:pPr>
          <w:hyperlink w:history="true" w:anchor="_bookmark7">
            <w:r>
              <w:rPr/>
              <w:t>La</w:t>
            </w:r>
            <w:r>
              <w:rPr>
                <w:spacing w:val="-1"/>
              </w:rPr>
              <w:t> </w:t>
            </w:r>
            <w:r>
              <w:rPr/>
              <w:t>proprietà</w:t>
              <w:tab/>
              <w:t>13</w:t>
            </w:r>
          </w:hyperlink>
        </w:p>
        <w:p>
          <w:pPr>
            <w:pStyle w:val="TOC3"/>
            <w:numPr>
              <w:ilvl w:val="2"/>
              <w:numId w:val="1"/>
            </w:numPr>
            <w:tabs>
              <w:tab w:pos="2695" w:val="left" w:leader="none"/>
              <w:tab w:pos="2696" w:val="left" w:leader="none"/>
              <w:tab w:pos="10480" w:val="right" w:leader="dot"/>
            </w:tabs>
            <w:spacing w:line="240" w:lineRule="auto" w:before="140" w:after="0"/>
            <w:ind w:left="2695" w:right="0" w:hanging="837"/>
            <w:jc w:val="left"/>
          </w:pPr>
          <w:hyperlink w:history="true" w:anchor="_bookmark8">
            <w:r>
              <w:rPr/>
              <w:t>Gli</w:t>
            </w:r>
            <w:r>
              <w:rPr>
                <w:spacing w:val="-1"/>
              </w:rPr>
              <w:t> </w:t>
            </w:r>
            <w:r>
              <w:rPr/>
              <w:t>organi</w:t>
            </w:r>
            <w:r>
              <w:rPr>
                <w:spacing w:val="-1"/>
              </w:rPr>
              <w:t> </w:t>
            </w:r>
            <w:r>
              <w:rPr/>
              <w:t>sociali</w:t>
              <w:tab/>
              <w:t>14</w:t>
            </w:r>
          </w:hyperlink>
        </w:p>
        <w:p>
          <w:pPr>
            <w:pStyle w:val="TOC3"/>
            <w:numPr>
              <w:ilvl w:val="2"/>
              <w:numId w:val="1"/>
            </w:numPr>
            <w:tabs>
              <w:tab w:pos="2695" w:val="left" w:leader="none"/>
              <w:tab w:pos="2696" w:val="left" w:leader="none"/>
              <w:tab w:pos="10480" w:val="right" w:leader="dot"/>
            </w:tabs>
            <w:spacing w:line="240" w:lineRule="auto" w:before="140" w:after="0"/>
            <w:ind w:left="2695" w:right="0" w:hanging="837"/>
            <w:jc w:val="left"/>
          </w:pPr>
          <w:hyperlink w:history="true" w:anchor="_bookmark9">
            <w:r>
              <w:rPr/>
              <w:t>L’organo</w:t>
            </w:r>
            <w:r>
              <w:rPr>
                <w:spacing w:val="-1"/>
              </w:rPr>
              <w:t> </w:t>
            </w:r>
            <w:r>
              <w:rPr/>
              <w:t>di</w:t>
            </w:r>
            <w:r>
              <w:rPr>
                <w:spacing w:val="-1"/>
              </w:rPr>
              <w:t> </w:t>
            </w:r>
            <w:r>
              <w:rPr/>
              <w:t>controllo</w:t>
              <w:tab/>
              <w:t>15</w:t>
            </w:r>
          </w:hyperlink>
        </w:p>
        <w:p>
          <w:pPr>
            <w:pStyle w:val="TOC3"/>
            <w:numPr>
              <w:ilvl w:val="2"/>
              <w:numId w:val="1"/>
            </w:numPr>
            <w:tabs>
              <w:tab w:pos="2695" w:val="left" w:leader="none"/>
              <w:tab w:pos="2696" w:val="left" w:leader="none"/>
              <w:tab w:pos="10480" w:val="right" w:leader="dot"/>
            </w:tabs>
            <w:spacing w:line="240" w:lineRule="auto" w:before="140" w:after="0"/>
            <w:ind w:left="2695" w:right="0" w:hanging="837"/>
            <w:jc w:val="left"/>
          </w:pPr>
          <w:hyperlink w:history="true" w:anchor="_bookmark10">
            <w:r>
              <w:rPr/>
              <w:t>La società</w:t>
            </w:r>
            <w:r>
              <w:rPr>
                <w:spacing w:val="-1"/>
              </w:rPr>
              <w:t> </w:t>
            </w:r>
            <w:r>
              <w:rPr/>
              <w:t>di</w:t>
            </w:r>
            <w:r>
              <w:rPr>
                <w:spacing w:val="-1"/>
              </w:rPr>
              <w:t> </w:t>
            </w:r>
            <w:r>
              <w:rPr/>
              <w:t>revisione</w:t>
              <w:tab/>
              <w:t>16</w:t>
            </w:r>
          </w:hyperlink>
        </w:p>
        <w:p>
          <w:pPr>
            <w:pStyle w:val="TOC1"/>
            <w:numPr>
              <w:ilvl w:val="0"/>
              <w:numId w:val="1"/>
            </w:numPr>
            <w:tabs>
              <w:tab w:pos="2695" w:val="left" w:leader="none"/>
              <w:tab w:pos="2696" w:val="left" w:leader="none"/>
              <w:tab w:pos="10480" w:val="right" w:leader="dot"/>
            </w:tabs>
            <w:spacing w:line="240" w:lineRule="auto" w:before="140" w:after="0"/>
            <w:ind w:left="2695" w:right="0" w:hanging="1277"/>
            <w:jc w:val="left"/>
          </w:pPr>
          <w:hyperlink w:history="true" w:anchor="_bookmark11">
            <w:r>
              <w:rPr/>
              <w:t>LA SOCIETA’: VICENDE STORICHE E CAUSE</w:t>
            </w:r>
            <w:r>
              <w:rPr>
                <w:spacing w:val="-3"/>
              </w:rPr>
              <w:t> </w:t>
            </w:r>
            <w:r>
              <w:rPr/>
              <w:t>DELLA</w:t>
            </w:r>
            <w:r>
              <w:rPr>
                <w:spacing w:val="-1"/>
              </w:rPr>
              <w:t> </w:t>
            </w:r>
            <w:r>
              <w:rPr/>
              <w:t>CRISI</w:t>
              <w:tab/>
              <w:t>16</w:t>
            </w:r>
          </w:hyperlink>
        </w:p>
        <w:p>
          <w:pPr>
            <w:pStyle w:val="TOC1"/>
            <w:numPr>
              <w:ilvl w:val="1"/>
              <w:numId w:val="1"/>
            </w:numPr>
            <w:tabs>
              <w:tab w:pos="2695" w:val="left" w:leader="none"/>
              <w:tab w:pos="2696" w:val="left" w:leader="none"/>
              <w:tab w:pos="10480" w:val="right" w:leader="dot"/>
            </w:tabs>
            <w:spacing w:line="240" w:lineRule="auto" w:before="140" w:after="0"/>
            <w:ind w:left="2695" w:right="0" w:hanging="1277"/>
            <w:jc w:val="left"/>
          </w:pPr>
          <w:hyperlink w:history="true" w:anchor="_bookmark12">
            <w:r>
              <w:rPr/>
              <w:t>L’ANDAMENTO DELLA SOCIETÀ DESUMIBILE</w:t>
            </w:r>
            <w:r>
              <w:rPr>
                <w:spacing w:val="-3"/>
              </w:rPr>
              <w:t> </w:t>
            </w:r>
            <w:r>
              <w:rPr/>
              <w:t>DAI BILANCI</w:t>
              <w:tab/>
              <w:t>17</w:t>
            </w:r>
          </w:hyperlink>
        </w:p>
        <w:p>
          <w:pPr>
            <w:pStyle w:val="TOC1"/>
            <w:numPr>
              <w:ilvl w:val="1"/>
              <w:numId w:val="1"/>
            </w:numPr>
            <w:tabs>
              <w:tab w:pos="2695" w:val="left" w:leader="none"/>
              <w:tab w:pos="2696" w:val="left" w:leader="none"/>
              <w:tab w:pos="10480" w:val="right" w:leader="dot"/>
            </w:tabs>
            <w:spacing w:line="276" w:lineRule="auto" w:before="140" w:after="0"/>
            <w:ind w:left="2695" w:right="1423" w:hanging="1277"/>
            <w:jc w:val="left"/>
          </w:pPr>
          <w:hyperlink w:history="true" w:anchor="_bookmark13">
            <w:r>
              <w:rPr/>
              <w:t>L’ANDAMENTO DELLA SOCIETÀ NELLA PROSPETTIVA DEGLI</w:t>
            </w:r>
          </w:hyperlink>
          <w:r>
            <w:rPr/>
            <w:t> </w:t>
          </w:r>
          <w:hyperlink w:history="true" w:anchor="_bookmark13">
            <w:r>
              <w:rPr/>
              <w:t>ORGANI SOCIALI DESUMIBILE DALLA ANALISI DEL LIBRO VERBALI</w:t>
            </w:r>
          </w:hyperlink>
          <w:r>
            <w:rPr/>
            <w:t> </w:t>
          </w:r>
          <w:hyperlink w:history="true" w:anchor="_bookmark13">
            <w:r>
              <w:rPr/>
              <w:t>CONSIGLIO  DI AMMINISTRAZIONE E DEL COLLEGIO SINDACALE</w:t>
            </w:r>
          </w:hyperlink>
          <w:r>
            <w:rPr/>
            <w:t> </w:t>
          </w:r>
          <w:hyperlink w:history="true" w:anchor="_bookmark13">
            <w:r>
              <w:rPr/>
              <w:t>DI</w:t>
            </w:r>
            <w:r>
              <w:rPr>
                <w:spacing w:val="-3"/>
              </w:rPr>
              <w:t> </w:t>
            </w:r>
            <w:r>
              <w:rPr/>
              <w:t>BIOCHEMTEX</w:t>
              <w:tab/>
              <w:t>23</w:t>
            </w:r>
          </w:hyperlink>
        </w:p>
        <w:p>
          <w:pPr>
            <w:pStyle w:val="TOC1"/>
            <w:numPr>
              <w:ilvl w:val="2"/>
              <w:numId w:val="1"/>
            </w:numPr>
            <w:tabs>
              <w:tab w:pos="2695" w:val="left" w:leader="none"/>
              <w:tab w:pos="2696" w:val="left" w:leader="none"/>
              <w:tab w:pos="10480" w:val="right" w:leader="dot"/>
            </w:tabs>
            <w:spacing w:line="276" w:lineRule="auto" w:before="99" w:after="0"/>
            <w:ind w:left="2695" w:right="1423" w:hanging="1277"/>
            <w:jc w:val="left"/>
          </w:pPr>
          <w:hyperlink w:history="true" w:anchor="_bookmark14">
            <w:r>
              <w:rPr/>
              <w:t>INFORMAZIONI DESUMIBILI DALLE RELAZIONI</w:t>
            </w:r>
          </w:hyperlink>
          <w:r>
            <w:rPr/>
            <w:t> </w:t>
          </w:r>
          <w:hyperlink w:history="true" w:anchor="_bookmark14">
            <w:r>
              <w:rPr/>
              <w:t>ACCOMPAGNATORIE AL BILANCIO</w:t>
            </w:r>
            <w:r>
              <w:rPr>
                <w:spacing w:val="9"/>
              </w:rPr>
              <w:t> </w:t>
            </w:r>
            <w:r>
              <w:rPr/>
              <w:t>DI</w:t>
            </w:r>
            <w:r>
              <w:rPr>
                <w:spacing w:val="-14"/>
              </w:rPr>
              <w:t> </w:t>
            </w:r>
            <w:r>
              <w:rPr/>
              <w:t>BIOCHEMTEX</w:t>
              <w:tab/>
              <w:t>43</w:t>
            </w:r>
          </w:hyperlink>
        </w:p>
        <w:p>
          <w:pPr>
            <w:pStyle w:val="TOC1"/>
            <w:numPr>
              <w:ilvl w:val="1"/>
              <w:numId w:val="1"/>
            </w:numPr>
            <w:tabs>
              <w:tab w:pos="2695" w:val="left" w:leader="none"/>
              <w:tab w:pos="2696" w:val="left" w:leader="none"/>
              <w:tab w:pos="10480" w:val="right" w:leader="dot"/>
            </w:tabs>
            <w:spacing w:line="240" w:lineRule="auto" w:before="99" w:after="0"/>
            <w:ind w:left="2695" w:right="0" w:hanging="1277"/>
            <w:jc w:val="left"/>
          </w:pPr>
          <w:hyperlink w:history="true" w:anchor="_bookmark15">
            <w:r>
              <w:rPr/>
              <w:t>ANALISI DI ALCUNE</w:t>
            </w:r>
            <w:r>
              <w:rPr>
                <w:spacing w:val="-4"/>
              </w:rPr>
              <w:t> </w:t>
            </w:r>
            <w:r>
              <w:rPr/>
              <w:t>SPECIFICHE</w:t>
            </w:r>
            <w:r>
              <w:rPr>
                <w:spacing w:val="-1"/>
              </w:rPr>
              <w:t> </w:t>
            </w:r>
            <w:r>
              <w:rPr/>
              <w:t>OPERAZIONI</w:t>
              <w:tab/>
              <w:t>55</w:t>
            </w:r>
          </w:hyperlink>
        </w:p>
        <w:p>
          <w:pPr>
            <w:pStyle w:val="TOC3"/>
            <w:numPr>
              <w:ilvl w:val="2"/>
              <w:numId w:val="2"/>
            </w:numPr>
            <w:tabs>
              <w:tab w:pos="2695" w:val="left" w:leader="none"/>
              <w:tab w:pos="2696" w:val="left" w:leader="none"/>
              <w:tab w:pos="10480" w:val="right" w:leader="dot"/>
            </w:tabs>
            <w:spacing w:line="240" w:lineRule="auto" w:before="142" w:after="0"/>
            <w:ind w:left="2695" w:right="0" w:hanging="837"/>
            <w:jc w:val="left"/>
          </w:pPr>
          <w:hyperlink w:history="true" w:anchor="_bookmark16">
            <w:r>
              <w:rPr/>
              <w:t>La vendita della tecnologia PROESA® PET e la creazione del</w:t>
            </w:r>
            <w:r>
              <w:rPr>
                <w:spacing w:val="-14"/>
              </w:rPr>
              <w:t> </w:t>
            </w:r>
            <w:r>
              <w:rPr/>
              <w:t>Polo</w:t>
            </w:r>
            <w:r>
              <w:rPr>
                <w:spacing w:val="-2"/>
              </w:rPr>
              <w:t> </w:t>
            </w:r>
            <w:r>
              <w:rPr/>
              <w:t>Bio</w:t>
              <w:tab/>
              <w:t>55</w:t>
            </w:r>
          </w:hyperlink>
        </w:p>
        <w:p>
          <w:pPr>
            <w:pStyle w:val="TOC3"/>
            <w:numPr>
              <w:ilvl w:val="2"/>
              <w:numId w:val="2"/>
            </w:numPr>
            <w:tabs>
              <w:tab w:pos="2695" w:val="left" w:leader="none"/>
              <w:tab w:pos="2696" w:val="left" w:leader="none"/>
              <w:tab w:pos="10480" w:val="right" w:leader="dot"/>
            </w:tabs>
            <w:spacing w:line="240" w:lineRule="auto" w:before="140" w:after="0"/>
            <w:ind w:left="2695" w:right="0" w:hanging="837"/>
            <w:jc w:val="left"/>
          </w:pPr>
          <w:hyperlink w:history="true" w:anchor="_bookmark17">
            <w:r>
              <w:rPr/>
              <w:t>La rappresentazione delle partecipazioni del Polo Bio nei bilanci</w:t>
            </w:r>
            <w:r>
              <w:rPr>
                <w:spacing w:val="-18"/>
              </w:rPr>
              <w:t> </w:t>
            </w:r>
            <w:r>
              <w:rPr/>
              <w:t>di</w:t>
            </w:r>
            <w:r>
              <w:rPr>
                <w:spacing w:val="-5"/>
              </w:rPr>
              <w:t> </w:t>
            </w:r>
            <w:r>
              <w:rPr/>
              <w:t>esercizio</w:t>
              <w:tab/>
              <w:t>57</w:t>
            </w:r>
          </w:hyperlink>
        </w:p>
        <w:p>
          <w:pPr>
            <w:pStyle w:val="TOC3"/>
            <w:numPr>
              <w:ilvl w:val="2"/>
              <w:numId w:val="2"/>
            </w:numPr>
            <w:tabs>
              <w:tab w:pos="2695" w:val="left" w:leader="none"/>
              <w:tab w:pos="2696" w:val="left" w:leader="none"/>
              <w:tab w:pos="10480" w:val="right" w:leader="dot"/>
            </w:tabs>
            <w:spacing w:line="240" w:lineRule="auto" w:before="140" w:after="0"/>
            <w:ind w:left="2695" w:right="0" w:hanging="837"/>
            <w:jc w:val="left"/>
          </w:pPr>
          <w:hyperlink w:history="true" w:anchor="_bookmark18">
            <w:r>
              <w:rPr/>
              <w:t>Rapporti con talune</w:t>
            </w:r>
            <w:r>
              <w:rPr>
                <w:spacing w:val="-2"/>
              </w:rPr>
              <w:t> </w:t>
            </w:r>
            <w:r>
              <w:rPr/>
              <w:t>“parti</w:t>
            </w:r>
            <w:r>
              <w:rPr>
                <w:spacing w:val="-1"/>
              </w:rPr>
              <w:t> </w:t>
            </w:r>
            <w:r>
              <w:rPr/>
              <w:t>correlate”</w:t>
              <w:tab/>
              <w:t>62</w:t>
            </w:r>
          </w:hyperlink>
        </w:p>
        <w:p>
          <w:pPr>
            <w:pStyle w:val="TOC3"/>
            <w:numPr>
              <w:ilvl w:val="2"/>
              <w:numId w:val="2"/>
            </w:numPr>
            <w:tabs>
              <w:tab w:pos="2695" w:val="left" w:leader="none"/>
              <w:tab w:pos="2696" w:val="left" w:leader="none"/>
              <w:tab w:pos="10480" w:val="right" w:leader="dot"/>
            </w:tabs>
            <w:spacing w:line="240" w:lineRule="auto" w:before="139" w:after="0"/>
            <w:ind w:left="2695" w:right="0" w:hanging="837"/>
            <w:jc w:val="left"/>
          </w:pPr>
          <w:hyperlink w:history="true" w:anchor="_bookmark19">
            <w:r>
              <w:rPr/>
              <w:t>Il finanziamento BEI ed i pagamenti effettuati alle banche nel 2016</w:t>
            </w:r>
            <w:r>
              <w:rPr>
                <w:spacing w:val="-16"/>
              </w:rPr>
              <w:t> </w:t>
            </w:r>
            <w:r>
              <w:rPr/>
              <w:t>e</w:t>
            </w:r>
            <w:r>
              <w:rPr>
                <w:spacing w:val="-1"/>
              </w:rPr>
              <w:t> </w:t>
            </w:r>
            <w:r>
              <w:rPr/>
              <w:t>2017</w:t>
              <w:tab/>
              <w:t>63</w:t>
            </w:r>
          </w:hyperlink>
        </w:p>
        <w:p>
          <w:pPr>
            <w:pStyle w:val="TOC3"/>
            <w:numPr>
              <w:ilvl w:val="2"/>
              <w:numId w:val="2"/>
            </w:numPr>
            <w:tabs>
              <w:tab w:pos="2695" w:val="left" w:leader="none"/>
              <w:tab w:pos="2696" w:val="left" w:leader="none"/>
              <w:tab w:pos="10480" w:val="right" w:leader="dot"/>
            </w:tabs>
            <w:spacing w:line="276" w:lineRule="auto" w:before="139" w:after="0"/>
            <w:ind w:left="2695" w:right="1420" w:hanging="837"/>
            <w:jc w:val="left"/>
          </w:pPr>
          <w:hyperlink w:history="true" w:anchor="_bookmark20">
            <w:r>
              <w:rPr/>
              <w:t>Gli effetti dei contratti intercorsi tra Biochemtex/Beta Renewables/IBP e</w:t>
            </w:r>
          </w:hyperlink>
          <w:r>
            <w:rPr/>
            <w:t> </w:t>
          </w:r>
          <w:hyperlink w:history="true" w:anchor="_bookmark20">
            <w:r>
              <w:rPr/>
              <w:t>TPG/Novozymes</w:t>
              <w:tab/>
              <w:t>64</w:t>
            </w:r>
          </w:hyperlink>
        </w:p>
        <w:p>
          <w:pPr>
            <w:pStyle w:val="TOC1"/>
            <w:numPr>
              <w:ilvl w:val="0"/>
              <w:numId w:val="1"/>
            </w:numPr>
            <w:tabs>
              <w:tab w:pos="2695" w:val="left" w:leader="none"/>
              <w:tab w:pos="2696" w:val="left" w:leader="none"/>
              <w:tab w:pos="10480" w:val="right" w:leader="dot"/>
            </w:tabs>
            <w:spacing w:line="240" w:lineRule="auto" w:before="99" w:after="0"/>
            <w:ind w:left="2695" w:right="0" w:hanging="1277"/>
            <w:jc w:val="left"/>
          </w:pPr>
          <w:hyperlink w:history="true" w:anchor="_bookmark21">
            <w:r>
              <w:rPr/>
              <w:t>IL</w:t>
            </w:r>
            <w:r>
              <w:rPr>
                <w:spacing w:val="-2"/>
              </w:rPr>
              <w:t> </w:t>
            </w:r>
            <w:r>
              <w:rPr/>
              <w:t>PIANO</w:t>
            </w:r>
            <w:r>
              <w:rPr>
                <w:spacing w:val="-2"/>
              </w:rPr>
              <w:t> </w:t>
            </w:r>
            <w:r>
              <w:rPr/>
              <w:t>CONCORDATARIO</w:t>
              <w:tab/>
              <w:t>66</w:t>
            </w:r>
          </w:hyperlink>
        </w:p>
        <w:p>
          <w:pPr>
            <w:pStyle w:val="TOC2"/>
            <w:numPr>
              <w:ilvl w:val="1"/>
              <w:numId w:val="1"/>
            </w:numPr>
            <w:tabs>
              <w:tab w:pos="2695" w:val="left" w:leader="none"/>
              <w:tab w:pos="2696" w:val="left" w:leader="none"/>
              <w:tab w:pos="10480" w:val="right" w:leader="dot"/>
            </w:tabs>
            <w:spacing w:line="240" w:lineRule="auto" w:before="140" w:after="0"/>
            <w:ind w:left="2695" w:right="0" w:hanging="1056"/>
            <w:jc w:val="left"/>
          </w:pPr>
          <w:hyperlink w:history="true" w:anchor="_bookmark22">
            <w:r>
              <w:rPr/>
              <w:t>LA STRUTTURA</w:t>
            </w:r>
            <w:r>
              <w:rPr>
                <w:spacing w:val="-1"/>
              </w:rPr>
              <w:t> </w:t>
            </w:r>
            <w:r>
              <w:rPr/>
              <w:t>DEL</w:t>
            </w:r>
            <w:r>
              <w:rPr>
                <w:spacing w:val="-2"/>
              </w:rPr>
              <w:t> </w:t>
            </w:r>
            <w:r>
              <w:rPr/>
              <w:t>PIANO</w:t>
              <w:tab/>
              <w:t>66</w:t>
            </w:r>
          </w:hyperlink>
        </w:p>
        <w:p>
          <w:pPr>
            <w:pStyle w:val="TOC2"/>
            <w:numPr>
              <w:ilvl w:val="1"/>
              <w:numId w:val="1"/>
            </w:numPr>
            <w:tabs>
              <w:tab w:pos="2695" w:val="left" w:leader="none"/>
              <w:tab w:pos="2696" w:val="left" w:leader="none"/>
              <w:tab w:pos="10480" w:val="right" w:leader="dot"/>
            </w:tabs>
            <w:spacing w:line="240" w:lineRule="auto" w:before="140" w:after="0"/>
            <w:ind w:left="2695" w:right="0" w:hanging="1056"/>
            <w:jc w:val="left"/>
          </w:pPr>
          <w:hyperlink w:history="true" w:anchor="_bookmark23">
            <w:r>
              <w:rPr/>
              <w:t>PROPOSTA IRREVOCABILE</w:t>
            </w:r>
            <w:r>
              <w:rPr>
                <w:spacing w:val="-1"/>
              </w:rPr>
              <w:t> </w:t>
            </w:r>
            <w:r>
              <w:rPr/>
              <w:t>DI</w:t>
            </w:r>
            <w:r>
              <w:rPr>
                <w:spacing w:val="-3"/>
              </w:rPr>
              <w:t> </w:t>
            </w:r>
            <w:r>
              <w:rPr/>
              <w:t>ACQUISTO</w:t>
              <w:tab/>
              <w:t>74</w:t>
            </w:r>
          </w:hyperlink>
        </w:p>
      </w:sdtContent>
    </w:sdt>
    <w:p>
      <w:pPr>
        <w:spacing w:after="0" w:line="240" w:lineRule="auto"/>
        <w:jc w:val="left"/>
        <w:sectPr>
          <w:headerReference w:type="default" r:id="rId6"/>
          <w:footerReference w:type="default" r:id="rId7"/>
          <w:pgSz w:w="11910" w:h="16840"/>
          <w:pgMar w:header="707" w:footer="1025" w:top="1740" w:bottom="1220" w:left="0" w:right="0"/>
          <w:pgNumType w:start="2"/>
        </w:sectPr>
      </w:pPr>
    </w:p>
    <w:p>
      <w:pPr>
        <w:pStyle w:val="BodyText"/>
        <w:rPr>
          <w:sz w:val="26"/>
        </w:rPr>
      </w:pPr>
    </w:p>
    <w:p>
      <w:pPr>
        <w:pStyle w:val="BodyText"/>
        <w:rPr>
          <w:sz w:val="26"/>
        </w:rPr>
      </w:pPr>
    </w:p>
    <w:p>
      <w:pPr>
        <w:pStyle w:val="BodyText"/>
        <w:rPr>
          <w:sz w:val="26"/>
        </w:rPr>
      </w:pPr>
    </w:p>
    <w:p>
      <w:pPr>
        <w:pStyle w:val="ListParagraph"/>
        <w:numPr>
          <w:ilvl w:val="1"/>
          <w:numId w:val="1"/>
        </w:numPr>
        <w:tabs>
          <w:tab w:pos="2695" w:val="left" w:leader="none"/>
          <w:tab w:pos="2696" w:val="left" w:leader="none"/>
          <w:tab w:pos="10255" w:val="left" w:leader="dot"/>
        </w:tabs>
        <w:spacing w:line="240" w:lineRule="auto" w:before="205" w:after="0"/>
        <w:ind w:left="2695" w:right="0" w:hanging="1056"/>
        <w:jc w:val="left"/>
        <w:rPr>
          <w:sz w:val="24"/>
        </w:rPr>
      </w:pPr>
      <w:hyperlink w:history="true" w:anchor="_bookmark24">
        <w:r>
          <w:rPr>
            <w:sz w:val="24"/>
          </w:rPr>
          <w:t>LA RIPARTIZIONE DEL PREZZO OFFERTO</w:t>
        </w:r>
        <w:r>
          <w:rPr>
            <w:spacing w:val="-18"/>
            <w:sz w:val="24"/>
          </w:rPr>
          <w:t> </w:t>
        </w:r>
        <w:r>
          <w:rPr>
            <w:sz w:val="24"/>
          </w:rPr>
          <w:t>DA</w:t>
        </w:r>
        <w:r>
          <w:rPr>
            <w:spacing w:val="-4"/>
            <w:sz w:val="24"/>
          </w:rPr>
          <w:t> </w:t>
        </w:r>
        <w:r>
          <w:rPr>
            <w:sz w:val="24"/>
          </w:rPr>
          <w:t>VERSALIS</w:t>
          <w:tab/>
          <w:t>83</w:t>
        </w:r>
      </w:hyperlink>
    </w:p>
    <w:p>
      <w:pPr>
        <w:pStyle w:val="ListParagraph"/>
        <w:numPr>
          <w:ilvl w:val="2"/>
          <w:numId w:val="1"/>
        </w:numPr>
        <w:tabs>
          <w:tab w:pos="2695" w:val="left" w:leader="none"/>
          <w:tab w:pos="2696" w:val="left" w:leader="none"/>
          <w:tab w:pos="10480" w:val="right" w:leader="dot"/>
        </w:tabs>
        <w:spacing w:line="240" w:lineRule="auto" w:before="140" w:after="0"/>
        <w:ind w:left="2695" w:right="0" w:hanging="837"/>
        <w:jc w:val="left"/>
        <w:rPr>
          <w:sz w:val="24"/>
        </w:rPr>
      </w:pPr>
      <w:hyperlink w:history="true" w:anchor="_bookmark25">
        <w:r>
          <w:rPr>
            <w:sz w:val="24"/>
          </w:rPr>
          <w:t>La perizia tecnica</w:t>
        </w:r>
        <w:r>
          <w:rPr>
            <w:spacing w:val="-1"/>
            <w:sz w:val="24"/>
          </w:rPr>
          <w:t> </w:t>
        </w:r>
        <w:r>
          <w:rPr>
            <w:sz w:val="24"/>
          </w:rPr>
          <w:t>Ing.</w:t>
        </w:r>
        <w:r>
          <w:rPr>
            <w:spacing w:val="-1"/>
            <w:sz w:val="24"/>
          </w:rPr>
          <w:t> </w:t>
        </w:r>
        <w:r>
          <w:rPr>
            <w:sz w:val="24"/>
          </w:rPr>
          <w:t>Braccio</w:t>
          <w:tab/>
          <w:t>83</w:t>
        </w:r>
      </w:hyperlink>
    </w:p>
    <w:p>
      <w:pPr>
        <w:pStyle w:val="BodyText"/>
        <w:tabs>
          <w:tab w:pos="2695" w:val="left" w:leader="none"/>
          <w:tab w:pos="10480" w:val="right" w:leader="dot"/>
        </w:tabs>
        <w:spacing w:before="140"/>
        <w:ind w:left="1858"/>
      </w:pPr>
      <w:hyperlink w:history="true" w:anchor="_bookmark26">
        <w:r>
          <w:rPr/>
          <w:t>3.3.2.</w:t>
          <w:tab/>
          <w:t>Il parere valutativo dei proff. Mario Cattaneo e</w:t>
        </w:r>
        <w:r>
          <w:rPr>
            <w:spacing w:val="-7"/>
          </w:rPr>
          <w:t> </w:t>
        </w:r>
        <w:r>
          <w:rPr/>
          <w:t>Giovanni</w:t>
        </w:r>
        <w:r>
          <w:rPr>
            <w:spacing w:val="-1"/>
          </w:rPr>
          <w:t> </w:t>
        </w:r>
        <w:r>
          <w:rPr/>
          <w:t>Petrella</w:t>
          <w:tab/>
          <w:t>85</w:t>
        </w:r>
      </w:hyperlink>
    </w:p>
    <w:p>
      <w:pPr>
        <w:pStyle w:val="ListParagraph"/>
        <w:numPr>
          <w:ilvl w:val="0"/>
          <w:numId w:val="1"/>
        </w:numPr>
        <w:tabs>
          <w:tab w:pos="2695" w:val="left" w:leader="none"/>
          <w:tab w:pos="2696" w:val="left" w:leader="none"/>
          <w:tab w:pos="10480" w:val="right" w:leader="dot"/>
        </w:tabs>
        <w:spacing w:line="240" w:lineRule="auto" w:before="140" w:after="0"/>
        <w:ind w:left="2695" w:right="0" w:hanging="1277"/>
        <w:jc w:val="left"/>
        <w:rPr>
          <w:sz w:val="24"/>
        </w:rPr>
      </w:pPr>
      <w:hyperlink w:history="true" w:anchor="_bookmark27">
        <w:r>
          <w:rPr>
            <w:sz w:val="24"/>
          </w:rPr>
          <w:t>LA VERIDICITA’ DEI</w:t>
        </w:r>
        <w:r>
          <w:rPr>
            <w:spacing w:val="-2"/>
            <w:sz w:val="24"/>
          </w:rPr>
          <w:t> </w:t>
        </w:r>
        <w:r>
          <w:rPr>
            <w:sz w:val="24"/>
          </w:rPr>
          <w:t>DATI</w:t>
        </w:r>
        <w:r>
          <w:rPr>
            <w:spacing w:val="-2"/>
            <w:sz w:val="24"/>
          </w:rPr>
          <w:t> </w:t>
        </w:r>
        <w:r>
          <w:rPr>
            <w:sz w:val="24"/>
          </w:rPr>
          <w:t>AZIENDALI</w:t>
          <w:tab/>
          <w:t>90</w:t>
        </w:r>
      </w:hyperlink>
    </w:p>
    <w:p>
      <w:pPr>
        <w:pStyle w:val="ListParagraph"/>
        <w:numPr>
          <w:ilvl w:val="1"/>
          <w:numId w:val="1"/>
        </w:numPr>
        <w:tabs>
          <w:tab w:pos="2695" w:val="left" w:leader="none"/>
          <w:tab w:pos="2696" w:val="left" w:leader="none"/>
          <w:tab w:pos="10480" w:val="right" w:leader="dot"/>
        </w:tabs>
        <w:spacing w:line="240" w:lineRule="auto" w:before="140" w:after="0"/>
        <w:ind w:left="2695" w:right="0" w:hanging="1056"/>
        <w:jc w:val="left"/>
        <w:rPr>
          <w:sz w:val="24"/>
        </w:rPr>
      </w:pPr>
      <w:hyperlink w:history="true" w:anchor="_bookmark28">
        <w:r>
          <w:rPr>
            <w:sz w:val="24"/>
          </w:rPr>
          <w:t>PREMESSA SULLA TIPOLOGIA DEI</w:t>
        </w:r>
        <w:r>
          <w:rPr>
            <w:spacing w:val="-5"/>
            <w:sz w:val="24"/>
          </w:rPr>
          <w:t> </w:t>
        </w:r>
        <w:r>
          <w:rPr>
            <w:sz w:val="24"/>
          </w:rPr>
          <w:t>CONTROLLI</w:t>
        </w:r>
        <w:r>
          <w:rPr>
            <w:spacing w:val="-2"/>
            <w:sz w:val="24"/>
          </w:rPr>
          <w:t> </w:t>
        </w:r>
        <w:r>
          <w:rPr>
            <w:sz w:val="24"/>
          </w:rPr>
          <w:t>OPERATI</w:t>
          <w:tab/>
          <w:t>90</w:t>
        </w:r>
      </w:hyperlink>
    </w:p>
    <w:p>
      <w:pPr>
        <w:pStyle w:val="ListParagraph"/>
        <w:numPr>
          <w:ilvl w:val="1"/>
          <w:numId w:val="1"/>
        </w:numPr>
        <w:tabs>
          <w:tab w:pos="2695" w:val="left" w:leader="none"/>
          <w:tab w:pos="2696" w:val="left" w:leader="none"/>
          <w:tab w:pos="10480" w:val="right" w:leader="dot"/>
        </w:tabs>
        <w:spacing w:line="240" w:lineRule="auto" w:before="140" w:after="0"/>
        <w:ind w:left="2695" w:right="0" w:hanging="1056"/>
        <w:jc w:val="left"/>
        <w:rPr>
          <w:sz w:val="24"/>
        </w:rPr>
      </w:pPr>
      <w:hyperlink w:history="true" w:anchor="_bookmark29">
        <w:r>
          <w:rPr>
            <w:sz w:val="24"/>
          </w:rPr>
          <w:t>LA SITUAZIONE PATRIMONIALE AL 15</w:t>
        </w:r>
        <w:r>
          <w:rPr>
            <w:spacing w:val="-4"/>
            <w:sz w:val="24"/>
          </w:rPr>
          <w:t> </w:t>
        </w:r>
        <w:r>
          <w:rPr>
            <w:sz w:val="24"/>
          </w:rPr>
          <w:t>OTTOBRE</w:t>
        </w:r>
        <w:r>
          <w:rPr>
            <w:spacing w:val="-1"/>
            <w:sz w:val="24"/>
          </w:rPr>
          <w:t> </w:t>
        </w:r>
        <w:r>
          <w:rPr>
            <w:sz w:val="24"/>
          </w:rPr>
          <w:t>2017</w:t>
          <w:tab/>
          <w:t>96</w:t>
        </w:r>
      </w:hyperlink>
    </w:p>
    <w:p>
      <w:pPr>
        <w:pStyle w:val="ListParagraph"/>
        <w:numPr>
          <w:ilvl w:val="1"/>
          <w:numId w:val="1"/>
        </w:numPr>
        <w:tabs>
          <w:tab w:pos="2695" w:val="left" w:leader="none"/>
          <w:tab w:pos="2696" w:val="left" w:leader="none"/>
          <w:tab w:pos="10480" w:val="right" w:leader="dot"/>
        </w:tabs>
        <w:spacing w:line="278" w:lineRule="auto" w:before="141" w:after="0"/>
        <w:ind w:left="2695" w:right="1423" w:hanging="1056"/>
        <w:jc w:val="left"/>
        <w:rPr>
          <w:sz w:val="24"/>
        </w:rPr>
      </w:pPr>
      <w:hyperlink w:history="true" w:anchor="_bookmark30">
        <w:r>
          <w:rPr>
            <w:sz w:val="24"/>
          </w:rPr>
          <w:t>STATO ANALITICO ED ESTIMATIVO DELLE ATTIVITA’ E</w:t>
        </w:r>
      </w:hyperlink>
      <w:r>
        <w:rPr>
          <w:sz w:val="24"/>
        </w:rPr>
        <w:t> </w:t>
      </w:r>
      <w:hyperlink w:history="true" w:anchor="_bookmark30">
        <w:r>
          <w:rPr>
            <w:sz w:val="24"/>
          </w:rPr>
          <w:t>INDIVIDUAZIONE</w:t>
        </w:r>
        <w:r>
          <w:rPr>
            <w:spacing w:val="-1"/>
            <w:sz w:val="24"/>
          </w:rPr>
          <w:t> </w:t>
        </w:r>
        <w:r>
          <w:rPr>
            <w:sz w:val="24"/>
          </w:rPr>
          <w:t>DELLE</w:t>
        </w:r>
        <w:r>
          <w:rPr>
            <w:spacing w:val="-1"/>
            <w:sz w:val="24"/>
          </w:rPr>
          <w:t> </w:t>
        </w:r>
        <w:r>
          <w:rPr>
            <w:sz w:val="24"/>
          </w:rPr>
          <w:t>PASSIVITA’</w:t>
          <w:tab/>
          <w:t>97</w:t>
        </w:r>
      </w:hyperlink>
    </w:p>
    <w:p>
      <w:pPr>
        <w:pStyle w:val="ListParagraph"/>
        <w:numPr>
          <w:ilvl w:val="0"/>
          <w:numId w:val="1"/>
        </w:numPr>
        <w:tabs>
          <w:tab w:pos="2695" w:val="left" w:leader="none"/>
          <w:tab w:pos="2696" w:val="left" w:leader="none"/>
          <w:tab w:pos="10480" w:val="right" w:leader="dot"/>
        </w:tabs>
        <w:spacing w:line="240" w:lineRule="auto" w:before="97" w:after="0"/>
        <w:ind w:left="2695" w:right="0" w:hanging="1277"/>
        <w:jc w:val="left"/>
        <w:rPr>
          <w:sz w:val="24"/>
        </w:rPr>
      </w:pPr>
      <w:hyperlink w:history="true" w:anchor="_bookmark31">
        <w:r>
          <w:rPr>
            <w:sz w:val="24"/>
          </w:rPr>
          <w:t>LA FATTIBILITA’</w:t>
        </w:r>
        <w:r>
          <w:rPr>
            <w:spacing w:val="-1"/>
            <w:sz w:val="24"/>
          </w:rPr>
          <w:t> </w:t>
        </w:r>
        <w:r>
          <w:rPr>
            <w:sz w:val="24"/>
          </w:rPr>
          <w:t>DEL PIANO</w:t>
          <w:tab/>
          <w:t>264</w:t>
        </w:r>
      </w:hyperlink>
    </w:p>
    <w:p>
      <w:pPr>
        <w:pStyle w:val="ListParagraph"/>
        <w:numPr>
          <w:ilvl w:val="1"/>
          <w:numId w:val="1"/>
        </w:numPr>
        <w:tabs>
          <w:tab w:pos="2695" w:val="left" w:leader="none"/>
          <w:tab w:pos="2696" w:val="left" w:leader="none"/>
          <w:tab w:pos="10480" w:val="right" w:leader="dot"/>
        </w:tabs>
        <w:spacing w:line="240" w:lineRule="auto" w:before="140" w:after="0"/>
        <w:ind w:left="2695" w:right="0" w:hanging="1056"/>
        <w:jc w:val="left"/>
        <w:rPr>
          <w:sz w:val="24"/>
        </w:rPr>
      </w:pPr>
      <w:hyperlink w:history="true" w:anchor="_bookmark32">
        <w:r>
          <w:rPr>
            <w:sz w:val="24"/>
          </w:rPr>
          <w:t>PREMESSA</w:t>
          <w:tab/>
          <w:t>264</w:t>
        </w:r>
      </w:hyperlink>
    </w:p>
    <w:p>
      <w:pPr>
        <w:pStyle w:val="ListParagraph"/>
        <w:numPr>
          <w:ilvl w:val="1"/>
          <w:numId w:val="1"/>
        </w:numPr>
        <w:tabs>
          <w:tab w:pos="2695" w:val="left" w:leader="none"/>
          <w:tab w:pos="2696" w:val="left" w:leader="none"/>
          <w:tab w:pos="10480" w:val="right" w:leader="dot"/>
        </w:tabs>
        <w:spacing w:line="240" w:lineRule="auto" w:before="140" w:after="0"/>
        <w:ind w:left="2695" w:right="0" w:hanging="1056"/>
        <w:jc w:val="left"/>
        <w:rPr>
          <w:sz w:val="24"/>
        </w:rPr>
      </w:pPr>
      <w:hyperlink w:history="true" w:anchor="_bookmark33">
        <w:r>
          <w:rPr>
            <w:sz w:val="24"/>
          </w:rPr>
          <w:t>LA CESSIONE DEL</w:t>
        </w:r>
        <w:r>
          <w:rPr>
            <w:spacing w:val="-2"/>
            <w:sz w:val="24"/>
          </w:rPr>
          <w:t> </w:t>
        </w:r>
        <w:r>
          <w:rPr>
            <w:sz w:val="24"/>
          </w:rPr>
          <w:t>RAMO</w:t>
        </w:r>
        <w:r>
          <w:rPr>
            <w:spacing w:val="-1"/>
            <w:sz w:val="24"/>
          </w:rPr>
          <w:t> </w:t>
        </w:r>
        <w:r>
          <w:rPr>
            <w:sz w:val="24"/>
          </w:rPr>
          <w:t>D’AZIENDA</w:t>
          <w:tab/>
          <w:t>267</w:t>
        </w:r>
      </w:hyperlink>
    </w:p>
    <w:p>
      <w:pPr>
        <w:pStyle w:val="ListParagraph"/>
        <w:numPr>
          <w:ilvl w:val="1"/>
          <w:numId w:val="1"/>
        </w:numPr>
        <w:tabs>
          <w:tab w:pos="2695" w:val="left" w:leader="none"/>
          <w:tab w:pos="2696" w:val="left" w:leader="none"/>
          <w:tab w:pos="10480" w:val="right" w:leader="dot"/>
        </w:tabs>
        <w:spacing w:line="240" w:lineRule="auto" w:before="140" w:after="0"/>
        <w:ind w:left="2695" w:right="0" w:hanging="1056"/>
        <w:jc w:val="left"/>
        <w:rPr>
          <w:sz w:val="24"/>
        </w:rPr>
      </w:pPr>
      <w:hyperlink w:history="true" w:anchor="_bookmark34">
        <w:r>
          <w:rPr>
            <w:sz w:val="24"/>
          </w:rPr>
          <w:t>L’IMPEGNO</w:t>
        </w:r>
        <w:r>
          <w:rPr>
            <w:spacing w:val="-2"/>
            <w:sz w:val="24"/>
          </w:rPr>
          <w:t> </w:t>
        </w:r>
        <w:r>
          <w:rPr>
            <w:sz w:val="24"/>
          </w:rPr>
          <w:t>GHISOLFI</w:t>
          <w:tab/>
          <w:t>271</w:t>
        </w:r>
      </w:hyperlink>
    </w:p>
    <w:p>
      <w:pPr>
        <w:pStyle w:val="ListParagraph"/>
        <w:numPr>
          <w:ilvl w:val="1"/>
          <w:numId w:val="1"/>
        </w:numPr>
        <w:tabs>
          <w:tab w:pos="2695" w:val="left" w:leader="none"/>
          <w:tab w:pos="2696" w:val="left" w:leader="none"/>
          <w:tab w:pos="10480" w:val="right" w:leader="dot"/>
        </w:tabs>
        <w:spacing w:line="240" w:lineRule="auto" w:before="140" w:after="0"/>
        <w:ind w:left="2695" w:right="0" w:hanging="1056"/>
        <w:jc w:val="left"/>
        <w:rPr>
          <w:sz w:val="24"/>
        </w:rPr>
      </w:pPr>
      <w:hyperlink w:history="true" w:anchor="_bookmark35">
        <w:r>
          <w:rPr>
            <w:sz w:val="24"/>
          </w:rPr>
          <w:t>IL</w:t>
        </w:r>
        <w:r>
          <w:rPr>
            <w:spacing w:val="-2"/>
            <w:sz w:val="24"/>
          </w:rPr>
          <w:t> </w:t>
        </w:r>
        <w:r>
          <w:rPr>
            <w:sz w:val="24"/>
          </w:rPr>
          <w:t>FABBISOGNO</w:t>
        </w:r>
        <w:r>
          <w:rPr>
            <w:spacing w:val="-2"/>
            <w:sz w:val="24"/>
          </w:rPr>
          <w:t> </w:t>
        </w:r>
        <w:r>
          <w:rPr>
            <w:sz w:val="24"/>
          </w:rPr>
          <w:t>CONCORDATARIO</w:t>
          <w:tab/>
          <w:t>274</w:t>
        </w:r>
      </w:hyperlink>
    </w:p>
    <w:p>
      <w:pPr>
        <w:pStyle w:val="ListParagraph"/>
        <w:numPr>
          <w:ilvl w:val="1"/>
          <w:numId w:val="1"/>
        </w:numPr>
        <w:tabs>
          <w:tab w:pos="2695" w:val="left" w:leader="none"/>
          <w:tab w:pos="2696" w:val="left" w:leader="none"/>
          <w:tab w:pos="10480" w:val="right" w:leader="dot"/>
        </w:tabs>
        <w:spacing w:line="276" w:lineRule="auto" w:before="140" w:after="0"/>
        <w:ind w:left="2695" w:right="1423" w:hanging="1056"/>
        <w:jc w:val="left"/>
        <w:rPr>
          <w:sz w:val="24"/>
        </w:rPr>
      </w:pPr>
      <w:hyperlink w:history="true" w:anchor="_bookmark36">
        <w:r>
          <w:rPr>
            <w:sz w:val="24"/>
          </w:rPr>
          <w:t>I RISCHI DI EXECUTION DEL PIANO ED I RIFLESSI SULLA</w:t>
        </w:r>
      </w:hyperlink>
      <w:r>
        <w:rPr>
          <w:sz w:val="24"/>
        </w:rPr>
        <w:t> </w:t>
      </w:r>
      <w:hyperlink w:history="true" w:anchor="_bookmark36">
        <w:r>
          <w:rPr>
            <w:sz w:val="24"/>
          </w:rPr>
          <w:t>FATTIBILITA’</w:t>
          <w:tab/>
          <w:t>285</w:t>
        </w:r>
      </w:hyperlink>
    </w:p>
    <w:p>
      <w:pPr>
        <w:pStyle w:val="ListParagraph"/>
        <w:numPr>
          <w:ilvl w:val="1"/>
          <w:numId w:val="1"/>
        </w:numPr>
        <w:tabs>
          <w:tab w:pos="2695" w:val="left" w:leader="none"/>
          <w:tab w:pos="2696" w:val="left" w:leader="none"/>
          <w:tab w:pos="10480" w:val="right" w:leader="dot"/>
        </w:tabs>
        <w:spacing w:line="240" w:lineRule="auto" w:before="102" w:after="0"/>
        <w:ind w:left="2695" w:right="0" w:hanging="1056"/>
        <w:jc w:val="left"/>
        <w:rPr>
          <w:sz w:val="24"/>
        </w:rPr>
      </w:pPr>
      <w:hyperlink w:history="true" w:anchor="_bookmark37">
        <w:r>
          <w:rPr>
            <w:sz w:val="24"/>
          </w:rPr>
          <w:t>UPSIDE</w:t>
        </w:r>
        <w:r>
          <w:rPr>
            <w:spacing w:val="-1"/>
            <w:sz w:val="24"/>
          </w:rPr>
          <w:t> </w:t>
        </w:r>
        <w:r>
          <w:rPr>
            <w:sz w:val="24"/>
          </w:rPr>
          <w:t>EVENTUALI</w:t>
          <w:tab/>
          <w:t>298</w:t>
        </w:r>
      </w:hyperlink>
    </w:p>
    <w:p>
      <w:pPr>
        <w:pStyle w:val="ListParagraph"/>
        <w:numPr>
          <w:ilvl w:val="0"/>
          <w:numId w:val="1"/>
        </w:numPr>
        <w:tabs>
          <w:tab w:pos="2695" w:val="left" w:leader="none"/>
          <w:tab w:pos="2696" w:val="left" w:leader="none"/>
          <w:tab w:pos="10480" w:val="right" w:leader="dot"/>
        </w:tabs>
        <w:spacing w:line="276" w:lineRule="auto" w:before="140" w:after="0"/>
        <w:ind w:left="2695" w:right="1423" w:hanging="1277"/>
        <w:jc w:val="left"/>
        <w:rPr>
          <w:sz w:val="24"/>
        </w:rPr>
      </w:pPr>
      <w:hyperlink w:history="true" w:anchor="_bookmark38">
        <w:r>
          <w:rPr>
            <w:sz w:val="24"/>
          </w:rPr>
          <w:t>CONCLUSIONI IN ORDINE ALLA VERIDICITA’ DEI DATI E ALLA</w:t>
        </w:r>
      </w:hyperlink>
      <w:r>
        <w:rPr>
          <w:sz w:val="24"/>
        </w:rPr>
        <w:t> </w:t>
      </w:r>
      <w:hyperlink w:history="true" w:anchor="_bookmark38">
        <w:r>
          <w:rPr>
            <w:sz w:val="24"/>
          </w:rPr>
          <w:t>FATTIBILITA’</w:t>
        </w:r>
        <w:r>
          <w:rPr>
            <w:spacing w:val="-1"/>
            <w:sz w:val="24"/>
          </w:rPr>
          <w:t> </w:t>
        </w:r>
        <w:r>
          <w:rPr>
            <w:sz w:val="24"/>
          </w:rPr>
          <w:t>DEL</w:t>
        </w:r>
        <w:r>
          <w:rPr>
            <w:spacing w:val="-2"/>
            <w:sz w:val="24"/>
          </w:rPr>
          <w:t> </w:t>
        </w:r>
        <w:r>
          <w:rPr>
            <w:sz w:val="24"/>
          </w:rPr>
          <w:t>PIANO</w:t>
          <w:tab/>
          <w:t>298</w:t>
        </w:r>
      </w:hyperlink>
    </w:p>
    <w:p>
      <w:pPr>
        <w:pStyle w:val="ListParagraph"/>
        <w:numPr>
          <w:ilvl w:val="0"/>
          <w:numId w:val="1"/>
        </w:numPr>
        <w:tabs>
          <w:tab w:pos="2695" w:val="left" w:leader="none"/>
          <w:tab w:pos="2696" w:val="left" w:leader="none"/>
          <w:tab w:pos="10480" w:val="right" w:leader="dot"/>
        </w:tabs>
        <w:spacing w:line="240" w:lineRule="auto" w:before="100" w:after="0"/>
        <w:ind w:left="2695" w:right="0" w:hanging="1277"/>
        <w:jc w:val="left"/>
        <w:rPr>
          <w:sz w:val="24"/>
        </w:rPr>
      </w:pPr>
      <w:hyperlink w:history="true" w:anchor="_bookmark39">
        <w:r>
          <w:rPr>
            <w:sz w:val="24"/>
          </w:rPr>
          <w:t>ULTERIORI</w:t>
        </w:r>
        <w:r>
          <w:rPr>
            <w:spacing w:val="-2"/>
            <w:sz w:val="24"/>
          </w:rPr>
          <w:t> </w:t>
        </w:r>
        <w:r>
          <w:rPr>
            <w:sz w:val="24"/>
          </w:rPr>
          <w:t>INFORMAZIONI</w:t>
          <w:tab/>
          <w:t>302</w:t>
        </w:r>
      </w:hyperlink>
    </w:p>
    <w:p>
      <w:pPr>
        <w:pStyle w:val="ListParagraph"/>
        <w:numPr>
          <w:ilvl w:val="0"/>
          <w:numId w:val="1"/>
        </w:numPr>
        <w:tabs>
          <w:tab w:pos="2695" w:val="left" w:leader="none"/>
          <w:tab w:pos="2696" w:val="left" w:leader="none"/>
          <w:tab w:pos="10480" w:val="right" w:leader="dot"/>
        </w:tabs>
        <w:spacing w:line="240" w:lineRule="auto" w:before="140" w:after="0"/>
        <w:ind w:left="2695" w:right="0" w:hanging="1277"/>
        <w:jc w:val="left"/>
        <w:rPr>
          <w:sz w:val="24"/>
        </w:rPr>
      </w:pPr>
      <w:hyperlink w:history="true" w:anchor="_bookmark40">
        <w:r>
          <w:rPr>
            <w:sz w:val="24"/>
          </w:rPr>
          <w:t>ATTESTAZIONE</w:t>
          <w:tab/>
          <w:t>309</w:t>
        </w:r>
      </w:hyperlink>
    </w:p>
    <w:p>
      <w:pPr>
        <w:spacing w:after="0" w:line="240" w:lineRule="auto"/>
        <w:jc w:val="left"/>
        <w:rPr>
          <w:sz w:val="24"/>
        </w:rPr>
        <w:sectPr>
          <w:pgSz w:w="11910" w:h="16840"/>
          <w:pgMar w:header="707" w:footer="1025" w:top="1740" w:bottom="1220" w:left="0" w:right="0"/>
        </w:sectPr>
      </w:pPr>
    </w:p>
    <w:p>
      <w:pPr>
        <w:pStyle w:val="BodyText"/>
        <w:rPr>
          <w:sz w:val="32"/>
        </w:rPr>
      </w:pPr>
    </w:p>
    <w:p>
      <w:pPr>
        <w:pStyle w:val="BodyText"/>
        <w:rPr>
          <w:sz w:val="32"/>
        </w:rPr>
      </w:pPr>
    </w:p>
    <w:p>
      <w:pPr>
        <w:pStyle w:val="BodyText"/>
        <w:spacing w:before="4"/>
        <w:rPr>
          <w:sz w:val="32"/>
        </w:rPr>
      </w:pPr>
    </w:p>
    <w:p>
      <w:pPr>
        <w:pStyle w:val="Heading1"/>
        <w:numPr>
          <w:ilvl w:val="0"/>
          <w:numId w:val="3"/>
        </w:numPr>
        <w:tabs>
          <w:tab w:pos="1847" w:val="left" w:leader="none"/>
        </w:tabs>
        <w:spacing w:line="240" w:lineRule="auto" w:before="0" w:after="0"/>
        <w:ind w:left="1846" w:right="0" w:hanging="428"/>
        <w:jc w:val="both"/>
      </w:pPr>
      <w:bookmarkStart w:name="_bookmark0" w:id="1"/>
      <w:bookmarkEnd w:id="1"/>
      <w:r>
        <w:rPr>
          <w:b w:val="0"/>
        </w:rPr>
      </w:r>
      <w:bookmarkStart w:name="_bookmark0" w:id="2"/>
      <w:bookmarkEnd w:id="2"/>
      <w:r>
        <w:rPr/>
        <w:t>A</w:t>
      </w:r>
      <w:r>
        <w:rPr/>
        <w:t>SPETTI</w:t>
      </w:r>
      <w:r>
        <w:rPr>
          <w:spacing w:val="-7"/>
        </w:rPr>
        <w:t> </w:t>
      </w:r>
      <w:r>
        <w:rPr/>
        <w:t>INTRODUTTIVI</w:t>
      </w:r>
    </w:p>
    <w:p>
      <w:pPr>
        <w:pStyle w:val="BodyText"/>
        <w:spacing w:before="7"/>
        <w:rPr>
          <w:b/>
          <w:sz w:val="45"/>
        </w:rPr>
      </w:pPr>
    </w:p>
    <w:p>
      <w:pPr>
        <w:pStyle w:val="Heading2"/>
        <w:numPr>
          <w:ilvl w:val="1"/>
          <w:numId w:val="3"/>
        </w:numPr>
        <w:tabs>
          <w:tab w:pos="2126" w:val="left" w:leader="none"/>
          <w:tab w:pos="2127" w:val="left" w:leader="none"/>
          <w:tab w:pos="4664" w:val="left" w:leader="none"/>
          <w:tab w:pos="7078" w:val="left" w:leader="none"/>
          <w:tab w:pos="7705" w:val="left" w:leader="none"/>
          <w:tab w:pos="10209" w:val="left" w:leader="none"/>
        </w:tabs>
        <w:spacing w:line="480" w:lineRule="auto" w:before="0" w:after="0"/>
        <w:ind w:left="2126" w:right="1415" w:hanging="708"/>
        <w:jc w:val="left"/>
      </w:pPr>
      <w:bookmarkStart w:name="_bookmark1" w:id="3"/>
      <w:bookmarkEnd w:id="3"/>
      <w:r>
        <w:rPr>
          <w:b w:val="0"/>
        </w:rPr>
      </w:r>
      <w:bookmarkStart w:name="_bookmark1" w:id="4"/>
      <w:bookmarkEnd w:id="4"/>
      <w:r>
        <w:rPr/>
        <w:t>C</w:t>
      </w:r>
      <w:r>
        <w:rPr/>
        <w:t>ONFERIMENTO</w:t>
        <w:tab/>
        <w:t>DELL’INCARICO</w:t>
        <w:tab/>
        <w:t>E</w:t>
        <w:tab/>
        <w:t>DICHIARAZIONE</w:t>
        <w:tab/>
        <w:t>DI INDIPENDENZA</w:t>
      </w:r>
    </w:p>
    <w:p>
      <w:pPr>
        <w:pStyle w:val="BodyText"/>
        <w:spacing w:line="480" w:lineRule="auto"/>
        <w:ind w:left="1418" w:right="1409"/>
        <w:jc w:val="both"/>
      </w:pPr>
      <w:r>
        <w:rPr/>
        <w:t>Gli scriventi Dott. Alessandro Solidoro, Dottore Commercialista e Revisore Legale con Studio in Milano, Via Borgogna n. 3, iscritto alla Sezione A dell’Ordine dei Dottori Commercialisti e degli Esperti Contabili di Milano al n. 2441 e al Registro dei Revisori Legali al n. 55339, Dott. Carlo Pagliughi, Dottore Commercialista e Revisore Legale con Studio in Milano, piazza della Repubblica 30, iscritto alla Sezione A dell’Ordine dei Dottori Commercialisti e degli Esperti Contabili di Milano al n. 4160 e al Registro dei Revisori Legali al n. 124846, sono stati incaricati dalla società BioChemtex S.p.A. ( di seguito anche “la Società” o “Biochemtex”) nella persona del legale rappresentante Giovanni Bolcheni, nato a Spigno Monferrato (AL) il 1° giugno 1944, residente in Tortona, via alle Fonti n.8, codice fiscale BLCGNN44H10I901M, in qualità di Presidente del Consiglio di Amministrazione di BioChemtex S.p.A., con sede legale in Tortona (AL), Strada Ribrocca n.11, codice fiscale e partita IVA n. 04740320967 e Numero di iscrizione al Registro delle Imprese di Alessandria AL-224380, in forza di mandato conferito in data 19 dicembre 2017, di redigere la relazione professionale prevista dall’art.161, co. 3 della Legge Fallimentare (nel seguito la “Relazione”).</w:t>
      </w:r>
    </w:p>
    <w:p>
      <w:pPr>
        <w:pStyle w:val="BodyText"/>
        <w:spacing w:line="480" w:lineRule="auto" w:before="1"/>
        <w:ind w:left="1418" w:right="1518"/>
      </w:pPr>
      <w:r>
        <w:rPr/>
        <w:t>Gli scriventi hanno accettato l’incarico e dichiarano di essere in possesso dei requisiti previsti dall’art. 67, comma 3, lett. D) L.F.</w:t>
      </w:r>
    </w:p>
    <w:p>
      <w:pPr>
        <w:pStyle w:val="BodyText"/>
        <w:ind w:left="1418"/>
        <w:jc w:val="both"/>
      </w:pPr>
      <w:r>
        <w:rPr/>
        <w:t>In particolare, gli scriventi dichiarano quanto segue:</w:t>
      </w:r>
    </w:p>
    <w:p>
      <w:pPr>
        <w:pStyle w:val="BodyText"/>
        <w:rPr>
          <w:sz w:val="26"/>
        </w:rPr>
      </w:pPr>
    </w:p>
    <w:p>
      <w:pPr>
        <w:pStyle w:val="ListParagraph"/>
        <w:numPr>
          <w:ilvl w:val="0"/>
          <w:numId w:val="4"/>
        </w:numPr>
        <w:tabs>
          <w:tab w:pos="2127" w:val="left" w:leader="none"/>
        </w:tabs>
        <w:spacing w:line="240" w:lineRule="auto" w:before="176" w:after="0"/>
        <w:ind w:left="2126" w:right="0" w:hanging="708"/>
        <w:jc w:val="both"/>
        <w:rPr>
          <w:sz w:val="24"/>
        </w:rPr>
      </w:pPr>
      <w:r>
        <w:rPr>
          <w:sz w:val="24"/>
        </w:rPr>
        <w:t>di essere in possesso dei requisiti previsti dall’art. 28, lett. a) e b) l.</w:t>
      </w:r>
      <w:r>
        <w:rPr>
          <w:spacing w:val="-17"/>
          <w:sz w:val="24"/>
        </w:rPr>
        <w:t> </w:t>
      </w:r>
      <w:r>
        <w:rPr>
          <w:sz w:val="24"/>
        </w:rPr>
        <w:t>fall.;</w:t>
      </w:r>
    </w:p>
    <w:p>
      <w:pPr>
        <w:pStyle w:val="BodyText"/>
        <w:rPr>
          <w:sz w:val="26"/>
        </w:rPr>
      </w:pPr>
    </w:p>
    <w:p>
      <w:pPr>
        <w:pStyle w:val="ListParagraph"/>
        <w:numPr>
          <w:ilvl w:val="0"/>
          <w:numId w:val="4"/>
        </w:numPr>
        <w:tabs>
          <w:tab w:pos="2127" w:val="left" w:leader="none"/>
        </w:tabs>
        <w:spacing w:line="240" w:lineRule="auto" w:before="178" w:after="0"/>
        <w:ind w:left="2126" w:right="0" w:hanging="708"/>
        <w:jc w:val="both"/>
        <w:rPr>
          <w:sz w:val="24"/>
        </w:rPr>
      </w:pPr>
      <w:r>
        <w:rPr>
          <w:sz w:val="24"/>
        </w:rPr>
        <w:t>di essere iscritti nel registro dei revisori</w:t>
      </w:r>
      <w:r>
        <w:rPr>
          <w:spacing w:val="-21"/>
          <w:sz w:val="24"/>
        </w:rPr>
        <w:t> </w:t>
      </w:r>
      <w:r>
        <w:rPr>
          <w:sz w:val="24"/>
        </w:rPr>
        <w:t>legali;</w:t>
      </w:r>
    </w:p>
    <w:p>
      <w:pPr>
        <w:spacing w:after="0" w:line="24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4"/>
        </w:numPr>
        <w:tabs>
          <w:tab w:pos="2127" w:val="left" w:leader="none"/>
        </w:tabs>
        <w:spacing w:line="480" w:lineRule="auto" w:before="100" w:after="0"/>
        <w:ind w:left="2126" w:right="1417" w:hanging="708"/>
        <w:jc w:val="both"/>
        <w:rPr>
          <w:sz w:val="24"/>
        </w:rPr>
      </w:pPr>
      <w:r>
        <w:rPr>
          <w:sz w:val="24"/>
        </w:rPr>
        <w:t>di non essere legati all’impresa e a “</w:t>
      </w:r>
      <w:r>
        <w:rPr>
          <w:i/>
          <w:sz w:val="24"/>
        </w:rPr>
        <w:t>coloro che hanno interesse all’operazione di risanamento da </w:t>
      </w:r>
      <w:r>
        <w:rPr>
          <w:i/>
          <w:sz w:val="24"/>
        </w:rPr>
        <w:t>rapporti di natura personale o professionale tali da comprometterne l’indipendenza di</w:t>
      </w:r>
      <w:r>
        <w:rPr>
          <w:i/>
          <w:spacing w:val="-27"/>
          <w:sz w:val="24"/>
        </w:rPr>
        <w:t> </w:t>
      </w:r>
      <w:r>
        <w:rPr>
          <w:i/>
          <w:sz w:val="24"/>
        </w:rPr>
        <w:t>giudizio</w:t>
      </w:r>
      <w:r>
        <w:rPr>
          <w:sz w:val="24"/>
        </w:rPr>
        <w:t>”;</w:t>
      </w:r>
    </w:p>
    <w:p>
      <w:pPr>
        <w:pStyle w:val="ListParagraph"/>
        <w:numPr>
          <w:ilvl w:val="0"/>
          <w:numId w:val="4"/>
        </w:numPr>
        <w:tabs>
          <w:tab w:pos="2127" w:val="left" w:leader="none"/>
        </w:tabs>
        <w:spacing w:line="240" w:lineRule="auto" w:before="201" w:after="0"/>
        <w:ind w:left="2126" w:right="0" w:hanging="708"/>
        <w:jc w:val="both"/>
        <w:rPr>
          <w:sz w:val="24"/>
        </w:rPr>
      </w:pPr>
      <w:r>
        <w:rPr>
          <w:sz w:val="24"/>
        </w:rPr>
        <w:t>di essere in possesso dei requisiti previsti dall’art. 2399</w:t>
      </w:r>
      <w:r>
        <w:rPr>
          <w:spacing w:val="-11"/>
          <w:sz w:val="24"/>
        </w:rPr>
        <w:t> </w:t>
      </w:r>
      <w:r>
        <w:rPr>
          <w:sz w:val="24"/>
        </w:rPr>
        <w:t>c.c.;</w:t>
      </w:r>
    </w:p>
    <w:p>
      <w:pPr>
        <w:pStyle w:val="BodyText"/>
        <w:rPr>
          <w:sz w:val="26"/>
        </w:rPr>
      </w:pPr>
    </w:p>
    <w:p>
      <w:pPr>
        <w:pStyle w:val="ListParagraph"/>
        <w:numPr>
          <w:ilvl w:val="0"/>
          <w:numId w:val="4"/>
        </w:numPr>
        <w:tabs>
          <w:tab w:pos="2127" w:val="left" w:leader="none"/>
        </w:tabs>
        <w:spacing w:line="480" w:lineRule="auto" w:before="176" w:after="0"/>
        <w:ind w:left="2126" w:right="1418" w:hanging="708"/>
        <w:jc w:val="both"/>
        <w:rPr>
          <w:sz w:val="24"/>
        </w:rPr>
      </w:pPr>
      <w:r>
        <w:rPr>
          <w:sz w:val="24"/>
        </w:rPr>
        <w:t>di non avere, neanche per il tramite di soggetti con i quali è unito in associazione professionale, aver prestato negli ultimi cinque anni attività di lavoro autonomo in favore del debitore ovvero partecipato agli organi di amministrazione o di</w:t>
      </w:r>
      <w:r>
        <w:rPr>
          <w:spacing w:val="-24"/>
          <w:sz w:val="24"/>
        </w:rPr>
        <w:t> </w:t>
      </w:r>
      <w:r>
        <w:rPr>
          <w:sz w:val="24"/>
        </w:rPr>
        <w:t>controllo.</w:t>
      </w:r>
    </w:p>
    <w:p>
      <w:pPr>
        <w:pStyle w:val="BodyText"/>
        <w:spacing w:line="480" w:lineRule="auto" w:before="199"/>
        <w:ind w:left="1418" w:right="1413"/>
        <w:jc w:val="both"/>
      </w:pPr>
      <w:r>
        <w:rPr/>
        <w:t>Si segnala che i suddetti requisiti sussistono sia alla data di nomina sia alla data di stesura della presente relazione.</w:t>
      </w:r>
    </w:p>
    <w:p>
      <w:pPr>
        <w:pStyle w:val="Heading2"/>
        <w:numPr>
          <w:ilvl w:val="1"/>
          <w:numId w:val="3"/>
        </w:numPr>
        <w:tabs>
          <w:tab w:pos="2127" w:val="left" w:leader="none"/>
        </w:tabs>
        <w:spacing w:line="240" w:lineRule="auto" w:before="199" w:after="0"/>
        <w:ind w:left="2126" w:right="0" w:hanging="708"/>
        <w:jc w:val="both"/>
      </w:pPr>
      <w:bookmarkStart w:name="_bookmark2" w:id="5"/>
      <w:bookmarkEnd w:id="5"/>
      <w:r>
        <w:rPr>
          <w:b w:val="0"/>
        </w:rPr>
      </w:r>
      <w:bookmarkStart w:name="_bookmark2" w:id="6"/>
      <w:bookmarkEnd w:id="6"/>
      <w:r>
        <w:rPr/>
        <w:t>LA</w:t>
      </w:r>
      <w:r>
        <w:rPr/>
        <w:t> NATURA E IL FINALISMO</w:t>
      </w:r>
      <w:r>
        <w:rPr>
          <w:spacing w:val="-12"/>
        </w:rPr>
        <w:t> </w:t>
      </w:r>
      <w:r>
        <w:rPr/>
        <w:t>DELL’INCARICO</w:t>
      </w:r>
    </w:p>
    <w:p>
      <w:pPr>
        <w:pStyle w:val="BodyText"/>
        <w:spacing w:before="2"/>
        <w:rPr>
          <w:b/>
        </w:rPr>
      </w:pPr>
    </w:p>
    <w:p>
      <w:pPr>
        <w:pStyle w:val="BodyText"/>
        <w:spacing w:line="480" w:lineRule="auto"/>
        <w:ind w:left="1418" w:right="1419"/>
        <w:jc w:val="both"/>
      </w:pPr>
      <w:r>
        <w:rPr>
          <w:w w:val="105"/>
        </w:rPr>
        <w:t>L’intervento del professionista attestatore costituisce di fatto una condizione di accesso agli strumenti di soluzione concordata della crisi di impresa.</w:t>
      </w:r>
    </w:p>
    <w:p>
      <w:pPr>
        <w:pStyle w:val="BodyText"/>
        <w:spacing w:line="480" w:lineRule="auto"/>
        <w:ind w:left="1418" w:right="1418"/>
        <w:jc w:val="both"/>
      </w:pPr>
      <w:r>
        <w:rPr>
          <w:w w:val="105"/>
        </w:rPr>
        <w:t>Il finalismo dell’intervento demandato al professionista attestatore è quello di sottoporre al vaglio</w:t>
      </w:r>
      <w:r>
        <w:rPr>
          <w:spacing w:val="-13"/>
          <w:w w:val="105"/>
        </w:rPr>
        <w:t> </w:t>
      </w:r>
      <w:r>
        <w:rPr>
          <w:w w:val="105"/>
        </w:rPr>
        <w:t>tecnico</w:t>
      </w:r>
      <w:r>
        <w:rPr>
          <w:spacing w:val="-13"/>
          <w:w w:val="105"/>
        </w:rPr>
        <w:t> </w:t>
      </w:r>
      <w:r>
        <w:rPr>
          <w:w w:val="105"/>
        </w:rPr>
        <w:t>i</w:t>
      </w:r>
      <w:r>
        <w:rPr>
          <w:spacing w:val="-13"/>
          <w:w w:val="105"/>
        </w:rPr>
        <w:t> </w:t>
      </w:r>
      <w:r>
        <w:rPr>
          <w:w w:val="105"/>
        </w:rPr>
        <w:t>contenuti</w:t>
      </w:r>
      <w:r>
        <w:rPr>
          <w:spacing w:val="-13"/>
          <w:w w:val="105"/>
        </w:rPr>
        <w:t> </w:t>
      </w:r>
      <w:r>
        <w:rPr>
          <w:w w:val="105"/>
        </w:rPr>
        <w:t>del</w:t>
      </w:r>
      <w:r>
        <w:rPr>
          <w:spacing w:val="-13"/>
          <w:w w:val="105"/>
        </w:rPr>
        <w:t> </w:t>
      </w:r>
      <w:r>
        <w:rPr>
          <w:w w:val="105"/>
        </w:rPr>
        <w:t>piano</w:t>
      </w:r>
      <w:r>
        <w:rPr>
          <w:spacing w:val="-13"/>
          <w:w w:val="105"/>
        </w:rPr>
        <w:t> </w:t>
      </w:r>
      <w:r>
        <w:rPr>
          <w:w w:val="105"/>
        </w:rPr>
        <w:t>esaminandone</w:t>
      </w:r>
      <w:r>
        <w:rPr>
          <w:spacing w:val="-12"/>
          <w:w w:val="105"/>
        </w:rPr>
        <w:t> </w:t>
      </w:r>
      <w:r>
        <w:rPr>
          <w:w w:val="105"/>
        </w:rPr>
        <w:t>la</w:t>
      </w:r>
      <w:r>
        <w:rPr>
          <w:spacing w:val="-14"/>
          <w:w w:val="105"/>
        </w:rPr>
        <w:t> </w:t>
      </w:r>
      <w:r>
        <w:rPr>
          <w:w w:val="105"/>
        </w:rPr>
        <w:t>veridicità</w:t>
      </w:r>
      <w:r>
        <w:rPr>
          <w:spacing w:val="-14"/>
          <w:w w:val="105"/>
        </w:rPr>
        <w:t> </w:t>
      </w:r>
      <w:r>
        <w:rPr>
          <w:w w:val="105"/>
        </w:rPr>
        <w:t>dei</w:t>
      </w:r>
      <w:r>
        <w:rPr>
          <w:spacing w:val="-13"/>
          <w:w w:val="105"/>
        </w:rPr>
        <w:t> </w:t>
      </w:r>
      <w:r>
        <w:rPr>
          <w:w w:val="105"/>
        </w:rPr>
        <w:t>dati</w:t>
      </w:r>
      <w:r>
        <w:rPr>
          <w:spacing w:val="-13"/>
          <w:w w:val="105"/>
        </w:rPr>
        <w:t> </w:t>
      </w:r>
      <w:r>
        <w:rPr>
          <w:w w:val="105"/>
        </w:rPr>
        <w:t>che</w:t>
      </w:r>
      <w:r>
        <w:rPr>
          <w:spacing w:val="-14"/>
          <w:w w:val="105"/>
        </w:rPr>
        <w:t> </w:t>
      </w:r>
      <w:r>
        <w:rPr>
          <w:w w:val="105"/>
        </w:rPr>
        <w:t>lo</w:t>
      </w:r>
      <w:r>
        <w:rPr>
          <w:spacing w:val="-13"/>
          <w:w w:val="105"/>
        </w:rPr>
        <w:t> </w:t>
      </w:r>
      <w:r>
        <w:rPr>
          <w:w w:val="105"/>
        </w:rPr>
        <w:t>compongono</w:t>
      </w:r>
      <w:r>
        <w:rPr>
          <w:spacing w:val="-13"/>
          <w:w w:val="105"/>
        </w:rPr>
        <w:t> </w:t>
      </w:r>
      <w:r>
        <w:rPr>
          <w:w w:val="105"/>
        </w:rPr>
        <w:t>e</w:t>
      </w:r>
      <w:r>
        <w:rPr>
          <w:spacing w:val="-14"/>
          <w:w w:val="105"/>
        </w:rPr>
        <w:t> </w:t>
      </w:r>
      <w:r>
        <w:rPr>
          <w:w w:val="105"/>
        </w:rPr>
        <w:t>la </w:t>
      </w:r>
      <w:r>
        <w:rPr/>
        <w:t>fattibilità delle corrispondenti proiezioni economiche e </w:t>
      </w:r>
      <w:r>
        <w:rPr>
          <w:spacing w:val="21"/>
        </w:rPr>
        <w:t> </w:t>
      </w:r>
      <w:r>
        <w:rPr/>
        <w:t>patrimoniali-finanziarie.</w:t>
      </w:r>
    </w:p>
    <w:p>
      <w:pPr>
        <w:pStyle w:val="BodyText"/>
        <w:spacing w:line="480" w:lineRule="auto"/>
        <w:ind w:left="1418" w:right="1414"/>
        <w:jc w:val="both"/>
      </w:pPr>
      <w:r>
        <w:rPr>
          <w:w w:val="105"/>
        </w:rPr>
        <w:t>Tale</w:t>
      </w:r>
      <w:r>
        <w:rPr>
          <w:spacing w:val="-25"/>
          <w:w w:val="105"/>
        </w:rPr>
        <w:t> </w:t>
      </w:r>
      <w:r>
        <w:rPr>
          <w:w w:val="105"/>
        </w:rPr>
        <w:t>finalismo</w:t>
      </w:r>
      <w:r>
        <w:rPr>
          <w:spacing w:val="-24"/>
          <w:w w:val="105"/>
        </w:rPr>
        <w:t> </w:t>
      </w:r>
      <w:r>
        <w:rPr>
          <w:w w:val="105"/>
        </w:rPr>
        <w:t>si</w:t>
      </w:r>
      <w:r>
        <w:rPr>
          <w:spacing w:val="-25"/>
          <w:w w:val="105"/>
        </w:rPr>
        <w:t> </w:t>
      </w:r>
      <w:r>
        <w:rPr>
          <w:w w:val="105"/>
        </w:rPr>
        <w:t>collega</w:t>
      </w:r>
      <w:r>
        <w:rPr>
          <w:spacing w:val="-25"/>
          <w:w w:val="105"/>
        </w:rPr>
        <w:t> </w:t>
      </w:r>
      <w:r>
        <w:rPr>
          <w:w w:val="105"/>
        </w:rPr>
        <w:t>al</w:t>
      </w:r>
      <w:r>
        <w:rPr>
          <w:spacing w:val="-25"/>
          <w:w w:val="105"/>
        </w:rPr>
        <w:t> </w:t>
      </w:r>
      <w:r>
        <w:rPr>
          <w:w w:val="105"/>
        </w:rPr>
        <w:t>ruolo</w:t>
      </w:r>
      <w:r>
        <w:rPr>
          <w:spacing w:val="-25"/>
          <w:w w:val="105"/>
        </w:rPr>
        <w:t> </w:t>
      </w:r>
      <w:r>
        <w:rPr>
          <w:w w:val="105"/>
        </w:rPr>
        <w:t>affidato</w:t>
      </w:r>
      <w:r>
        <w:rPr>
          <w:spacing w:val="-24"/>
          <w:w w:val="105"/>
        </w:rPr>
        <w:t> </w:t>
      </w:r>
      <w:r>
        <w:rPr>
          <w:w w:val="105"/>
        </w:rPr>
        <w:t>all’attestatore</w:t>
      </w:r>
      <w:r>
        <w:rPr>
          <w:spacing w:val="-25"/>
          <w:w w:val="105"/>
        </w:rPr>
        <w:t> </w:t>
      </w:r>
      <w:r>
        <w:rPr>
          <w:w w:val="105"/>
        </w:rPr>
        <w:t>nell’ambito</w:t>
      </w:r>
      <w:r>
        <w:rPr>
          <w:spacing w:val="-24"/>
          <w:w w:val="105"/>
        </w:rPr>
        <w:t> </w:t>
      </w:r>
      <w:r>
        <w:rPr>
          <w:w w:val="105"/>
        </w:rPr>
        <w:t>delle</w:t>
      </w:r>
      <w:r>
        <w:rPr>
          <w:spacing w:val="-25"/>
          <w:w w:val="105"/>
        </w:rPr>
        <w:t> </w:t>
      </w:r>
      <w:r>
        <w:rPr>
          <w:w w:val="105"/>
        </w:rPr>
        <w:t>soluzioni</w:t>
      </w:r>
      <w:r>
        <w:rPr>
          <w:spacing w:val="-25"/>
          <w:w w:val="105"/>
        </w:rPr>
        <w:t> </w:t>
      </w:r>
      <w:r>
        <w:rPr>
          <w:w w:val="105"/>
        </w:rPr>
        <w:t>di</w:t>
      </w:r>
      <w:r>
        <w:rPr>
          <w:spacing w:val="-25"/>
          <w:w w:val="105"/>
        </w:rPr>
        <w:t> </w:t>
      </w:r>
      <w:r>
        <w:rPr>
          <w:w w:val="105"/>
        </w:rPr>
        <w:t>regolazione della crisi aziendale, sostanzialmente individuabile nella analisi, secondo una prospettiva di indipendenza,</w:t>
      </w:r>
      <w:r>
        <w:rPr>
          <w:spacing w:val="-24"/>
          <w:w w:val="105"/>
        </w:rPr>
        <w:t> </w:t>
      </w:r>
      <w:r>
        <w:rPr>
          <w:w w:val="105"/>
        </w:rPr>
        <w:t>delle</w:t>
      </w:r>
      <w:r>
        <w:rPr>
          <w:spacing w:val="-24"/>
          <w:w w:val="105"/>
        </w:rPr>
        <w:t> </w:t>
      </w:r>
      <w:r>
        <w:rPr>
          <w:w w:val="105"/>
        </w:rPr>
        <w:t>probabilità</w:t>
      </w:r>
      <w:r>
        <w:rPr>
          <w:spacing w:val="-24"/>
          <w:w w:val="105"/>
        </w:rPr>
        <w:t> </w:t>
      </w:r>
      <w:r>
        <w:rPr>
          <w:w w:val="105"/>
        </w:rPr>
        <w:t>di</w:t>
      </w:r>
      <w:r>
        <w:rPr>
          <w:spacing w:val="-24"/>
          <w:w w:val="105"/>
        </w:rPr>
        <w:t> </w:t>
      </w:r>
      <w:r>
        <w:rPr>
          <w:w w:val="105"/>
        </w:rPr>
        <w:t>successo</w:t>
      </w:r>
      <w:r>
        <w:rPr>
          <w:spacing w:val="-23"/>
          <w:w w:val="105"/>
        </w:rPr>
        <w:t> </w:t>
      </w:r>
      <w:r>
        <w:rPr>
          <w:w w:val="105"/>
        </w:rPr>
        <w:t>del</w:t>
      </w:r>
      <w:r>
        <w:rPr>
          <w:spacing w:val="-24"/>
          <w:w w:val="105"/>
        </w:rPr>
        <w:t> </w:t>
      </w:r>
      <w:r>
        <w:rPr>
          <w:w w:val="105"/>
        </w:rPr>
        <w:t>piano,</w:t>
      </w:r>
      <w:r>
        <w:rPr>
          <w:spacing w:val="-24"/>
          <w:w w:val="105"/>
        </w:rPr>
        <w:t> </w:t>
      </w:r>
      <w:r>
        <w:rPr>
          <w:w w:val="105"/>
        </w:rPr>
        <w:t>dei</w:t>
      </w:r>
      <w:r>
        <w:rPr>
          <w:spacing w:val="-22"/>
          <w:w w:val="105"/>
        </w:rPr>
        <w:t> </w:t>
      </w:r>
      <w:r>
        <w:rPr>
          <w:w w:val="105"/>
        </w:rPr>
        <w:t>fattori</w:t>
      </w:r>
      <w:r>
        <w:rPr>
          <w:spacing w:val="-24"/>
          <w:w w:val="105"/>
        </w:rPr>
        <w:t> </w:t>
      </w:r>
      <w:r>
        <w:rPr>
          <w:w w:val="105"/>
        </w:rPr>
        <w:t>di</w:t>
      </w:r>
      <w:r>
        <w:rPr>
          <w:spacing w:val="-22"/>
          <w:w w:val="105"/>
        </w:rPr>
        <w:t> </w:t>
      </w:r>
      <w:r>
        <w:rPr>
          <w:w w:val="105"/>
        </w:rPr>
        <w:t>rischio</w:t>
      </w:r>
      <w:r>
        <w:rPr>
          <w:spacing w:val="-23"/>
          <w:w w:val="105"/>
        </w:rPr>
        <w:t> </w:t>
      </w:r>
      <w:r>
        <w:rPr>
          <w:w w:val="105"/>
        </w:rPr>
        <w:t>nella</w:t>
      </w:r>
      <w:r>
        <w:rPr>
          <w:spacing w:val="-24"/>
          <w:w w:val="105"/>
        </w:rPr>
        <w:t> </w:t>
      </w:r>
      <w:r>
        <w:rPr>
          <w:w w:val="105"/>
        </w:rPr>
        <w:t>sua</w:t>
      </w:r>
      <w:r>
        <w:rPr>
          <w:spacing w:val="-23"/>
          <w:w w:val="105"/>
        </w:rPr>
        <w:t> </w:t>
      </w:r>
      <w:r>
        <w:rPr>
          <w:w w:val="105"/>
        </w:rPr>
        <w:t>esecuzione,</w:t>
      </w:r>
      <w:r>
        <w:rPr>
          <w:spacing w:val="-22"/>
          <w:w w:val="105"/>
        </w:rPr>
        <w:t> </w:t>
      </w:r>
      <w:r>
        <w:rPr>
          <w:w w:val="105"/>
        </w:rPr>
        <w:t>e nei</w:t>
      </w:r>
      <w:r>
        <w:rPr>
          <w:spacing w:val="-27"/>
          <w:w w:val="105"/>
        </w:rPr>
        <w:t> </w:t>
      </w:r>
      <w:r>
        <w:rPr>
          <w:w w:val="105"/>
        </w:rPr>
        <w:t>conseguenti</w:t>
      </w:r>
      <w:r>
        <w:rPr>
          <w:spacing w:val="-27"/>
          <w:w w:val="105"/>
        </w:rPr>
        <w:t> </w:t>
      </w:r>
      <w:r>
        <w:rPr>
          <w:w w:val="105"/>
        </w:rPr>
        <w:t>effetti</w:t>
      </w:r>
      <w:r>
        <w:rPr>
          <w:spacing w:val="-26"/>
          <w:w w:val="105"/>
        </w:rPr>
        <w:t> </w:t>
      </w:r>
      <w:r>
        <w:rPr>
          <w:w w:val="105"/>
        </w:rPr>
        <w:t>(anche</w:t>
      </w:r>
      <w:r>
        <w:rPr>
          <w:spacing w:val="-27"/>
          <w:w w:val="105"/>
        </w:rPr>
        <w:t> </w:t>
      </w:r>
      <w:r>
        <w:rPr>
          <w:w w:val="105"/>
        </w:rPr>
        <w:t>in</w:t>
      </w:r>
      <w:r>
        <w:rPr>
          <w:spacing w:val="-26"/>
          <w:w w:val="105"/>
        </w:rPr>
        <w:t> </w:t>
      </w:r>
      <w:r>
        <w:rPr>
          <w:w w:val="105"/>
        </w:rPr>
        <w:t>termini</w:t>
      </w:r>
      <w:r>
        <w:rPr>
          <w:spacing w:val="-27"/>
          <w:w w:val="105"/>
        </w:rPr>
        <w:t> </w:t>
      </w:r>
      <w:r>
        <w:rPr>
          <w:w w:val="105"/>
        </w:rPr>
        <w:t>di</w:t>
      </w:r>
      <w:r>
        <w:rPr>
          <w:spacing w:val="-27"/>
          <w:w w:val="105"/>
        </w:rPr>
        <w:t> </w:t>
      </w:r>
      <w:r>
        <w:rPr>
          <w:w w:val="105"/>
        </w:rPr>
        <w:t>tempistica</w:t>
      </w:r>
      <w:r>
        <w:rPr>
          <w:spacing w:val="-27"/>
          <w:w w:val="105"/>
        </w:rPr>
        <w:t> </w:t>
      </w:r>
      <w:r>
        <w:rPr>
          <w:w w:val="105"/>
        </w:rPr>
        <w:t>di</w:t>
      </w:r>
      <w:r>
        <w:rPr>
          <w:spacing w:val="-27"/>
          <w:w w:val="105"/>
        </w:rPr>
        <w:t> </w:t>
      </w:r>
      <w:r>
        <w:rPr>
          <w:w w:val="105"/>
        </w:rPr>
        <w:t>pagamento</w:t>
      </w:r>
      <w:r>
        <w:rPr>
          <w:spacing w:val="-25"/>
          <w:w w:val="105"/>
        </w:rPr>
        <w:t> </w:t>
      </w:r>
      <w:r>
        <w:rPr>
          <w:w w:val="105"/>
        </w:rPr>
        <w:t>dei</w:t>
      </w:r>
      <w:r>
        <w:rPr>
          <w:spacing w:val="-27"/>
          <w:w w:val="105"/>
        </w:rPr>
        <w:t> </w:t>
      </w:r>
      <w:r>
        <w:rPr>
          <w:w w:val="105"/>
        </w:rPr>
        <w:t>creditori).</w:t>
      </w:r>
    </w:p>
    <w:p>
      <w:pPr>
        <w:pStyle w:val="BodyText"/>
        <w:spacing w:line="480" w:lineRule="auto"/>
        <w:ind w:left="1418" w:right="1412"/>
        <w:jc w:val="both"/>
      </w:pPr>
      <w:r>
        <w:rPr>
          <w:w w:val="105"/>
        </w:rPr>
        <w:t>Per quanto attiene, in particolare, al concordato preventivo, vanno ricordati i principi</w:t>
      </w:r>
      <w:r>
        <w:rPr>
          <w:spacing w:val="-35"/>
          <w:w w:val="105"/>
        </w:rPr>
        <w:t> </w:t>
      </w:r>
      <w:r>
        <w:rPr>
          <w:w w:val="105"/>
        </w:rPr>
        <w:t>scanditi dal</w:t>
      </w:r>
      <w:r>
        <w:rPr>
          <w:spacing w:val="-6"/>
          <w:w w:val="105"/>
        </w:rPr>
        <w:t> </w:t>
      </w:r>
      <w:r>
        <w:rPr>
          <w:w w:val="105"/>
        </w:rPr>
        <w:t>pronunciamento</w:t>
      </w:r>
      <w:r>
        <w:rPr>
          <w:spacing w:val="-5"/>
          <w:w w:val="105"/>
        </w:rPr>
        <w:t> </w:t>
      </w:r>
      <w:r>
        <w:rPr>
          <w:w w:val="105"/>
        </w:rPr>
        <w:t>delle</w:t>
      </w:r>
      <w:r>
        <w:rPr>
          <w:spacing w:val="-4"/>
          <w:w w:val="105"/>
        </w:rPr>
        <w:t> </w:t>
      </w:r>
      <w:r>
        <w:rPr>
          <w:w w:val="105"/>
        </w:rPr>
        <w:t>SS.UU</w:t>
      </w:r>
      <w:r>
        <w:rPr>
          <w:spacing w:val="-6"/>
          <w:w w:val="105"/>
        </w:rPr>
        <w:t> </w:t>
      </w:r>
      <w:r>
        <w:rPr>
          <w:w w:val="105"/>
        </w:rPr>
        <w:t>della</w:t>
      </w:r>
      <w:r>
        <w:rPr>
          <w:spacing w:val="-4"/>
          <w:w w:val="105"/>
        </w:rPr>
        <w:t> </w:t>
      </w:r>
      <w:r>
        <w:rPr>
          <w:w w:val="105"/>
        </w:rPr>
        <w:t>Corte</w:t>
      </w:r>
      <w:r>
        <w:rPr>
          <w:spacing w:val="-6"/>
          <w:w w:val="105"/>
        </w:rPr>
        <w:t> </w:t>
      </w:r>
      <w:r>
        <w:rPr>
          <w:w w:val="105"/>
        </w:rPr>
        <w:t>di</w:t>
      </w:r>
      <w:r>
        <w:rPr>
          <w:spacing w:val="-6"/>
          <w:w w:val="105"/>
        </w:rPr>
        <w:t> </w:t>
      </w:r>
      <w:r>
        <w:rPr>
          <w:w w:val="105"/>
        </w:rPr>
        <w:t>Cassazione,</w:t>
      </w:r>
      <w:r>
        <w:rPr>
          <w:spacing w:val="-6"/>
          <w:w w:val="105"/>
        </w:rPr>
        <w:t> </w:t>
      </w:r>
      <w:r>
        <w:rPr>
          <w:w w:val="105"/>
        </w:rPr>
        <w:t>con</w:t>
      </w:r>
      <w:r>
        <w:rPr>
          <w:spacing w:val="-5"/>
          <w:w w:val="105"/>
        </w:rPr>
        <w:t> </w:t>
      </w:r>
      <w:r>
        <w:rPr>
          <w:w w:val="105"/>
        </w:rPr>
        <w:t>la</w:t>
      </w:r>
      <w:r>
        <w:rPr>
          <w:spacing w:val="-6"/>
          <w:w w:val="105"/>
        </w:rPr>
        <w:t> </w:t>
      </w:r>
      <w:r>
        <w:rPr>
          <w:w w:val="105"/>
        </w:rPr>
        <w:t>sentenza</w:t>
      </w:r>
      <w:r>
        <w:rPr>
          <w:spacing w:val="-4"/>
          <w:w w:val="105"/>
        </w:rPr>
        <w:t> </w:t>
      </w:r>
      <w:r>
        <w:rPr>
          <w:w w:val="105"/>
        </w:rPr>
        <w:t>n.</w:t>
      </w:r>
      <w:r>
        <w:rPr>
          <w:spacing w:val="-6"/>
          <w:w w:val="105"/>
        </w:rPr>
        <w:t> </w:t>
      </w:r>
      <w:r>
        <w:rPr>
          <w:w w:val="105"/>
        </w:rPr>
        <w:t>1521/2013</w:t>
      </w:r>
      <w:r>
        <w:rPr>
          <w:spacing w:val="-3"/>
          <w:w w:val="105"/>
        </w:rPr>
        <w:t> </w:t>
      </w:r>
      <w:r>
        <w:rPr>
          <w:w w:val="105"/>
        </w:rPr>
        <w:t>che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w w:val="105"/>
        </w:rPr>
        <w:t>delineano</w:t>
      </w:r>
      <w:r>
        <w:rPr>
          <w:spacing w:val="-23"/>
          <w:w w:val="105"/>
        </w:rPr>
        <w:t> </w:t>
      </w:r>
      <w:r>
        <w:rPr>
          <w:w w:val="105"/>
        </w:rPr>
        <w:t>la</w:t>
      </w:r>
      <w:r>
        <w:rPr>
          <w:spacing w:val="-24"/>
          <w:w w:val="105"/>
        </w:rPr>
        <w:t> </w:t>
      </w:r>
      <w:r>
        <w:rPr>
          <w:w w:val="105"/>
        </w:rPr>
        <w:t>chiara</w:t>
      </w:r>
      <w:r>
        <w:rPr>
          <w:spacing w:val="-23"/>
          <w:w w:val="105"/>
        </w:rPr>
        <w:t> </w:t>
      </w:r>
      <w:r>
        <w:rPr>
          <w:w w:val="105"/>
        </w:rPr>
        <w:t>attribuzione</w:t>
      </w:r>
      <w:r>
        <w:rPr>
          <w:spacing w:val="-24"/>
          <w:w w:val="105"/>
        </w:rPr>
        <w:t> </w:t>
      </w:r>
      <w:r>
        <w:rPr>
          <w:w w:val="105"/>
        </w:rPr>
        <w:t>alla</w:t>
      </w:r>
      <w:r>
        <w:rPr>
          <w:spacing w:val="-24"/>
          <w:w w:val="105"/>
        </w:rPr>
        <w:t> </w:t>
      </w:r>
      <w:r>
        <w:rPr>
          <w:w w:val="105"/>
        </w:rPr>
        <w:t>Relazione</w:t>
      </w:r>
      <w:r>
        <w:rPr>
          <w:spacing w:val="-24"/>
          <w:w w:val="105"/>
        </w:rPr>
        <w:t> </w:t>
      </w:r>
      <w:r>
        <w:rPr>
          <w:w w:val="105"/>
        </w:rPr>
        <w:t>attestativa</w:t>
      </w:r>
      <w:r>
        <w:rPr>
          <w:spacing w:val="-24"/>
          <w:w w:val="105"/>
        </w:rPr>
        <w:t> </w:t>
      </w:r>
      <w:r>
        <w:rPr>
          <w:w w:val="105"/>
        </w:rPr>
        <w:t>di</w:t>
      </w:r>
      <w:r>
        <w:rPr>
          <w:spacing w:val="-24"/>
          <w:w w:val="105"/>
        </w:rPr>
        <w:t> </w:t>
      </w:r>
      <w:r>
        <w:rPr>
          <w:w w:val="105"/>
        </w:rPr>
        <w:t>un</w:t>
      </w:r>
      <w:r>
        <w:rPr>
          <w:spacing w:val="-24"/>
          <w:w w:val="105"/>
        </w:rPr>
        <w:t> </w:t>
      </w:r>
      <w:r>
        <w:rPr>
          <w:w w:val="105"/>
        </w:rPr>
        <w:t>primario</w:t>
      </w:r>
      <w:r>
        <w:rPr>
          <w:spacing w:val="-23"/>
          <w:w w:val="105"/>
        </w:rPr>
        <w:t> </w:t>
      </w:r>
      <w:r>
        <w:rPr>
          <w:w w:val="105"/>
        </w:rPr>
        <w:t>contributo</w:t>
      </w:r>
      <w:r>
        <w:rPr>
          <w:spacing w:val="-23"/>
          <w:w w:val="105"/>
        </w:rPr>
        <w:t> </w:t>
      </w:r>
      <w:r>
        <w:rPr>
          <w:w w:val="105"/>
        </w:rPr>
        <w:t>informativo, di</w:t>
      </w:r>
      <w:r>
        <w:rPr>
          <w:spacing w:val="-24"/>
          <w:w w:val="105"/>
        </w:rPr>
        <w:t> </w:t>
      </w:r>
      <w:r>
        <w:rPr>
          <w:w w:val="105"/>
        </w:rPr>
        <w:t>cui</w:t>
      </w:r>
      <w:r>
        <w:rPr>
          <w:spacing w:val="-24"/>
          <w:w w:val="105"/>
        </w:rPr>
        <w:t> </w:t>
      </w:r>
      <w:r>
        <w:rPr>
          <w:w w:val="105"/>
        </w:rPr>
        <w:t>sono</w:t>
      </w:r>
      <w:r>
        <w:rPr>
          <w:spacing w:val="-23"/>
          <w:w w:val="105"/>
        </w:rPr>
        <w:t> </w:t>
      </w:r>
      <w:r>
        <w:rPr>
          <w:w w:val="105"/>
        </w:rPr>
        <w:t>destinatari</w:t>
      </w:r>
      <w:r>
        <w:rPr>
          <w:spacing w:val="-24"/>
          <w:w w:val="105"/>
        </w:rPr>
        <w:t> </w:t>
      </w:r>
      <w:r>
        <w:rPr>
          <w:w w:val="105"/>
        </w:rPr>
        <w:t>il</w:t>
      </w:r>
      <w:r>
        <w:rPr>
          <w:spacing w:val="-24"/>
          <w:w w:val="105"/>
        </w:rPr>
        <w:t> </w:t>
      </w:r>
      <w:r>
        <w:rPr>
          <w:w w:val="105"/>
        </w:rPr>
        <w:t>Tribunale</w:t>
      </w:r>
      <w:r>
        <w:rPr>
          <w:spacing w:val="-24"/>
          <w:w w:val="105"/>
        </w:rPr>
        <w:t> </w:t>
      </w:r>
      <w:r>
        <w:rPr>
          <w:w w:val="105"/>
        </w:rPr>
        <w:t>ed</w:t>
      </w:r>
      <w:r>
        <w:rPr>
          <w:spacing w:val="-23"/>
          <w:w w:val="105"/>
        </w:rPr>
        <w:t> </w:t>
      </w:r>
      <w:r>
        <w:rPr>
          <w:w w:val="105"/>
        </w:rPr>
        <w:t>i</w:t>
      </w:r>
      <w:r>
        <w:rPr>
          <w:spacing w:val="-23"/>
          <w:w w:val="105"/>
        </w:rPr>
        <w:t> </w:t>
      </w:r>
      <w:r>
        <w:rPr>
          <w:w w:val="105"/>
        </w:rPr>
        <w:t>creditori</w:t>
      </w:r>
      <w:r>
        <w:rPr>
          <w:spacing w:val="-24"/>
          <w:w w:val="105"/>
        </w:rPr>
        <w:t> </w:t>
      </w:r>
      <w:r>
        <w:rPr>
          <w:w w:val="105"/>
        </w:rPr>
        <w:t>dell’impresa</w:t>
      </w:r>
      <w:r>
        <w:rPr>
          <w:spacing w:val="-24"/>
          <w:w w:val="105"/>
        </w:rPr>
        <w:t> </w:t>
      </w:r>
      <w:r>
        <w:rPr>
          <w:w w:val="105"/>
        </w:rPr>
        <w:t>in</w:t>
      </w:r>
      <w:r>
        <w:rPr>
          <w:spacing w:val="-23"/>
          <w:w w:val="105"/>
        </w:rPr>
        <w:t> </w:t>
      </w:r>
      <w:r>
        <w:rPr>
          <w:w w:val="105"/>
        </w:rPr>
        <w:t>crisi.</w:t>
      </w:r>
    </w:p>
    <w:p>
      <w:pPr>
        <w:spacing w:line="480" w:lineRule="auto" w:before="0"/>
        <w:ind w:left="1418" w:right="1412" w:firstLine="0"/>
        <w:jc w:val="both"/>
        <w:rPr>
          <w:sz w:val="24"/>
        </w:rPr>
      </w:pPr>
      <w:r>
        <w:rPr>
          <w:w w:val="105"/>
          <w:sz w:val="24"/>
        </w:rPr>
        <w:t>Il</w:t>
      </w:r>
      <w:r>
        <w:rPr>
          <w:spacing w:val="-24"/>
          <w:w w:val="105"/>
          <w:sz w:val="24"/>
        </w:rPr>
        <w:t> </w:t>
      </w:r>
      <w:r>
        <w:rPr>
          <w:w w:val="105"/>
          <w:sz w:val="24"/>
        </w:rPr>
        <w:t>contributo</w:t>
      </w:r>
      <w:r>
        <w:rPr>
          <w:spacing w:val="-23"/>
          <w:w w:val="105"/>
          <w:sz w:val="24"/>
        </w:rPr>
        <w:t> </w:t>
      </w:r>
      <w:r>
        <w:rPr>
          <w:w w:val="105"/>
          <w:sz w:val="24"/>
        </w:rPr>
        <w:t>informativo</w:t>
      </w:r>
      <w:r>
        <w:rPr>
          <w:spacing w:val="-22"/>
          <w:w w:val="105"/>
          <w:sz w:val="24"/>
        </w:rPr>
        <w:t> </w:t>
      </w:r>
      <w:r>
        <w:rPr>
          <w:w w:val="105"/>
          <w:sz w:val="24"/>
        </w:rPr>
        <w:t>in</w:t>
      </w:r>
      <w:r>
        <w:rPr>
          <w:spacing w:val="-23"/>
          <w:w w:val="105"/>
          <w:sz w:val="24"/>
        </w:rPr>
        <w:t> </w:t>
      </w:r>
      <w:r>
        <w:rPr>
          <w:w w:val="105"/>
          <w:sz w:val="24"/>
        </w:rPr>
        <w:t>esame</w:t>
      </w:r>
      <w:r>
        <w:rPr>
          <w:spacing w:val="-21"/>
          <w:w w:val="105"/>
          <w:sz w:val="24"/>
        </w:rPr>
        <w:t> </w:t>
      </w:r>
      <w:r>
        <w:rPr>
          <w:w w:val="105"/>
          <w:sz w:val="24"/>
        </w:rPr>
        <w:t>deve</w:t>
      </w:r>
      <w:r>
        <w:rPr>
          <w:spacing w:val="-24"/>
          <w:w w:val="105"/>
          <w:sz w:val="24"/>
        </w:rPr>
        <w:t> </w:t>
      </w:r>
      <w:r>
        <w:rPr>
          <w:w w:val="105"/>
          <w:sz w:val="24"/>
        </w:rPr>
        <w:t>essere</w:t>
      </w:r>
      <w:r>
        <w:rPr>
          <w:spacing w:val="-24"/>
          <w:w w:val="105"/>
          <w:sz w:val="24"/>
        </w:rPr>
        <w:t> </w:t>
      </w:r>
      <w:r>
        <w:rPr>
          <w:w w:val="105"/>
          <w:sz w:val="24"/>
        </w:rPr>
        <w:t>completo</w:t>
      </w:r>
      <w:r>
        <w:rPr>
          <w:spacing w:val="-23"/>
          <w:w w:val="105"/>
          <w:sz w:val="24"/>
        </w:rPr>
        <w:t> </w:t>
      </w:r>
      <w:r>
        <w:rPr>
          <w:w w:val="105"/>
          <w:sz w:val="24"/>
        </w:rPr>
        <w:t>nella</w:t>
      </w:r>
      <w:r>
        <w:rPr>
          <w:spacing w:val="-24"/>
          <w:w w:val="105"/>
          <w:sz w:val="24"/>
        </w:rPr>
        <w:t> </w:t>
      </w:r>
      <w:r>
        <w:rPr>
          <w:w w:val="105"/>
          <w:sz w:val="24"/>
        </w:rPr>
        <w:t>sua</w:t>
      </w:r>
      <w:r>
        <w:rPr>
          <w:spacing w:val="-24"/>
          <w:w w:val="105"/>
          <w:sz w:val="24"/>
        </w:rPr>
        <w:t> </w:t>
      </w:r>
      <w:r>
        <w:rPr>
          <w:w w:val="105"/>
          <w:sz w:val="24"/>
        </w:rPr>
        <w:t>funzione</w:t>
      </w:r>
      <w:r>
        <w:rPr>
          <w:spacing w:val="-24"/>
          <w:w w:val="105"/>
          <w:sz w:val="24"/>
        </w:rPr>
        <w:t> </w:t>
      </w:r>
      <w:r>
        <w:rPr>
          <w:w w:val="105"/>
          <w:sz w:val="24"/>
        </w:rPr>
        <w:t>di</w:t>
      </w:r>
      <w:r>
        <w:rPr>
          <w:spacing w:val="-24"/>
          <w:w w:val="105"/>
          <w:sz w:val="24"/>
        </w:rPr>
        <w:t> </w:t>
      </w:r>
      <w:r>
        <w:rPr>
          <w:w w:val="105"/>
          <w:sz w:val="24"/>
        </w:rPr>
        <w:t>illustrazione</w:t>
      </w:r>
      <w:r>
        <w:rPr>
          <w:spacing w:val="-24"/>
          <w:w w:val="105"/>
          <w:sz w:val="24"/>
        </w:rPr>
        <w:t> </w:t>
      </w:r>
      <w:r>
        <w:rPr>
          <w:w w:val="105"/>
          <w:sz w:val="24"/>
        </w:rPr>
        <w:t>degli aspetti rilevanti e delle eventuali criticità del piano, in modo tale che, per usare le stesse espressioni</w:t>
      </w:r>
      <w:r>
        <w:rPr>
          <w:spacing w:val="-7"/>
          <w:w w:val="105"/>
          <w:sz w:val="24"/>
        </w:rPr>
        <w:t> </w:t>
      </w:r>
      <w:r>
        <w:rPr>
          <w:w w:val="105"/>
          <w:sz w:val="24"/>
        </w:rPr>
        <w:t>della</w:t>
      </w:r>
      <w:r>
        <w:rPr>
          <w:spacing w:val="-4"/>
          <w:w w:val="105"/>
          <w:sz w:val="24"/>
        </w:rPr>
        <w:t> </w:t>
      </w:r>
      <w:r>
        <w:rPr>
          <w:w w:val="105"/>
          <w:sz w:val="24"/>
        </w:rPr>
        <w:t>Suprema</w:t>
      </w:r>
      <w:r>
        <w:rPr>
          <w:spacing w:val="-5"/>
          <w:w w:val="105"/>
          <w:sz w:val="24"/>
        </w:rPr>
        <w:t> </w:t>
      </w:r>
      <w:r>
        <w:rPr>
          <w:w w:val="105"/>
          <w:sz w:val="24"/>
        </w:rPr>
        <w:t>Corte,</w:t>
      </w:r>
      <w:r>
        <w:rPr>
          <w:spacing w:val="-4"/>
          <w:w w:val="105"/>
          <w:sz w:val="24"/>
        </w:rPr>
        <w:t> </w:t>
      </w:r>
      <w:r>
        <w:rPr>
          <w:i/>
          <w:w w:val="105"/>
          <w:sz w:val="24"/>
        </w:rPr>
        <w:t>“di</w:t>
      </w:r>
      <w:r>
        <w:rPr>
          <w:i/>
          <w:spacing w:val="-7"/>
          <w:w w:val="105"/>
          <w:sz w:val="24"/>
        </w:rPr>
        <w:t> </w:t>
      </w:r>
      <w:r>
        <w:rPr>
          <w:i/>
          <w:w w:val="105"/>
          <w:sz w:val="24"/>
        </w:rPr>
        <w:t>tale</w:t>
      </w:r>
      <w:r>
        <w:rPr>
          <w:i/>
          <w:spacing w:val="-8"/>
          <w:w w:val="105"/>
          <w:sz w:val="24"/>
        </w:rPr>
        <w:t> </w:t>
      </w:r>
      <w:r>
        <w:rPr>
          <w:i/>
          <w:w w:val="105"/>
          <w:sz w:val="24"/>
        </w:rPr>
        <w:t>rischio</w:t>
      </w:r>
      <w:r>
        <w:rPr>
          <w:i/>
          <w:spacing w:val="-8"/>
          <w:w w:val="105"/>
          <w:sz w:val="24"/>
        </w:rPr>
        <w:t> </w:t>
      </w:r>
      <w:r>
        <w:rPr>
          <w:i/>
          <w:w w:val="105"/>
          <w:sz w:val="24"/>
        </w:rPr>
        <w:t>si</w:t>
      </w:r>
      <w:r>
        <w:rPr>
          <w:i/>
          <w:spacing w:val="-8"/>
          <w:w w:val="105"/>
          <w:sz w:val="24"/>
        </w:rPr>
        <w:t> </w:t>
      </w:r>
      <w:r>
        <w:rPr>
          <w:i/>
          <w:spacing w:val="-3"/>
          <w:w w:val="105"/>
          <w:sz w:val="24"/>
        </w:rPr>
        <w:t>facciano</w:t>
      </w:r>
      <w:r>
        <w:rPr>
          <w:i/>
          <w:spacing w:val="-6"/>
          <w:w w:val="105"/>
          <w:sz w:val="24"/>
        </w:rPr>
        <w:t> </w:t>
      </w:r>
      <w:r>
        <w:rPr>
          <w:i/>
          <w:w w:val="105"/>
          <w:sz w:val="24"/>
        </w:rPr>
        <w:t>esclusivo</w:t>
      </w:r>
      <w:r>
        <w:rPr>
          <w:i/>
          <w:spacing w:val="-10"/>
          <w:w w:val="105"/>
          <w:sz w:val="24"/>
        </w:rPr>
        <w:t> </w:t>
      </w:r>
      <w:r>
        <w:rPr>
          <w:i/>
          <w:w w:val="105"/>
          <w:sz w:val="24"/>
        </w:rPr>
        <w:t>carico</w:t>
      </w:r>
      <w:r>
        <w:rPr>
          <w:i/>
          <w:spacing w:val="-8"/>
          <w:w w:val="105"/>
          <w:sz w:val="24"/>
        </w:rPr>
        <w:t> </w:t>
      </w:r>
      <w:r>
        <w:rPr>
          <w:i/>
          <w:w w:val="105"/>
          <w:sz w:val="24"/>
        </w:rPr>
        <w:t>i</w:t>
      </w:r>
      <w:r>
        <w:rPr>
          <w:i/>
          <w:spacing w:val="-8"/>
          <w:w w:val="105"/>
          <w:sz w:val="24"/>
        </w:rPr>
        <w:t> </w:t>
      </w:r>
      <w:r>
        <w:rPr>
          <w:i/>
          <w:w w:val="105"/>
          <w:sz w:val="24"/>
        </w:rPr>
        <w:t>creditori,</w:t>
      </w:r>
      <w:r>
        <w:rPr>
          <w:i/>
          <w:spacing w:val="-7"/>
          <w:w w:val="105"/>
          <w:sz w:val="24"/>
        </w:rPr>
        <w:t> </w:t>
      </w:r>
      <w:r>
        <w:rPr>
          <w:i/>
          <w:w w:val="105"/>
          <w:sz w:val="24"/>
        </w:rPr>
        <w:t>una</w:t>
      </w:r>
      <w:r>
        <w:rPr>
          <w:i/>
          <w:spacing w:val="-7"/>
          <w:w w:val="105"/>
          <w:sz w:val="24"/>
        </w:rPr>
        <w:t> </w:t>
      </w:r>
      <w:r>
        <w:rPr>
          <w:i/>
          <w:w w:val="105"/>
          <w:sz w:val="24"/>
        </w:rPr>
        <w:t>volta</w:t>
      </w:r>
      <w:r>
        <w:rPr>
          <w:i/>
          <w:spacing w:val="-7"/>
          <w:w w:val="105"/>
          <w:sz w:val="24"/>
        </w:rPr>
        <w:t> </w:t>
      </w:r>
      <w:r>
        <w:rPr>
          <w:i/>
          <w:w w:val="105"/>
          <w:sz w:val="24"/>
        </w:rPr>
        <w:t>che</w:t>
      </w:r>
      <w:r>
        <w:rPr>
          <w:i/>
          <w:spacing w:val="-5"/>
          <w:w w:val="105"/>
          <w:sz w:val="24"/>
        </w:rPr>
        <w:t> </w:t>
      </w:r>
      <w:r>
        <w:rPr>
          <w:i/>
          <w:w w:val="105"/>
          <w:sz w:val="24"/>
        </w:rPr>
        <w:t>vi</w:t>
      </w:r>
      <w:r>
        <w:rPr>
          <w:i/>
          <w:spacing w:val="-11"/>
          <w:w w:val="105"/>
          <w:sz w:val="24"/>
        </w:rPr>
        <w:t> </w:t>
      </w:r>
      <w:r>
        <w:rPr>
          <w:i/>
          <w:w w:val="105"/>
          <w:sz w:val="24"/>
        </w:rPr>
        <w:t>sia </w:t>
      </w:r>
      <w:r>
        <w:rPr>
          <w:i/>
          <w:w w:val="105"/>
          <w:sz w:val="24"/>
        </w:rPr>
        <w:t>stata</w:t>
      </w:r>
      <w:r>
        <w:rPr>
          <w:i/>
          <w:spacing w:val="-13"/>
          <w:w w:val="105"/>
          <w:sz w:val="24"/>
        </w:rPr>
        <w:t> </w:t>
      </w:r>
      <w:r>
        <w:rPr>
          <w:i/>
          <w:w w:val="105"/>
          <w:sz w:val="24"/>
        </w:rPr>
        <w:t>corretta</w:t>
      </w:r>
      <w:r>
        <w:rPr>
          <w:i/>
          <w:spacing w:val="-16"/>
          <w:w w:val="105"/>
          <w:sz w:val="24"/>
        </w:rPr>
        <w:t> </w:t>
      </w:r>
      <w:r>
        <w:rPr>
          <w:i/>
          <w:w w:val="105"/>
          <w:sz w:val="24"/>
        </w:rPr>
        <w:t>informazione</w:t>
      </w:r>
      <w:r>
        <w:rPr>
          <w:i/>
          <w:spacing w:val="-14"/>
          <w:w w:val="105"/>
          <w:sz w:val="24"/>
        </w:rPr>
        <w:t> </w:t>
      </w:r>
      <w:r>
        <w:rPr>
          <w:i/>
          <w:w w:val="105"/>
          <w:sz w:val="24"/>
        </w:rPr>
        <w:t>sul</w:t>
      </w:r>
      <w:r>
        <w:rPr>
          <w:i/>
          <w:spacing w:val="-15"/>
          <w:w w:val="105"/>
          <w:sz w:val="24"/>
        </w:rPr>
        <w:t> </w:t>
      </w:r>
      <w:r>
        <w:rPr>
          <w:i/>
          <w:w w:val="105"/>
          <w:sz w:val="24"/>
        </w:rPr>
        <w:t>punto”</w:t>
      </w:r>
      <w:r>
        <w:rPr>
          <w:w w:val="105"/>
          <w:sz w:val="24"/>
        </w:rPr>
        <w:t>,</w:t>
      </w:r>
      <w:r>
        <w:rPr>
          <w:spacing w:val="-15"/>
          <w:w w:val="105"/>
          <w:sz w:val="24"/>
        </w:rPr>
        <w:t> </w:t>
      </w:r>
      <w:r>
        <w:rPr>
          <w:w w:val="105"/>
          <w:sz w:val="24"/>
        </w:rPr>
        <w:t>nel</w:t>
      </w:r>
      <w:r>
        <w:rPr>
          <w:spacing w:val="-15"/>
          <w:w w:val="105"/>
          <w:sz w:val="24"/>
        </w:rPr>
        <w:t> </w:t>
      </w:r>
      <w:r>
        <w:rPr>
          <w:w w:val="105"/>
          <w:sz w:val="24"/>
        </w:rPr>
        <w:t>presupposto</w:t>
      </w:r>
      <w:r>
        <w:rPr>
          <w:spacing w:val="-11"/>
          <w:w w:val="105"/>
          <w:sz w:val="24"/>
        </w:rPr>
        <w:t> </w:t>
      </w:r>
      <w:r>
        <w:rPr>
          <w:w w:val="105"/>
          <w:sz w:val="24"/>
        </w:rPr>
        <w:t>che</w:t>
      </w:r>
      <w:r>
        <w:rPr>
          <w:spacing w:val="-10"/>
          <w:w w:val="105"/>
          <w:sz w:val="24"/>
        </w:rPr>
        <w:t> </w:t>
      </w:r>
      <w:r>
        <w:rPr>
          <w:i/>
          <w:w w:val="105"/>
          <w:sz w:val="24"/>
        </w:rPr>
        <w:t>“i</w:t>
      </w:r>
      <w:r>
        <w:rPr>
          <w:i/>
          <w:spacing w:val="-15"/>
          <w:w w:val="105"/>
          <w:sz w:val="24"/>
        </w:rPr>
        <w:t> </w:t>
      </w:r>
      <w:r>
        <w:rPr>
          <w:i/>
          <w:w w:val="105"/>
          <w:sz w:val="24"/>
        </w:rPr>
        <w:t>creditori</w:t>
      </w:r>
      <w:r>
        <w:rPr>
          <w:i/>
          <w:spacing w:val="-15"/>
          <w:w w:val="105"/>
          <w:sz w:val="24"/>
        </w:rPr>
        <w:t> </w:t>
      </w:r>
      <w:r>
        <w:rPr>
          <w:i/>
          <w:w w:val="105"/>
          <w:sz w:val="24"/>
        </w:rPr>
        <w:t>ricevano</w:t>
      </w:r>
      <w:r>
        <w:rPr>
          <w:i/>
          <w:spacing w:val="-13"/>
          <w:w w:val="105"/>
          <w:sz w:val="24"/>
        </w:rPr>
        <w:t> </w:t>
      </w:r>
      <w:r>
        <w:rPr>
          <w:i/>
          <w:w w:val="105"/>
          <w:sz w:val="24"/>
        </w:rPr>
        <w:t>una</w:t>
      </w:r>
      <w:r>
        <w:rPr>
          <w:i/>
          <w:spacing w:val="-13"/>
          <w:w w:val="105"/>
          <w:sz w:val="24"/>
        </w:rPr>
        <w:t> </w:t>
      </w:r>
      <w:r>
        <w:rPr>
          <w:i/>
          <w:w w:val="105"/>
          <w:sz w:val="24"/>
        </w:rPr>
        <w:t>puntuale</w:t>
      </w:r>
      <w:r>
        <w:rPr>
          <w:i/>
          <w:spacing w:val="-14"/>
          <w:w w:val="105"/>
          <w:sz w:val="24"/>
        </w:rPr>
        <w:t> </w:t>
      </w:r>
      <w:r>
        <w:rPr>
          <w:i/>
          <w:w w:val="105"/>
          <w:sz w:val="24"/>
        </w:rPr>
        <w:t>informazione </w:t>
      </w:r>
      <w:r>
        <w:rPr>
          <w:i/>
          <w:w w:val="105"/>
          <w:sz w:val="24"/>
        </w:rPr>
        <w:t>circa</w:t>
      </w:r>
      <w:r>
        <w:rPr>
          <w:i/>
          <w:spacing w:val="-8"/>
          <w:w w:val="105"/>
          <w:sz w:val="24"/>
        </w:rPr>
        <w:t> </w:t>
      </w:r>
      <w:r>
        <w:rPr>
          <w:i/>
          <w:w w:val="105"/>
          <w:sz w:val="24"/>
        </w:rPr>
        <w:t>i</w:t>
      </w:r>
      <w:r>
        <w:rPr>
          <w:i/>
          <w:spacing w:val="-6"/>
          <w:w w:val="105"/>
          <w:sz w:val="24"/>
        </w:rPr>
        <w:t> </w:t>
      </w:r>
      <w:r>
        <w:rPr>
          <w:i/>
          <w:w w:val="105"/>
          <w:sz w:val="24"/>
        </w:rPr>
        <w:t>dati,</w:t>
      </w:r>
      <w:r>
        <w:rPr>
          <w:i/>
          <w:spacing w:val="-6"/>
          <w:w w:val="105"/>
          <w:sz w:val="24"/>
        </w:rPr>
        <w:t> </w:t>
      </w:r>
      <w:r>
        <w:rPr>
          <w:i/>
          <w:w w:val="105"/>
          <w:sz w:val="24"/>
        </w:rPr>
        <w:t>le</w:t>
      </w:r>
      <w:r>
        <w:rPr>
          <w:i/>
          <w:spacing w:val="-4"/>
          <w:w w:val="105"/>
          <w:sz w:val="24"/>
        </w:rPr>
        <w:t> </w:t>
      </w:r>
      <w:r>
        <w:rPr>
          <w:i/>
          <w:w w:val="105"/>
          <w:sz w:val="24"/>
        </w:rPr>
        <w:t>verifiche</w:t>
      </w:r>
      <w:r>
        <w:rPr>
          <w:i/>
          <w:spacing w:val="-7"/>
          <w:w w:val="105"/>
          <w:sz w:val="24"/>
        </w:rPr>
        <w:t> </w:t>
      </w:r>
      <w:r>
        <w:rPr>
          <w:i/>
          <w:w w:val="105"/>
          <w:sz w:val="24"/>
        </w:rPr>
        <w:t>interne</w:t>
      </w:r>
      <w:r>
        <w:rPr>
          <w:i/>
          <w:spacing w:val="-7"/>
          <w:w w:val="105"/>
          <w:sz w:val="24"/>
        </w:rPr>
        <w:t> </w:t>
      </w:r>
      <w:r>
        <w:rPr>
          <w:i/>
          <w:w w:val="105"/>
          <w:sz w:val="24"/>
        </w:rPr>
        <w:t>e</w:t>
      </w:r>
      <w:r>
        <w:rPr>
          <w:i/>
          <w:spacing w:val="-7"/>
          <w:w w:val="105"/>
          <w:sz w:val="24"/>
        </w:rPr>
        <w:t> </w:t>
      </w:r>
      <w:r>
        <w:rPr>
          <w:i/>
          <w:w w:val="105"/>
          <w:sz w:val="24"/>
        </w:rPr>
        <w:t>le</w:t>
      </w:r>
      <w:r>
        <w:rPr>
          <w:i/>
          <w:spacing w:val="-7"/>
          <w:w w:val="105"/>
          <w:sz w:val="24"/>
        </w:rPr>
        <w:t> </w:t>
      </w:r>
      <w:r>
        <w:rPr>
          <w:i/>
          <w:w w:val="105"/>
          <w:sz w:val="24"/>
        </w:rPr>
        <w:t>connesse</w:t>
      </w:r>
      <w:r>
        <w:rPr>
          <w:i/>
          <w:spacing w:val="-4"/>
          <w:w w:val="105"/>
          <w:sz w:val="24"/>
        </w:rPr>
        <w:t> </w:t>
      </w:r>
      <w:r>
        <w:rPr>
          <w:i/>
          <w:spacing w:val="-3"/>
          <w:w w:val="105"/>
          <w:sz w:val="24"/>
        </w:rPr>
        <w:t>valutazioni </w:t>
      </w:r>
      <w:r>
        <w:rPr>
          <w:i/>
          <w:w w:val="105"/>
          <w:sz w:val="24"/>
        </w:rPr>
        <w:t>…</w:t>
      </w:r>
      <w:r>
        <w:rPr>
          <w:i/>
          <w:spacing w:val="-5"/>
          <w:w w:val="105"/>
          <w:sz w:val="24"/>
        </w:rPr>
        <w:t> </w:t>
      </w:r>
      <w:r>
        <w:rPr>
          <w:i/>
          <w:w w:val="105"/>
          <w:sz w:val="24"/>
        </w:rPr>
        <w:t>al</w:t>
      </w:r>
      <w:r>
        <w:rPr>
          <w:i/>
          <w:spacing w:val="-7"/>
          <w:w w:val="105"/>
          <w:sz w:val="24"/>
        </w:rPr>
        <w:t> </w:t>
      </w:r>
      <w:r>
        <w:rPr>
          <w:i/>
          <w:w w:val="105"/>
          <w:sz w:val="24"/>
        </w:rPr>
        <w:t>cui</w:t>
      </w:r>
      <w:r>
        <w:rPr>
          <w:i/>
          <w:spacing w:val="-7"/>
          <w:w w:val="105"/>
          <w:sz w:val="24"/>
        </w:rPr>
        <w:t> </w:t>
      </w:r>
      <w:r>
        <w:rPr>
          <w:i/>
          <w:w w:val="105"/>
          <w:sz w:val="24"/>
        </w:rPr>
        <w:t>soddisfacimento</w:t>
      </w:r>
      <w:r>
        <w:rPr>
          <w:i/>
          <w:spacing w:val="-7"/>
          <w:w w:val="105"/>
          <w:sz w:val="24"/>
        </w:rPr>
        <w:t> </w:t>
      </w:r>
      <w:r>
        <w:rPr>
          <w:i/>
          <w:w w:val="105"/>
          <w:sz w:val="24"/>
        </w:rPr>
        <w:t>sono</w:t>
      </w:r>
      <w:r>
        <w:rPr>
          <w:i/>
          <w:spacing w:val="-5"/>
          <w:w w:val="105"/>
          <w:sz w:val="24"/>
        </w:rPr>
        <w:t> </w:t>
      </w:r>
      <w:r>
        <w:rPr>
          <w:i/>
          <w:w w:val="105"/>
          <w:sz w:val="24"/>
        </w:rPr>
        <w:t>per</w:t>
      </w:r>
      <w:r>
        <w:rPr>
          <w:i/>
          <w:spacing w:val="-7"/>
          <w:w w:val="105"/>
          <w:sz w:val="24"/>
        </w:rPr>
        <w:t> </w:t>
      </w:r>
      <w:r>
        <w:rPr>
          <w:i/>
          <w:w w:val="105"/>
          <w:sz w:val="24"/>
        </w:rPr>
        <w:t>l’appunto</w:t>
      </w:r>
      <w:r>
        <w:rPr>
          <w:i/>
          <w:spacing w:val="-1"/>
          <w:w w:val="105"/>
          <w:sz w:val="24"/>
        </w:rPr>
        <w:t> </w:t>
      </w:r>
      <w:r>
        <w:rPr>
          <w:i/>
          <w:w w:val="105"/>
          <w:sz w:val="24"/>
        </w:rPr>
        <w:t>deputati</w:t>
      </w:r>
      <w:r>
        <w:rPr>
          <w:i/>
          <w:spacing w:val="-3"/>
          <w:w w:val="105"/>
          <w:sz w:val="24"/>
        </w:rPr>
        <w:t> </w:t>
      </w:r>
      <w:r>
        <w:rPr>
          <w:i/>
          <w:w w:val="105"/>
          <w:sz w:val="24"/>
        </w:rPr>
        <w:t>a </w:t>
      </w:r>
      <w:r>
        <w:rPr>
          <w:i/>
          <w:spacing w:val="-3"/>
          <w:w w:val="105"/>
          <w:sz w:val="24"/>
        </w:rPr>
        <w:t>provvedere</w:t>
      </w:r>
      <w:r>
        <w:rPr>
          <w:i/>
          <w:spacing w:val="-27"/>
          <w:w w:val="105"/>
          <w:sz w:val="24"/>
        </w:rPr>
        <w:t> </w:t>
      </w:r>
      <w:r>
        <w:rPr>
          <w:i/>
          <w:w w:val="105"/>
          <w:sz w:val="24"/>
        </w:rPr>
        <w:t>dapprima</w:t>
      </w:r>
      <w:r>
        <w:rPr>
          <w:i/>
          <w:spacing w:val="-28"/>
          <w:w w:val="105"/>
          <w:sz w:val="24"/>
        </w:rPr>
        <w:t> </w:t>
      </w:r>
      <w:r>
        <w:rPr>
          <w:i/>
          <w:w w:val="105"/>
          <w:sz w:val="24"/>
        </w:rPr>
        <w:t>il</w:t>
      </w:r>
      <w:r>
        <w:rPr>
          <w:i/>
          <w:spacing w:val="-27"/>
          <w:w w:val="105"/>
          <w:sz w:val="24"/>
        </w:rPr>
        <w:t> </w:t>
      </w:r>
      <w:r>
        <w:rPr>
          <w:i/>
          <w:w w:val="105"/>
          <w:sz w:val="24"/>
        </w:rPr>
        <w:t>professionista</w:t>
      </w:r>
      <w:r>
        <w:rPr>
          <w:i/>
          <w:spacing w:val="-28"/>
          <w:w w:val="105"/>
          <w:sz w:val="24"/>
        </w:rPr>
        <w:t> </w:t>
      </w:r>
      <w:r>
        <w:rPr>
          <w:i/>
          <w:w w:val="105"/>
          <w:sz w:val="24"/>
        </w:rPr>
        <w:t>attestatore</w:t>
      </w:r>
      <w:r>
        <w:rPr>
          <w:i/>
          <w:spacing w:val="-25"/>
          <w:w w:val="105"/>
          <w:sz w:val="24"/>
        </w:rPr>
        <w:t> </w:t>
      </w:r>
      <w:r>
        <w:rPr>
          <w:i/>
          <w:w w:val="105"/>
          <w:sz w:val="24"/>
        </w:rPr>
        <w:t>…</w:t>
      </w:r>
      <w:r>
        <w:rPr>
          <w:i/>
          <w:spacing w:val="-28"/>
          <w:w w:val="105"/>
          <w:sz w:val="24"/>
        </w:rPr>
        <w:t> </w:t>
      </w:r>
      <w:r>
        <w:rPr>
          <w:i/>
          <w:w w:val="105"/>
          <w:sz w:val="24"/>
        </w:rPr>
        <w:t>e</w:t>
      </w:r>
      <w:r>
        <w:rPr>
          <w:i/>
          <w:spacing w:val="-27"/>
          <w:w w:val="105"/>
          <w:sz w:val="24"/>
        </w:rPr>
        <w:t> </w:t>
      </w:r>
      <w:r>
        <w:rPr>
          <w:i/>
          <w:w w:val="105"/>
          <w:sz w:val="24"/>
        </w:rPr>
        <w:t>quindi</w:t>
      </w:r>
      <w:r>
        <w:rPr>
          <w:i/>
          <w:spacing w:val="-26"/>
          <w:w w:val="105"/>
          <w:sz w:val="24"/>
        </w:rPr>
        <w:t> </w:t>
      </w:r>
      <w:r>
        <w:rPr>
          <w:i/>
          <w:w w:val="105"/>
          <w:sz w:val="24"/>
        </w:rPr>
        <w:t>il</w:t>
      </w:r>
      <w:r>
        <w:rPr>
          <w:i/>
          <w:spacing w:val="-27"/>
          <w:w w:val="105"/>
          <w:sz w:val="24"/>
        </w:rPr>
        <w:t> </w:t>
      </w:r>
      <w:r>
        <w:rPr>
          <w:i/>
          <w:w w:val="105"/>
          <w:sz w:val="24"/>
        </w:rPr>
        <w:t>commissario</w:t>
      </w:r>
      <w:r>
        <w:rPr>
          <w:i/>
          <w:spacing w:val="-27"/>
          <w:w w:val="105"/>
          <w:sz w:val="24"/>
        </w:rPr>
        <w:t> </w:t>
      </w:r>
      <w:r>
        <w:rPr>
          <w:i/>
          <w:w w:val="105"/>
          <w:sz w:val="24"/>
        </w:rPr>
        <w:t>giudiziale”</w:t>
      </w:r>
      <w:r>
        <w:rPr>
          <w:w w:val="105"/>
          <w:sz w:val="24"/>
        </w:rPr>
        <w:t>.</w:t>
      </w:r>
    </w:p>
    <w:p>
      <w:pPr>
        <w:pStyle w:val="BodyText"/>
        <w:spacing w:line="480" w:lineRule="auto"/>
        <w:ind w:left="1418" w:right="1412"/>
        <w:jc w:val="both"/>
      </w:pPr>
      <w:r>
        <w:rPr>
          <w:w w:val="105"/>
        </w:rPr>
        <w:t>Ne</w:t>
      </w:r>
      <w:r>
        <w:rPr>
          <w:spacing w:val="-10"/>
          <w:w w:val="105"/>
        </w:rPr>
        <w:t> </w:t>
      </w:r>
      <w:r>
        <w:rPr>
          <w:w w:val="105"/>
        </w:rPr>
        <w:t>discende</w:t>
      </w:r>
      <w:r>
        <w:rPr>
          <w:spacing w:val="-8"/>
          <w:w w:val="105"/>
        </w:rPr>
        <w:t> </w:t>
      </w:r>
      <w:r>
        <w:rPr>
          <w:w w:val="105"/>
        </w:rPr>
        <w:t>che</w:t>
      </w:r>
      <w:r>
        <w:rPr>
          <w:spacing w:val="-7"/>
          <w:w w:val="105"/>
        </w:rPr>
        <w:t> </w:t>
      </w:r>
      <w:r>
        <w:rPr>
          <w:w w:val="105"/>
        </w:rPr>
        <w:t>nello</w:t>
      </w:r>
      <w:r>
        <w:rPr>
          <w:spacing w:val="-9"/>
          <w:w w:val="105"/>
        </w:rPr>
        <w:t> </w:t>
      </w:r>
      <w:r>
        <w:rPr>
          <w:w w:val="105"/>
        </w:rPr>
        <w:t>svolgimento</w:t>
      </w:r>
      <w:r>
        <w:rPr>
          <w:spacing w:val="-9"/>
          <w:w w:val="105"/>
        </w:rPr>
        <w:t> </w:t>
      </w:r>
      <w:r>
        <w:rPr>
          <w:w w:val="105"/>
        </w:rPr>
        <w:t>dell’incarico</w:t>
      </w:r>
      <w:r>
        <w:rPr>
          <w:spacing w:val="-8"/>
          <w:w w:val="105"/>
        </w:rPr>
        <w:t> </w:t>
      </w:r>
      <w:r>
        <w:rPr>
          <w:w w:val="105"/>
        </w:rPr>
        <w:t>gli</w:t>
      </w:r>
      <w:r>
        <w:rPr>
          <w:spacing w:val="-9"/>
          <w:w w:val="105"/>
        </w:rPr>
        <w:t> </w:t>
      </w:r>
      <w:r>
        <w:rPr>
          <w:w w:val="105"/>
        </w:rPr>
        <w:t>scriventi</w:t>
      </w:r>
      <w:r>
        <w:rPr>
          <w:spacing w:val="-9"/>
          <w:w w:val="105"/>
        </w:rPr>
        <w:t> </w:t>
      </w:r>
      <w:r>
        <w:rPr>
          <w:w w:val="105"/>
        </w:rPr>
        <w:t>hanno</w:t>
      </w:r>
      <w:r>
        <w:rPr>
          <w:spacing w:val="-7"/>
          <w:w w:val="105"/>
        </w:rPr>
        <w:t> </w:t>
      </w:r>
      <w:r>
        <w:rPr>
          <w:w w:val="105"/>
        </w:rPr>
        <w:t>cercato</w:t>
      </w:r>
      <w:r>
        <w:rPr>
          <w:spacing w:val="-7"/>
          <w:w w:val="105"/>
        </w:rPr>
        <w:t> </w:t>
      </w:r>
      <w:r>
        <w:rPr>
          <w:w w:val="105"/>
        </w:rPr>
        <w:t>di</w:t>
      </w:r>
      <w:r>
        <w:rPr>
          <w:spacing w:val="-10"/>
          <w:w w:val="105"/>
        </w:rPr>
        <w:t> </w:t>
      </w:r>
      <w:r>
        <w:rPr>
          <w:w w:val="105"/>
        </w:rPr>
        <w:t>attenersi</w:t>
      </w:r>
      <w:r>
        <w:rPr>
          <w:spacing w:val="-4"/>
          <w:w w:val="105"/>
        </w:rPr>
        <w:t> </w:t>
      </w:r>
      <w:r>
        <w:rPr>
          <w:w w:val="105"/>
        </w:rPr>
        <w:t>ai</w:t>
      </w:r>
      <w:r>
        <w:rPr>
          <w:spacing w:val="-8"/>
          <w:w w:val="105"/>
        </w:rPr>
        <w:t> </w:t>
      </w:r>
      <w:r>
        <w:rPr>
          <w:w w:val="105"/>
        </w:rPr>
        <w:t>citati principi, con l’obiettivo di predisporre una Relazione contraddistinta dalla completezza delle informazioni</w:t>
      </w:r>
      <w:r>
        <w:rPr>
          <w:spacing w:val="-10"/>
          <w:w w:val="105"/>
        </w:rPr>
        <w:t> </w:t>
      </w:r>
      <w:r>
        <w:rPr>
          <w:w w:val="105"/>
        </w:rPr>
        <w:t>(anche</w:t>
      </w:r>
      <w:r>
        <w:rPr>
          <w:spacing w:val="-10"/>
          <w:w w:val="105"/>
        </w:rPr>
        <w:t> </w:t>
      </w:r>
      <w:r>
        <w:rPr>
          <w:w w:val="105"/>
        </w:rPr>
        <w:t>in</w:t>
      </w:r>
      <w:r>
        <w:rPr>
          <w:spacing w:val="-10"/>
          <w:w w:val="105"/>
        </w:rPr>
        <w:t> </w:t>
      </w:r>
      <w:r>
        <w:rPr>
          <w:w w:val="105"/>
        </w:rPr>
        <w:t>termini</w:t>
      </w:r>
      <w:r>
        <w:rPr>
          <w:spacing w:val="-10"/>
          <w:w w:val="105"/>
        </w:rPr>
        <w:t> </w:t>
      </w:r>
      <w:r>
        <w:rPr>
          <w:w w:val="105"/>
        </w:rPr>
        <w:t>di</w:t>
      </w:r>
      <w:r>
        <w:rPr>
          <w:spacing w:val="-10"/>
          <w:w w:val="105"/>
        </w:rPr>
        <w:t> </w:t>
      </w:r>
      <w:r>
        <w:rPr>
          <w:w w:val="105"/>
        </w:rPr>
        <w:t>rischi</w:t>
      </w:r>
      <w:r>
        <w:rPr>
          <w:spacing w:val="-10"/>
          <w:w w:val="105"/>
        </w:rPr>
        <w:t> </w:t>
      </w:r>
      <w:r>
        <w:rPr>
          <w:w w:val="105"/>
        </w:rPr>
        <w:t>nella</w:t>
      </w:r>
      <w:r>
        <w:rPr>
          <w:spacing w:val="-10"/>
          <w:w w:val="105"/>
        </w:rPr>
        <w:t> </w:t>
      </w:r>
      <w:r>
        <w:rPr>
          <w:w w:val="105"/>
        </w:rPr>
        <w:t>esecuzione</w:t>
      </w:r>
      <w:r>
        <w:rPr>
          <w:spacing w:val="-10"/>
          <w:w w:val="105"/>
        </w:rPr>
        <w:t> </w:t>
      </w:r>
      <w:r>
        <w:rPr>
          <w:w w:val="105"/>
        </w:rPr>
        <w:t>del</w:t>
      </w:r>
      <w:r>
        <w:rPr>
          <w:spacing w:val="-10"/>
          <w:w w:val="105"/>
        </w:rPr>
        <w:t> </w:t>
      </w:r>
      <w:r>
        <w:rPr>
          <w:w w:val="105"/>
        </w:rPr>
        <w:t>piano),</w:t>
      </w:r>
      <w:r>
        <w:rPr>
          <w:spacing w:val="-10"/>
          <w:w w:val="105"/>
        </w:rPr>
        <w:t> </w:t>
      </w:r>
      <w:r>
        <w:rPr>
          <w:w w:val="105"/>
        </w:rPr>
        <w:t>dalla</w:t>
      </w:r>
      <w:r>
        <w:rPr>
          <w:spacing w:val="-10"/>
          <w:w w:val="105"/>
        </w:rPr>
        <w:t> </w:t>
      </w:r>
      <w:r>
        <w:rPr>
          <w:w w:val="105"/>
        </w:rPr>
        <w:t>congruità</w:t>
      </w:r>
      <w:r>
        <w:rPr>
          <w:spacing w:val="-10"/>
          <w:w w:val="105"/>
        </w:rPr>
        <w:t> </w:t>
      </w:r>
      <w:r>
        <w:rPr>
          <w:w w:val="105"/>
        </w:rPr>
        <w:t>logica</w:t>
      </w:r>
      <w:r>
        <w:rPr>
          <w:spacing w:val="-10"/>
          <w:w w:val="105"/>
        </w:rPr>
        <w:t> </w:t>
      </w:r>
      <w:r>
        <w:rPr>
          <w:w w:val="105"/>
        </w:rPr>
        <w:t>delle argomentazioni</w:t>
      </w:r>
      <w:r>
        <w:rPr>
          <w:spacing w:val="-32"/>
          <w:w w:val="105"/>
        </w:rPr>
        <w:t> </w:t>
      </w:r>
      <w:r>
        <w:rPr>
          <w:w w:val="105"/>
        </w:rPr>
        <w:t>svolte,</w:t>
      </w:r>
      <w:r>
        <w:rPr>
          <w:spacing w:val="-32"/>
          <w:w w:val="105"/>
        </w:rPr>
        <w:t> </w:t>
      </w:r>
      <w:r>
        <w:rPr>
          <w:w w:val="105"/>
        </w:rPr>
        <w:t>e</w:t>
      </w:r>
      <w:r>
        <w:rPr>
          <w:spacing w:val="-31"/>
          <w:w w:val="105"/>
        </w:rPr>
        <w:t> </w:t>
      </w:r>
      <w:r>
        <w:rPr>
          <w:w w:val="105"/>
        </w:rPr>
        <w:t>dalla</w:t>
      </w:r>
      <w:r>
        <w:rPr>
          <w:spacing w:val="-32"/>
          <w:w w:val="105"/>
        </w:rPr>
        <w:t> </w:t>
      </w:r>
      <w:r>
        <w:rPr>
          <w:w w:val="105"/>
        </w:rPr>
        <w:t>coerenza</w:t>
      </w:r>
      <w:r>
        <w:rPr>
          <w:spacing w:val="-31"/>
          <w:w w:val="105"/>
        </w:rPr>
        <w:t> </w:t>
      </w:r>
      <w:r>
        <w:rPr>
          <w:w w:val="105"/>
        </w:rPr>
        <w:t>e</w:t>
      </w:r>
      <w:r>
        <w:rPr>
          <w:spacing w:val="-32"/>
          <w:w w:val="105"/>
        </w:rPr>
        <w:t> </w:t>
      </w:r>
      <w:r>
        <w:rPr>
          <w:w w:val="105"/>
        </w:rPr>
        <w:t>razionalità</w:t>
      </w:r>
      <w:r>
        <w:rPr>
          <w:spacing w:val="-32"/>
          <w:w w:val="105"/>
        </w:rPr>
        <w:t> </w:t>
      </w:r>
      <w:r>
        <w:rPr>
          <w:w w:val="105"/>
        </w:rPr>
        <w:t>delle</w:t>
      </w:r>
      <w:r>
        <w:rPr>
          <w:spacing w:val="-32"/>
          <w:w w:val="105"/>
        </w:rPr>
        <w:t> </w:t>
      </w:r>
      <w:r>
        <w:rPr>
          <w:w w:val="105"/>
        </w:rPr>
        <w:t>conclusioni.</w:t>
      </w:r>
    </w:p>
    <w:p>
      <w:pPr>
        <w:pStyle w:val="BodyText"/>
        <w:spacing w:line="480" w:lineRule="auto"/>
        <w:ind w:left="1418" w:right="1411"/>
        <w:jc w:val="both"/>
      </w:pPr>
      <w:r>
        <w:rPr/>
        <w:t>Ad ulteriore inquadramento degli aspetti generali che caratterizzano l’attività degli scriventi, va aggiunto che la proposta di concordato è di tipo liquidatorio, dalla quale consegue l’obbligazione contratta dalla Società di assicurare almeno il venti per cento dell’ammontare dei creditori chirografari.</w:t>
      </w:r>
    </w:p>
    <w:p>
      <w:pPr>
        <w:pStyle w:val="BodyText"/>
        <w:spacing w:line="480" w:lineRule="auto"/>
        <w:ind w:left="1418" w:right="1410"/>
        <w:jc w:val="both"/>
      </w:pPr>
      <w:r>
        <w:rPr/>
        <w:t>In questa prospettiva, le analisi svolte dagli scriventi sono primariamente diretta ad esprimere il proprio giudizio professionale sui due profili richiamati dall’art. 161 3° co. l. fall. (veridicità dei dati aziendali e fattibilità del piano), con esclusione delle ulteriori attestazioni (speciali od integrative) tipicamente richieste nell’ipotesi del concordato con continuità aziendale (avuto particolare riguardo al giudizio richiesto dall’art. 186 bis 2°  co. lett. b) l.</w:t>
      </w:r>
      <w:r>
        <w:rPr>
          <w:spacing w:val="-11"/>
        </w:rPr>
        <w:t> </w:t>
      </w:r>
      <w:r>
        <w:rPr/>
        <w:t>fall.)</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6"/>
        <w:jc w:val="both"/>
      </w:pPr>
      <w:r>
        <w:rPr/>
        <w:t>L’ultimo aspetto da evidenziare in questa sede è che il piano concordatario (di seguito, “Piano”) oggetto della presente Attestazione, è stato predisposto e redatto dalla Società con l’ausilio dei professionisti all’uopo dalla stessa incaricati.</w:t>
      </w:r>
    </w:p>
    <w:p>
      <w:pPr>
        <w:pStyle w:val="BodyText"/>
        <w:spacing w:line="480" w:lineRule="auto"/>
        <w:ind w:left="1418" w:right="1412"/>
        <w:jc w:val="both"/>
      </w:pPr>
      <w:r>
        <w:rPr/>
        <w:t>La Società ed il suo Organo Amministrativo sono gli unici responsabili del contenuto, delle previsioni e delle assunzioni riportate nel Piano.</w:t>
      </w:r>
    </w:p>
    <w:p>
      <w:pPr>
        <w:pStyle w:val="BodyText"/>
        <w:spacing w:line="480" w:lineRule="auto"/>
        <w:ind w:left="1418" w:right="1412"/>
        <w:jc w:val="both"/>
      </w:pPr>
      <w:r>
        <w:rPr/>
        <w:t>L’Organo Amministrativo è, inoltre, responsabile della veridicità della rappresentazione  fornita agli scriventi in ordine ai dati aziendali ed alle future modalità attuative del Piano che la Società intende perseguire così come prospettate nel Piano stesso.</w:t>
      </w:r>
    </w:p>
    <w:p>
      <w:pPr>
        <w:pStyle w:val="BodyText"/>
        <w:spacing w:line="480" w:lineRule="auto"/>
        <w:ind w:left="1418" w:right="1411"/>
        <w:jc w:val="both"/>
      </w:pPr>
      <w:r>
        <w:rPr/>
        <w:t>L’Organo Amministrativo è anche responsabile della completezza e della trasparenza di ciascuna informazione fornita agli scriventi, considerata l’ineliminabile rischio di asimmetria informativa che può caratterizzare l’operato dell’attestatore.</w:t>
      </w:r>
    </w:p>
    <w:p>
      <w:pPr>
        <w:pStyle w:val="BodyText"/>
        <w:spacing w:line="480" w:lineRule="auto" w:before="1"/>
        <w:ind w:left="1418" w:right="1413"/>
        <w:jc w:val="both"/>
      </w:pPr>
      <w:r>
        <w:rPr/>
        <w:t>Ai fini della presente attestazione, il legale rappresentante della Società ha attestato la conformità  e correttezza di tutti i documenti, elementi e dati inseriti o richiamati o utilizzati per il Piano sottoposto agli scriventi, in base ad apposita lettera di attestazione, cosiddetta “</w:t>
      </w:r>
      <w:r>
        <w:rPr>
          <w:i/>
        </w:rPr>
        <w:t>representation</w:t>
      </w:r>
      <w:r>
        <w:rPr>
          <w:i/>
          <w:spacing w:val="-23"/>
        </w:rPr>
        <w:t> </w:t>
      </w:r>
      <w:r>
        <w:rPr>
          <w:i/>
        </w:rPr>
        <w:t>letter</w:t>
      </w:r>
      <w:r>
        <w:rPr/>
        <w:t>”.</w:t>
      </w:r>
    </w:p>
    <w:p>
      <w:pPr>
        <w:pStyle w:val="BodyText"/>
        <w:rPr>
          <w:sz w:val="26"/>
        </w:rPr>
      </w:pPr>
    </w:p>
    <w:p>
      <w:pPr>
        <w:pStyle w:val="BodyText"/>
        <w:rPr>
          <w:sz w:val="26"/>
        </w:rPr>
      </w:pPr>
    </w:p>
    <w:p>
      <w:pPr>
        <w:pStyle w:val="Heading2"/>
        <w:numPr>
          <w:ilvl w:val="1"/>
          <w:numId w:val="3"/>
        </w:numPr>
        <w:tabs>
          <w:tab w:pos="2126" w:val="left" w:leader="none"/>
          <w:tab w:pos="2127" w:val="left" w:leader="none"/>
        </w:tabs>
        <w:spacing w:line="482" w:lineRule="auto" w:before="154" w:after="0"/>
        <w:ind w:left="2126" w:right="1416" w:hanging="708"/>
        <w:jc w:val="left"/>
      </w:pPr>
      <w:bookmarkStart w:name="_bookmark3" w:id="7"/>
      <w:bookmarkEnd w:id="7"/>
      <w:r>
        <w:rPr>
          <w:b w:val="0"/>
        </w:rPr>
      </w:r>
      <w:bookmarkStart w:name="_bookmark3" w:id="8"/>
      <w:bookmarkEnd w:id="8"/>
      <w:r>
        <w:rPr/>
        <w:t>P</w:t>
      </w:r>
      <w:r>
        <w:rPr/>
        <w:t>RINCIPI DI RIFERIMENTO E MODALITA’ DI SVOLGIMENTO DEL LAVORO</w:t>
      </w:r>
    </w:p>
    <w:p>
      <w:pPr>
        <w:pStyle w:val="BodyText"/>
        <w:spacing w:line="427" w:lineRule="auto" w:before="209"/>
        <w:ind w:left="1418" w:right="1413"/>
        <w:jc w:val="both"/>
      </w:pPr>
      <w:r>
        <w:rPr>
          <w:w w:val="105"/>
        </w:rPr>
        <w:t>Tenuto conto del ruolo attribuito alla figura dell’attestatore nell’ambito degli strumenti di soluzione concordata della crisi di impresa, è necessario poter fare riferimento ad appropriati standard</w:t>
      </w:r>
      <w:r>
        <w:rPr>
          <w:spacing w:val="-18"/>
          <w:w w:val="105"/>
        </w:rPr>
        <w:t> </w:t>
      </w:r>
      <w:r>
        <w:rPr>
          <w:w w:val="105"/>
        </w:rPr>
        <w:t>professionali</w:t>
      </w:r>
      <w:r>
        <w:rPr>
          <w:spacing w:val="-18"/>
          <w:w w:val="105"/>
        </w:rPr>
        <w:t> </w:t>
      </w:r>
      <w:r>
        <w:rPr>
          <w:w w:val="105"/>
        </w:rPr>
        <w:t>espressivi</w:t>
      </w:r>
      <w:r>
        <w:rPr>
          <w:spacing w:val="-18"/>
          <w:w w:val="105"/>
        </w:rPr>
        <w:t> </w:t>
      </w:r>
      <w:r>
        <w:rPr>
          <w:w w:val="105"/>
        </w:rPr>
        <w:t>del</w:t>
      </w:r>
      <w:r>
        <w:rPr>
          <w:spacing w:val="-17"/>
          <w:w w:val="105"/>
        </w:rPr>
        <w:t> </w:t>
      </w:r>
      <w:r>
        <w:rPr>
          <w:w w:val="105"/>
        </w:rPr>
        <w:t>grado</w:t>
      </w:r>
      <w:r>
        <w:rPr>
          <w:spacing w:val="-17"/>
          <w:w w:val="105"/>
        </w:rPr>
        <w:t> </w:t>
      </w:r>
      <w:r>
        <w:rPr>
          <w:w w:val="105"/>
        </w:rPr>
        <w:t>di</w:t>
      </w:r>
      <w:r>
        <w:rPr>
          <w:spacing w:val="-19"/>
          <w:w w:val="105"/>
        </w:rPr>
        <w:t> </w:t>
      </w:r>
      <w:r>
        <w:rPr>
          <w:w w:val="105"/>
        </w:rPr>
        <w:t>diligenza</w:t>
      </w:r>
      <w:r>
        <w:rPr>
          <w:spacing w:val="-16"/>
          <w:w w:val="105"/>
        </w:rPr>
        <w:t> </w:t>
      </w:r>
      <w:r>
        <w:rPr>
          <w:w w:val="105"/>
        </w:rPr>
        <w:t>richiesto</w:t>
      </w:r>
      <w:r>
        <w:rPr>
          <w:spacing w:val="-16"/>
          <w:w w:val="105"/>
        </w:rPr>
        <w:t> </w:t>
      </w:r>
      <w:r>
        <w:rPr>
          <w:w w:val="105"/>
        </w:rPr>
        <w:t>dall’incarico.</w:t>
      </w:r>
      <w:r>
        <w:rPr>
          <w:spacing w:val="-13"/>
          <w:w w:val="105"/>
        </w:rPr>
        <w:t> </w:t>
      </w:r>
      <w:r>
        <w:rPr>
          <w:w w:val="105"/>
        </w:rPr>
        <w:t>Tali</w:t>
      </w:r>
      <w:r>
        <w:rPr>
          <w:spacing w:val="-18"/>
          <w:w w:val="105"/>
        </w:rPr>
        <w:t> </w:t>
      </w:r>
      <w:r>
        <w:rPr>
          <w:w w:val="105"/>
        </w:rPr>
        <w:t>principi</w:t>
      </w:r>
      <w:r>
        <w:rPr>
          <w:spacing w:val="-18"/>
          <w:w w:val="105"/>
        </w:rPr>
        <w:t> </w:t>
      </w:r>
      <w:r>
        <w:rPr>
          <w:w w:val="105"/>
        </w:rPr>
        <w:t>sono indispensabili</w:t>
      </w:r>
      <w:r>
        <w:rPr>
          <w:spacing w:val="-29"/>
          <w:w w:val="105"/>
        </w:rPr>
        <w:t> </w:t>
      </w:r>
      <w:r>
        <w:rPr>
          <w:w w:val="105"/>
        </w:rPr>
        <w:t>per</w:t>
      </w:r>
      <w:r>
        <w:rPr>
          <w:spacing w:val="-28"/>
          <w:w w:val="105"/>
        </w:rPr>
        <w:t> </w:t>
      </w:r>
      <w:r>
        <w:rPr>
          <w:w w:val="105"/>
        </w:rPr>
        <w:t>consentire</w:t>
      </w:r>
      <w:r>
        <w:rPr>
          <w:spacing w:val="-28"/>
          <w:w w:val="105"/>
        </w:rPr>
        <w:t> </w:t>
      </w:r>
      <w:r>
        <w:rPr>
          <w:w w:val="105"/>
        </w:rPr>
        <w:t>al</w:t>
      </w:r>
      <w:r>
        <w:rPr>
          <w:spacing w:val="-29"/>
          <w:w w:val="105"/>
        </w:rPr>
        <w:t> </w:t>
      </w:r>
      <w:r>
        <w:rPr>
          <w:w w:val="105"/>
        </w:rPr>
        <w:t>professionista</w:t>
      </w:r>
      <w:r>
        <w:rPr>
          <w:spacing w:val="-28"/>
          <w:w w:val="105"/>
        </w:rPr>
        <w:t> </w:t>
      </w:r>
      <w:r>
        <w:rPr>
          <w:w w:val="105"/>
        </w:rPr>
        <w:t>di</w:t>
      </w:r>
      <w:r>
        <w:rPr>
          <w:spacing w:val="-28"/>
          <w:w w:val="105"/>
        </w:rPr>
        <w:t> </w:t>
      </w:r>
      <w:r>
        <w:rPr>
          <w:w w:val="105"/>
        </w:rPr>
        <w:t>operare</w:t>
      </w:r>
      <w:r>
        <w:rPr>
          <w:spacing w:val="-30"/>
          <w:w w:val="105"/>
        </w:rPr>
        <w:t> </w:t>
      </w:r>
      <w:r>
        <w:rPr>
          <w:w w:val="105"/>
        </w:rPr>
        <w:t>secondo</w:t>
      </w:r>
      <w:r>
        <w:rPr>
          <w:spacing w:val="-28"/>
          <w:w w:val="105"/>
        </w:rPr>
        <w:t> </w:t>
      </w:r>
      <w:r>
        <w:rPr>
          <w:w w:val="105"/>
        </w:rPr>
        <w:t>criteri</w:t>
      </w:r>
      <w:r>
        <w:rPr>
          <w:spacing w:val="-28"/>
          <w:w w:val="105"/>
        </w:rPr>
        <w:t> </w:t>
      </w:r>
      <w:r>
        <w:rPr>
          <w:w w:val="105"/>
        </w:rPr>
        <w:t>omogenei</w:t>
      </w:r>
      <w:r>
        <w:rPr>
          <w:spacing w:val="-28"/>
          <w:w w:val="105"/>
        </w:rPr>
        <w:t> </w:t>
      </w:r>
      <w:r>
        <w:rPr>
          <w:w w:val="105"/>
        </w:rPr>
        <w:t>e</w:t>
      </w:r>
      <w:r>
        <w:rPr>
          <w:spacing w:val="-28"/>
          <w:w w:val="105"/>
        </w:rPr>
        <w:t> </w:t>
      </w:r>
      <w:r>
        <w:rPr>
          <w:w w:val="105"/>
        </w:rPr>
        <w:t>riconosciuti dalla generalità degli operatori, ed altresì di valutarne l’operato secondo altrettanto definiti canoni</w:t>
      </w:r>
      <w:r>
        <w:rPr>
          <w:spacing w:val="-36"/>
          <w:w w:val="105"/>
        </w:rPr>
        <w:t> </w:t>
      </w:r>
      <w:r>
        <w:rPr>
          <w:w w:val="105"/>
        </w:rPr>
        <w:t>di</w:t>
      </w:r>
      <w:r>
        <w:rPr>
          <w:spacing w:val="-36"/>
          <w:w w:val="105"/>
        </w:rPr>
        <w:t> </w:t>
      </w:r>
      <w:r>
        <w:rPr>
          <w:w w:val="105"/>
        </w:rPr>
        <w:t>omogeneità.</w:t>
      </w:r>
    </w:p>
    <w:p>
      <w:pPr>
        <w:spacing w:after="0" w:line="427"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26"/>
        </w:rPr>
      </w:pPr>
    </w:p>
    <w:p>
      <w:pPr>
        <w:pStyle w:val="BodyText"/>
        <w:spacing w:line="427" w:lineRule="auto" w:before="100"/>
        <w:ind w:left="1418" w:right="1416"/>
        <w:jc w:val="both"/>
      </w:pPr>
      <w:r>
        <w:rPr/>
        <w:t>Come noto, non vi sono norme di legge volte a disciplinare il contenuto dei controlli funzionali  ad emettere</w:t>
      </w:r>
      <w:r>
        <w:rPr>
          <w:spacing w:val="-5"/>
        </w:rPr>
        <w:t> </w:t>
      </w:r>
      <w:r>
        <w:rPr/>
        <w:t>l’attestazione.</w:t>
      </w:r>
    </w:p>
    <w:p>
      <w:pPr>
        <w:pStyle w:val="BodyText"/>
        <w:spacing w:line="427" w:lineRule="auto" w:before="200"/>
        <w:ind w:left="1418" w:right="1413"/>
        <w:jc w:val="both"/>
      </w:pPr>
      <w:r>
        <w:rPr/>
        <w:t>Tuttavia gli operatori professionali, fin dalla formulazione dell’art. 161 l. fall. ad opera della Legge 14 marzo 2005, n. 80, hanno cercato di elaborare alcuni criteri e indicazioni operative finalizzate a definire il perimetro e le caratteristiche dell’attività del professionista attestatore.</w:t>
      </w:r>
    </w:p>
    <w:p>
      <w:pPr>
        <w:pStyle w:val="BodyText"/>
        <w:spacing w:line="420" w:lineRule="auto" w:before="198"/>
        <w:ind w:left="1418" w:right="1420"/>
        <w:jc w:val="both"/>
      </w:pPr>
      <w:r>
        <w:rPr/>
        <w:t>I principali documenti via via predisposti nel corso degli ultimi anni e che delineano il framework degli </w:t>
      </w:r>
      <w:r>
        <w:rPr>
          <w:b/>
          <w:i/>
          <w:sz w:val="25"/>
        </w:rPr>
        <w:t>standard </w:t>
      </w:r>
      <w:r>
        <w:rPr>
          <w:b/>
        </w:rPr>
        <w:t>comportamentali </w:t>
      </w:r>
      <w:r>
        <w:rPr/>
        <w:t>elaborati in materia, sono costituiti da:</w:t>
      </w:r>
    </w:p>
    <w:p>
      <w:pPr>
        <w:pStyle w:val="ListParagraph"/>
        <w:numPr>
          <w:ilvl w:val="0"/>
          <w:numId w:val="5"/>
        </w:numPr>
        <w:tabs>
          <w:tab w:pos="1722" w:val="left" w:leader="none"/>
        </w:tabs>
        <w:spacing w:line="427" w:lineRule="auto" w:before="195" w:after="0"/>
        <w:ind w:left="1418" w:right="1411" w:firstLine="0"/>
        <w:jc w:val="both"/>
        <w:rPr>
          <w:sz w:val="24"/>
        </w:rPr>
      </w:pPr>
      <w:r>
        <w:rPr>
          <w:sz w:val="24"/>
        </w:rPr>
        <w:t>il “</w:t>
      </w:r>
      <w:r>
        <w:rPr>
          <w:i/>
          <w:sz w:val="24"/>
        </w:rPr>
        <w:t>Protocollo piani di risanamento e ristrutturazione. Relazioni del professionista: profili organizzativi e </w:t>
      </w:r>
      <w:r>
        <w:rPr>
          <w:i/>
          <w:sz w:val="24"/>
        </w:rPr>
        <w:t>principi di comportamento nell’ambito delle procedure di Concordato Preventivo, accordi di ristrutturazione dei debiti, piano di risanamento attestato</w:t>
      </w:r>
      <w:r>
        <w:rPr>
          <w:sz w:val="24"/>
        </w:rPr>
        <w:t>” redatto nel 2006 dal Gruppo di lavoro decreti competitività  della Commissione procedure concorsuali del Consiglio Nazionale dei Dottori</w:t>
      </w:r>
      <w:r>
        <w:rPr>
          <w:spacing w:val="-39"/>
          <w:sz w:val="24"/>
        </w:rPr>
        <w:t> </w:t>
      </w:r>
      <w:r>
        <w:rPr>
          <w:sz w:val="24"/>
        </w:rPr>
        <w:t>Commercialisti;</w:t>
      </w:r>
    </w:p>
    <w:p>
      <w:pPr>
        <w:pStyle w:val="ListParagraph"/>
        <w:numPr>
          <w:ilvl w:val="0"/>
          <w:numId w:val="5"/>
        </w:numPr>
        <w:tabs>
          <w:tab w:pos="1698" w:val="left" w:leader="none"/>
        </w:tabs>
        <w:spacing w:line="427" w:lineRule="auto" w:before="201" w:after="0"/>
        <w:ind w:left="1418" w:right="1419" w:firstLine="0"/>
        <w:jc w:val="both"/>
        <w:rPr>
          <w:sz w:val="24"/>
        </w:rPr>
      </w:pPr>
      <w:r>
        <w:rPr>
          <w:sz w:val="24"/>
        </w:rPr>
        <w:t>il documento “</w:t>
      </w:r>
      <w:r>
        <w:rPr>
          <w:i/>
          <w:sz w:val="24"/>
        </w:rPr>
        <w:t>Osservazioni sul contenuto delle relazioni del professionista nella composizione negoziale della </w:t>
      </w:r>
      <w:r>
        <w:rPr>
          <w:i/>
          <w:sz w:val="24"/>
        </w:rPr>
        <w:t>crisi di impresa</w:t>
      </w:r>
      <w:r>
        <w:rPr>
          <w:sz w:val="24"/>
        </w:rPr>
        <w:t>” redatto nel febbraio 2009 dalla Commissione studi Crisi e risanamento di impresa del Consiglio Nazionale dei Dottori Commercialisti e degli Esperti</w:t>
      </w:r>
      <w:r>
        <w:rPr>
          <w:spacing w:val="-36"/>
          <w:sz w:val="24"/>
        </w:rPr>
        <w:t> </w:t>
      </w:r>
      <w:r>
        <w:rPr>
          <w:sz w:val="24"/>
        </w:rPr>
        <w:t>Contabili;</w:t>
      </w:r>
    </w:p>
    <w:p>
      <w:pPr>
        <w:pStyle w:val="ListParagraph"/>
        <w:numPr>
          <w:ilvl w:val="0"/>
          <w:numId w:val="5"/>
        </w:numPr>
        <w:tabs>
          <w:tab w:pos="1695" w:val="left" w:leader="none"/>
        </w:tabs>
        <w:spacing w:line="427" w:lineRule="auto" w:before="198" w:after="0"/>
        <w:ind w:left="1418" w:right="1418" w:firstLine="0"/>
        <w:jc w:val="both"/>
        <w:rPr>
          <w:sz w:val="24"/>
        </w:rPr>
      </w:pPr>
      <w:r>
        <w:rPr>
          <w:sz w:val="24"/>
        </w:rPr>
        <w:t>il documento “</w:t>
      </w:r>
      <w:r>
        <w:rPr>
          <w:i/>
          <w:sz w:val="24"/>
        </w:rPr>
        <w:t>Linee guida per il finanziamento delle imprese in crisi. II edizione aggiornata al 28 aprile </w:t>
      </w:r>
      <w:r>
        <w:rPr>
          <w:i/>
          <w:sz w:val="24"/>
        </w:rPr>
        <w:t>2015</w:t>
      </w:r>
      <w:r>
        <w:rPr>
          <w:sz w:val="24"/>
        </w:rPr>
        <w:t>” predisposto in collaborazione tra l’Università di Firenze, l’Assonime e il Consiglio Nazionale dei Dottori commercialisti e degli Esperti</w:t>
      </w:r>
      <w:r>
        <w:rPr>
          <w:spacing w:val="-23"/>
          <w:sz w:val="24"/>
        </w:rPr>
        <w:t> </w:t>
      </w:r>
      <w:r>
        <w:rPr>
          <w:sz w:val="24"/>
        </w:rPr>
        <w:t>contabili;</w:t>
      </w:r>
    </w:p>
    <w:p>
      <w:pPr>
        <w:pStyle w:val="ListParagraph"/>
        <w:numPr>
          <w:ilvl w:val="0"/>
          <w:numId w:val="5"/>
        </w:numPr>
        <w:tabs>
          <w:tab w:pos="1710" w:val="left" w:leader="none"/>
        </w:tabs>
        <w:spacing w:line="427" w:lineRule="auto" w:before="198" w:after="0"/>
        <w:ind w:left="1418" w:right="1415" w:firstLine="0"/>
        <w:jc w:val="both"/>
        <w:rPr>
          <w:sz w:val="24"/>
        </w:rPr>
      </w:pPr>
      <w:r>
        <w:rPr>
          <w:sz w:val="24"/>
        </w:rPr>
        <w:t>la circolare n. 30/IR dell’11 febbraio 2013 “</w:t>
      </w:r>
      <w:r>
        <w:rPr>
          <w:i/>
          <w:sz w:val="24"/>
        </w:rPr>
        <w:t>Il ruolo del professionista attestatore nella composizione </w:t>
      </w:r>
      <w:r>
        <w:rPr>
          <w:i/>
          <w:sz w:val="24"/>
        </w:rPr>
        <w:t>negoziale della crisi: requisiti di professionalità e indipendenza e contenuto delle relazioni</w:t>
      </w:r>
      <w:r>
        <w:rPr>
          <w:sz w:val="24"/>
        </w:rPr>
        <w:t>” emanata dall’Istituto di ricerca dei dottori commercialisti e degli esperti</w:t>
      </w:r>
      <w:r>
        <w:rPr>
          <w:spacing w:val="-18"/>
          <w:sz w:val="24"/>
        </w:rPr>
        <w:t> </w:t>
      </w:r>
      <w:r>
        <w:rPr>
          <w:sz w:val="24"/>
        </w:rPr>
        <w:t>contabili;</w:t>
      </w:r>
    </w:p>
    <w:p>
      <w:pPr>
        <w:spacing w:after="0" w:line="427"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26"/>
        </w:rPr>
      </w:pPr>
    </w:p>
    <w:p>
      <w:pPr>
        <w:pStyle w:val="ListParagraph"/>
        <w:numPr>
          <w:ilvl w:val="0"/>
          <w:numId w:val="5"/>
        </w:numPr>
        <w:tabs>
          <w:tab w:pos="1695" w:val="left" w:leader="none"/>
        </w:tabs>
        <w:spacing w:line="427" w:lineRule="auto" w:before="100" w:after="0"/>
        <w:ind w:left="1418" w:right="1417" w:firstLine="0"/>
        <w:jc w:val="both"/>
        <w:rPr>
          <w:sz w:val="24"/>
        </w:rPr>
      </w:pPr>
      <w:r>
        <w:rPr>
          <w:sz w:val="24"/>
        </w:rPr>
        <w:t>il documento “</w:t>
      </w:r>
      <w:r>
        <w:rPr>
          <w:i/>
          <w:sz w:val="24"/>
        </w:rPr>
        <w:t>principi di attestazione dei piani di risanamento</w:t>
      </w:r>
      <w:r>
        <w:rPr>
          <w:sz w:val="24"/>
        </w:rPr>
        <w:t>” (documento del 6 giugno 2014 predisposto a cura di AIDEA, IRDCEC, ANDAF, APRI, OCRI, recepito dal Consiglio Nazionale dei Dottori Commercialisti e degli Esperti Contabili in data 3 settembre</w:t>
      </w:r>
      <w:r>
        <w:rPr>
          <w:spacing w:val="-26"/>
          <w:sz w:val="24"/>
        </w:rPr>
        <w:t> </w:t>
      </w:r>
      <w:r>
        <w:rPr>
          <w:sz w:val="24"/>
        </w:rPr>
        <w:t>2014);</w:t>
      </w:r>
    </w:p>
    <w:p>
      <w:pPr>
        <w:pStyle w:val="ListParagraph"/>
        <w:numPr>
          <w:ilvl w:val="0"/>
          <w:numId w:val="5"/>
        </w:numPr>
        <w:tabs>
          <w:tab w:pos="1659" w:val="left" w:leader="none"/>
        </w:tabs>
        <w:spacing w:line="427" w:lineRule="auto" w:before="200" w:after="0"/>
        <w:ind w:left="1418" w:right="1413" w:firstLine="0"/>
        <w:jc w:val="both"/>
        <w:rPr>
          <w:sz w:val="24"/>
        </w:rPr>
      </w:pPr>
      <w:r>
        <w:rPr>
          <w:sz w:val="24"/>
        </w:rPr>
        <w:t>il documento “</w:t>
      </w:r>
      <w:r>
        <w:rPr>
          <w:i/>
          <w:sz w:val="24"/>
        </w:rPr>
        <w:t>linee guida - informativa e valutazione nella crisi di impresa</w:t>
      </w:r>
      <w:r>
        <w:rPr>
          <w:sz w:val="24"/>
        </w:rPr>
        <w:t>” (a cura del Gruppo di Lavoro Interdisciplinare Area Procedure Concorsuali e Area Aziendale del Consiglio Nazionale dei Dottori Commercialisti e degli Esperti Contabili, pubblicato il 30 ottobre</w:t>
      </w:r>
      <w:r>
        <w:rPr>
          <w:spacing w:val="-32"/>
          <w:sz w:val="24"/>
        </w:rPr>
        <w:t> </w:t>
      </w:r>
      <w:r>
        <w:rPr>
          <w:sz w:val="24"/>
        </w:rPr>
        <w:t>2015).</w:t>
      </w:r>
    </w:p>
    <w:p>
      <w:pPr>
        <w:pStyle w:val="BodyText"/>
        <w:spacing w:line="427" w:lineRule="auto" w:before="198"/>
        <w:ind w:left="1418" w:right="1414"/>
        <w:jc w:val="both"/>
      </w:pPr>
      <w:r>
        <w:rPr/>
        <w:t>Per quanto attiene allo specifico versante dei controlli sulla fattibilità del piano, in aggiunta ai riferimenti contenuti nelle fonti sopra citate, va segnalato il Principio di revisione internazionale ISAE – </w:t>
      </w:r>
      <w:r>
        <w:rPr>
          <w:i/>
        </w:rPr>
        <w:t>International Standard on Assurance Engagement </w:t>
      </w:r>
      <w:r>
        <w:rPr/>
        <w:t>- 3400 applicabile agli incarichi di </w:t>
      </w:r>
      <w:r>
        <w:rPr>
          <w:i/>
        </w:rPr>
        <w:t>assurance </w:t>
      </w:r>
      <w:r>
        <w:rPr/>
        <w:t>(attestazioni).</w:t>
      </w:r>
    </w:p>
    <w:p>
      <w:pPr>
        <w:pStyle w:val="BodyText"/>
        <w:spacing w:line="427" w:lineRule="auto" w:before="198"/>
        <w:ind w:left="1418" w:right="1413"/>
        <w:jc w:val="both"/>
      </w:pPr>
      <w:r>
        <w:rPr/>
        <w:t>Infine, in materia di fattibilità, gli appropriati riferimenti alle </w:t>
      </w:r>
      <w:r>
        <w:rPr>
          <w:i/>
        </w:rPr>
        <w:t>best practice </w:t>
      </w:r>
      <w:r>
        <w:rPr/>
        <w:t>per la redazione del piano sono contenuti nelle fonti elaborate dalla prassi aziendalistica quali, in particolare, le “</w:t>
      </w:r>
      <w:r>
        <w:rPr>
          <w:i/>
        </w:rPr>
        <w:t>Linee guida </w:t>
      </w:r>
      <w:r>
        <w:rPr>
          <w:i/>
        </w:rPr>
        <w:t>alla redazione del Business Plan</w:t>
      </w:r>
      <w:r>
        <w:rPr/>
        <w:t>” predisposte nel maggio 2011 dal Gruppo di lavoro Area Finanza Aziendale del Consiglio Nazionale dei Dottori Commercialisti e degli Esperti Contabili (www.cndcec.it) e nella “</w:t>
      </w:r>
      <w:r>
        <w:rPr>
          <w:i/>
        </w:rPr>
        <w:t>Guida al piano industriale</w:t>
      </w:r>
      <w:r>
        <w:rPr/>
        <w:t>” a cura di Borsa Italiana, edizione 2014. Si richiama infine, in tema di revisione di piani, il documento di ricerca n. 114 emesso da Assirevi  nel luglio</w:t>
      </w:r>
      <w:r>
        <w:rPr>
          <w:spacing w:val="-5"/>
        </w:rPr>
        <w:t> </w:t>
      </w:r>
      <w:r>
        <w:rPr/>
        <w:t>2007.</w:t>
      </w:r>
    </w:p>
    <w:p>
      <w:pPr>
        <w:pStyle w:val="BodyText"/>
        <w:spacing w:line="427" w:lineRule="auto" w:before="200"/>
        <w:ind w:left="1418" w:right="1413"/>
        <w:jc w:val="both"/>
      </w:pPr>
      <w:r>
        <w:rPr/>
        <w:t>L’applicazione concreta dei sopra indicati principi va ovviamente ponderata rispetto alla particolare e complessa situazione del Gruppo di impresa di cui fa parte Biochemtex. Consci di tale aspetto, e della necessità di dovere per quanto possibile rappresentare un ampio spettro di informazioni al Tribunale ed ai creditori, gli scriventi hanno approntato un team qualificato di professionisti deputati a svolgere i controlli nelle varie aree di oggetto di attestazione. È stato in particolare  organizzato  un  team  di professionisti  costituito,  in  aggiunta  ai due  attestatori,</w:t>
      </w:r>
      <w:r>
        <w:rPr>
          <w:spacing w:val="57"/>
        </w:rPr>
        <w:t> </w:t>
      </w:r>
      <w:r>
        <w:rPr>
          <w:spacing w:val="-3"/>
        </w:rPr>
        <w:t>da</w:t>
      </w:r>
    </w:p>
    <w:p>
      <w:pPr>
        <w:spacing w:after="0" w:line="427"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26"/>
        </w:rPr>
      </w:pPr>
    </w:p>
    <w:p>
      <w:pPr>
        <w:pStyle w:val="BodyText"/>
        <w:spacing w:line="427" w:lineRule="auto" w:before="100"/>
        <w:ind w:left="1418" w:right="1422"/>
        <w:jc w:val="both"/>
      </w:pPr>
      <w:r>
        <w:rPr/>
        <w:t>quattro risorse per quanto attiene ai controlli sulla veridicità dei dati aziendali e due professionisti dedicati ai controlli sulla fattibilità del piano.</w:t>
      </w:r>
    </w:p>
    <w:p>
      <w:pPr>
        <w:pStyle w:val="BodyText"/>
        <w:spacing w:line="427" w:lineRule="auto" w:before="200"/>
        <w:ind w:left="1418" w:right="1412"/>
        <w:jc w:val="both"/>
      </w:pPr>
      <w:r>
        <w:rPr/>
        <w:t>Per quanto attiene progressione temporale del lavoro, giova ricordare che la proposta, il piano e  la documentazione di corredo predisposti dalla Società, sono stati via via discussi in contraddittorio e confronto con la Società ed i suoi professionisti, nei termini che saranno riportati in sede di analisi della veridicità dei dati aziendali e fattibilità del</w:t>
      </w:r>
      <w:r>
        <w:rPr>
          <w:spacing w:val="-28"/>
        </w:rPr>
        <w:t> </w:t>
      </w:r>
      <w:r>
        <w:rPr/>
        <w:t>piano.</w:t>
      </w:r>
    </w:p>
    <w:p>
      <w:pPr>
        <w:pStyle w:val="BodyText"/>
        <w:spacing w:before="198"/>
        <w:ind w:left="1418"/>
        <w:jc w:val="both"/>
      </w:pPr>
      <w:r>
        <w:rPr/>
        <w:t>In particolare, gli scriventi hanno intrattenuto contatti con i seguenti professionisti:</w:t>
      </w:r>
    </w:p>
    <w:p>
      <w:pPr>
        <w:pStyle w:val="ListParagraph"/>
        <w:numPr>
          <w:ilvl w:val="1"/>
          <w:numId w:val="5"/>
        </w:numPr>
        <w:tabs>
          <w:tab w:pos="2127" w:val="left" w:leader="none"/>
        </w:tabs>
        <w:spacing w:line="240" w:lineRule="auto" w:before="196" w:after="0"/>
        <w:ind w:left="2138" w:right="0" w:hanging="360"/>
        <w:jc w:val="left"/>
        <w:rPr>
          <w:sz w:val="24"/>
        </w:rPr>
      </w:pPr>
      <w:r>
        <w:rPr>
          <w:sz w:val="24"/>
        </w:rPr>
        <w:t>l’</w:t>
      </w:r>
      <w:r>
        <w:rPr>
          <w:i/>
          <w:sz w:val="24"/>
        </w:rPr>
        <w:t>advisor</w:t>
      </w:r>
      <w:r>
        <w:rPr>
          <w:i/>
          <w:spacing w:val="39"/>
          <w:sz w:val="24"/>
        </w:rPr>
        <w:t> </w:t>
      </w:r>
      <w:r>
        <w:rPr>
          <w:sz w:val="24"/>
        </w:rPr>
        <w:t>Studio</w:t>
      </w:r>
      <w:r>
        <w:rPr>
          <w:spacing w:val="39"/>
          <w:sz w:val="24"/>
        </w:rPr>
        <w:t> </w:t>
      </w:r>
      <w:r>
        <w:rPr>
          <w:sz w:val="24"/>
        </w:rPr>
        <w:t>Chiaruttini</w:t>
      </w:r>
      <w:r>
        <w:rPr>
          <w:spacing w:val="40"/>
          <w:sz w:val="24"/>
        </w:rPr>
        <w:t> </w:t>
      </w:r>
      <w:r>
        <w:rPr>
          <w:sz w:val="24"/>
        </w:rPr>
        <w:t>nelle</w:t>
      </w:r>
      <w:r>
        <w:rPr>
          <w:spacing w:val="37"/>
          <w:sz w:val="24"/>
        </w:rPr>
        <w:t> </w:t>
      </w:r>
      <w:r>
        <w:rPr>
          <w:sz w:val="24"/>
        </w:rPr>
        <w:t>persone</w:t>
      </w:r>
      <w:r>
        <w:rPr>
          <w:spacing w:val="39"/>
          <w:sz w:val="24"/>
        </w:rPr>
        <w:t> </w:t>
      </w:r>
      <w:r>
        <w:rPr>
          <w:sz w:val="24"/>
        </w:rPr>
        <w:t>della</w:t>
      </w:r>
      <w:r>
        <w:rPr>
          <w:spacing w:val="39"/>
          <w:sz w:val="24"/>
        </w:rPr>
        <w:t> </w:t>
      </w:r>
      <w:r>
        <w:rPr>
          <w:sz w:val="24"/>
        </w:rPr>
        <w:t>Dott.ssa</w:t>
      </w:r>
      <w:r>
        <w:rPr>
          <w:spacing w:val="39"/>
          <w:sz w:val="24"/>
        </w:rPr>
        <w:t> </w:t>
      </w:r>
      <w:r>
        <w:rPr>
          <w:sz w:val="24"/>
        </w:rPr>
        <w:t>Stefania</w:t>
      </w:r>
      <w:r>
        <w:rPr>
          <w:spacing w:val="39"/>
          <w:sz w:val="24"/>
        </w:rPr>
        <w:t> </w:t>
      </w:r>
      <w:r>
        <w:rPr>
          <w:sz w:val="24"/>
        </w:rPr>
        <w:t>Chiaruttini</w:t>
      </w:r>
      <w:r>
        <w:rPr>
          <w:spacing w:val="37"/>
          <w:sz w:val="24"/>
        </w:rPr>
        <w:t> </w:t>
      </w:r>
      <w:r>
        <w:rPr>
          <w:sz w:val="24"/>
        </w:rPr>
        <w:t>e</w:t>
      </w:r>
      <w:r>
        <w:rPr>
          <w:spacing w:val="39"/>
          <w:sz w:val="24"/>
        </w:rPr>
        <w:t> </w:t>
      </w:r>
      <w:r>
        <w:rPr>
          <w:sz w:val="24"/>
        </w:rPr>
        <w:t>del</w:t>
      </w:r>
      <w:r>
        <w:rPr>
          <w:spacing w:val="41"/>
          <w:sz w:val="24"/>
        </w:rPr>
        <w:t> </w:t>
      </w:r>
      <w:r>
        <w:rPr>
          <w:sz w:val="24"/>
        </w:rPr>
        <w:t>Dott.</w:t>
      </w:r>
    </w:p>
    <w:p>
      <w:pPr>
        <w:pStyle w:val="BodyText"/>
        <w:spacing w:before="2"/>
      </w:pPr>
    </w:p>
    <w:p>
      <w:pPr>
        <w:pStyle w:val="BodyText"/>
        <w:spacing w:line="480" w:lineRule="auto"/>
        <w:ind w:left="2138" w:right="1412"/>
        <w:jc w:val="both"/>
      </w:pPr>
      <w:r>
        <w:rPr/>
        <w:t>Luca Minetto, incaricati della predisposizione del piano concordatario della società e l’</w:t>
      </w:r>
      <w:r>
        <w:rPr>
          <w:i/>
        </w:rPr>
        <w:t>advisor </w:t>
      </w:r>
      <w:r>
        <w:rPr/>
        <w:t>finanziario Mediobanca Banca di Credito finanziario S.p.A. a cui è affidato, in particolare, l’incarico di proseguire ed implementare i contatti già avviati con potenziali nuovi investitori interessati nel ramo della produzione di bio carburanti. Sono state tra l’altro discusso con l’advisor le operazioni gestionali analizzate nel successivo cap. 2;</w:t>
      </w:r>
    </w:p>
    <w:p>
      <w:pPr>
        <w:pStyle w:val="ListParagraph"/>
        <w:numPr>
          <w:ilvl w:val="1"/>
          <w:numId w:val="5"/>
        </w:numPr>
        <w:tabs>
          <w:tab w:pos="2127" w:val="left" w:leader="none"/>
        </w:tabs>
        <w:spacing w:line="477" w:lineRule="auto" w:before="0" w:after="0"/>
        <w:ind w:left="2138" w:right="1413" w:hanging="360"/>
        <w:jc w:val="both"/>
        <w:rPr>
          <w:sz w:val="24"/>
        </w:rPr>
      </w:pPr>
      <w:r>
        <w:rPr>
          <w:sz w:val="24"/>
        </w:rPr>
        <w:t>l’</w:t>
      </w:r>
      <w:r>
        <w:rPr>
          <w:i/>
          <w:sz w:val="24"/>
        </w:rPr>
        <w:t>advisor </w:t>
      </w:r>
      <w:r>
        <w:rPr>
          <w:sz w:val="24"/>
        </w:rPr>
        <w:t>legale Gianni Origoni Grippo Cappelli &amp; Partners nelle persone dell’Avvocato Alberto Nanni, dell’Avvocato Gabriella Covino, dell’Avvocato Luca Jeantet e dell’Avvocato Daniela</w:t>
      </w:r>
      <w:r>
        <w:rPr>
          <w:spacing w:val="-7"/>
          <w:sz w:val="24"/>
        </w:rPr>
        <w:t> </w:t>
      </w:r>
      <w:r>
        <w:rPr>
          <w:sz w:val="24"/>
        </w:rPr>
        <w:t>Amhof;</w:t>
      </w:r>
    </w:p>
    <w:p>
      <w:pPr>
        <w:pStyle w:val="ListParagraph"/>
        <w:numPr>
          <w:ilvl w:val="1"/>
          <w:numId w:val="5"/>
        </w:numPr>
        <w:tabs>
          <w:tab w:pos="2127" w:val="left" w:leader="none"/>
        </w:tabs>
        <w:spacing w:line="477" w:lineRule="auto" w:before="3" w:after="0"/>
        <w:ind w:left="2138" w:right="1410" w:hanging="360"/>
        <w:jc w:val="both"/>
        <w:rPr>
          <w:sz w:val="24"/>
        </w:rPr>
      </w:pPr>
      <w:r>
        <w:rPr>
          <w:sz w:val="24"/>
        </w:rPr>
        <w:t>la Società Deloitte Financial Advisory Srl appositamente incaricata dalla Società al fine di supportare la stessa Società e l’Advisor nella attività di ricostruzione contabile, finanziaria e documentale di specifiche operazioni da questi ultimi individuate e poste in essere, per lo più, con altre entità appartenenti al Gruppo Mossi e Ghisolfi, riepilogo e mappatura, sulla base della documentazione e dalle informazioni rese disponibili dalla società e dagli advisor,</w:t>
      </w:r>
      <w:r>
        <w:rPr>
          <w:spacing w:val="49"/>
          <w:sz w:val="24"/>
        </w:rPr>
        <w:t> </w:t>
      </w:r>
      <w:r>
        <w:rPr>
          <w:sz w:val="24"/>
        </w:rPr>
        <w:t>dei</w:t>
      </w:r>
      <w:r>
        <w:rPr>
          <w:spacing w:val="49"/>
          <w:sz w:val="24"/>
        </w:rPr>
        <w:t> </w:t>
      </w:r>
      <w:r>
        <w:rPr>
          <w:sz w:val="24"/>
        </w:rPr>
        <w:t>numerosi</w:t>
      </w:r>
      <w:r>
        <w:rPr>
          <w:spacing w:val="49"/>
          <w:sz w:val="24"/>
        </w:rPr>
        <w:t> </w:t>
      </w:r>
      <w:r>
        <w:rPr>
          <w:sz w:val="24"/>
        </w:rPr>
        <w:t>contratti</w:t>
      </w:r>
      <w:r>
        <w:rPr>
          <w:spacing w:val="48"/>
          <w:sz w:val="24"/>
        </w:rPr>
        <w:t> </w:t>
      </w:r>
      <w:r>
        <w:rPr>
          <w:sz w:val="24"/>
        </w:rPr>
        <w:t>di</w:t>
      </w:r>
      <w:r>
        <w:rPr>
          <w:spacing w:val="49"/>
          <w:sz w:val="24"/>
        </w:rPr>
        <w:t> </w:t>
      </w:r>
      <w:r>
        <w:rPr>
          <w:sz w:val="24"/>
        </w:rPr>
        <w:t>natura</w:t>
      </w:r>
      <w:r>
        <w:rPr>
          <w:spacing w:val="49"/>
          <w:sz w:val="24"/>
        </w:rPr>
        <w:t> </w:t>
      </w:r>
      <w:r>
        <w:rPr>
          <w:sz w:val="24"/>
        </w:rPr>
        <w:t>per</w:t>
      </w:r>
      <w:r>
        <w:rPr>
          <w:spacing w:val="49"/>
          <w:sz w:val="24"/>
        </w:rPr>
        <w:t> </w:t>
      </w:r>
      <w:r>
        <w:rPr>
          <w:sz w:val="24"/>
        </w:rPr>
        <w:t>lo</w:t>
      </w:r>
      <w:r>
        <w:rPr>
          <w:spacing w:val="49"/>
          <w:sz w:val="24"/>
        </w:rPr>
        <w:t> </w:t>
      </w:r>
      <w:r>
        <w:rPr>
          <w:sz w:val="24"/>
        </w:rPr>
        <w:t>più</w:t>
      </w:r>
      <w:r>
        <w:rPr>
          <w:spacing w:val="49"/>
          <w:sz w:val="24"/>
        </w:rPr>
        <w:t> </w:t>
      </w:r>
      <w:r>
        <w:rPr>
          <w:sz w:val="24"/>
        </w:rPr>
        <w:t>commerciale</w:t>
      </w:r>
      <w:r>
        <w:rPr>
          <w:spacing w:val="49"/>
          <w:sz w:val="24"/>
        </w:rPr>
        <w:t> </w:t>
      </w:r>
      <w:r>
        <w:rPr>
          <w:sz w:val="24"/>
        </w:rPr>
        <w:t>tutt’ora</w:t>
      </w:r>
      <w:r>
        <w:rPr>
          <w:spacing w:val="49"/>
          <w:sz w:val="24"/>
        </w:rPr>
        <w:t> </w:t>
      </w:r>
      <w:r>
        <w:rPr>
          <w:sz w:val="24"/>
        </w:rPr>
        <w:t>in</w:t>
      </w:r>
      <w:r>
        <w:rPr>
          <w:spacing w:val="49"/>
          <w:sz w:val="24"/>
        </w:rPr>
        <w:t> </w:t>
      </w:r>
      <w:r>
        <w:rPr>
          <w:sz w:val="24"/>
        </w:rPr>
        <w:t>corso</w:t>
      </w:r>
      <w:r>
        <w:rPr>
          <w:spacing w:val="49"/>
          <w:sz w:val="24"/>
        </w:rPr>
        <w:t> </w:t>
      </w:r>
      <w:r>
        <w:rPr>
          <w:sz w:val="24"/>
        </w:rPr>
        <w:t>di</w:t>
      </w:r>
    </w:p>
    <w:p>
      <w:pPr>
        <w:spacing w:after="0" w:line="477"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138" w:right="1413"/>
        <w:jc w:val="both"/>
      </w:pPr>
      <w:r>
        <w:rPr/>
        <w:t>esecuzione e supporto alla struttura amministrativa della Società nella verifica delle risposte pervenute alle lettere di circolarizzazione inviate dalla Società al fine di accertare i saldi creditori e debitori risultanti dalle scritture contabili con riferimento alla data del 15 ottobre 2017 dei principali fatti gestionali, ricognizione dei numerosi contratti e supporto alla struttura amministrativa della Società.</w:t>
      </w:r>
    </w:p>
    <w:p>
      <w:pPr>
        <w:pStyle w:val="BodyText"/>
        <w:rPr>
          <w:sz w:val="26"/>
        </w:rPr>
      </w:pPr>
    </w:p>
    <w:p>
      <w:pPr>
        <w:pStyle w:val="BodyText"/>
        <w:rPr>
          <w:sz w:val="22"/>
        </w:rPr>
      </w:pPr>
    </w:p>
    <w:p>
      <w:pPr>
        <w:pStyle w:val="BodyText"/>
        <w:spacing w:line="480" w:lineRule="auto"/>
        <w:ind w:left="1418" w:right="1518"/>
      </w:pPr>
      <w:r>
        <w:rPr/>
        <w:t>I sottoscritti hanno inoltre costantemente interpellato la struttura amministrativa della società, rappresentata da Marco Toselli, Sara Milani, Francesco Straccamore e Francesco Zagarese.</w:t>
      </w:r>
    </w:p>
    <w:p>
      <w:pPr>
        <w:pStyle w:val="BodyText"/>
        <w:spacing w:line="480" w:lineRule="auto"/>
        <w:ind w:left="1418" w:right="1413"/>
        <w:jc w:val="both"/>
      </w:pPr>
      <w:r>
        <w:rPr/>
        <w:t>Da ultimo, gli scriventi si sono sempre tenuti a disposizione dei Commissari Giudiziali per eventuali esigenze di approfondimento di questi ultimi in ordine all’avanzamento dei lavori ed alle eventuali criticità incontrate.</w:t>
      </w:r>
    </w:p>
    <w:p>
      <w:pPr>
        <w:pStyle w:val="Heading2"/>
        <w:numPr>
          <w:ilvl w:val="1"/>
          <w:numId w:val="3"/>
        </w:numPr>
        <w:tabs>
          <w:tab w:pos="2127" w:val="left" w:leader="none"/>
        </w:tabs>
        <w:spacing w:line="240" w:lineRule="auto" w:before="200" w:after="0"/>
        <w:ind w:left="2126" w:right="0" w:hanging="708"/>
        <w:jc w:val="both"/>
      </w:pPr>
      <w:bookmarkStart w:name="_bookmark4" w:id="9"/>
      <w:bookmarkEnd w:id="9"/>
      <w:r>
        <w:rPr>
          <w:b w:val="0"/>
        </w:rPr>
      </w:r>
      <w:bookmarkStart w:name="_bookmark4" w:id="10"/>
      <w:bookmarkEnd w:id="10"/>
      <w:r>
        <w:rPr/>
        <w:t>LA</w:t>
      </w:r>
      <w:r>
        <w:rPr/>
        <w:t> DOCUMENTAZIONE</w:t>
      </w:r>
      <w:r>
        <w:rPr>
          <w:spacing w:val="-17"/>
        </w:rPr>
        <w:t> </w:t>
      </w:r>
      <w:r>
        <w:rPr/>
        <w:t>ESAMINATA</w:t>
      </w:r>
    </w:p>
    <w:p>
      <w:pPr>
        <w:pStyle w:val="BodyText"/>
        <w:rPr>
          <w:b/>
        </w:rPr>
      </w:pPr>
    </w:p>
    <w:p>
      <w:pPr>
        <w:pStyle w:val="ListParagraph"/>
        <w:numPr>
          <w:ilvl w:val="0"/>
          <w:numId w:val="6"/>
        </w:numPr>
        <w:tabs>
          <w:tab w:pos="1703" w:val="left" w:leader="none"/>
        </w:tabs>
        <w:spacing w:line="240" w:lineRule="auto" w:before="0" w:after="0"/>
        <w:ind w:left="1702" w:right="0" w:hanging="284"/>
        <w:jc w:val="both"/>
        <w:rPr>
          <w:sz w:val="24"/>
        </w:rPr>
      </w:pPr>
      <w:r>
        <w:rPr>
          <w:sz w:val="24"/>
        </w:rPr>
        <w:t>Verbale del Consiglio d’amministrazione ai sensi dell’art.152 L.F. del 13 ottobre</w:t>
      </w:r>
      <w:r>
        <w:rPr>
          <w:spacing w:val="-11"/>
          <w:sz w:val="24"/>
        </w:rPr>
        <w:t> </w:t>
      </w:r>
      <w:r>
        <w:rPr>
          <w:sz w:val="24"/>
        </w:rPr>
        <w:t>2017;</w:t>
      </w:r>
    </w:p>
    <w:p>
      <w:pPr>
        <w:pStyle w:val="BodyText"/>
        <w:spacing w:before="8"/>
        <w:rPr>
          <w:sz w:val="23"/>
        </w:rPr>
      </w:pPr>
    </w:p>
    <w:p>
      <w:pPr>
        <w:pStyle w:val="ListParagraph"/>
        <w:numPr>
          <w:ilvl w:val="0"/>
          <w:numId w:val="6"/>
        </w:numPr>
        <w:tabs>
          <w:tab w:pos="1703" w:val="left" w:leader="none"/>
        </w:tabs>
        <w:spacing w:line="240" w:lineRule="auto" w:before="1" w:after="0"/>
        <w:ind w:left="1702" w:right="0" w:hanging="284"/>
        <w:jc w:val="both"/>
        <w:rPr>
          <w:sz w:val="24"/>
        </w:rPr>
      </w:pPr>
      <w:r>
        <w:rPr>
          <w:sz w:val="24"/>
        </w:rPr>
        <w:t>Verbali del Consiglio d’amministrazione di Biochemtex dal 2013 al</w:t>
      </w:r>
      <w:r>
        <w:rPr>
          <w:spacing w:val="-18"/>
          <w:sz w:val="24"/>
        </w:rPr>
        <w:t> </w:t>
      </w:r>
      <w:r>
        <w:rPr>
          <w:sz w:val="24"/>
        </w:rPr>
        <w:t>2017;</w:t>
      </w:r>
    </w:p>
    <w:p>
      <w:pPr>
        <w:pStyle w:val="BodyText"/>
      </w:pPr>
    </w:p>
    <w:p>
      <w:pPr>
        <w:pStyle w:val="ListParagraph"/>
        <w:numPr>
          <w:ilvl w:val="0"/>
          <w:numId w:val="6"/>
        </w:numPr>
        <w:tabs>
          <w:tab w:pos="1703" w:val="left" w:leader="none"/>
        </w:tabs>
        <w:spacing w:line="240" w:lineRule="auto" w:before="0" w:after="0"/>
        <w:ind w:left="1702" w:right="0" w:hanging="284"/>
        <w:jc w:val="both"/>
        <w:rPr>
          <w:sz w:val="24"/>
        </w:rPr>
      </w:pPr>
      <w:r>
        <w:rPr>
          <w:sz w:val="24"/>
        </w:rPr>
        <w:t>Verbali del Consiglio d’amministrazione di Biochemtex SpA dal 2015 al</w:t>
      </w:r>
      <w:r>
        <w:rPr>
          <w:spacing w:val="-17"/>
          <w:sz w:val="24"/>
        </w:rPr>
        <w:t> </w:t>
      </w:r>
      <w:r>
        <w:rPr>
          <w:sz w:val="24"/>
        </w:rPr>
        <w:t>2017;</w:t>
      </w:r>
    </w:p>
    <w:p>
      <w:pPr>
        <w:pStyle w:val="BodyText"/>
        <w:spacing w:before="11"/>
        <w:rPr>
          <w:sz w:val="23"/>
        </w:rPr>
      </w:pPr>
    </w:p>
    <w:p>
      <w:pPr>
        <w:pStyle w:val="ListParagraph"/>
        <w:numPr>
          <w:ilvl w:val="0"/>
          <w:numId w:val="6"/>
        </w:numPr>
        <w:tabs>
          <w:tab w:pos="1703" w:val="left" w:leader="none"/>
        </w:tabs>
        <w:spacing w:line="240" w:lineRule="auto" w:before="0" w:after="0"/>
        <w:ind w:left="1702" w:right="0" w:hanging="284"/>
        <w:jc w:val="both"/>
        <w:rPr>
          <w:sz w:val="24"/>
        </w:rPr>
      </w:pPr>
      <w:r>
        <w:rPr>
          <w:sz w:val="24"/>
        </w:rPr>
        <w:t>Verbali del Collegio sindacale dal 2013 al</w:t>
      </w:r>
      <w:r>
        <w:rPr>
          <w:spacing w:val="-8"/>
          <w:sz w:val="24"/>
        </w:rPr>
        <w:t> </w:t>
      </w:r>
      <w:r>
        <w:rPr>
          <w:sz w:val="24"/>
        </w:rPr>
        <w:t>2017;</w:t>
      </w:r>
    </w:p>
    <w:p>
      <w:pPr>
        <w:pStyle w:val="BodyText"/>
        <w:spacing w:before="9"/>
        <w:rPr>
          <w:sz w:val="23"/>
        </w:rPr>
      </w:pPr>
    </w:p>
    <w:p>
      <w:pPr>
        <w:pStyle w:val="ListParagraph"/>
        <w:numPr>
          <w:ilvl w:val="0"/>
          <w:numId w:val="6"/>
        </w:numPr>
        <w:tabs>
          <w:tab w:pos="1703" w:val="left" w:leader="none"/>
        </w:tabs>
        <w:spacing w:line="240" w:lineRule="auto" w:before="0" w:after="0"/>
        <w:ind w:left="1702" w:right="0" w:hanging="284"/>
        <w:jc w:val="both"/>
        <w:rPr>
          <w:sz w:val="24"/>
        </w:rPr>
      </w:pPr>
      <w:r>
        <w:rPr>
          <w:sz w:val="24"/>
        </w:rPr>
        <w:t>Verbali</w:t>
      </w:r>
      <w:r>
        <w:rPr>
          <w:spacing w:val="-3"/>
          <w:sz w:val="24"/>
        </w:rPr>
        <w:t> </w:t>
      </w:r>
      <w:r>
        <w:rPr>
          <w:sz w:val="24"/>
        </w:rPr>
        <w:t>dell’Assemblea;</w:t>
      </w:r>
    </w:p>
    <w:p>
      <w:pPr>
        <w:pStyle w:val="BodyText"/>
      </w:pPr>
    </w:p>
    <w:p>
      <w:pPr>
        <w:pStyle w:val="ListParagraph"/>
        <w:numPr>
          <w:ilvl w:val="0"/>
          <w:numId w:val="6"/>
        </w:numPr>
        <w:tabs>
          <w:tab w:pos="1703" w:val="left" w:leader="none"/>
        </w:tabs>
        <w:spacing w:line="240" w:lineRule="auto" w:before="1" w:after="0"/>
        <w:ind w:left="1702" w:right="0" w:hanging="284"/>
        <w:jc w:val="both"/>
        <w:rPr>
          <w:sz w:val="24"/>
        </w:rPr>
      </w:pPr>
      <w:r>
        <w:rPr>
          <w:sz w:val="24"/>
        </w:rPr>
        <w:t>Statuto;</w:t>
      </w:r>
    </w:p>
    <w:p>
      <w:pPr>
        <w:pStyle w:val="BodyText"/>
      </w:pPr>
    </w:p>
    <w:p>
      <w:pPr>
        <w:pStyle w:val="ListParagraph"/>
        <w:numPr>
          <w:ilvl w:val="0"/>
          <w:numId w:val="6"/>
        </w:numPr>
        <w:tabs>
          <w:tab w:pos="1703" w:val="left" w:leader="none"/>
        </w:tabs>
        <w:spacing w:line="240" w:lineRule="auto" w:before="0" w:after="0"/>
        <w:ind w:left="1702" w:right="0" w:hanging="284"/>
        <w:jc w:val="both"/>
        <w:rPr>
          <w:sz w:val="24"/>
        </w:rPr>
      </w:pPr>
      <w:r>
        <w:rPr>
          <w:sz w:val="24"/>
        </w:rPr>
        <w:t>Atto</w:t>
      </w:r>
      <w:r>
        <w:rPr>
          <w:spacing w:val="-5"/>
          <w:sz w:val="24"/>
        </w:rPr>
        <w:t> </w:t>
      </w:r>
      <w:r>
        <w:rPr>
          <w:sz w:val="24"/>
        </w:rPr>
        <w:t>costitutivo;</w:t>
      </w:r>
    </w:p>
    <w:p>
      <w:pPr>
        <w:pStyle w:val="BodyText"/>
        <w:spacing w:before="11"/>
        <w:rPr>
          <w:sz w:val="23"/>
        </w:rPr>
      </w:pPr>
    </w:p>
    <w:p>
      <w:pPr>
        <w:pStyle w:val="ListParagraph"/>
        <w:numPr>
          <w:ilvl w:val="0"/>
          <w:numId w:val="6"/>
        </w:numPr>
        <w:tabs>
          <w:tab w:pos="1703" w:val="left" w:leader="none"/>
        </w:tabs>
        <w:spacing w:line="472" w:lineRule="auto" w:before="0" w:after="0"/>
        <w:ind w:left="1702" w:right="1418" w:hanging="284"/>
        <w:jc w:val="left"/>
        <w:rPr>
          <w:sz w:val="24"/>
        </w:rPr>
      </w:pPr>
      <w:r>
        <w:rPr>
          <w:sz w:val="24"/>
        </w:rPr>
        <w:t>Domanda prenotativa per l’ammissione alla procedura di concordato preventivo depositata il 16 ottobre 2017 e relativi</w:t>
      </w:r>
      <w:r>
        <w:rPr>
          <w:spacing w:val="-12"/>
          <w:sz w:val="24"/>
        </w:rPr>
        <w:t> </w:t>
      </w:r>
      <w:r>
        <w:rPr>
          <w:sz w:val="24"/>
        </w:rPr>
        <w:t>allegati;</w:t>
      </w:r>
    </w:p>
    <w:p>
      <w:pPr>
        <w:pStyle w:val="ListParagraph"/>
        <w:numPr>
          <w:ilvl w:val="0"/>
          <w:numId w:val="6"/>
        </w:numPr>
        <w:tabs>
          <w:tab w:pos="1703" w:val="left" w:leader="none"/>
        </w:tabs>
        <w:spacing w:line="240" w:lineRule="auto" w:before="6" w:after="0"/>
        <w:ind w:left="1702" w:right="0" w:hanging="284"/>
        <w:jc w:val="both"/>
        <w:rPr>
          <w:sz w:val="24"/>
        </w:rPr>
      </w:pPr>
      <w:r>
        <w:rPr>
          <w:sz w:val="24"/>
        </w:rPr>
        <w:t>Situazioni finanziarie mensili successive alla data di deposito del ricorso</w:t>
      </w:r>
      <w:r>
        <w:rPr>
          <w:spacing w:val="-32"/>
          <w:sz w:val="24"/>
        </w:rPr>
        <w:t> </w:t>
      </w:r>
      <w:r>
        <w:rPr>
          <w:sz w:val="24"/>
        </w:rPr>
        <w:t>prenotativo;</w:t>
      </w:r>
    </w:p>
    <w:p>
      <w:pPr>
        <w:spacing w:after="0" w:line="24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0"/>
          <w:numId w:val="6"/>
        </w:numPr>
        <w:tabs>
          <w:tab w:pos="1703" w:val="left" w:leader="none"/>
        </w:tabs>
        <w:spacing w:line="240" w:lineRule="auto" w:before="100" w:after="0"/>
        <w:ind w:left="1702" w:right="0" w:hanging="284"/>
        <w:jc w:val="both"/>
        <w:rPr>
          <w:sz w:val="24"/>
        </w:rPr>
      </w:pPr>
      <w:r>
        <w:rPr>
          <w:sz w:val="24"/>
        </w:rPr>
        <w:t>Memoria di deposito Piano e Proposta Ai Sensi dell’art. 161 Legge</w:t>
      </w:r>
      <w:r>
        <w:rPr>
          <w:spacing w:val="-16"/>
          <w:sz w:val="24"/>
        </w:rPr>
        <w:t> </w:t>
      </w:r>
      <w:r>
        <w:rPr>
          <w:sz w:val="24"/>
        </w:rPr>
        <w:t>Fall.;</w:t>
      </w:r>
    </w:p>
    <w:p>
      <w:pPr>
        <w:pStyle w:val="BodyText"/>
      </w:pPr>
    </w:p>
    <w:p>
      <w:pPr>
        <w:pStyle w:val="ListParagraph"/>
        <w:numPr>
          <w:ilvl w:val="0"/>
          <w:numId w:val="6"/>
        </w:numPr>
        <w:tabs>
          <w:tab w:pos="1703" w:val="left" w:leader="none"/>
        </w:tabs>
        <w:spacing w:line="240" w:lineRule="auto" w:before="0" w:after="0"/>
        <w:ind w:left="1702" w:right="0" w:hanging="284"/>
        <w:jc w:val="both"/>
        <w:rPr>
          <w:sz w:val="24"/>
        </w:rPr>
      </w:pPr>
      <w:r>
        <w:rPr>
          <w:sz w:val="24"/>
        </w:rPr>
        <w:t>Piano</w:t>
      </w:r>
      <w:r>
        <w:rPr>
          <w:spacing w:val="-9"/>
          <w:sz w:val="24"/>
        </w:rPr>
        <w:t> </w:t>
      </w:r>
      <w:r>
        <w:rPr>
          <w:sz w:val="24"/>
        </w:rPr>
        <w:t>concordatario;</w:t>
      </w:r>
    </w:p>
    <w:p>
      <w:pPr>
        <w:pStyle w:val="BodyText"/>
      </w:pPr>
    </w:p>
    <w:p>
      <w:pPr>
        <w:pStyle w:val="ListParagraph"/>
        <w:numPr>
          <w:ilvl w:val="0"/>
          <w:numId w:val="6"/>
        </w:numPr>
        <w:tabs>
          <w:tab w:pos="1703" w:val="left" w:leader="none"/>
        </w:tabs>
        <w:spacing w:line="240" w:lineRule="auto" w:before="0" w:after="0"/>
        <w:ind w:left="1702" w:right="0" w:hanging="284"/>
        <w:jc w:val="both"/>
        <w:rPr>
          <w:sz w:val="24"/>
        </w:rPr>
      </w:pPr>
      <w:r>
        <w:rPr>
          <w:sz w:val="24"/>
        </w:rPr>
        <w:t>Lettera di incarico conferito a Deloitte dalla società il 16 marzo</w:t>
      </w:r>
      <w:r>
        <w:rPr>
          <w:spacing w:val="-23"/>
          <w:sz w:val="24"/>
        </w:rPr>
        <w:t> </w:t>
      </w:r>
      <w:r>
        <w:rPr>
          <w:sz w:val="24"/>
        </w:rPr>
        <w:t>2018;</w:t>
      </w:r>
    </w:p>
    <w:p>
      <w:pPr>
        <w:pStyle w:val="BodyText"/>
        <w:spacing w:before="9"/>
        <w:rPr>
          <w:sz w:val="23"/>
        </w:rPr>
      </w:pPr>
    </w:p>
    <w:p>
      <w:pPr>
        <w:pStyle w:val="ListParagraph"/>
        <w:numPr>
          <w:ilvl w:val="0"/>
          <w:numId w:val="6"/>
        </w:numPr>
        <w:tabs>
          <w:tab w:pos="1703" w:val="left" w:leader="none"/>
        </w:tabs>
        <w:spacing w:line="240" w:lineRule="auto" w:before="0" w:after="0"/>
        <w:ind w:left="1702" w:right="0" w:hanging="284"/>
        <w:jc w:val="both"/>
        <w:rPr>
          <w:sz w:val="24"/>
        </w:rPr>
      </w:pPr>
      <w:r>
        <w:rPr>
          <w:i/>
          <w:sz w:val="24"/>
        </w:rPr>
        <w:t>Deliverables </w:t>
      </w:r>
      <w:r>
        <w:rPr>
          <w:sz w:val="24"/>
        </w:rPr>
        <w:t>Deloitte Financial Advisory Srl consegnatici dal management della</w:t>
      </w:r>
      <w:r>
        <w:rPr>
          <w:spacing w:val="-23"/>
          <w:sz w:val="24"/>
        </w:rPr>
        <w:t> </w:t>
      </w:r>
      <w:r>
        <w:rPr>
          <w:sz w:val="24"/>
        </w:rPr>
        <w:t>società;</w:t>
      </w:r>
    </w:p>
    <w:p>
      <w:pPr>
        <w:pStyle w:val="BodyText"/>
      </w:pPr>
    </w:p>
    <w:p>
      <w:pPr>
        <w:pStyle w:val="ListParagraph"/>
        <w:numPr>
          <w:ilvl w:val="0"/>
          <w:numId w:val="6"/>
        </w:numPr>
        <w:tabs>
          <w:tab w:pos="1703" w:val="left" w:leader="none"/>
        </w:tabs>
        <w:spacing w:line="240" w:lineRule="auto" w:before="0" w:after="0"/>
        <w:ind w:left="1702" w:right="0" w:hanging="284"/>
        <w:jc w:val="both"/>
        <w:rPr>
          <w:sz w:val="24"/>
        </w:rPr>
      </w:pPr>
      <w:r>
        <w:rPr>
          <w:sz w:val="24"/>
        </w:rPr>
        <w:t>Bilanci Biochemtex SpA relativi agli esercizi 2012, 2013, 2014, 2015 e</w:t>
      </w:r>
      <w:r>
        <w:rPr>
          <w:spacing w:val="-19"/>
          <w:sz w:val="24"/>
        </w:rPr>
        <w:t> </w:t>
      </w:r>
      <w:r>
        <w:rPr>
          <w:sz w:val="24"/>
        </w:rPr>
        <w:t>2016;</w:t>
      </w:r>
    </w:p>
    <w:p>
      <w:pPr>
        <w:pStyle w:val="BodyText"/>
      </w:pPr>
    </w:p>
    <w:p>
      <w:pPr>
        <w:pStyle w:val="ListParagraph"/>
        <w:numPr>
          <w:ilvl w:val="0"/>
          <w:numId w:val="6"/>
        </w:numPr>
        <w:tabs>
          <w:tab w:pos="1703" w:val="left" w:leader="none"/>
        </w:tabs>
        <w:spacing w:line="240" w:lineRule="auto" w:before="0" w:after="0"/>
        <w:ind w:left="1702" w:right="0" w:hanging="284"/>
        <w:jc w:val="both"/>
        <w:rPr>
          <w:sz w:val="24"/>
        </w:rPr>
      </w:pPr>
      <w:r>
        <w:rPr>
          <w:sz w:val="24"/>
        </w:rPr>
        <w:t>Bilancio di verifica al 15 ottobre</w:t>
      </w:r>
      <w:r>
        <w:rPr>
          <w:spacing w:val="-13"/>
          <w:sz w:val="24"/>
        </w:rPr>
        <w:t> </w:t>
      </w:r>
      <w:r>
        <w:rPr>
          <w:sz w:val="24"/>
        </w:rPr>
        <w:t>2017;</w:t>
      </w:r>
    </w:p>
    <w:p>
      <w:pPr>
        <w:pStyle w:val="BodyText"/>
        <w:spacing w:before="11"/>
        <w:rPr>
          <w:sz w:val="23"/>
        </w:rPr>
      </w:pPr>
    </w:p>
    <w:p>
      <w:pPr>
        <w:pStyle w:val="ListParagraph"/>
        <w:numPr>
          <w:ilvl w:val="0"/>
          <w:numId w:val="6"/>
        </w:numPr>
        <w:tabs>
          <w:tab w:pos="1703" w:val="left" w:leader="none"/>
        </w:tabs>
        <w:spacing w:line="240" w:lineRule="auto" w:before="0" w:after="0"/>
        <w:ind w:left="1702" w:right="0" w:hanging="284"/>
        <w:jc w:val="both"/>
        <w:rPr>
          <w:sz w:val="24"/>
        </w:rPr>
      </w:pPr>
      <w:r>
        <w:rPr>
          <w:sz w:val="24"/>
        </w:rPr>
        <w:t>Carte di lavoro a supporto della verifica di veridicità dei dati di</w:t>
      </w:r>
      <w:r>
        <w:rPr>
          <w:spacing w:val="-28"/>
          <w:sz w:val="24"/>
        </w:rPr>
        <w:t> </w:t>
      </w:r>
      <w:r>
        <w:rPr>
          <w:sz w:val="24"/>
        </w:rPr>
        <w:t>partenza;</w:t>
      </w:r>
    </w:p>
    <w:p>
      <w:pPr>
        <w:pStyle w:val="BodyText"/>
        <w:spacing w:before="9"/>
        <w:rPr>
          <w:sz w:val="23"/>
        </w:rPr>
      </w:pPr>
    </w:p>
    <w:p>
      <w:pPr>
        <w:pStyle w:val="ListParagraph"/>
        <w:numPr>
          <w:ilvl w:val="0"/>
          <w:numId w:val="6"/>
        </w:numPr>
        <w:tabs>
          <w:tab w:pos="1703" w:val="left" w:leader="none"/>
        </w:tabs>
        <w:spacing w:line="240" w:lineRule="auto" w:before="0" w:after="0"/>
        <w:ind w:left="1702" w:right="0" w:hanging="284"/>
        <w:jc w:val="both"/>
        <w:rPr>
          <w:sz w:val="24"/>
        </w:rPr>
      </w:pPr>
      <w:r>
        <w:rPr>
          <w:sz w:val="24"/>
        </w:rPr>
        <w:t>Relazioni finanziarie</w:t>
      </w:r>
      <w:r>
        <w:rPr>
          <w:spacing w:val="-14"/>
          <w:sz w:val="24"/>
        </w:rPr>
        <w:t> </w:t>
      </w:r>
      <w:r>
        <w:rPr>
          <w:sz w:val="24"/>
        </w:rPr>
        <w:t>mensili;</w:t>
      </w:r>
    </w:p>
    <w:p>
      <w:pPr>
        <w:pStyle w:val="BodyText"/>
        <w:spacing w:before="2"/>
      </w:pPr>
    </w:p>
    <w:p>
      <w:pPr>
        <w:pStyle w:val="ListParagraph"/>
        <w:numPr>
          <w:ilvl w:val="0"/>
          <w:numId w:val="6"/>
        </w:numPr>
        <w:tabs>
          <w:tab w:pos="1703" w:val="left" w:leader="none"/>
        </w:tabs>
        <w:spacing w:line="240" w:lineRule="auto" w:before="0" w:after="0"/>
        <w:ind w:left="1702" w:right="0" w:hanging="284"/>
        <w:jc w:val="both"/>
        <w:rPr>
          <w:sz w:val="24"/>
        </w:rPr>
      </w:pPr>
      <w:r>
        <w:rPr>
          <w:sz w:val="24"/>
        </w:rPr>
        <w:t>Contratti Attivi e</w:t>
      </w:r>
      <w:r>
        <w:rPr>
          <w:spacing w:val="-10"/>
          <w:sz w:val="24"/>
        </w:rPr>
        <w:t> </w:t>
      </w:r>
      <w:r>
        <w:rPr>
          <w:sz w:val="24"/>
        </w:rPr>
        <w:t>Passivi.</w:t>
      </w:r>
    </w:p>
    <w:p>
      <w:pPr>
        <w:pStyle w:val="BodyText"/>
        <w:spacing w:before="7"/>
        <w:rPr>
          <w:sz w:val="41"/>
        </w:rPr>
      </w:pPr>
    </w:p>
    <w:p>
      <w:pPr>
        <w:pStyle w:val="Heading2"/>
        <w:numPr>
          <w:ilvl w:val="1"/>
          <w:numId w:val="3"/>
        </w:numPr>
        <w:tabs>
          <w:tab w:pos="2127" w:val="left" w:leader="none"/>
        </w:tabs>
        <w:spacing w:line="240" w:lineRule="auto" w:before="0" w:after="0"/>
        <w:ind w:left="2126" w:right="0" w:hanging="708"/>
        <w:jc w:val="both"/>
      </w:pPr>
      <w:bookmarkStart w:name="_bookmark5" w:id="11"/>
      <w:bookmarkEnd w:id="11"/>
      <w:r>
        <w:rPr>
          <w:b w:val="0"/>
        </w:rPr>
      </w:r>
      <w:bookmarkStart w:name="_bookmark5" w:id="12"/>
      <w:bookmarkEnd w:id="12"/>
      <w:r>
        <w:rPr/>
        <w:t>D</w:t>
      </w:r>
      <w:r>
        <w:rPr/>
        <w:t>ATI</w:t>
      </w:r>
      <w:r>
        <w:rPr>
          <w:spacing w:val="-4"/>
        </w:rPr>
        <w:t> </w:t>
      </w:r>
      <w:r>
        <w:rPr/>
        <w:t>SOCIETARI</w:t>
      </w:r>
      <w:r>
        <w:rPr>
          <w:color w:val="4F81BC"/>
        </w:rPr>
        <w:t>.</w:t>
      </w:r>
    </w:p>
    <w:p>
      <w:pPr>
        <w:pStyle w:val="BodyText"/>
        <w:rPr>
          <w:b/>
          <w:sz w:val="26"/>
        </w:rPr>
      </w:pPr>
    </w:p>
    <w:p>
      <w:pPr>
        <w:pStyle w:val="Heading2"/>
        <w:numPr>
          <w:ilvl w:val="2"/>
          <w:numId w:val="3"/>
        </w:numPr>
        <w:tabs>
          <w:tab w:pos="2127" w:val="left" w:leader="none"/>
        </w:tabs>
        <w:spacing w:line="240" w:lineRule="auto" w:before="177" w:after="0"/>
        <w:ind w:left="2126" w:right="0" w:hanging="708"/>
        <w:jc w:val="both"/>
      </w:pPr>
      <w:bookmarkStart w:name="_bookmark6" w:id="13"/>
      <w:bookmarkEnd w:id="13"/>
      <w:r>
        <w:rPr>
          <w:b w:val="0"/>
        </w:rPr>
      </w:r>
      <w:bookmarkStart w:name="_bookmark6" w:id="14"/>
      <w:bookmarkEnd w:id="14"/>
      <w:r>
        <w:rPr/>
        <w:t>Sed</w:t>
      </w:r>
      <w:r>
        <w:rPr/>
        <w:t>e e oggetto</w:t>
      </w:r>
      <w:r>
        <w:rPr>
          <w:spacing w:val="-13"/>
        </w:rPr>
        <w:t> </w:t>
      </w:r>
      <w:r>
        <w:rPr/>
        <w:t>Sociale</w:t>
      </w:r>
    </w:p>
    <w:p>
      <w:pPr>
        <w:pStyle w:val="BodyText"/>
        <w:rPr>
          <w:b/>
        </w:rPr>
      </w:pPr>
    </w:p>
    <w:p>
      <w:pPr>
        <w:pStyle w:val="BodyText"/>
        <w:spacing w:line="480" w:lineRule="auto"/>
        <w:ind w:left="1418" w:right="1410"/>
        <w:jc w:val="both"/>
      </w:pPr>
      <w:r>
        <w:rPr/>
        <w:t>BioChemtex S.p.A. ha sede legale in Tortona (AL) Strada Ribrocca 11 CAP 15057, iscritta al Registro delle Imprese di Alessandria, codice fiscale 04740320967, Partita IVA 04740320967 n. REA AL – 224380 ed un capitale sociale pari ad Euro 10.000.000 interamente versato. Vengono riportati, di seguito, i dati societari di Biochemtex ritenuti di maggior interesse e risultanti dal certificato camerale della C.C.I.A.A. di Alessandria:</w:t>
      </w:r>
    </w:p>
    <w:p>
      <w:pPr>
        <w:pStyle w:val="ListParagraph"/>
        <w:numPr>
          <w:ilvl w:val="0"/>
          <w:numId w:val="6"/>
        </w:numPr>
        <w:tabs>
          <w:tab w:pos="2127" w:val="left" w:leader="none"/>
        </w:tabs>
        <w:spacing w:line="277" w:lineRule="exact" w:before="0" w:after="0"/>
        <w:ind w:left="2126" w:right="0" w:hanging="708"/>
        <w:jc w:val="both"/>
        <w:rPr>
          <w:sz w:val="24"/>
        </w:rPr>
      </w:pPr>
      <w:r>
        <w:rPr>
          <w:sz w:val="24"/>
        </w:rPr>
        <w:t>Denominazione sociale: BioChemtex</w:t>
      </w:r>
      <w:r>
        <w:rPr>
          <w:spacing w:val="-11"/>
          <w:sz w:val="24"/>
        </w:rPr>
        <w:t> </w:t>
      </w:r>
      <w:r>
        <w:rPr>
          <w:sz w:val="24"/>
        </w:rPr>
        <w:t>S.p.A.;</w:t>
      </w:r>
    </w:p>
    <w:p>
      <w:pPr>
        <w:pStyle w:val="BodyText"/>
        <w:spacing w:before="1"/>
      </w:pPr>
    </w:p>
    <w:p>
      <w:pPr>
        <w:pStyle w:val="ListParagraph"/>
        <w:numPr>
          <w:ilvl w:val="0"/>
          <w:numId w:val="6"/>
        </w:numPr>
        <w:tabs>
          <w:tab w:pos="2127" w:val="left" w:leader="none"/>
        </w:tabs>
        <w:spacing w:line="240" w:lineRule="auto" w:before="0" w:after="0"/>
        <w:ind w:left="2126" w:right="0" w:hanging="708"/>
        <w:jc w:val="both"/>
        <w:rPr>
          <w:sz w:val="24"/>
        </w:rPr>
      </w:pPr>
      <w:r>
        <w:rPr>
          <w:sz w:val="24"/>
        </w:rPr>
        <w:t>Forma giuridica: Società per</w:t>
      </w:r>
      <w:r>
        <w:rPr>
          <w:spacing w:val="-10"/>
          <w:sz w:val="24"/>
        </w:rPr>
        <w:t> </w:t>
      </w:r>
      <w:r>
        <w:rPr>
          <w:sz w:val="24"/>
        </w:rPr>
        <w:t>Azioni;</w:t>
      </w:r>
    </w:p>
    <w:p>
      <w:pPr>
        <w:pStyle w:val="BodyText"/>
      </w:pPr>
    </w:p>
    <w:p>
      <w:pPr>
        <w:pStyle w:val="ListParagraph"/>
        <w:numPr>
          <w:ilvl w:val="0"/>
          <w:numId w:val="6"/>
        </w:numPr>
        <w:tabs>
          <w:tab w:pos="2127" w:val="left" w:leader="none"/>
        </w:tabs>
        <w:spacing w:line="240" w:lineRule="auto" w:before="0" w:after="0"/>
        <w:ind w:left="2126" w:right="0" w:hanging="708"/>
        <w:jc w:val="both"/>
        <w:rPr>
          <w:sz w:val="24"/>
        </w:rPr>
      </w:pPr>
      <w:r>
        <w:rPr>
          <w:sz w:val="24"/>
        </w:rPr>
        <w:t>Sede legale: Tortona</w:t>
      </w:r>
      <w:r>
        <w:rPr>
          <w:spacing w:val="-9"/>
          <w:sz w:val="24"/>
        </w:rPr>
        <w:t> </w:t>
      </w:r>
      <w:r>
        <w:rPr>
          <w:sz w:val="24"/>
        </w:rPr>
        <w:t>(AL)</w:t>
      </w:r>
    </w:p>
    <w:p>
      <w:pPr>
        <w:pStyle w:val="BodyText"/>
        <w:spacing w:before="9"/>
        <w:rPr>
          <w:sz w:val="23"/>
        </w:rPr>
      </w:pPr>
    </w:p>
    <w:p>
      <w:pPr>
        <w:pStyle w:val="ListParagraph"/>
        <w:numPr>
          <w:ilvl w:val="0"/>
          <w:numId w:val="6"/>
        </w:numPr>
        <w:tabs>
          <w:tab w:pos="2127" w:val="left" w:leader="none"/>
        </w:tabs>
        <w:spacing w:line="240" w:lineRule="auto" w:before="0" w:after="0"/>
        <w:ind w:left="2126" w:right="0" w:hanging="708"/>
        <w:jc w:val="both"/>
        <w:rPr>
          <w:sz w:val="24"/>
        </w:rPr>
      </w:pPr>
      <w:r>
        <w:rPr>
          <w:sz w:val="24"/>
        </w:rPr>
        <w:t>Codice fiscale:</w:t>
      </w:r>
      <w:r>
        <w:rPr>
          <w:spacing w:val="-9"/>
          <w:sz w:val="24"/>
        </w:rPr>
        <w:t> </w:t>
      </w:r>
      <w:r>
        <w:rPr>
          <w:sz w:val="24"/>
        </w:rPr>
        <w:t>04740320967</w:t>
      </w:r>
    </w:p>
    <w:p>
      <w:pPr>
        <w:pStyle w:val="BodyText"/>
      </w:pPr>
    </w:p>
    <w:p>
      <w:pPr>
        <w:pStyle w:val="BodyText"/>
        <w:ind w:left="1418"/>
        <w:jc w:val="both"/>
      </w:pPr>
      <w:r>
        <w:rPr>
          <w:rFonts w:ascii="Wingdings" w:hAnsi="Wingdings"/>
        </w:rPr>
        <w:t></w:t>
      </w:r>
      <w:r>
        <w:rPr>
          <w:rFonts w:ascii="Times New Roman" w:hAnsi="Times New Roman"/>
        </w:rPr>
        <w:t>         </w:t>
      </w:r>
      <w:r>
        <w:rPr/>
        <w:t>Partita Iva: 04740320967</w:t>
      </w:r>
    </w:p>
    <w:p>
      <w:pPr>
        <w:pStyle w:val="BodyText"/>
      </w:pPr>
    </w:p>
    <w:p>
      <w:pPr>
        <w:pStyle w:val="BodyText"/>
        <w:ind w:left="1418"/>
        <w:jc w:val="both"/>
      </w:pPr>
      <w:r>
        <w:rPr>
          <w:rFonts w:ascii="Wingdings" w:hAnsi="Wingdings"/>
        </w:rPr>
        <w:t></w:t>
      </w:r>
      <w:r>
        <w:rPr>
          <w:rFonts w:ascii="Times New Roman" w:hAnsi="Times New Roman"/>
        </w:rPr>
        <w:t>         </w:t>
      </w:r>
      <w:r>
        <w:rPr/>
        <w:t>R.E.A.: AL224380</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0"/>
          <w:numId w:val="6"/>
        </w:numPr>
        <w:tabs>
          <w:tab w:pos="2126" w:val="left" w:leader="none"/>
          <w:tab w:pos="2127" w:val="left" w:leader="none"/>
        </w:tabs>
        <w:spacing w:line="240" w:lineRule="auto" w:before="100" w:after="0"/>
        <w:ind w:left="2126" w:right="0" w:hanging="708"/>
        <w:jc w:val="left"/>
        <w:rPr>
          <w:sz w:val="24"/>
        </w:rPr>
      </w:pPr>
      <w:r>
        <w:rPr>
          <w:sz w:val="24"/>
        </w:rPr>
        <w:t>Capitale sociale: Euro 10.000.000</w:t>
      </w:r>
      <w:r>
        <w:rPr>
          <w:spacing w:val="-11"/>
          <w:sz w:val="24"/>
        </w:rPr>
        <w:t> </w:t>
      </w:r>
      <w:r>
        <w:rPr>
          <w:sz w:val="24"/>
        </w:rPr>
        <w:t>i.v.</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Durata: fino al</w:t>
      </w:r>
      <w:r>
        <w:rPr>
          <w:spacing w:val="-6"/>
          <w:sz w:val="24"/>
        </w:rPr>
        <w:t> </w:t>
      </w:r>
      <w:r>
        <w:rPr>
          <w:sz w:val="24"/>
        </w:rPr>
        <w:t>31.12.2050</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Organi societari: Consiglio di Amministrazione, Collegio</w:t>
      </w:r>
      <w:r>
        <w:rPr>
          <w:spacing w:val="-26"/>
          <w:sz w:val="24"/>
        </w:rPr>
        <w:t> </w:t>
      </w:r>
      <w:r>
        <w:rPr>
          <w:sz w:val="24"/>
        </w:rPr>
        <w:t>Sindacale</w:t>
      </w:r>
    </w:p>
    <w:p>
      <w:pPr>
        <w:pStyle w:val="BodyText"/>
        <w:spacing w:before="9"/>
        <w:rPr>
          <w:sz w:val="23"/>
        </w:rPr>
      </w:pPr>
    </w:p>
    <w:p>
      <w:pPr>
        <w:pStyle w:val="ListParagraph"/>
        <w:numPr>
          <w:ilvl w:val="0"/>
          <w:numId w:val="6"/>
        </w:numPr>
        <w:tabs>
          <w:tab w:pos="2126" w:val="left" w:leader="none"/>
          <w:tab w:pos="2127" w:val="left" w:leader="none"/>
        </w:tabs>
        <w:spacing w:line="475" w:lineRule="auto" w:before="0" w:after="0"/>
        <w:ind w:left="1418" w:right="4961" w:firstLine="0"/>
        <w:jc w:val="left"/>
        <w:rPr>
          <w:sz w:val="24"/>
        </w:rPr>
      </w:pPr>
      <w:r>
        <w:rPr>
          <w:sz w:val="24"/>
        </w:rPr>
        <w:t>Revisione dei Conti: Reconta Ernst &amp; Young S.p.A. Biochemtex S.p.A. ha per oggetto sociale, in</w:t>
      </w:r>
      <w:r>
        <w:rPr>
          <w:spacing w:val="-28"/>
          <w:sz w:val="24"/>
        </w:rPr>
        <w:t> </w:t>
      </w:r>
      <w:r>
        <w:rPr>
          <w:sz w:val="24"/>
        </w:rPr>
        <w:t>particolare:</w:t>
      </w:r>
    </w:p>
    <w:p>
      <w:pPr>
        <w:spacing w:line="480" w:lineRule="auto" w:before="6"/>
        <w:ind w:left="1418" w:right="1518" w:firstLine="0"/>
        <w:jc w:val="left"/>
        <w:rPr>
          <w:i/>
          <w:sz w:val="24"/>
        </w:rPr>
      </w:pPr>
      <w:r>
        <w:rPr>
          <w:sz w:val="24"/>
        </w:rPr>
        <w:t>“</w:t>
      </w:r>
      <w:r>
        <w:rPr>
          <w:i/>
          <w:sz w:val="24"/>
        </w:rPr>
        <w:t>A) lo studio, la progettazione, la fabbricazione, la manutenzione, la compravendita e la permuta di impianti, </w:t>
      </w:r>
      <w:r>
        <w:rPr>
          <w:i/>
          <w:sz w:val="24"/>
        </w:rPr>
        <w:t>macchinari ed attrezzatura per i settori chimico, meccanico e delle materie platiche;</w:t>
      </w:r>
    </w:p>
    <w:p>
      <w:pPr>
        <w:pStyle w:val="ListParagraph"/>
        <w:numPr>
          <w:ilvl w:val="0"/>
          <w:numId w:val="7"/>
        </w:numPr>
        <w:tabs>
          <w:tab w:pos="1714" w:val="left" w:leader="none"/>
        </w:tabs>
        <w:spacing w:line="480" w:lineRule="auto" w:before="0" w:after="0"/>
        <w:ind w:left="1418" w:right="1414" w:firstLine="0"/>
        <w:jc w:val="left"/>
        <w:rPr>
          <w:i/>
          <w:sz w:val="24"/>
        </w:rPr>
      </w:pPr>
      <w:r>
        <w:rPr>
          <w:i/>
          <w:sz w:val="24"/>
        </w:rPr>
        <w:t>l’installazione e l’assistenza all’installazione di impianti, macchinari ed attrezzatura per i settori chimico, </w:t>
      </w:r>
      <w:r>
        <w:rPr>
          <w:i/>
          <w:sz w:val="24"/>
        </w:rPr>
        <w:t>meccanico e delle materie</w:t>
      </w:r>
      <w:r>
        <w:rPr>
          <w:i/>
          <w:spacing w:val="-16"/>
          <w:sz w:val="24"/>
        </w:rPr>
        <w:t> </w:t>
      </w:r>
      <w:r>
        <w:rPr>
          <w:i/>
          <w:sz w:val="24"/>
        </w:rPr>
        <w:t>platiche;</w:t>
      </w:r>
    </w:p>
    <w:p>
      <w:pPr>
        <w:pStyle w:val="ListParagraph"/>
        <w:numPr>
          <w:ilvl w:val="0"/>
          <w:numId w:val="7"/>
        </w:numPr>
        <w:tabs>
          <w:tab w:pos="1695" w:val="left" w:leader="none"/>
        </w:tabs>
        <w:spacing w:line="240" w:lineRule="auto" w:before="0" w:after="0"/>
        <w:ind w:left="1694" w:right="0" w:hanging="276"/>
        <w:jc w:val="left"/>
        <w:rPr>
          <w:i/>
          <w:sz w:val="24"/>
        </w:rPr>
      </w:pPr>
      <w:r>
        <w:rPr>
          <w:i/>
          <w:sz w:val="24"/>
        </w:rPr>
        <w:t>la prestazione di consulenza industriale e/o</w:t>
      </w:r>
      <w:r>
        <w:rPr>
          <w:i/>
          <w:spacing w:val="-19"/>
          <w:sz w:val="24"/>
        </w:rPr>
        <w:t> </w:t>
      </w:r>
      <w:r>
        <w:rPr>
          <w:i/>
          <w:sz w:val="24"/>
        </w:rPr>
        <w:t>commerciale;</w:t>
      </w:r>
    </w:p>
    <w:p>
      <w:pPr>
        <w:pStyle w:val="BodyText"/>
        <w:rPr>
          <w:i/>
        </w:rPr>
      </w:pPr>
    </w:p>
    <w:p>
      <w:pPr>
        <w:pStyle w:val="ListParagraph"/>
        <w:numPr>
          <w:ilvl w:val="0"/>
          <w:numId w:val="7"/>
        </w:numPr>
        <w:tabs>
          <w:tab w:pos="1719" w:val="left" w:leader="none"/>
        </w:tabs>
        <w:spacing w:line="240" w:lineRule="auto" w:before="0" w:after="0"/>
        <w:ind w:left="1718" w:right="0" w:hanging="300"/>
        <w:jc w:val="left"/>
        <w:rPr>
          <w:i/>
          <w:sz w:val="24"/>
        </w:rPr>
      </w:pPr>
      <w:r>
        <w:rPr>
          <w:i/>
          <w:sz w:val="24"/>
        </w:rPr>
        <w:t>l’attività di compravendita, esercizio e sfruttamento di brevetti, licenze, know-how e</w:t>
      </w:r>
      <w:r>
        <w:rPr>
          <w:i/>
          <w:spacing w:val="-9"/>
          <w:sz w:val="24"/>
        </w:rPr>
        <w:t> </w:t>
      </w:r>
      <w:r>
        <w:rPr>
          <w:i/>
          <w:sz w:val="24"/>
        </w:rPr>
        <w:t>simili.”.</w:t>
      </w:r>
    </w:p>
    <w:p>
      <w:pPr>
        <w:pStyle w:val="BodyText"/>
        <w:rPr>
          <w:i/>
          <w:sz w:val="26"/>
        </w:rPr>
      </w:pPr>
    </w:p>
    <w:p>
      <w:pPr>
        <w:pStyle w:val="BodyText"/>
        <w:rPr>
          <w:i/>
          <w:sz w:val="26"/>
        </w:rPr>
      </w:pPr>
    </w:p>
    <w:p>
      <w:pPr>
        <w:pStyle w:val="BodyText"/>
        <w:spacing w:before="8"/>
        <w:rPr>
          <w:i/>
          <w:sz w:val="37"/>
        </w:rPr>
      </w:pPr>
    </w:p>
    <w:p>
      <w:pPr>
        <w:pStyle w:val="Heading2"/>
        <w:numPr>
          <w:ilvl w:val="2"/>
          <w:numId w:val="3"/>
        </w:numPr>
        <w:tabs>
          <w:tab w:pos="2126" w:val="left" w:leader="none"/>
          <w:tab w:pos="2127" w:val="left" w:leader="none"/>
        </w:tabs>
        <w:spacing w:line="240" w:lineRule="auto" w:before="0" w:after="0"/>
        <w:ind w:left="2126" w:right="0" w:hanging="708"/>
        <w:jc w:val="left"/>
      </w:pPr>
      <w:bookmarkStart w:name="_bookmark7" w:id="15"/>
      <w:bookmarkEnd w:id="15"/>
      <w:r>
        <w:rPr>
          <w:b w:val="0"/>
        </w:rPr>
      </w:r>
      <w:bookmarkStart w:name="_bookmark7" w:id="16"/>
      <w:bookmarkEnd w:id="16"/>
      <w:r>
        <w:rPr/>
        <w:t>La</w:t>
      </w:r>
      <w:r>
        <w:rPr>
          <w:spacing w:val="-8"/>
        </w:rPr>
        <w:t> </w:t>
      </w:r>
      <w:r>
        <w:rPr/>
        <w:t>proprietà</w:t>
      </w:r>
    </w:p>
    <w:p>
      <w:pPr>
        <w:pStyle w:val="BodyText"/>
        <w:spacing w:before="11"/>
        <w:rPr>
          <w:b/>
          <w:sz w:val="23"/>
        </w:rPr>
      </w:pPr>
    </w:p>
    <w:p>
      <w:pPr>
        <w:pStyle w:val="BodyText"/>
        <w:spacing w:line="480" w:lineRule="auto"/>
        <w:ind w:left="1418" w:right="1518"/>
      </w:pPr>
      <w:r>
        <w:rPr/>
        <w:t>La Società ha un capitale sociale di Euro 10.000.000 detenuto dal socio unico Mossi &amp; Ghisolfi Finanziaria S.p.A.</w:t>
      </w:r>
    </w:p>
    <w:p>
      <w:pPr>
        <w:pStyle w:val="BodyText"/>
        <w:spacing w:line="480" w:lineRule="auto"/>
        <w:ind w:left="1418" w:right="1518"/>
      </w:pPr>
      <w:r>
        <w:rPr/>
        <w:t>Più in generale Biochemtex fa parte del gruppo Mossi &amp; Ghisolfi, e risulta controllata indirettamente da Mossi &amp; Ghisolfi S.p.A. con sede a Tortona (AL), che è la holding del gruppo. Si riporta di seguito l’organigramma del Gruppo afferente alle società con sede legale italiana:</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rPr>
          <w:sz w:val="16"/>
        </w:rPr>
      </w:pPr>
    </w:p>
    <w:p>
      <w:pPr>
        <w:pStyle w:val="BodyText"/>
        <w:ind w:left="1420"/>
        <w:rPr>
          <w:sz w:val="20"/>
        </w:rPr>
      </w:pPr>
      <w:r>
        <w:rPr>
          <w:sz w:val="20"/>
        </w:rPr>
        <w:drawing>
          <wp:inline distT="0" distB="0" distL="0" distR="0">
            <wp:extent cx="5955981" cy="3541395"/>
            <wp:effectExtent l="0" t="0" r="0" b="0"/>
            <wp:docPr id="1" name="image1.png" descr=""/>
            <wp:cNvGraphicFramePr>
              <a:graphicFrameLocks noChangeAspect="1"/>
            </wp:cNvGraphicFramePr>
            <a:graphic>
              <a:graphicData uri="http://schemas.openxmlformats.org/drawingml/2006/picture">
                <pic:pic>
                  <pic:nvPicPr>
                    <pic:cNvPr id="2" name="image1.png"/>
                    <pic:cNvPicPr/>
                  </pic:nvPicPr>
                  <pic:blipFill>
                    <a:blip r:embed="rId8" cstate="print"/>
                    <a:stretch>
                      <a:fillRect/>
                    </a:stretch>
                  </pic:blipFill>
                  <pic:spPr>
                    <a:xfrm>
                      <a:off x="0" y="0"/>
                      <a:ext cx="5955981" cy="3541395"/>
                    </a:xfrm>
                    <a:prstGeom prst="rect">
                      <a:avLst/>
                    </a:prstGeom>
                  </pic:spPr>
                </pic:pic>
              </a:graphicData>
            </a:graphic>
          </wp:inline>
        </w:drawing>
      </w:r>
      <w:r>
        <w:rPr>
          <w:sz w:val="20"/>
        </w:rPr>
      </w:r>
    </w:p>
    <w:p>
      <w:pPr>
        <w:pStyle w:val="BodyText"/>
        <w:rPr>
          <w:sz w:val="20"/>
        </w:rPr>
      </w:pPr>
    </w:p>
    <w:p>
      <w:pPr>
        <w:pStyle w:val="BodyText"/>
        <w:rPr>
          <w:sz w:val="20"/>
        </w:rPr>
      </w:pPr>
    </w:p>
    <w:p>
      <w:pPr>
        <w:pStyle w:val="BodyText"/>
        <w:rPr>
          <w:sz w:val="20"/>
        </w:rPr>
      </w:pPr>
    </w:p>
    <w:p>
      <w:pPr>
        <w:pStyle w:val="BodyText"/>
        <w:spacing w:before="5"/>
        <w:rPr>
          <w:sz w:val="18"/>
        </w:rPr>
      </w:pPr>
    </w:p>
    <w:p>
      <w:pPr>
        <w:pStyle w:val="Heading2"/>
        <w:numPr>
          <w:ilvl w:val="2"/>
          <w:numId w:val="3"/>
        </w:numPr>
        <w:tabs>
          <w:tab w:pos="2126" w:val="left" w:leader="none"/>
          <w:tab w:pos="2127" w:val="left" w:leader="none"/>
        </w:tabs>
        <w:spacing w:line="240" w:lineRule="auto" w:before="100" w:after="0"/>
        <w:ind w:left="2126" w:right="0" w:hanging="708"/>
        <w:jc w:val="left"/>
      </w:pPr>
      <w:bookmarkStart w:name="_bookmark8" w:id="17"/>
      <w:bookmarkEnd w:id="17"/>
      <w:r>
        <w:rPr>
          <w:b w:val="0"/>
        </w:rPr>
      </w:r>
      <w:bookmarkStart w:name="_bookmark8" w:id="18"/>
      <w:bookmarkEnd w:id="18"/>
      <w:r>
        <w:rPr/>
        <w:t>Gli</w:t>
      </w:r>
      <w:r>
        <w:rPr/>
        <w:t> organi</w:t>
      </w:r>
      <w:r>
        <w:rPr>
          <w:spacing w:val="-5"/>
        </w:rPr>
        <w:t> </w:t>
      </w:r>
      <w:r>
        <w:rPr/>
        <w:t>sociali</w:t>
      </w:r>
    </w:p>
    <w:p>
      <w:pPr>
        <w:pStyle w:val="BodyText"/>
        <w:spacing w:before="11"/>
        <w:rPr>
          <w:b/>
          <w:sz w:val="23"/>
        </w:rPr>
      </w:pPr>
    </w:p>
    <w:p>
      <w:pPr>
        <w:pStyle w:val="BodyText"/>
        <w:spacing w:line="480" w:lineRule="auto"/>
        <w:ind w:left="1418" w:right="1518"/>
      </w:pPr>
      <w:r>
        <w:rPr/>
        <w:t>La forma amministrativa adottata prevede la presenza di un Consiglio di Amministrazione di n.3 membri, nominati in data 28 Aprile 2017 di seguito indicati:</w:t>
      </w:r>
    </w:p>
    <w:p>
      <w:pPr>
        <w:pStyle w:val="ListParagraph"/>
        <w:numPr>
          <w:ilvl w:val="3"/>
          <w:numId w:val="3"/>
        </w:numPr>
        <w:tabs>
          <w:tab w:pos="2127" w:val="left" w:leader="none"/>
        </w:tabs>
        <w:spacing w:line="477" w:lineRule="auto" w:before="0" w:after="0"/>
        <w:ind w:left="2138" w:right="1413" w:hanging="360"/>
        <w:jc w:val="both"/>
        <w:rPr>
          <w:sz w:val="24"/>
        </w:rPr>
      </w:pPr>
      <w:r>
        <w:rPr>
          <w:sz w:val="24"/>
        </w:rPr>
        <w:t>Giovani Bolcheni (Presidente del Consiglio di Amministrazione e Amministratore delegato), nato a Spigno Monferrato (AL) il 1° giugno 1944, codice fiscale BLCGNN44H10I901M, in carica fino all’approvazione del bilancio al</w:t>
      </w:r>
      <w:r>
        <w:rPr>
          <w:spacing w:val="-14"/>
          <w:sz w:val="24"/>
        </w:rPr>
        <w:t> </w:t>
      </w:r>
      <w:r>
        <w:rPr>
          <w:sz w:val="24"/>
        </w:rPr>
        <w:t>31.12.2019;</w:t>
      </w:r>
    </w:p>
    <w:p>
      <w:pPr>
        <w:pStyle w:val="ListParagraph"/>
        <w:numPr>
          <w:ilvl w:val="3"/>
          <w:numId w:val="3"/>
        </w:numPr>
        <w:tabs>
          <w:tab w:pos="2127" w:val="left" w:leader="none"/>
        </w:tabs>
        <w:spacing w:line="475" w:lineRule="auto" w:before="3" w:after="0"/>
        <w:ind w:left="2138" w:right="1409" w:hanging="360"/>
        <w:jc w:val="both"/>
        <w:rPr>
          <w:sz w:val="24"/>
        </w:rPr>
      </w:pPr>
      <w:r>
        <w:rPr>
          <w:sz w:val="24"/>
        </w:rPr>
        <w:t>Dario Giordano (Consigliere), nato ad Alessandria (AL), il 10 febbraio 1964, C.F. GRDDRA64B10A182G, in carica fino all’approvazione del bilancio al</w:t>
      </w:r>
      <w:r>
        <w:rPr>
          <w:spacing w:val="-16"/>
          <w:sz w:val="24"/>
        </w:rPr>
        <w:t> </w:t>
      </w:r>
      <w:r>
        <w:rPr>
          <w:sz w:val="24"/>
        </w:rPr>
        <w:t>31.12.2019;</w:t>
      </w:r>
    </w:p>
    <w:p>
      <w:pPr>
        <w:pStyle w:val="ListParagraph"/>
        <w:numPr>
          <w:ilvl w:val="3"/>
          <w:numId w:val="3"/>
        </w:numPr>
        <w:tabs>
          <w:tab w:pos="2127" w:val="left" w:leader="none"/>
        </w:tabs>
        <w:spacing w:line="472" w:lineRule="auto" w:before="3" w:after="0"/>
        <w:ind w:left="2138" w:right="1409" w:hanging="360"/>
        <w:jc w:val="both"/>
        <w:rPr>
          <w:sz w:val="24"/>
        </w:rPr>
      </w:pPr>
      <w:r>
        <w:rPr>
          <w:sz w:val="24"/>
        </w:rPr>
        <w:t>Pedro Stock Losa (Consigliere), nato a Santiago del Cile (CILE) il 26 luglio 1960, C.F. LSOPRS60L26Z404X, in carica fino all’approvazione del bilancio al</w:t>
      </w:r>
      <w:r>
        <w:rPr>
          <w:spacing w:val="-8"/>
          <w:sz w:val="24"/>
        </w:rPr>
        <w:t> </w:t>
      </w:r>
      <w:r>
        <w:rPr>
          <w:sz w:val="24"/>
        </w:rPr>
        <w:t>31.12.2019;</w:t>
      </w:r>
    </w:p>
    <w:p>
      <w:pPr>
        <w:spacing w:after="0" w:line="472"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09"/>
        <w:jc w:val="both"/>
      </w:pPr>
      <w:r>
        <w:rPr/>
        <w:t>La società ha presentato in data 16 ottobre 2017 domanda per l’ammissione alla procedura di concordato preventivo ai sensi dell’art. 161, sesto comma, l.f. Con decreto del 24.10.17 il Tribunale di Alessandria ha concesso termine alla società ricorrente di centoventi giorni per la presentazione della proposta definitiva di concordato preventivo, del piano e della documentazione di cui ai commi secondo e terzo dell’art. 161 l.f., nominando Commissari Giudiziali i dott. Piero Canevelli, Claudio Ferrario e Silvano Cremonesi.</w:t>
      </w:r>
    </w:p>
    <w:p>
      <w:pPr>
        <w:pStyle w:val="BodyText"/>
        <w:spacing w:line="480" w:lineRule="auto"/>
        <w:ind w:left="1418" w:right="1418"/>
        <w:jc w:val="both"/>
      </w:pPr>
      <w:r>
        <w:rPr/>
        <w:t>Con istanza del 22.2.18, la Società ha chiesto una proroga di sessanta giorni del termine per la presentazione della domanda di concordato, del piano e della documentazione di cui all’art. 161 l.f.</w:t>
      </w:r>
    </w:p>
    <w:p>
      <w:pPr>
        <w:pStyle w:val="BodyText"/>
        <w:ind w:left="1418"/>
        <w:jc w:val="both"/>
      </w:pPr>
      <w:r>
        <w:rPr/>
        <w:t>I Commissari Giudiziali hanno espresso parere favorevole all’istanza.</w:t>
      </w:r>
    </w:p>
    <w:p>
      <w:pPr>
        <w:pStyle w:val="BodyText"/>
        <w:spacing w:before="11"/>
        <w:rPr>
          <w:sz w:val="23"/>
        </w:rPr>
      </w:pPr>
    </w:p>
    <w:p>
      <w:pPr>
        <w:pStyle w:val="BodyText"/>
        <w:spacing w:line="480" w:lineRule="auto"/>
        <w:ind w:left="1418" w:right="1410"/>
        <w:jc w:val="both"/>
      </w:pPr>
      <w:r>
        <w:rPr/>
        <w:t>In data 7 marzo 2018 il Tribunale ha concesso una proroga di ulteriori sessanta giorni del termine per la presentazione della domanda di concordato, del piano e della documentazione di cui all’art. 161 l.f.</w:t>
      </w:r>
    </w:p>
    <w:p>
      <w:pPr>
        <w:pStyle w:val="BodyText"/>
        <w:rPr>
          <w:sz w:val="26"/>
        </w:rPr>
      </w:pPr>
    </w:p>
    <w:p>
      <w:pPr>
        <w:pStyle w:val="BodyText"/>
        <w:rPr>
          <w:sz w:val="26"/>
        </w:rPr>
      </w:pPr>
    </w:p>
    <w:p>
      <w:pPr>
        <w:pStyle w:val="Heading2"/>
        <w:numPr>
          <w:ilvl w:val="2"/>
          <w:numId w:val="3"/>
        </w:numPr>
        <w:tabs>
          <w:tab w:pos="2127" w:val="left" w:leader="none"/>
        </w:tabs>
        <w:spacing w:line="240" w:lineRule="auto" w:before="154" w:after="0"/>
        <w:ind w:left="2126" w:right="0" w:hanging="708"/>
        <w:jc w:val="both"/>
      </w:pPr>
      <w:bookmarkStart w:name="_bookmark9" w:id="19"/>
      <w:bookmarkEnd w:id="19"/>
      <w:r>
        <w:rPr>
          <w:b w:val="0"/>
        </w:rPr>
      </w:r>
      <w:bookmarkStart w:name="_bookmark9" w:id="20"/>
      <w:bookmarkEnd w:id="20"/>
      <w:r>
        <w:rPr/>
        <w:t>L</w:t>
      </w:r>
      <w:r>
        <w:rPr/>
        <w:t>’organo di</w:t>
      </w:r>
      <w:r>
        <w:rPr>
          <w:spacing w:val="-6"/>
        </w:rPr>
        <w:t> </w:t>
      </w:r>
      <w:r>
        <w:rPr/>
        <w:t>controllo</w:t>
      </w:r>
    </w:p>
    <w:p>
      <w:pPr>
        <w:pStyle w:val="BodyText"/>
        <w:spacing w:before="2"/>
        <w:rPr>
          <w:b/>
        </w:rPr>
      </w:pPr>
    </w:p>
    <w:p>
      <w:pPr>
        <w:pStyle w:val="BodyText"/>
        <w:ind w:left="1418"/>
        <w:jc w:val="both"/>
      </w:pPr>
      <w:r>
        <w:rPr/>
        <w:t>Le funzioni di controllo sono espletate dal Collegio Sindacale, attualmente composto come segue.</w:t>
      </w:r>
    </w:p>
    <w:p>
      <w:pPr>
        <w:pStyle w:val="BodyText"/>
        <w:spacing w:before="10"/>
        <w:rPr>
          <w:sz w:val="23"/>
        </w:rPr>
      </w:pPr>
    </w:p>
    <w:p>
      <w:pPr>
        <w:pStyle w:val="ListParagraph"/>
        <w:numPr>
          <w:ilvl w:val="0"/>
          <w:numId w:val="8"/>
        </w:numPr>
        <w:tabs>
          <w:tab w:pos="2126" w:val="left" w:leader="none"/>
          <w:tab w:pos="2127" w:val="left" w:leader="none"/>
        </w:tabs>
        <w:spacing w:line="453" w:lineRule="auto" w:before="0" w:after="0"/>
        <w:ind w:left="2138" w:right="1410" w:hanging="360"/>
        <w:jc w:val="left"/>
        <w:rPr>
          <w:sz w:val="24"/>
        </w:rPr>
      </w:pPr>
      <w:r>
        <w:rPr>
          <w:sz w:val="24"/>
        </w:rPr>
        <w:t>Dante Davio (Presidente), nominato con atto del 14 aprile 2016, in carica fino all’approvazione del bilancio di esercizio al</w:t>
      </w:r>
      <w:r>
        <w:rPr>
          <w:spacing w:val="-15"/>
          <w:sz w:val="24"/>
        </w:rPr>
        <w:t> </w:t>
      </w:r>
      <w:r>
        <w:rPr>
          <w:sz w:val="24"/>
        </w:rPr>
        <w:t>31.12.2018;</w:t>
      </w:r>
    </w:p>
    <w:p>
      <w:pPr>
        <w:pStyle w:val="ListParagraph"/>
        <w:numPr>
          <w:ilvl w:val="0"/>
          <w:numId w:val="8"/>
        </w:numPr>
        <w:tabs>
          <w:tab w:pos="2126" w:val="left" w:leader="none"/>
          <w:tab w:pos="2127" w:val="left" w:leader="none"/>
        </w:tabs>
        <w:spacing w:line="453" w:lineRule="auto" w:before="29" w:after="0"/>
        <w:ind w:left="2138" w:right="1410" w:hanging="360"/>
        <w:jc w:val="left"/>
        <w:rPr>
          <w:sz w:val="24"/>
        </w:rPr>
      </w:pPr>
      <w:r>
        <w:rPr>
          <w:sz w:val="24"/>
        </w:rPr>
        <w:t>Roberto Gianelli (Sindaco Effettivo), nominato con atto del 14 aprile 2016, in carica fino all’approvazione del bilancio di esercizio al</w:t>
      </w:r>
      <w:r>
        <w:rPr>
          <w:spacing w:val="-15"/>
          <w:sz w:val="24"/>
        </w:rPr>
        <w:t> </w:t>
      </w:r>
      <w:r>
        <w:rPr>
          <w:sz w:val="24"/>
        </w:rPr>
        <w:t>31.12.2018;</w:t>
      </w:r>
    </w:p>
    <w:p>
      <w:pPr>
        <w:pStyle w:val="ListParagraph"/>
        <w:numPr>
          <w:ilvl w:val="0"/>
          <w:numId w:val="8"/>
        </w:numPr>
        <w:tabs>
          <w:tab w:pos="2126" w:val="left" w:leader="none"/>
          <w:tab w:pos="2127" w:val="left" w:leader="none"/>
        </w:tabs>
        <w:spacing w:line="453" w:lineRule="auto" w:before="28" w:after="0"/>
        <w:ind w:left="2138" w:right="1409" w:hanging="360"/>
        <w:jc w:val="left"/>
        <w:rPr>
          <w:sz w:val="24"/>
        </w:rPr>
      </w:pPr>
      <w:r>
        <w:rPr>
          <w:sz w:val="24"/>
        </w:rPr>
        <w:t>Marco Bianchi (Sindaco effettivo), nominato con atto del 14 aprile 2016, in carica fino all’approvazione del bilancio di esercizio al</w:t>
      </w:r>
      <w:r>
        <w:rPr>
          <w:spacing w:val="-17"/>
          <w:sz w:val="24"/>
        </w:rPr>
        <w:t> </w:t>
      </w:r>
      <w:r>
        <w:rPr>
          <w:sz w:val="24"/>
        </w:rPr>
        <w:t>31.12.2018.</w:t>
      </w:r>
    </w:p>
    <w:p>
      <w:pPr>
        <w:spacing w:after="0" w:line="453"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2"/>
          <w:numId w:val="3"/>
        </w:numPr>
        <w:tabs>
          <w:tab w:pos="2127" w:val="left" w:leader="none"/>
        </w:tabs>
        <w:spacing w:line="240" w:lineRule="auto" w:before="100" w:after="0"/>
        <w:ind w:left="2126" w:right="0" w:hanging="708"/>
        <w:jc w:val="both"/>
      </w:pPr>
      <w:bookmarkStart w:name="_bookmark10" w:id="21"/>
      <w:bookmarkEnd w:id="21"/>
      <w:r>
        <w:rPr>
          <w:b w:val="0"/>
        </w:rPr>
      </w:r>
      <w:bookmarkStart w:name="_bookmark10" w:id="22"/>
      <w:bookmarkEnd w:id="22"/>
      <w:r>
        <w:rPr/>
        <w:t>La</w:t>
      </w:r>
      <w:r>
        <w:rPr/>
        <w:t> società di</w:t>
      </w:r>
      <w:r>
        <w:rPr>
          <w:spacing w:val="-6"/>
        </w:rPr>
        <w:t> </w:t>
      </w:r>
      <w:r>
        <w:rPr/>
        <w:t>revisione</w:t>
      </w:r>
    </w:p>
    <w:p>
      <w:pPr>
        <w:pStyle w:val="BodyText"/>
        <w:spacing w:before="11"/>
        <w:rPr>
          <w:b/>
          <w:sz w:val="23"/>
        </w:rPr>
      </w:pPr>
    </w:p>
    <w:p>
      <w:pPr>
        <w:pStyle w:val="BodyText"/>
        <w:spacing w:line="480" w:lineRule="auto"/>
        <w:ind w:left="1418" w:right="1422"/>
        <w:jc w:val="both"/>
      </w:pPr>
      <w:r>
        <w:rPr/>
        <w:t>La società si avvale della società di revisione Ernst &amp; Young S.p.A., in carica fino  all’approvazione del bilancio di esercizio al</w:t>
      </w:r>
      <w:r>
        <w:rPr>
          <w:spacing w:val="-18"/>
        </w:rPr>
        <w:t> </w:t>
      </w:r>
      <w:r>
        <w:rPr/>
        <w:t>31.12.2018.</w:t>
      </w:r>
    </w:p>
    <w:p>
      <w:pPr>
        <w:pStyle w:val="BodyText"/>
        <w:spacing w:before="1"/>
        <w:rPr>
          <w:sz w:val="32"/>
        </w:rPr>
      </w:pPr>
    </w:p>
    <w:p>
      <w:pPr>
        <w:pStyle w:val="Heading1"/>
        <w:numPr>
          <w:ilvl w:val="0"/>
          <w:numId w:val="3"/>
        </w:numPr>
        <w:tabs>
          <w:tab w:pos="1847" w:val="left" w:leader="none"/>
        </w:tabs>
        <w:spacing w:line="240" w:lineRule="auto" w:before="0" w:after="0"/>
        <w:ind w:left="1846" w:right="0" w:hanging="428"/>
        <w:jc w:val="both"/>
      </w:pPr>
      <w:bookmarkStart w:name="_bookmark11" w:id="23"/>
      <w:bookmarkEnd w:id="23"/>
      <w:r>
        <w:rPr>
          <w:b w:val="0"/>
        </w:rPr>
      </w:r>
      <w:bookmarkStart w:name="_bookmark11" w:id="24"/>
      <w:bookmarkEnd w:id="24"/>
      <w:r>
        <w:rPr/>
        <w:t>LA</w:t>
      </w:r>
      <w:r>
        <w:rPr/>
        <w:t> SOCIETA’: VICENDE STORICHE E CAUSE DELLA</w:t>
      </w:r>
      <w:r>
        <w:rPr>
          <w:spacing w:val="-9"/>
        </w:rPr>
        <w:t> </w:t>
      </w:r>
      <w:r>
        <w:rPr/>
        <w:t>CRISI</w:t>
      </w:r>
    </w:p>
    <w:p>
      <w:pPr>
        <w:pStyle w:val="BodyText"/>
        <w:spacing w:before="7"/>
        <w:rPr>
          <w:b/>
          <w:sz w:val="38"/>
        </w:rPr>
      </w:pPr>
    </w:p>
    <w:p>
      <w:pPr>
        <w:pStyle w:val="BodyText"/>
        <w:spacing w:line="480" w:lineRule="auto"/>
        <w:ind w:left="1418" w:right="1418"/>
        <w:jc w:val="both"/>
      </w:pPr>
      <w:r>
        <w:rPr/>
        <w:t>Scopo del presente capitolo è quello di fornire l’inquadramento delle cause della crisi alla luce della documentazione che è stato possibile esaminare da parte degli scriventi, tenuto conto delle finalità e dei compiti specifici affidati al professionista</w:t>
      </w:r>
      <w:r>
        <w:rPr>
          <w:spacing w:val="-20"/>
        </w:rPr>
        <w:t> </w:t>
      </w:r>
      <w:r>
        <w:rPr/>
        <w:t>attestatore.</w:t>
      </w:r>
    </w:p>
    <w:p>
      <w:pPr>
        <w:pStyle w:val="BodyText"/>
        <w:spacing w:line="480" w:lineRule="auto"/>
        <w:ind w:left="1418" w:right="1412"/>
        <w:jc w:val="both"/>
      </w:pPr>
      <w:r>
        <w:rPr/>
        <w:t>Si anticipa che le caratteristiche di talune operazioni consentono di sviluppare alcune ulteriori considerazioni che saranno illustrate in chiusura della presente Relazione e segnatamente nel capitolo 7. Pur essendo la presente Relazione specificamente afferente la domanda di concordato presentata da Biochemtex, l’analisi dei fatti relativi a Biochemtex può essere utilmente integrata con quella svolta relativamente alla Società IBP Srl e contenuta nella relazione attestativa già depositata.</w:t>
      </w:r>
    </w:p>
    <w:p>
      <w:pPr>
        <w:pStyle w:val="BodyText"/>
        <w:spacing w:line="480" w:lineRule="auto"/>
        <w:ind w:left="1418" w:right="1408"/>
        <w:jc w:val="both"/>
      </w:pPr>
      <w:r>
        <w:rPr/>
        <w:t>I documenti in atti (domanda di concordato, perizia Cattaneo-Petrella, perizia Braccio) contengono ampi dettagli, anche dal punto di vista tecnico, sulle caratteristiche svolte dalla Società e dal ruolo rivestito nell’ambito del Gruppo Mossi &amp; Ghisolfi, di talché in questa sede ci  si limita a ricordare alcune informazioni di</w:t>
      </w:r>
      <w:r>
        <w:rPr>
          <w:spacing w:val="-16"/>
        </w:rPr>
        <w:t> </w:t>
      </w:r>
      <w:r>
        <w:rPr/>
        <w:t>sintesi.</w:t>
      </w:r>
    </w:p>
    <w:p>
      <w:pPr>
        <w:pStyle w:val="BodyText"/>
        <w:spacing w:line="480" w:lineRule="auto"/>
        <w:ind w:left="1418" w:right="1411"/>
        <w:jc w:val="both"/>
      </w:pPr>
      <w:r>
        <w:rPr/>
        <w:t>Biochemtex, sino al 2013 denominata Chemtex Italia, è società leader nello sviluppo e ingegnerizzazione di tecnologie e processi per la valorizzazione di biomasse non alimentari. Sin dall’avvio dell’attività (anno 2005) si è specializzata nell’attività di ricerca delle tecnologie per il pretrattamento  di  biomasse  lignocellulosiche  e  lo  sviluppo  di  processi  biochimici  di idrolisi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1"/>
        <w:jc w:val="both"/>
      </w:pPr>
      <w:r>
        <w:rPr/>
        <w:t>enzimatica e fermentazione degli zuccheri così ottenuti per la produzione di bioetanolo  di seconda generazione.</w:t>
      </w:r>
    </w:p>
    <w:p>
      <w:pPr>
        <w:pStyle w:val="BodyText"/>
        <w:spacing w:line="480" w:lineRule="auto"/>
        <w:ind w:left="1418" w:right="1410"/>
        <w:jc w:val="both"/>
      </w:pPr>
      <w:r>
        <w:rPr/>
        <w:t>Nel quadro del piano di riorganizzazione delle attività del gruppo Mossi &amp; Ghisolfi (di seguito anche il “Gruppo”) che prevede la separazione tra attività PET e attività BIO, risulta attuato nel 2015 il processo di aggregazione volto alla costituzione del settore Bio sotto il controllo di Biochemtex. Nell’ ottobre 2015 a seguito dell’acquisto da parte della Biochemtex SpA delle partecipazioni totalitarie in I.B.P. SpA, I.B.P. Energia Srl e Biochemtex Agro Srl, è stato quindi creato il c.d. “Polo BIO” che, unitamente alla Beta Renewables, riunisce – sotto il controllo diretto di Biochemtex SpA, tutte le società del Gruppo operanti nel settore in esame.</w:t>
      </w:r>
    </w:p>
    <w:p>
      <w:pPr>
        <w:pStyle w:val="BodyText"/>
        <w:rPr>
          <w:sz w:val="32"/>
        </w:rPr>
      </w:pPr>
    </w:p>
    <w:p>
      <w:pPr>
        <w:pStyle w:val="Heading2"/>
        <w:numPr>
          <w:ilvl w:val="1"/>
          <w:numId w:val="9"/>
        </w:numPr>
        <w:tabs>
          <w:tab w:pos="1847" w:val="left" w:leader="none"/>
        </w:tabs>
        <w:spacing w:line="240" w:lineRule="auto" w:before="0" w:after="0"/>
        <w:ind w:left="1846" w:right="0" w:hanging="428"/>
        <w:jc w:val="both"/>
      </w:pPr>
      <w:bookmarkStart w:name="_bookmark12" w:id="25"/>
      <w:bookmarkEnd w:id="25"/>
      <w:r>
        <w:rPr>
          <w:b w:val="0"/>
        </w:rPr>
      </w:r>
      <w:bookmarkStart w:name="_bookmark12" w:id="26"/>
      <w:bookmarkEnd w:id="26"/>
      <w:r>
        <w:rPr/>
        <w:t>L</w:t>
      </w:r>
      <w:r>
        <w:rPr/>
        <w:t>’ANDAMENTO DELLA SOCIETÀ DESUMIBILE DAI</w:t>
      </w:r>
      <w:r>
        <w:rPr>
          <w:spacing w:val="-17"/>
        </w:rPr>
        <w:t> </w:t>
      </w:r>
      <w:r>
        <w:rPr/>
        <w:t>BILANCI</w:t>
      </w:r>
    </w:p>
    <w:p>
      <w:pPr>
        <w:pStyle w:val="BodyText"/>
        <w:spacing w:before="7"/>
        <w:rPr>
          <w:b/>
          <w:sz w:val="34"/>
        </w:rPr>
      </w:pPr>
    </w:p>
    <w:p>
      <w:pPr>
        <w:pStyle w:val="BodyText"/>
        <w:spacing w:line="480" w:lineRule="auto"/>
        <w:ind w:left="1418" w:right="1410"/>
        <w:jc w:val="both"/>
      </w:pPr>
      <w:r>
        <w:rPr/>
        <w:t>I bilanci relativi agli esercizi 2012, 2013, 2014, 2015 e 2016, nonché la situazione patrimoniale contabile al 15 ottobre 2017 costituiscono un valido supporto funzionale a individuare le caratteristiche generali dell’andamento d’impresa nel periodo considerato.</w:t>
      </w:r>
    </w:p>
    <w:p>
      <w:pPr>
        <w:pStyle w:val="BodyText"/>
        <w:spacing w:line="480" w:lineRule="auto"/>
        <w:ind w:left="1418" w:right="1409"/>
        <w:jc w:val="both"/>
      </w:pPr>
      <w:r>
        <w:rPr/>
        <w:t>Si riporta, di seguito, il prospetto relativo ai bilanci riclassificati degli esercizi 2012, 2013, 2014, 2015 e 2016, unitamente alle risultanze della situazione contabile al 15 ottobre 2017 (con avvertenza che quest’ultima non recepisce nell’analisi svolta in questa sede le rettifiche concordatarie).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16"/>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18"/>
        <w:gridCol w:w="992"/>
        <w:gridCol w:w="413"/>
        <w:gridCol w:w="992"/>
        <w:gridCol w:w="363"/>
        <w:gridCol w:w="992"/>
        <w:gridCol w:w="364"/>
        <w:gridCol w:w="992"/>
        <w:gridCol w:w="324"/>
        <w:gridCol w:w="992"/>
        <w:gridCol w:w="354"/>
        <w:gridCol w:w="1061"/>
      </w:tblGrid>
      <w:tr>
        <w:trPr>
          <w:trHeight w:val="205" w:hRule="exact"/>
        </w:trPr>
        <w:tc>
          <w:tcPr>
            <w:tcW w:w="1818" w:type="dxa"/>
            <w:tcBorders>
              <w:bottom w:val="nil"/>
              <w:right w:val="single" w:sz="4" w:space="0" w:color="A6A6A6"/>
            </w:tcBorders>
            <w:shd w:val="clear" w:color="auto" w:fill="8496AF"/>
          </w:tcPr>
          <w:p>
            <w:pPr>
              <w:pStyle w:val="TableParagraph"/>
              <w:spacing w:before="20"/>
              <w:ind w:left="19"/>
              <w:jc w:val="left"/>
              <w:rPr>
                <w:sz w:val="15"/>
              </w:rPr>
            </w:pPr>
            <w:r>
              <w:rPr>
                <w:color w:val="FFFFFF"/>
                <w:sz w:val="15"/>
              </w:rPr>
              <w:t>BioChemtex srl</w:t>
            </w:r>
          </w:p>
        </w:tc>
        <w:tc>
          <w:tcPr>
            <w:tcW w:w="992" w:type="dxa"/>
            <w:tcBorders>
              <w:left w:val="single" w:sz="4" w:space="0" w:color="A6A6A6"/>
              <w:bottom w:val="nil"/>
              <w:right w:val="single" w:sz="4" w:space="0" w:color="A6A6A6"/>
            </w:tcBorders>
            <w:shd w:val="clear" w:color="auto" w:fill="8496AF"/>
          </w:tcPr>
          <w:p>
            <w:pPr>
              <w:pStyle w:val="TableParagraph"/>
              <w:spacing w:before="20"/>
              <w:ind w:right="17"/>
              <w:rPr>
                <w:sz w:val="15"/>
              </w:rPr>
            </w:pPr>
            <w:r>
              <w:rPr>
                <w:color w:val="FFFFFF"/>
                <w:w w:val="95"/>
                <w:sz w:val="15"/>
              </w:rPr>
              <w:t>31/12/2012</w:t>
            </w:r>
          </w:p>
        </w:tc>
        <w:tc>
          <w:tcPr>
            <w:tcW w:w="413" w:type="dxa"/>
            <w:tcBorders>
              <w:left w:val="single" w:sz="4" w:space="0" w:color="A6A6A6"/>
              <w:bottom w:val="nil"/>
              <w:right w:val="single" w:sz="4" w:space="0" w:color="A6A6A6"/>
            </w:tcBorders>
            <w:shd w:val="clear" w:color="auto" w:fill="8496AF"/>
          </w:tcPr>
          <w:p>
            <w:pPr>
              <w:pStyle w:val="TableParagraph"/>
              <w:spacing w:before="20"/>
              <w:ind w:left="147"/>
              <w:jc w:val="left"/>
              <w:rPr>
                <w:sz w:val="15"/>
              </w:rPr>
            </w:pPr>
            <w:r>
              <w:rPr>
                <w:color w:val="FFFFFF"/>
                <w:w w:val="98"/>
                <w:sz w:val="15"/>
              </w:rPr>
              <w:t>%</w:t>
            </w:r>
          </w:p>
        </w:tc>
        <w:tc>
          <w:tcPr>
            <w:tcW w:w="992" w:type="dxa"/>
            <w:tcBorders>
              <w:left w:val="single" w:sz="4" w:space="0" w:color="A6A6A6"/>
              <w:bottom w:val="nil"/>
            </w:tcBorders>
            <w:shd w:val="clear" w:color="auto" w:fill="8496AF"/>
          </w:tcPr>
          <w:p>
            <w:pPr>
              <w:pStyle w:val="TableParagraph"/>
              <w:spacing w:before="20"/>
              <w:ind w:right="17"/>
              <w:rPr>
                <w:sz w:val="15"/>
              </w:rPr>
            </w:pPr>
            <w:r>
              <w:rPr>
                <w:color w:val="FFFFFF"/>
                <w:w w:val="95"/>
                <w:sz w:val="15"/>
              </w:rPr>
              <w:t>31/12/2013</w:t>
            </w:r>
          </w:p>
        </w:tc>
        <w:tc>
          <w:tcPr>
            <w:tcW w:w="363" w:type="dxa"/>
            <w:tcBorders>
              <w:bottom w:val="nil"/>
            </w:tcBorders>
            <w:shd w:val="clear" w:color="auto" w:fill="8496AF"/>
          </w:tcPr>
          <w:p>
            <w:pPr>
              <w:pStyle w:val="TableParagraph"/>
              <w:spacing w:before="20"/>
              <w:ind w:left="118"/>
              <w:jc w:val="left"/>
              <w:rPr>
                <w:sz w:val="15"/>
              </w:rPr>
            </w:pPr>
            <w:r>
              <w:rPr>
                <w:color w:val="FFFFFF"/>
                <w:w w:val="98"/>
                <w:sz w:val="15"/>
              </w:rPr>
              <w:t>%</w:t>
            </w:r>
          </w:p>
        </w:tc>
        <w:tc>
          <w:tcPr>
            <w:tcW w:w="992" w:type="dxa"/>
            <w:tcBorders>
              <w:bottom w:val="nil"/>
            </w:tcBorders>
            <w:shd w:val="clear" w:color="auto" w:fill="8496AF"/>
          </w:tcPr>
          <w:p>
            <w:pPr>
              <w:pStyle w:val="TableParagraph"/>
              <w:spacing w:before="20"/>
              <w:ind w:right="17"/>
              <w:rPr>
                <w:sz w:val="15"/>
              </w:rPr>
            </w:pPr>
            <w:r>
              <w:rPr>
                <w:color w:val="FFFFFF"/>
                <w:w w:val="95"/>
                <w:sz w:val="15"/>
              </w:rPr>
              <w:t>31/12/2014</w:t>
            </w:r>
          </w:p>
        </w:tc>
        <w:tc>
          <w:tcPr>
            <w:tcW w:w="364" w:type="dxa"/>
            <w:tcBorders>
              <w:bottom w:val="nil"/>
            </w:tcBorders>
            <w:shd w:val="clear" w:color="auto" w:fill="8496AF"/>
          </w:tcPr>
          <w:p>
            <w:pPr>
              <w:pStyle w:val="TableParagraph"/>
              <w:spacing w:before="20"/>
              <w:ind w:left="118"/>
              <w:jc w:val="left"/>
              <w:rPr>
                <w:sz w:val="15"/>
              </w:rPr>
            </w:pPr>
            <w:r>
              <w:rPr>
                <w:color w:val="FFFFFF"/>
                <w:w w:val="98"/>
                <w:sz w:val="15"/>
              </w:rPr>
              <w:t>%</w:t>
            </w:r>
          </w:p>
        </w:tc>
        <w:tc>
          <w:tcPr>
            <w:tcW w:w="992" w:type="dxa"/>
            <w:tcBorders>
              <w:bottom w:val="nil"/>
            </w:tcBorders>
            <w:shd w:val="clear" w:color="auto" w:fill="8496AF"/>
          </w:tcPr>
          <w:p>
            <w:pPr>
              <w:pStyle w:val="TableParagraph"/>
              <w:spacing w:before="20"/>
              <w:ind w:right="18"/>
              <w:rPr>
                <w:sz w:val="15"/>
              </w:rPr>
            </w:pPr>
            <w:r>
              <w:rPr>
                <w:color w:val="FFFFFF"/>
                <w:w w:val="95"/>
                <w:sz w:val="15"/>
              </w:rPr>
              <w:t>31/12/2015</w:t>
            </w:r>
          </w:p>
        </w:tc>
        <w:tc>
          <w:tcPr>
            <w:tcW w:w="324" w:type="dxa"/>
            <w:tcBorders>
              <w:bottom w:val="nil"/>
            </w:tcBorders>
            <w:shd w:val="clear" w:color="auto" w:fill="8496AF"/>
          </w:tcPr>
          <w:p>
            <w:pPr>
              <w:pStyle w:val="TableParagraph"/>
              <w:spacing w:before="20"/>
              <w:ind w:left="98"/>
              <w:jc w:val="left"/>
              <w:rPr>
                <w:sz w:val="15"/>
              </w:rPr>
            </w:pPr>
            <w:r>
              <w:rPr>
                <w:color w:val="FFFFFF"/>
                <w:w w:val="98"/>
                <w:sz w:val="15"/>
              </w:rPr>
              <w:t>%</w:t>
            </w:r>
          </w:p>
        </w:tc>
        <w:tc>
          <w:tcPr>
            <w:tcW w:w="992" w:type="dxa"/>
            <w:tcBorders>
              <w:bottom w:val="nil"/>
            </w:tcBorders>
            <w:shd w:val="clear" w:color="auto" w:fill="8496AF"/>
          </w:tcPr>
          <w:p>
            <w:pPr>
              <w:pStyle w:val="TableParagraph"/>
              <w:spacing w:before="20"/>
              <w:ind w:right="18"/>
              <w:rPr>
                <w:sz w:val="15"/>
              </w:rPr>
            </w:pPr>
            <w:r>
              <w:rPr>
                <w:color w:val="FFFFFF"/>
                <w:w w:val="95"/>
                <w:sz w:val="15"/>
              </w:rPr>
              <w:t>31/12/2016</w:t>
            </w:r>
          </w:p>
        </w:tc>
        <w:tc>
          <w:tcPr>
            <w:tcW w:w="354" w:type="dxa"/>
            <w:tcBorders>
              <w:bottom w:val="nil"/>
            </w:tcBorders>
            <w:shd w:val="clear" w:color="auto" w:fill="8496AF"/>
          </w:tcPr>
          <w:p>
            <w:pPr>
              <w:pStyle w:val="TableParagraph"/>
              <w:spacing w:before="20"/>
              <w:ind w:left="117"/>
              <w:jc w:val="left"/>
              <w:rPr>
                <w:sz w:val="15"/>
              </w:rPr>
            </w:pPr>
            <w:r>
              <w:rPr>
                <w:color w:val="FFFFFF"/>
                <w:w w:val="98"/>
                <w:sz w:val="15"/>
              </w:rPr>
              <w:t>%</w:t>
            </w:r>
          </w:p>
        </w:tc>
        <w:tc>
          <w:tcPr>
            <w:tcW w:w="1061" w:type="dxa"/>
            <w:tcBorders>
              <w:bottom w:val="nil"/>
              <w:right w:val="single" w:sz="4" w:space="0" w:color="000000"/>
            </w:tcBorders>
            <w:shd w:val="clear" w:color="auto" w:fill="8496AF"/>
          </w:tcPr>
          <w:p>
            <w:pPr>
              <w:pStyle w:val="TableParagraph"/>
              <w:spacing w:before="20"/>
              <w:ind w:right="17"/>
              <w:rPr>
                <w:sz w:val="15"/>
              </w:rPr>
            </w:pPr>
            <w:r>
              <w:rPr>
                <w:color w:val="FFFFFF"/>
                <w:w w:val="95"/>
                <w:sz w:val="15"/>
              </w:rPr>
              <w:t>15/10/2017</w:t>
            </w:r>
          </w:p>
        </w:tc>
      </w:tr>
      <w:tr>
        <w:trPr>
          <w:trHeight w:val="225" w:hRule="exact"/>
        </w:trPr>
        <w:tc>
          <w:tcPr>
            <w:tcW w:w="1818" w:type="dxa"/>
            <w:tcBorders>
              <w:top w:val="nil"/>
              <w:bottom w:val="single" w:sz="4" w:space="0" w:color="D3D3D3"/>
              <w:right w:val="single" w:sz="4" w:space="0" w:color="A6A6A6"/>
            </w:tcBorders>
          </w:tcPr>
          <w:p>
            <w:pPr>
              <w:pStyle w:val="TableParagraph"/>
              <w:tabs>
                <w:tab w:pos="1788" w:val="left" w:leader="none"/>
              </w:tabs>
              <w:spacing w:before="20"/>
              <w:ind w:left="19"/>
              <w:jc w:val="left"/>
              <w:rPr>
                <w:b/>
                <w:sz w:val="15"/>
              </w:rPr>
            </w:pPr>
            <w:r>
              <w:rPr>
                <w:b/>
                <w:w w:val="95"/>
                <w:sz w:val="15"/>
                <w:u w:val="single"/>
              </w:rPr>
              <w:t>Stato</w:t>
            </w:r>
            <w:r>
              <w:rPr>
                <w:b/>
                <w:spacing w:val="27"/>
                <w:w w:val="95"/>
                <w:sz w:val="15"/>
                <w:u w:val="single"/>
              </w:rPr>
              <w:t> </w:t>
            </w:r>
            <w:r>
              <w:rPr>
                <w:b/>
                <w:w w:val="95"/>
                <w:sz w:val="15"/>
                <w:u w:val="single"/>
              </w:rPr>
              <w:t>patrimoniale</w:t>
            </w:r>
            <w:r>
              <w:rPr>
                <w:b/>
                <w:sz w:val="15"/>
                <w:u w:val="single"/>
              </w:rPr>
              <w:tab/>
            </w:r>
          </w:p>
        </w:tc>
        <w:tc>
          <w:tcPr>
            <w:tcW w:w="992" w:type="dxa"/>
            <w:tcBorders>
              <w:top w:val="nil"/>
              <w:left w:val="single" w:sz="4" w:space="0" w:color="A6A6A6"/>
              <w:bottom w:val="single" w:sz="4" w:space="0" w:color="D3D3D3"/>
              <w:right w:val="single" w:sz="4" w:space="0" w:color="A6A6A6"/>
            </w:tcBorders>
          </w:tcPr>
          <w:p>
            <w:pPr/>
          </w:p>
        </w:tc>
        <w:tc>
          <w:tcPr>
            <w:tcW w:w="413" w:type="dxa"/>
            <w:tcBorders>
              <w:top w:val="nil"/>
              <w:left w:val="single" w:sz="4" w:space="0" w:color="A6A6A6"/>
              <w:bottom w:val="single" w:sz="4" w:space="0" w:color="D3D3D3"/>
              <w:right w:val="single" w:sz="4" w:space="0" w:color="A6A6A6"/>
            </w:tcBorders>
          </w:tcPr>
          <w:p>
            <w:pPr/>
          </w:p>
        </w:tc>
        <w:tc>
          <w:tcPr>
            <w:tcW w:w="992" w:type="dxa"/>
            <w:tcBorders>
              <w:top w:val="nil"/>
              <w:left w:val="single" w:sz="4" w:space="0" w:color="A6A6A6"/>
              <w:bottom w:val="single" w:sz="4" w:space="0" w:color="D3D3D3"/>
            </w:tcBorders>
          </w:tcPr>
          <w:p>
            <w:pPr/>
          </w:p>
        </w:tc>
        <w:tc>
          <w:tcPr>
            <w:tcW w:w="363" w:type="dxa"/>
            <w:tcBorders>
              <w:top w:val="nil"/>
              <w:bottom w:val="single" w:sz="4" w:space="0" w:color="D3D3D3"/>
            </w:tcBorders>
          </w:tcPr>
          <w:p>
            <w:pPr/>
          </w:p>
        </w:tc>
        <w:tc>
          <w:tcPr>
            <w:tcW w:w="992" w:type="dxa"/>
            <w:tcBorders>
              <w:top w:val="nil"/>
              <w:bottom w:val="single" w:sz="4" w:space="0" w:color="D3D3D3"/>
            </w:tcBorders>
          </w:tcPr>
          <w:p>
            <w:pPr/>
          </w:p>
        </w:tc>
        <w:tc>
          <w:tcPr>
            <w:tcW w:w="364" w:type="dxa"/>
            <w:tcBorders>
              <w:top w:val="nil"/>
              <w:bottom w:val="single" w:sz="4" w:space="0" w:color="D3D3D3"/>
            </w:tcBorders>
          </w:tcPr>
          <w:p>
            <w:pPr/>
          </w:p>
        </w:tc>
        <w:tc>
          <w:tcPr>
            <w:tcW w:w="992" w:type="dxa"/>
            <w:tcBorders>
              <w:top w:val="nil"/>
              <w:bottom w:val="single" w:sz="4" w:space="0" w:color="D3D3D3"/>
            </w:tcBorders>
          </w:tcPr>
          <w:p>
            <w:pPr/>
          </w:p>
        </w:tc>
        <w:tc>
          <w:tcPr>
            <w:tcW w:w="324" w:type="dxa"/>
            <w:tcBorders>
              <w:top w:val="nil"/>
              <w:bottom w:val="single" w:sz="4" w:space="0" w:color="D3D3D3"/>
            </w:tcBorders>
          </w:tcPr>
          <w:p>
            <w:pPr/>
          </w:p>
        </w:tc>
        <w:tc>
          <w:tcPr>
            <w:tcW w:w="992" w:type="dxa"/>
            <w:tcBorders>
              <w:top w:val="nil"/>
              <w:bottom w:val="single" w:sz="4" w:space="0" w:color="D3D3D3"/>
            </w:tcBorders>
          </w:tcPr>
          <w:p>
            <w:pPr/>
          </w:p>
        </w:tc>
        <w:tc>
          <w:tcPr>
            <w:tcW w:w="354" w:type="dxa"/>
            <w:tcBorders>
              <w:top w:val="nil"/>
              <w:bottom w:val="single" w:sz="4" w:space="0" w:color="D3D3D3"/>
            </w:tcBorders>
          </w:tcPr>
          <w:p>
            <w:pPr/>
          </w:p>
        </w:tc>
        <w:tc>
          <w:tcPr>
            <w:tcW w:w="1061" w:type="dxa"/>
            <w:tcBorders>
              <w:top w:val="nil"/>
              <w:bottom w:val="single" w:sz="4" w:space="0" w:color="D3D3D3"/>
              <w:right w:val="single" w:sz="4" w:space="0" w:color="000000"/>
            </w:tcBorders>
          </w:tcPr>
          <w:p>
            <w:pP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w w:val="95"/>
                <w:sz w:val="15"/>
              </w:rPr>
              <w:t>Imm.ni immateriali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14.634.000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18.780.000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16.119.000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13.120.000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10.149.000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56"/>
              <w:rPr>
                <w:sz w:val="15"/>
              </w:rPr>
            </w:pPr>
            <w:r>
              <w:rPr>
                <w:w w:val="95"/>
                <w:sz w:val="15"/>
              </w:rPr>
              <w:t>6.144.529</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Imm.ni materiali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42.430.000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38.819.000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32.232.000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26.210.000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11.189.000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56"/>
              <w:rPr>
                <w:sz w:val="15"/>
              </w:rPr>
            </w:pPr>
            <w:r>
              <w:rPr>
                <w:w w:val="95"/>
                <w:sz w:val="15"/>
              </w:rPr>
              <w:t>4.012.043</w:t>
            </w:r>
          </w:p>
        </w:tc>
      </w:tr>
      <w:tr>
        <w:trPr>
          <w:trHeight w:val="200" w:hRule="exact"/>
        </w:trPr>
        <w:tc>
          <w:tcPr>
            <w:tcW w:w="1818" w:type="dxa"/>
            <w:tcBorders>
              <w:top w:val="single" w:sz="4" w:space="0" w:color="D3D3D3"/>
              <w:right w:val="single" w:sz="4" w:space="0" w:color="A6A6A6"/>
            </w:tcBorders>
          </w:tcPr>
          <w:p>
            <w:pPr>
              <w:pStyle w:val="TableParagraph"/>
              <w:spacing w:before="20"/>
              <w:ind w:left="19"/>
              <w:jc w:val="left"/>
              <w:rPr>
                <w:sz w:val="15"/>
              </w:rPr>
            </w:pPr>
            <w:r>
              <w:rPr>
                <w:sz w:val="15"/>
              </w:rPr>
              <w:t>Imm.ni finanziarie</w:t>
            </w:r>
          </w:p>
        </w:tc>
        <w:tc>
          <w:tcPr>
            <w:tcW w:w="992" w:type="dxa"/>
            <w:tcBorders>
              <w:top w:val="single" w:sz="4" w:space="0" w:color="D3D3D3"/>
              <w:left w:val="single" w:sz="4" w:space="0" w:color="A6A6A6"/>
              <w:right w:val="single" w:sz="4" w:space="0" w:color="A6A6A6"/>
            </w:tcBorders>
          </w:tcPr>
          <w:p>
            <w:pPr>
              <w:pStyle w:val="TableParagraph"/>
              <w:spacing w:before="20"/>
              <w:ind w:right="56"/>
              <w:rPr>
                <w:sz w:val="15"/>
              </w:rPr>
            </w:pPr>
            <w:r>
              <w:rPr>
                <w:w w:val="95"/>
                <w:sz w:val="15"/>
              </w:rPr>
              <w:t>5.411.000</w:t>
            </w:r>
          </w:p>
        </w:tc>
        <w:tc>
          <w:tcPr>
            <w:tcW w:w="413" w:type="dxa"/>
            <w:tcBorders>
              <w:top w:val="single" w:sz="4" w:space="0" w:color="D3D3D3"/>
              <w:left w:val="single" w:sz="4" w:space="0" w:color="A6A6A6"/>
              <w:right w:val="single" w:sz="4" w:space="0" w:color="A6A6A6"/>
            </w:tcBorders>
          </w:tcPr>
          <w:p>
            <w:pPr/>
          </w:p>
        </w:tc>
        <w:tc>
          <w:tcPr>
            <w:tcW w:w="992" w:type="dxa"/>
            <w:tcBorders>
              <w:top w:val="single" w:sz="4" w:space="0" w:color="D3D3D3"/>
              <w:left w:val="single" w:sz="4" w:space="0" w:color="A6A6A6"/>
            </w:tcBorders>
          </w:tcPr>
          <w:p>
            <w:pPr>
              <w:pStyle w:val="TableParagraph"/>
              <w:spacing w:before="20"/>
              <w:ind w:right="56"/>
              <w:rPr>
                <w:sz w:val="15"/>
              </w:rPr>
            </w:pPr>
            <w:r>
              <w:rPr>
                <w:w w:val="95"/>
                <w:sz w:val="15"/>
              </w:rPr>
              <w:t>5.365.000</w:t>
            </w:r>
          </w:p>
        </w:tc>
        <w:tc>
          <w:tcPr>
            <w:tcW w:w="363" w:type="dxa"/>
            <w:tcBorders>
              <w:top w:val="single" w:sz="4" w:space="0" w:color="D3D3D3"/>
            </w:tcBorders>
          </w:tcPr>
          <w:p>
            <w:pPr/>
          </w:p>
        </w:tc>
        <w:tc>
          <w:tcPr>
            <w:tcW w:w="992" w:type="dxa"/>
            <w:tcBorders>
              <w:top w:val="single" w:sz="4" w:space="0" w:color="D3D3D3"/>
            </w:tcBorders>
          </w:tcPr>
          <w:p>
            <w:pPr>
              <w:pStyle w:val="TableParagraph"/>
              <w:spacing w:before="20"/>
              <w:ind w:right="56"/>
              <w:rPr>
                <w:sz w:val="15"/>
              </w:rPr>
            </w:pPr>
            <w:r>
              <w:rPr>
                <w:w w:val="95"/>
                <w:sz w:val="15"/>
              </w:rPr>
              <w:t>5.042.000</w:t>
            </w:r>
          </w:p>
        </w:tc>
        <w:tc>
          <w:tcPr>
            <w:tcW w:w="364" w:type="dxa"/>
            <w:tcBorders>
              <w:top w:val="single" w:sz="4" w:space="0" w:color="D3D3D3"/>
            </w:tcBorders>
          </w:tcPr>
          <w:p>
            <w:pPr/>
          </w:p>
        </w:tc>
        <w:tc>
          <w:tcPr>
            <w:tcW w:w="992" w:type="dxa"/>
            <w:tcBorders>
              <w:top w:val="single" w:sz="4" w:space="0" w:color="D3D3D3"/>
            </w:tcBorders>
          </w:tcPr>
          <w:p>
            <w:pPr>
              <w:pStyle w:val="TableParagraph"/>
              <w:spacing w:before="20"/>
              <w:ind w:right="56"/>
              <w:rPr>
                <w:sz w:val="15"/>
              </w:rPr>
            </w:pPr>
            <w:r>
              <w:rPr>
                <w:w w:val="95"/>
                <w:sz w:val="15"/>
              </w:rPr>
              <w:t>109.000.000</w:t>
            </w:r>
          </w:p>
        </w:tc>
        <w:tc>
          <w:tcPr>
            <w:tcW w:w="324" w:type="dxa"/>
            <w:tcBorders>
              <w:top w:val="single" w:sz="4" w:space="0" w:color="D3D3D3"/>
            </w:tcBorders>
          </w:tcPr>
          <w:p>
            <w:pPr/>
          </w:p>
        </w:tc>
        <w:tc>
          <w:tcPr>
            <w:tcW w:w="992" w:type="dxa"/>
            <w:tcBorders>
              <w:top w:val="single" w:sz="4" w:space="0" w:color="D3D3D3"/>
            </w:tcBorders>
          </w:tcPr>
          <w:p>
            <w:pPr>
              <w:pStyle w:val="TableParagraph"/>
              <w:spacing w:before="20"/>
              <w:ind w:right="56"/>
              <w:rPr>
                <w:sz w:val="15"/>
              </w:rPr>
            </w:pPr>
            <w:r>
              <w:rPr>
                <w:w w:val="95"/>
                <w:sz w:val="15"/>
              </w:rPr>
              <w:t>135.653.000</w:t>
            </w:r>
          </w:p>
        </w:tc>
        <w:tc>
          <w:tcPr>
            <w:tcW w:w="354" w:type="dxa"/>
            <w:tcBorders>
              <w:top w:val="single" w:sz="4" w:space="0" w:color="D3D3D3"/>
            </w:tcBorders>
          </w:tcPr>
          <w:p>
            <w:pPr/>
          </w:p>
        </w:tc>
        <w:tc>
          <w:tcPr>
            <w:tcW w:w="1061" w:type="dxa"/>
            <w:tcBorders>
              <w:top w:val="single" w:sz="4" w:space="0" w:color="D3D3D3"/>
              <w:right w:val="single" w:sz="4" w:space="0" w:color="000000"/>
            </w:tcBorders>
          </w:tcPr>
          <w:p>
            <w:pPr>
              <w:pStyle w:val="TableParagraph"/>
              <w:spacing w:before="20"/>
              <w:ind w:right="56"/>
              <w:rPr>
                <w:sz w:val="15"/>
              </w:rPr>
            </w:pPr>
            <w:r>
              <w:rPr>
                <w:w w:val="95"/>
                <w:sz w:val="15"/>
              </w:rPr>
              <w:t>223.077</w:t>
            </w:r>
          </w:p>
        </w:tc>
      </w:tr>
      <w:tr>
        <w:trPr>
          <w:trHeight w:val="200" w:hRule="exact"/>
        </w:trPr>
        <w:tc>
          <w:tcPr>
            <w:tcW w:w="1818" w:type="dxa"/>
            <w:tcBorders>
              <w:bottom w:val="single" w:sz="4" w:space="0" w:color="D3D3D3"/>
              <w:right w:val="single" w:sz="4" w:space="0" w:color="A6A6A6"/>
            </w:tcBorders>
          </w:tcPr>
          <w:p>
            <w:pPr>
              <w:pStyle w:val="TableParagraph"/>
              <w:spacing w:before="20"/>
              <w:ind w:left="19"/>
              <w:jc w:val="left"/>
              <w:rPr>
                <w:sz w:val="15"/>
              </w:rPr>
            </w:pPr>
            <w:r>
              <w:rPr>
                <w:sz w:val="15"/>
              </w:rPr>
              <w:t>Attivo fisso</w:t>
            </w:r>
          </w:p>
        </w:tc>
        <w:tc>
          <w:tcPr>
            <w:tcW w:w="992" w:type="dxa"/>
            <w:tcBorders>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62.475.000</w:t>
            </w:r>
          </w:p>
        </w:tc>
        <w:tc>
          <w:tcPr>
            <w:tcW w:w="413" w:type="dxa"/>
            <w:tcBorders>
              <w:left w:val="single" w:sz="4" w:space="0" w:color="A6A6A6"/>
              <w:bottom w:val="single" w:sz="4" w:space="0" w:color="D3D3D3"/>
              <w:right w:val="single" w:sz="4" w:space="0" w:color="A6A6A6"/>
            </w:tcBorders>
          </w:tcPr>
          <w:p>
            <w:pPr/>
          </w:p>
        </w:tc>
        <w:tc>
          <w:tcPr>
            <w:tcW w:w="992" w:type="dxa"/>
            <w:tcBorders>
              <w:left w:val="single" w:sz="4" w:space="0" w:color="A6A6A6"/>
              <w:bottom w:val="single" w:sz="4" w:space="0" w:color="D3D3D3"/>
            </w:tcBorders>
          </w:tcPr>
          <w:p>
            <w:pPr>
              <w:pStyle w:val="TableParagraph"/>
              <w:spacing w:before="20"/>
              <w:ind w:right="56"/>
              <w:rPr>
                <w:sz w:val="15"/>
              </w:rPr>
            </w:pPr>
            <w:r>
              <w:rPr>
                <w:w w:val="95"/>
                <w:sz w:val="15"/>
              </w:rPr>
              <w:t>62.964.000</w:t>
            </w:r>
          </w:p>
        </w:tc>
        <w:tc>
          <w:tcPr>
            <w:tcW w:w="363" w:type="dxa"/>
            <w:tcBorders>
              <w:bottom w:val="single" w:sz="4" w:space="0" w:color="D3D3D3"/>
            </w:tcBorders>
          </w:tcPr>
          <w:p>
            <w:pPr/>
          </w:p>
        </w:tc>
        <w:tc>
          <w:tcPr>
            <w:tcW w:w="992" w:type="dxa"/>
            <w:tcBorders>
              <w:bottom w:val="single" w:sz="4" w:space="0" w:color="D3D3D3"/>
            </w:tcBorders>
          </w:tcPr>
          <w:p>
            <w:pPr>
              <w:pStyle w:val="TableParagraph"/>
              <w:spacing w:before="20"/>
              <w:ind w:right="56"/>
              <w:rPr>
                <w:sz w:val="15"/>
              </w:rPr>
            </w:pPr>
            <w:r>
              <w:rPr>
                <w:w w:val="95"/>
                <w:sz w:val="15"/>
              </w:rPr>
              <w:t>53.393.000</w:t>
            </w:r>
          </w:p>
        </w:tc>
        <w:tc>
          <w:tcPr>
            <w:tcW w:w="364" w:type="dxa"/>
            <w:tcBorders>
              <w:bottom w:val="single" w:sz="4" w:space="0" w:color="D3D3D3"/>
            </w:tcBorders>
          </w:tcPr>
          <w:p>
            <w:pPr/>
          </w:p>
        </w:tc>
        <w:tc>
          <w:tcPr>
            <w:tcW w:w="992" w:type="dxa"/>
            <w:tcBorders>
              <w:bottom w:val="single" w:sz="4" w:space="0" w:color="D3D3D3"/>
            </w:tcBorders>
          </w:tcPr>
          <w:p>
            <w:pPr>
              <w:pStyle w:val="TableParagraph"/>
              <w:spacing w:before="20"/>
              <w:ind w:right="56"/>
              <w:rPr>
                <w:sz w:val="15"/>
              </w:rPr>
            </w:pPr>
            <w:r>
              <w:rPr>
                <w:w w:val="95"/>
                <w:sz w:val="15"/>
              </w:rPr>
              <w:t>148.330.000</w:t>
            </w:r>
          </w:p>
        </w:tc>
        <w:tc>
          <w:tcPr>
            <w:tcW w:w="324" w:type="dxa"/>
            <w:tcBorders>
              <w:bottom w:val="single" w:sz="4" w:space="0" w:color="D3D3D3"/>
            </w:tcBorders>
          </w:tcPr>
          <w:p>
            <w:pPr/>
          </w:p>
        </w:tc>
        <w:tc>
          <w:tcPr>
            <w:tcW w:w="992" w:type="dxa"/>
            <w:tcBorders>
              <w:bottom w:val="single" w:sz="4" w:space="0" w:color="D3D3D3"/>
            </w:tcBorders>
          </w:tcPr>
          <w:p>
            <w:pPr>
              <w:pStyle w:val="TableParagraph"/>
              <w:spacing w:before="20"/>
              <w:ind w:right="56"/>
              <w:rPr>
                <w:sz w:val="15"/>
              </w:rPr>
            </w:pPr>
            <w:r>
              <w:rPr>
                <w:w w:val="95"/>
                <w:sz w:val="15"/>
              </w:rPr>
              <w:t>156.991.000</w:t>
            </w:r>
          </w:p>
        </w:tc>
        <w:tc>
          <w:tcPr>
            <w:tcW w:w="354" w:type="dxa"/>
            <w:tcBorders>
              <w:bottom w:val="single" w:sz="4" w:space="0" w:color="D3D3D3"/>
            </w:tcBorders>
          </w:tcPr>
          <w:p>
            <w:pPr/>
          </w:p>
        </w:tc>
        <w:tc>
          <w:tcPr>
            <w:tcW w:w="1061" w:type="dxa"/>
            <w:tcBorders>
              <w:bottom w:val="single" w:sz="4" w:space="0" w:color="D3D3D3"/>
              <w:right w:val="single" w:sz="4" w:space="0" w:color="000000"/>
            </w:tcBorders>
          </w:tcPr>
          <w:p>
            <w:pPr>
              <w:pStyle w:val="TableParagraph"/>
              <w:spacing w:before="20"/>
              <w:ind w:right="56"/>
              <w:rPr>
                <w:sz w:val="15"/>
              </w:rPr>
            </w:pPr>
            <w:r>
              <w:rPr>
                <w:w w:val="95"/>
                <w:sz w:val="15"/>
              </w:rPr>
              <w:t>10.379.649</w:t>
            </w:r>
          </w:p>
        </w:tc>
      </w:tr>
      <w:tr>
        <w:trPr>
          <w:trHeight w:val="200" w:hRule="exact"/>
        </w:trPr>
        <w:tc>
          <w:tcPr>
            <w:tcW w:w="1818" w:type="dxa"/>
            <w:tcBorders>
              <w:top w:val="single" w:sz="4" w:space="0" w:color="D3D3D3"/>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right w:val="single" w:sz="4" w:space="0" w:color="A6A6A6"/>
            </w:tcBorders>
          </w:tcPr>
          <w:p>
            <w:pP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Rimanenze</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2.468.000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1.055.000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1.055.000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1.056.000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60"/>
              <w:rPr>
                <w:sz w:val="15"/>
              </w:rPr>
            </w:pPr>
            <w:r>
              <w:rPr>
                <w:w w:val="98"/>
                <w:sz w:val="15"/>
              </w:rPr>
              <w:t>-</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Crediti vs clienti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2.142.000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5.292.000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1.438.000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799.000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17.626.000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56"/>
              <w:rPr>
                <w:sz w:val="15"/>
              </w:rPr>
            </w:pPr>
            <w:r>
              <w:rPr>
                <w:w w:val="95"/>
                <w:sz w:val="15"/>
              </w:rPr>
              <w:t>19.918.403</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Debiti vs fornitori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13"/>
              <w:rPr>
                <w:sz w:val="15"/>
              </w:rPr>
            </w:pPr>
            <w:r>
              <w:rPr>
                <w:w w:val="95"/>
                <w:sz w:val="15"/>
              </w:rPr>
              <w:t>(32.449.000)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14"/>
              <w:rPr>
                <w:sz w:val="15"/>
              </w:rPr>
            </w:pPr>
            <w:r>
              <w:rPr>
                <w:w w:val="95"/>
                <w:sz w:val="15"/>
              </w:rPr>
              <w:t>(33.318.000)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(8.462.000)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(4.928.000)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(25.977.000)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13"/>
              <w:rPr>
                <w:sz w:val="15"/>
              </w:rPr>
            </w:pPr>
            <w:r>
              <w:rPr>
                <w:w w:val="95"/>
                <w:sz w:val="15"/>
              </w:rPr>
              <w:t>(20.191.854)</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Crediti Icoy</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124.900.000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147.467.000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196.234.000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116.386.000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79.658.500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56"/>
              <w:rPr>
                <w:sz w:val="15"/>
              </w:rPr>
            </w:pPr>
            <w:r>
              <w:rPr>
                <w:w w:val="95"/>
                <w:sz w:val="15"/>
              </w:rPr>
              <w:t>74.720.596</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Debiti Icoy</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14"/>
              <w:rPr>
                <w:sz w:val="15"/>
              </w:rPr>
            </w:pPr>
            <w:r>
              <w:rPr>
                <w:w w:val="95"/>
                <w:sz w:val="15"/>
              </w:rPr>
              <w:t>(7.699.000)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14"/>
              <w:rPr>
                <w:sz w:val="15"/>
              </w:rPr>
            </w:pPr>
            <w:r>
              <w:rPr>
                <w:w w:val="95"/>
                <w:sz w:val="15"/>
              </w:rPr>
              <w:t>(10.857.000)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3"/>
              <w:rPr>
                <w:sz w:val="15"/>
              </w:rPr>
            </w:pPr>
            <w:r>
              <w:rPr>
                <w:w w:val="95"/>
                <w:sz w:val="15"/>
              </w:rPr>
              <w:t>(18.639.000)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(20.077.000)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(17.595.000)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13"/>
              <w:rPr>
                <w:sz w:val="15"/>
              </w:rPr>
            </w:pPr>
            <w:r>
              <w:rPr>
                <w:w w:val="95"/>
                <w:sz w:val="15"/>
              </w:rPr>
              <w:t>(31.341.081)</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Crediti tributari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311.000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9"/>
              <w:rPr>
                <w:sz w:val="15"/>
              </w:rPr>
            </w:pPr>
            <w:r>
              <w:rPr>
                <w:w w:val="98"/>
                <w:sz w:val="15"/>
              </w:rPr>
              <w:t>-</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9"/>
              <w:rPr>
                <w:sz w:val="15"/>
              </w:rPr>
            </w:pPr>
            <w:r>
              <w:rPr>
                <w:w w:val="98"/>
                <w:sz w:val="15"/>
              </w:rPr>
              <w:t>-</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65.000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164.000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56"/>
              <w:rPr>
                <w:sz w:val="15"/>
              </w:rPr>
            </w:pPr>
            <w:r>
              <w:rPr>
                <w:w w:val="95"/>
                <w:sz w:val="15"/>
              </w:rPr>
              <w:t>959.329</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Debiti tributari e previdenziali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14"/>
              <w:rPr>
                <w:sz w:val="15"/>
              </w:rPr>
            </w:pPr>
            <w:r>
              <w:rPr>
                <w:w w:val="95"/>
                <w:sz w:val="15"/>
              </w:rPr>
              <w:t>(1.349.000)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14"/>
              <w:rPr>
                <w:sz w:val="15"/>
              </w:rPr>
            </w:pPr>
            <w:r>
              <w:rPr>
                <w:w w:val="95"/>
                <w:sz w:val="15"/>
              </w:rPr>
              <w:t>(5.072.000)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(2.468.000)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(1.039.000)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(857.000)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14"/>
              <w:rPr>
                <w:sz w:val="15"/>
              </w:rPr>
            </w:pPr>
            <w:r>
              <w:rPr>
                <w:w w:val="95"/>
                <w:sz w:val="15"/>
              </w:rPr>
              <w:t>(3.342.151)</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Crediti per imposte anticipate</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1.278.000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1.915.000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2.847.000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2.214.000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2.020.500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56"/>
              <w:rPr>
                <w:sz w:val="15"/>
              </w:rPr>
            </w:pPr>
            <w:r>
              <w:rPr>
                <w:w w:val="95"/>
                <w:sz w:val="15"/>
              </w:rPr>
              <w:t>1.768.055</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Crediti vs altri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931.000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2.466.000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2.175.000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39.000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1.061.500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Altri titoli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877.000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390.000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1.776.000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1.400.000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2.369.500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59"/>
              <w:rPr>
                <w:sz w:val="15"/>
              </w:rPr>
            </w:pPr>
            <w:r>
              <w:rPr>
                <w:w w:val="98"/>
                <w:sz w:val="15"/>
              </w:rPr>
              <w:t>-</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Altri debiti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14"/>
              <w:rPr>
                <w:sz w:val="15"/>
              </w:rPr>
            </w:pPr>
            <w:r>
              <w:rPr>
                <w:w w:val="95"/>
                <w:sz w:val="15"/>
              </w:rPr>
              <w:t>(9.743.000)</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14"/>
              <w:rPr>
                <w:sz w:val="15"/>
              </w:rPr>
            </w:pPr>
            <w:r>
              <w:rPr>
                <w:w w:val="95"/>
                <w:sz w:val="15"/>
              </w:rPr>
              <w:t>(9.627.000)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3"/>
              <w:rPr>
                <w:sz w:val="15"/>
              </w:rPr>
            </w:pPr>
            <w:r>
              <w:rPr>
                <w:w w:val="95"/>
                <w:sz w:val="15"/>
              </w:rPr>
              <w:t>(19.121.000)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(17.969.000)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14"/>
              <w:rPr>
                <w:sz w:val="15"/>
              </w:rPr>
            </w:pPr>
            <w:r>
              <w:rPr>
                <w:w w:val="95"/>
                <w:sz w:val="15"/>
              </w:rPr>
              <w:t>(11.168.000)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Style w:val="TableParagraph"/>
              <w:spacing w:before="20"/>
              <w:ind w:right="13"/>
              <w:rPr>
                <w:sz w:val="15"/>
              </w:rPr>
            </w:pPr>
            <w:r>
              <w:rPr>
                <w:w w:val="95"/>
                <w:sz w:val="15"/>
              </w:rPr>
              <w:t>(15.373.474)</w:t>
            </w:r>
          </w:p>
        </w:tc>
      </w:tr>
      <w:tr>
        <w:trPr>
          <w:trHeight w:val="200" w:hRule="exact"/>
        </w:trPr>
        <w:tc>
          <w:tcPr>
            <w:tcW w:w="1818" w:type="dxa"/>
            <w:tcBorders>
              <w:top w:val="single" w:sz="4" w:space="0" w:color="D3D3D3"/>
              <w:bottom w:val="single" w:sz="4" w:space="0" w:color="D3D3D3"/>
              <w:right w:val="single" w:sz="4" w:space="0" w:color="A6A6A6"/>
            </w:tcBorders>
          </w:tcPr>
          <w:p>
            <w:pPr>
              <w:pStyle w:val="TableParagraph"/>
              <w:spacing w:before="20"/>
              <w:ind w:left="19"/>
              <w:jc w:val="left"/>
              <w:rPr>
                <w:sz w:val="15"/>
              </w:rPr>
            </w:pPr>
            <w:r>
              <w:rPr>
                <w:sz w:val="15"/>
              </w:rPr>
              <w:t>Ratei e risconti attivi</w:t>
            </w:r>
          </w:p>
        </w:tc>
        <w:tc>
          <w:tcPr>
            <w:tcW w:w="992" w:type="dxa"/>
            <w:tcBorders>
              <w:top w:val="single" w:sz="4" w:space="0" w:color="D3D3D3"/>
              <w:left w:val="single" w:sz="4" w:space="0" w:color="A6A6A6"/>
              <w:bottom w:val="single" w:sz="4" w:space="0" w:color="D3D3D3"/>
              <w:right w:val="single" w:sz="4" w:space="0" w:color="A6A6A6"/>
            </w:tcBorders>
          </w:tcPr>
          <w:p>
            <w:pPr>
              <w:pStyle w:val="TableParagraph"/>
              <w:spacing w:before="20"/>
              <w:ind w:right="60"/>
              <w:rPr>
                <w:sz w:val="15"/>
              </w:rPr>
            </w:pPr>
            <w:r>
              <w:rPr>
                <w:w w:val="98"/>
                <w:sz w:val="15"/>
              </w:rPr>
              <w:t>-</w:t>
            </w:r>
          </w:p>
        </w:tc>
        <w:tc>
          <w:tcPr>
            <w:tcW w:w="413" w:type="dxa"/>
            <w:tcBorders>
              <w:top w:val="single" w:sz="4" w:space="0" w:color="D3D3D3"/>
              <w:left w:val="single" w:sz="4" w:space="0" w:color="A6A6A6"/>
              <w:bottom w:val="single" w:sz="4" w:space="0" w:color="D3D3D3"/>
              <w:right w:val="single" w:sz="4" w:space="0" w:color="A6A6A6"/>
            </w:tcBorders>
          </w:tcPr>
          <w:p>
            <w:pPr/>
          </w:p>
        </w:tc>
        <w:tc>
          <w:tcPr>
            <w:tcW w:w="992" w:type="dxa"/>
            <w:tcBorders>
              <w:top w:val="single" w:sz="4" w:space="0" w:color="D3D3D3"/>
              <w:left w:val="single" w:sz="4" w:space="0" w:color="A6A6A6"/>
              <w:bottom w:val="single" w:sz="4" w:space="0" w:color="D3D3D3"/>
            </w:tcBorders>
          </w:tcPr>
          <w:p>
            <w:pPr>
              <w:pStyle w:val="TableParagraph"/>
              <w:spacing w:before="20"/>
              <w:ind w:right="56"/>
              <w:rPr>
                <w:sz w:val="15"/>
              </w:rPr>
            </w:pPr>
            <w:r>
              <w:rPr>
                <w:w w:val="95"/>
                <w:sz w:val="15"/>
              </w:rPr>
              <w:t>349.000</w:t>
            </w:r>
          </w:p>
        </w:tc>
        <w:tc>
          <w:tcPr>
            <w:tcW w:w="363"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376.000</w:t>
            </w:r>
          </w:p>
        </w:tc>
        <w:tc>
          <w:tcPr>
            <w:tcW w:w="36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292.000</w:t>
            </w:r>
          </w:p>
        </w:tc>
        <w:tc>
          <w:tcPr>
            <w:tcW w:w="324" w:type="dxa"/>
            <w:tcBorders>
              <w:top w:val="single" w:sz="4" w:space="0" w:color="D3D3D3"/>
              <w:bottom w:val="single" w:sz="4" w:space="0" w:color="D3D3D3"/>
            </w:tcBorders>
          </w:tcPr>
          <w:p>
            <w:pPr/>
          </w:p>
        </w:tc>
        <w:tc>
          <w:tcPr>
            <w:tcW w:w="992" w:type="dxa"/>
            <w:tcBorders>
              <w:top w:val="single" w:sz="4" w:space="0" w:color="D3D3D3"/>
              <w:bottom w:val="single" w:sz="4" w:space="0" w:color="D3D3D3"/>
            </w:tcBorders>
          </w:tcPr>
          <w:p>
            <w:pPr>
              <w:pStyle w:val="TableParagraph"/>
              <w:spacing w:before="20"/>
              <w:ind w:right="56"/>
              <w:rPr>
                <w:sz w:val="15"/>
              </w:rPr>
            </w:pPr>
            <w:r>
              <w:rPr>
                <w:w w:val="95"/>
                <w:sz w:val="15"/>
              </w:rPr>
              <w:t>81.500</w:t>
            </w:r>
          </w:p>
        </w:tc>
        <w:tc>
          <w:tcPr>
            <w:tcW w:w="354" w:type="dxa"/>
            <w:tcBorders>
              <w:top w:val="single" w:sz="4" w:space="0" w:color="D3D3D3"/>
              <w:bottom w:val="single" w:sz="4" w:space="0" w:color="D3D3D3"/>
            </w:tcBorders>
          </w:tcPr>
          <w:p>
            <w:pPr/>
          </w:p>
        </w:tc>
        <w:tc>
          <w:tcPr>
            <w:tcW w:w="1061" w:type="dxa"/>
            <w:tcBorders>
              <w:top w:val="single" w:sz="4" w:space="0" w:color="D3D3D3"/>
              <w:bottom w:val="single" w:sz="4" w:space="0" w:color="D3D3D3"/>
              <w:right w:val="single" w:sz="4" w:space="0" w:color="000000"/>
            </w:tcBorders>
          </w:tcPr>
          <w:p>
            <w:pPr/>
          </w:p>
        </w:tc>
      </w:tr>
      <w:tr>
        <w:trPr>
          <w:trHeight w:val="200" w:hRule="exact"/>
        </w:trPr>
        <w:tc>
          <w:tcPr>
            <w:tcW w:w="1818" w:type="dxa"/>
            <w:tcBorders>
              <w:top w:val="single" w:sz="4" w:space="0" w:color="D3D3D3"/>
              <w:right w:val="single" w:sz="4" w:space="0" w:color="A6A6A6"/>
            </w:tcBorders>
          </w:tcPr>
          <w:p>
            <w:pPr>
              <w:pStyle w:val="TableParagraph"/>
              <w:spacing w:before="20"/>
              <w:ind w:left="19"/>
              <w:jc w:val="left"/>
              <w:rPr>
                <w:sz w:val="15"/>
              </w:rPr>
            </w:pPr>
            <w:r>
              <w:rPr>
                <w:sz w:val="15"/>
              </w:rPr>
              <w:t>Ratei e risconti passivi</w:t>
            </w:r>
          </w:p>
        </w:tc>
        <w:tc>
          <w:tcPr>
            <w:tcW w:w="992" w:type="dxa"/>
            <w:tcBorders>
              <w:top w:val="single" w:sz="4" w:space="0" w:color="D3D3D3"/>
              <w:left w:val="single" w:sz="4" w:space="0" w:color="A6A6A6"/>
              <w:right w:val="single" w:sz="4" w:space="0" w:color="A6A6A6"/>
            </w:tcBorders>
          </w:tcPr>
          <w:p>
            <w:pPr>
              <w:pStyle w:val="TableParagraph"/>
              <w:spacing w:before="20"/>
              <w:ind w:right="14"/>
              <w:rPr>
                <w:sz w:val="15"/>
              </w:rPr>
            </w:pPr>
            <w:r>
              <w:rPr>
                <w:w w:val="95"/>
                <w:sz w:val="15"/>
              </w:rPr>
              <w:t>(2.532.000)</w:t>
            </w:r>
          </w:p>
        </w:tc>
        <w:tc>
          <w:tcPr>
            <w:tcW w:w="413" w:type="dxa"/>
            <w:tcBorders>
              <w:top w:val="single" w:sz="4" w:space="0" w:color="D3D3D3"/>
              <w:left w:val="single" w:sz="4" w:space="0" w:color="A6A6A6"/>
              <w:right w:val="single" w:sz="4" w:space="0" w:color="A6A6A6"/>
            </w:tcBorders>
          </w:tcPr>
          <w:p>
            <w:pPr/>
          </w:p>
        </w:tc>
        <w:tc>
          <w:tcPr>
            <w:tcW w:w="992" w:type="dxa"/>
            <w:tcBorders>
              <w:top w:val="single" w:sz="4" w:space="0" w:color="D3D3D3"/>
              <w:left w:val="single" w:sz="4" w:space="0" w:color="A6A6A6"/>
            </w:tcBorders>
          </w:tcPr>
          <w:p>
            <w:pPr>
              <w:pStyle w:val="TableParagraph"/>
              <w:spacing w:before="20"/>
              <w:ind w:right="14"/>
              <w:rPr>
                <w:sz w:val="15"/>
              </w:rPr>
            </w:pPr>
            <w:r>
              <w:rPr>
                <w:w w:val="95"/>
                <w:sz w:val="15"/>
              </w:rPr>
              <w:t>(6.561.000)</w:t>
            </w:r>
          </w:p>
        </w:tc>
        <w:tc>
          <w:tcPr>
            <w:tcW w:w="363" w:type="dxa"/>
            <w:tcBorders>
              <w:top w:val="single" w:sz="4" w:space="0" w:color="D3D3D3"/>
            </w:tcBorders>
          </w:tcPr>
          <w:p>
            <w:pPr/>
          </w:p>
        </w:tc>
        <w:tc>
          <w:tcPr>
            <w:tcW w:w="992" w:type="dxa"/>
            <w:tcBorders>
              <w:top w:val="single" w:sz="4" w:space="0" w:color="D3D3D3"/>
            </w:tcBorders>
          </w:tcPr>
          <w:p>
            <w:pPr>
              <w:pStyle w:val="TableParagraph"/>
              <w:spacing w:before="20"/>
              <w:ind w:right="14"/>
              <w:rPr>
                <w:sz w:val="15"/>
              </w:rPr>
            </w:pPr>
            <w:r>
              <w:rPr>
                <w:w w:val="95"/>
                <w:sz w:val="15"/>
              </w:rPr>
              <w:t>(6.089.000)</w:t>
            </w:r>
          </w:p>
        </w:tc>
        <w:tc>
          <w:tcPr>
            <w:tcW w:w="364" w:type="dxa"/>
            <w:tcBorders>
              <w:top w:val="single" w:sz="4" w:space="0" w:color="D3D3D3"/>
            </w:tcBorders>
          </w:tcPr>
          <w:p>
            <w:pPr/>
          </w:p>
        </w:tc>
        <w:tc>
          <w:tcPr>
            <w:tcW w:w="992" w:type="dxa"/>
            <w:tcBorders>
              <w:top w:val="single" w:sz="4" w:space="0" w:color="D3D3D3"/>
            </w:tcBorders>
          </w:tcPr>
          <w:p>
            <w:pPr>
              <w:pStyle w:val="TableParagraph"/>
              <w:spacing w:before="20"/>
              <w:ind w:right="14"/>
              <w:rPr>
                <w:sz w:val="15"/>
              </w:rPr>
            </w:pPr>
            <w:r>
              <w:rPr>
                <w:w w:val="95"/>
                <w:sz w:val="15"/>
              </w:rPr>
              <w:t>(5.616.000)</w:t>
            </w:r>
          </w:p>
        </w:tc>
        <w:tc>
          <w:tcPr>
            <w:tcW w:w="324" w:type="dxa"/>
            <w:tcBorders>
              <w:top w:val="single" w:sz="4" w:space="0" w:color="D3D3D3"/>
            </w:tcBorders>
          </w:tcPr>
          <w:p>
            <w:pPr/>
          </w:p>
        </w:tc>
        <w:tc>
          <w:tcPr>
            <w:tcW w:w="992" w:type="dxa"/>
            <w:tcBorders>
              <w:top w:val="single" w:sz="4" w:space="0" w:color="D3D3D3"/>
            </w:tcBorders>
          </w:tcPr>
          <w:p>
            <w:pPr>
              <w:pStyle w:val="TableParagraph"/>
              <w:spacing w:before="20"/>
              <w:ind w:right="14"/>
              <w:rPr>
                <w:sz w:val="15"/>
              </w:rPr>
            </w:pPr>
            <w:r>
              <w:rPr>
                <w:w w:val="95"/>
                <w:sz w:val="15"/>
              </w:rPr>
              <w:t>(3.307.000)</w:t>
            </w:r>
          </w:p>
        </w:tc>
        <w:tc>
          <w:tcPr>
            <w:tcW w:w="354" w:type="dxa"/>
            <w:tcBorders>
              <w:top w:val="single" w:sz="4" w:space="0" w:color="D3D3D3"/>
            </w:tcBorders>
          </w:tcPr>
          <w:p>
            <w:pPr/>
          </w:p>
        </w:tc>
        <w:tc>
          <w:tcPr>
            <w:tcW w:w="1061" w:type="dxa"/>
            <w:tcBorders>
              <w:top w:val="single" w:sz="4" w:space="0" w:color="D3D3D3"/>
              <w:right w:val="single" w:sz="4" w:space="0" w:color="000000"/>
            </w:tcBorders>
          </w:tcPr>
          <w:p>
            <w:pPr/>
          </w:p>
        </w:tc>
      </w:tr>
      <w:tr>
        <w:trPr>
          <w:trHeight w:val="200" w:hRule="exact"/>
        </w:trPr>
        <w:tc>
          <w:tcPr>
            <w:tcW w:w="1818" w:type="dxa"/>
            <w:tcBorders>
              <w:bottom w:val="single" w:sz="4" w:space="0" w:color="D3D3D3"/>
              <w:right w:val="single" w:sz="4" w:space="0" w:color="A6A6A6"/>
            </w:tcBorders>
          </w:tcPr>
          <w:p>
            <w:pPr>
              <w:pStyle w:val="TableParagraph"/>
              <w:spacing w:before="20"/>
              <w:ind w:left="19"/>
              <w:jc w:val="left"/>
              <w:rPr>
                <w:sz w:val="15"/>
              </w:rPr>
            </w:pPr>
            <w:r>
              <w:rPr>
                <w:sz w:val="15"/>
              </w:rPr>
              <w:t>Capitale circolante netto</w:t>
            </w:r>
          </w:p>
        </w:tc>
        <w:tc>
          <w:tcPr>
            <w:tcW w:w="992" w:type="dxa"/>
            <w:tcBorders>
              <w:left w:val="single" w:sz="4" w:space="0" w:color="A6A6A6"/>
              <w:bottom w:val="single" w:sz="4" w:space="0" w:color="D3D3D3"/>
              <w:right w:val="single" w:sz="4" w:space="0" w:color="A6A6A6"/>
            </w:tcBorders>
          </w:tcPr>
          <w:p>
            <w:pPr>
              <w:pStyle w:val="TableParagraph"/>
              <w:spacing w:before="20"/>
              <w:ind w:right="56"/>
              <w:rPr>
                <w:sz w:val="15"/>
              </w:rPr>
            </w:pPr>
            <w:r>
              <w:rPr>
                <w:w w:val="95"/>
                <w:sz w:val="15"/>
              </w:rPr>
              <w:t>79.135.000</w:t>
            </w:r>
          </w:p>
        </w:tc>
        <w:tc>
          <w:tcPr>
            <w:tcW w:w="413" w:type="dxa"/>
            <w:tcBorders>
              <w:left w:val="single" w:sz="4" w:space="0" w:color="A6A6A6"/>
              <w:bottom w:val="single" w:sz="4" w:space="0" w:color="D3D3D3"/>
              <w:right w:val="single" w:sz="4" w:space="0" w:color="A6A6A6"/>
            </w:tcBorders>
          </w:tcPr>
          <w:p>
            <w:pPr/>
          </w:p>
        </w:tc>
        <w:tc>
          <w:tcPr>
            <w:tcW w:w="992" w:type="dxa"/>
            <w:tcBorders>
              <w:left w:val="single" w:sz="4" w:space="0" w:color="A6A6A6"/>
              <w:bottom w:val="single" w:sz="4" w:space="0" w:color="D3D3D3"/>
            </w:tcBorders>
          </w:tcPr>
          <w:p>
            <w:pPr>
              <w:pStyle w:val="TableParagraph"/>
              <w:spacing w:before="20"/>
              <w:ind w:right="56"/>
              <w:rPr>
                <w:sz w:val="15"/>
              </w:rPr>
            </w:pPr>
            <w:r>
              <w:rPr>
                <w:w w:val="95"/>
                <w:sz w:val="15"/>
              </w:rPr>
              <w:t>93.499.000</w:t>
            </w:r>
          </w:p>
        </w:tc>
        <w:tc>
          <w:tcPr>
            <w:tcW w:w="363" w:type="dxa"/>
            <w:tcBorders>
              <w:bottom w:val="single" w:sz="4" w:space="0" w:color="D3D3D3"/>
            </w:tcBorders>
          </w:tcPr>
          <w:p>
            <w:pPr/>
          </w:p>
        </w:tc>
        <w:tc>
          <w:tcPr>
            <w:tcW w:w="992" w:type="dxa"/>
            <w:tcBorders>
              <w:bottom w:val="single" w:sz="4" w:space="0" w:color="D3D3D3"/>
            </w:tcBorders>
          </w:tcPr>
          <w:p>
            <w:pPr>
              <w:pStyle w:val="TableParagraph"/>
              <w:spacing w:before="20"/>
              <w:ind w:right="56"/>
              <w:rPr>
                <w:sz w:val="15"/>
              </w:rPr>
            </w:pPr>
            <w:r>
              <w:rPr>
                <w:w w:val="95"/>
                <w:sz w:val="15"/>
              </w:rPr>
              <w:t>151.122.000</w:t>
            </w:r>
          </w:p>
        </w:tc>
        <w:tc>
          <w:tcPr>
            <w:tcW w:w="364" w:type="dxa"/>
            <w:tcBorders>
              <w:bottom w:val="single" w:sz="4" w:space="0" w:color="D3D3D3"/>
            </w:tcBorders>
          </w:tcPr>
          <w:p>
            <w:pPr/>
          </w:p>
        </w:tc>
        <w:tc>
          <w:tcPr>
            <w:tcW w:w="992" w:type="dxa"/>
            <w:tcBorders>
              <w:bottom w:val="single" w:sz="4" w:space="0" w:color="D3D3D3"/>
            </w:tcBorders>
          </w:tcPr>
          <w:p>
            <w:pPr>
              <w:pStyle w:val="TableParagraph"/>
              <w:spacing w:before="20"/>
              <w:ind w:right="56"/>
              <w:rPr>
                <w:sz w:val="15"/>
              </w:rPr>
            </w:pPr>
            <w:r>
              <w:rPr>
                <w:w w:val="95"/>
                <w:sz w:val="15"/>
              </w:rPr>
              <w:t>72.622.000</w:t>
            </w:r>
          </w:p>
        </w:tc>
        <w:tc>
          <w:tcPr>
            <w:tcW w:w="324" w:type="dxa"/>
            <w:tcBorders>
              <w:bottom w:val="single" w:sz="4" w:space="0" w:color="D3D3D3"/>
            </w:tcBorders>
          </w:tcPr>
          <w:p>
            <w:pPr/>
          </w:p>
        </w:tc>
        <w:tc>
          <w:tcPr>
            <w:tcW w:w="992" w:type="dxa"/>
            <w:tcBorders>
              <w:bottom w:val="single" w:sz="4" w:space="0" w:color="D3D3D3"/>
            </w:tcBorders>
          </w:tcPr>
          <w:p>
            <w:pPr>
              <w:pStyle w:val="TableParagraph"/>
              <w:spacing w:before="20"/>
              <w:ind w:right="56"/>
              <w:rPr>
                <w:sz w:val="15"/>
              </w:rPr>
            </w:pPr>
            <w:r>
              <w:rPr>
                <w:w w:val="95"/>
                <w:sz w:val="15"/>
              </w:rPr>
              <w:t>44.077.500</w:t>
            </w:r>
          </w:p>
        </w:tc>
        <w:tc>
          <w:tcPr>
            <w:tcW w:w="354" w:type="dxa"/>
            <w:tcBorders>
              <w:bottom w:val="single" w:sz="4" w:space="0" w:color="D3D3D3"/>
            </w:tcBorders>
          </w:tcPr>
          <w:p>
            <w:pPr/>
          </w:p>
        </w:tc>
        <w:tc>
          <w:tcPr>
            <w:tcW w:w="1061" w:type="dxa"/>
            <w:tcBorders>
              <w:bottom w:val="single" w:sz="4" w:space="0" w:color="D3D3D3"/>
              <w:right w:val="single" w:sz="4" w:space="0" w:color="000000"/>
            </w:tcBorders>
          </w:tcPr>
          <w:p>
            <w:pPr>
              <w:pStyle w:val="TableParagraph"/>
              <w:spacing w:before="20"/>
              <w:ind w:right="56"/>
              <w:rPr>
                <w:sz w:val="15"/>
              </w:rPr>
            </w:pPr>
            <w:r>
              <w:rPr>
                <w:w w:val="95"/>
                <w:sz w:val="15"/>
              </w:rPr>
              <w:t>27.117.823</w:t>
            </w:r>
          </w:p>
        </w:tc>
      </w:tr>
      <w:tr>
        <w:trPr>
          <w:trHeight w:val="200" w:hRule="exact"/>
        </w:trPr>
        <w:tc>
          <w:tcPr>
            <w:tcW w:w="1818" w:type="dxa"/>
            <w:tcBorders>
              <w:top w:val="single" w:sz="4" w:space="0" w:color="D3D3D3"/>
              <w:right w:val="single" w:sz="4" w:space="0" w:color="A6A6A6"/>
            </w:tcBorders>
          </w:tcPr>
          <w:p>
            <w:pPr/>
          </w:p>
        </w:tc>
        <w:tc>
          <w:tcPr>
            <w:tcW w:w="992" w:type="dxa"/>
            <w:tcBorders>
              <w:top w:val="single" w:sz="4" w:space="0" w:color="D3D3D3"/>
              <w:left w:val="single" w:sz="4" w:space="0" w:color="A6A6A6"/>
              <w:right w:val="single" w:sz="4" w:space="0" w:color="A6A6A6"/>
            </w:tcBorders>
          </w:tcPr>
          <w:p>
            <w:pPr/>
          </w:p>
        </w:tc>
        <w:tc>
          <w:tcPr>
            <w:tcW w:w="413" w:type="dxa"/>
            <w:tcBorders>
              <w:top w:val="single" w:sz="4" w:space="0" w:color="D3D3D3"/>
              <w:left w:val="single" w:sz="4" w:space="0" w:color="A6A6A6"/>
              <w:right w:val="single" w:sz="4" w:space="0" w:color="A6A6A6"/>
            </w:tcBorders>
          </w:tcPr>
          <w:p>
            <w:pPr/>
          </w:p>
        </w:tc>
        <w:tc>
          <w:tcPr>
            <w:tcW w:w="992" w:type="dxa"/>
            <w:tcBorders>
              <w:top w:val="single" w:sz="4" w:space="0" w:color="D3D3D3"/>
              <w:left w:val="single" w:sz="4" w:space="0" w:color="A6A6A6"/>
            </w:tcBorders>
          </w:tcPr>
          <w:p>
            <w:pPr/>
          </w:p>
        </w:tc>
        <w:tc>
          <w:tcPr>
            <w:tcW w:w="363" w:type="dxa"/>
            <w:tcBorders>
              <w:top w:val="single" w:sz="4" w:space="0" w:color="D3D3D3"/>
            </w:tcBorders>
          </w:tcPr>
          <w:p>
            <w:pPr/>
          </w:p>
        </w:tc>
        <w:tc>
          <w:tcPr>
            <w:tcW w:w="992" w:type="dxa"/>
            <w:tcBorders>
              <w:top w:val="single" w:sz="4" w:space="0" w:color="D3D3D3"/>
            </w:tcBorders>
          </w:tcPr>
          <w:p>
            <w:pPr/>
          </w:p>
        </w:tc>
        <w:tc>
          <w:tcPr>
            <w:tcW w:w="364" w:type="dxa"/>
            <w:tcBorders>
              <w:top w:val="single" w:sz="4" w:space="0" w:color="D3D3D3"/>
            </w:tcBorders>
          </w:tcPr>
          <w:p>
            <w:pPr/>
          </w:p>
        </w:tc>
        <w:tc>
          <w:tcPr>
            <w:tcW w:w="992" w:type="dxa"/>
            <w:tcBorders>
              <w:top w:val="single" w:sz="4" w:space="0" w:color="D3D3D3"/>
            </w:tcBorders>
          </w:tcPr>
          <w:p>
            <w:pPr/>
          </w:p>
        </w:tc>
        <w:tc>
          <w:tcPr>
            <w:tcW w:w="324" w:type="dxa"/>
            <w:tcBorders>
              <w:top w:val="single" w:sz="4" w:space="0" w:color="D3D3D3"/>
            </w:tcBorders>
          </w:tcPr>
          <w:p>
            <w:pPr/>
          </w:p>
        </w:tc>
        <w:tc>
          <w:tcPr>
            <w:tcW w:w="992" w:type="dxa"/>
            <w:tcBorders>
              <w:top w:val="single" w:sz="4" w:space="0" w:color="D3D3D3"/>
            </w:tcBorders>
          </w:tcPr>
          <w:p>
            <w:pPr/>
          </w:p>
        </w:tc>
        <w:tc>
          <w:tcPr>
            <w:tcW w:w="354" w:type="dxa"/>
            <w:tcBorders>
              <w:top w:val="single" w:sz="4" w:space="0" w:color="D3D3D3"/>
            </w:tcBorders>
          </w:tcPr>
          <w:p>
            <w:pPr/>
          </w:p>
        </w:tc>
        <w:tc>
          <w:tcPr>
            <w:tcW w:w="1061" w:type="dxa"/>
            <w:tcBorders>
              <w:top w:val="single" w:sz="4" w:space="0" w:color="D3D3D3"/>
              <w:right w:val="single" w:sz="4" w:space="0" w:color="000000"/>
            </w:tcBorders>
          </w:tcPr>
          <w:p>
            <w:pPr/>
          </w:p>
        </w:tc>
      </w:tr>
      <w:tr>
        <w:trPr>
          <w:trHeight w:val="200" w:hRule="exact"/>
        </w:trPr>
        <w:tc>
          <w:tcPr>
            <w:tcW w:w="1818" w:type="dxa"/>
            <w:tcBorders>
              <w:right w:val="single" w:sz="4" w:space="0" w:color="A6A6A6"/>
            </w:tcBorders>
            <w:shd w:val="clear" w:color="auto" w:fill="D9D9D9"/>
          </w:tcPr>
          <w:p>
            <w:pPr>
              <w:pStyle w:val="TableParagraph"/>
              <w:spacing w:before="20"/>
              <w:ind w:left="19"/>
              <w:jc w:val="left"/>
              <w:rPr>
                <w:sz w:val="15"/>
              </w:rPr>
            </w:pPr>
            <w:r>
              <w:rPr>
                <w:sz w:val="15"/>
              </w:rPr>
              <w:t>Capitale investito</w:t>
            </w:r>
          </w:p>
        </w:tc>
        <w:tc>
          <w:tcPr>
            <w:tcW w:w="992" w:type="dxa"/>
            <w:tcBorders>
              <w:left w:val="single" w:sz="4" w:space="0" w:color="A6A6A6"/>
              <w:right w:val="single" w:sz="4" w:space="0" w:color="A6A6A6"/>
            </w:tcBorders>
            <w:shd w:val="clear" w:color="auto" w:fill="D9D9D9"/>
          </w:tcPr>
          <w:p>
            <w:pPr>
              <w:pStyle w:val="TableParagraph"/>
              <w:spacing w:before="20"/>
              <w:ind w:right="56"/>
              <w:rPr>
                <w:sz w:val="15"/>
              </w:rPr>
            </w:pPr>
            <w:r>
              <w:rPr>
                <w:w w:val="95"/>
                <w:sz w:val="15"/>
              </w:rPr>
              <w:t>141.610.000</w:t>
            </w:r>
          </w:p>
        </w:tc>
        <w:tc>
          <w:tcPr>
            <w:tcW w:w="413" w:type="dxa"/>
            <w:tcBorders>
              <w:left w:val="single" w:sz="4" w:space="0" w:color="A6A6A6"/>
              <w:right w:val="single" w:sz="4" w:space="0" w:color="A6A6A6"/>
            </w:tcBorders>
            <w:shd w:val="clear" w:color="auto" w:fill="D9D9D9"/>
          </w:tcPr>
          <w:p>
            <w:pPr/>
          </w:p>
        </w:tc>
        <w:tc>
          <w:tcPr>
            <w:tcW w:w="992" w:type="dxa"/>
            <w:tcBorders>
              <w:left w:val="single" w:sz="4" w:space="0" w:color="A6A6A6"/>
            </w:tcBorders>
            <w:shd w:val="clear" w:color="auto" w:fill="D9D9D9"/>
          </w:tcPr>
          <w:p>
            <w:pPr>
              <w:pStyle w:val="TableParagraph"/>
              <w:spacing w:before="20"/>
              <w:ind w:right="56"/>
              <w:rPr>
                <w:sz w:val="15"/>
              </w:rPr>
            </w:pPr>
            <w:r>
              <w:rPr>
                <w:w w:val="95"/>
                <w:sz w:val="15"/>
              </w:rPr>
              <w:t>156.463.000</w:t>
            </w:r>
          </w:p>
        </w:tc>
        <w:tc>
          <w:tcPr>
            <w:tcW w:w="363" w:type="dxa"/>
            <w:shd w:val="clear" w:color="auto" w:fill="D9D9D9"/>
          </w:tcPr>
          <w:p>
            <w:pPr/>
          </w:p>
        </w:tc>
        <w:tc>
          <w:tcPr>
            <w:tcW w:w="992" w:type="dxa"/>
            <w:shd w:val="clear" w:color="auto" w:fill="D9D9D9"/>
          </w:tcPr>
          <w:p>
            <w:pPr>
              <w:pStyle w:val="TableParagraph"/>
              <w:spacing w:before="20"/>
              <w:ind w:right="56"/>
              <w:rPr>
                <w:sz w:val="15"/>
              </w:rPr>
            </w:pPr>
            <w:r>
              <w:rPr>
                <w:w w:val="95"/>
                <w:sz w:val="15"/>
              </w:rPr>
              <w:t>204.515.000</w:t>
            </w:r>
          </w:p>
        </w:tc>
        <w:tc>
          <w:tcPr>
            <w:tcW w:w="364" w:type="dxa"/>
            <w:shd w:val="clear" w:color="auto" w:fill="D9D9D9"/>
          </w:tcPr>
          <w:p>
            <w:pPr/>
          </w:p>
        </w:tc>
        <w:tc>
          <w:tcPr>
            <w:tcW w:w="992" w:type="dxa"/>
            <w:shd w:val="clear" w:color="auto" w:fill="D9D9D9"/>
          </w:tcPr>
          <w:p>
            <w:pPr>
              <w:pStyle w:val="TableParagraph"/>
              <w:spacing w:before="20"/>
              <w:ind w:right="56"/>
              <w:rPr>
                <w:sz w:val="15"/>
              </w:rPr>
            </w:pPr>
            <w:r>
              <w:rPr>
                <w:w w:val="95"/>
                <w:sz w:val="15"/>
              </w:rPr>
              <w:t>220.952.000</w:t>
            </w:r>
          </w:p>
        </w:tc>
        <w:tc>
          <w:tcPr>
            <w:tcW w:w="324" w:type="dxa"/>
            <w:shd w:val="clear" w:color="auto" w:fill="D9D9D9"/>
          </w:tcPr>
          <w:p>
            <w:pPr/>
          </w:p>
        </w:tc>
        <w:tc>
          <w:tcPr>
            <w:tcW w:w="992" w:type="dxa"/>
            <w:shd w:val="clear" w:color="auto" w:fill="D9D9D9"/>
          </w:tcPr>
          <w:p>
            <w:pPr>
              <w:pStyle w:val="TableParagraph"/>
              <w:spacing w:before="20"/>
              <w:ind w:right="56"/>
              <w:rPr>
                <w:sz w:val="15"/>
              </w:rPr>
            </w:pPr>
            <w:r>
              <w:rPr>
                <w:w w:val="95"/>
                <w:sz w:val="15"/>
              </w:rPr>
              <w:t>201.068.500</w:t>
            </w:r>
          </w:p>
        </w:tc>
        <w:tc>
          <w:tcPr>
            <w:tcW w:w="354" w:type="dxa"/>
            <w:shd w:val="clear" w:color="auto" w:fill="D9D9D9"/>
          </w:tcPr>
          <w:p>
            <w:pPr/>
          </w:p>
        </w:tc>
        <w:tc>
          <w:tcPr>
            <w:tcW w:w="1061" w:type="dxa"/>
            <w:tcBorders>
              <w:right w:val="single" w:sz="4" w:space="0" w:color="000000"/>
            </w:tcBorders>
            <w:shd w:val="clear" w:color="auto" w:fill="D9D9D9"/>
          </w:tcPr>
          <w:p>
            <w:pPr>
              <w:pStyle w:val="TableParagraph"/>
              <w:spacing w:before="20"/>
              <w:ind w:right="56"/>
              <w:rPr>
                <w:sz w:val="15"/>
              </w:rPr>
            </w:pPr>
            <w:r>
              <w:rPr>
                <w:w w:val="95"/>
                <w:sz w:val="15"/>
              </w:rPr>
              <w:t>37.497.472</w:t>
            </w:r>
          </w:p>
        </w:tc>
      </w:tr>
    </w:tbl>
    <w:p>
      <w:pPr>
        <w:pStyle w:val="BodyText"/>
        <w:spacing w:before="1" w:after="1"/>
      </w:pPr>
    </w:p>
    <w:tbl>
      <w:tblPr>
        <w:tblW w:w="0" w:type="auto"/>
        <w:jc w:val="left"/>
        <w:tblInd w:w="1419" w:type="dxa"/>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ayout w:type="fixed"/>
        <w:tblCellMar>
          <w:top w:w="0" w:type="dxa"/>
          <w:left w:w="0" w:type="dxa"/>
          <w:bottom w:w="0" w:type="dxa"/>
          <w:right w:w="0" w:type="dxa"/>
        </w:tblCellMar>
        <w:tblLook w:val="01E0"/>
      </w:tblPr>
      <w:tblGrid>
        <w:gridCol w:w="1832"/>
        <w:gridCol w:w="1000"/>
        <w:gridCol w:w="416"/>
        <w:gridCol w:w="1000"/>
        <w:gridCol w:w="366"/>
        <w:gridCol w:w="1000"/>
        <w:gridCol w:w="367"/>
        <w:gridCol w:w="1000"/>
        <w:gridCol w:w="327"/>
        <w:gridCol w:w="1000"/>
        <w:gridCol w:w="356"/>
        <w:gridCol w:w="1069"/>
      </w:tblGrid>
      <w:tr>
        <w:trPr>
          <w:trHeight w:val="189" w:hRule="exact"/>
        </w:trPr>
        <w:tc>
          <w:tcPr>
            <w:tcW w:w="1832" w:type="dxa"/>
            <w:tcBorders>
              <w:left w:val="single" w:sz="4" w:space="0" w:color="000000"/>
              <w:right w:val="single" w:sz="4" w:space="0" w:color="A6A6A6"/>
            </w:tcBorders>
          </w:tcPr>
          <w:p>
            <w:pPr>
              <w:pStyle w:val="TableParagraph"/>
              <w:spacing w:before="21"/>
              <w:ind w:left="19"/>
              <w:jc w:val="left"/>
              <w:rPr>
                <w:sz w:val="14"/>
              </w:rPr>
            </w:pPr>
            <w:r>
              <w:rPr>
                <w:w w:val="105"/>
                <w:sz w:val="14"/>
              </w:rPr>
              <w:t>Fondi rischi</w:t>
            </w:r>
          </w:p>
        </w:tc>
        <w:tc>
          <w:tcPr>
            <w:tcW w:w="1000" w:type="dxa"/>
            <w:tcBorders>
              <w:left w:val="single" w:sz="4" w:space="0" w:color="A6A6A6"/>
              <w:right w:val="single" w:sz="4" w:space="0" w:color="A6A6A6"/>
            </w:tcBorders>
          </w:tcPr>
          <w:p>
            <w:pPr>
              <w:pStyle w:val="TableParagraph"/>
              <w:spacing w:before="21"/>
              <w:ind w:right="57"/>
              <w:rPr>
                <w:sz w:val="14"/>
              </w:rPr>
            </w:pPr>
            <w:r>
              <w:rPr>
                <w:w w:val="105"/>
                <w:sz w:val="14"/>
              </w:rPr>
              <w:t>1.397.000</w:t>
            </w:r>
          </w:p>
        </w:tc>
        <w:tc>
          <w:tcPr>
            <w:tcW w:w="416" w:type="dxa"/>
            <w:tcBorders>
              <w:left w:val="single" w:sz="4" w:space="0" w:color="A6A6A6"/>
              <w:right w:val="single" w:sz="4" w:space="0" w:color="A6A6A6"/>
            </w:tcBorders>
          </w:tcPr>
          <w:p>
            <w:pPr/>
          </w:p>
        </w:tc>
        <w:tc>
          <w:tcPr>
            <w:tcW w:w="1000" w:type="dxa"/>
            <w:tcBorders>
              <w:left w:val="single" w:sz="4" w:space="0" w:color="A6A6A6"/>
              <w:right w:val="single" w:sz="4" w:space="0" w:color="000000"/>
            </w:tcBorders>
          </w:tcPr>
          <w:p>
            <w:pPr>
              <w:pStyle w:val="TableParagraph"/>
              <w:spacing w:before="21"/>
              <w:ind w:right="57"/>
              <w:rPr>
                <w:sz w:val="14"/>
              </w:rPr>
            </w:pPr>
            <w:r>
              <w:rPr>
                <w:w w:val="105"/>
                <w:sz w:val="14"/>
              </w:rPr>
              <w:t>26.448.000</w:t>
            </w:r>
          </w:p>
        </w:tc>
        <w:tc>
          <w:tcPr>
            <w:tcW w:w="366"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6"/>
              <w:rPr>
                <w:sz w:val="14"/>
              </w:rPr>
            </w:pPr>
            <w:r>
              <w:rPr>
                <w:w w:val="105"/>
                <w:sz w:val="14"/>
              </w:rPr>
              <w:t>22.754.000</w:t>
            </w:r>
          </w:p>
        </w:tc>
        <w:tc>
          <w:tcPr>
            <w:tcW w:w="36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6"/>
              <w:rPr>
                <w:sz w:val="14"/>
              </w:rPr>
            </w:pPr>
            <w:r>
              <w:rPr>
                <w:w w:val="105"/>
                <w:sz w:val="14"/>
              </w:rPr>
              <w:t>12.516.000</w:t>
            </w:r>
          </w:p>
        </w:tc>
        <w:tc>
          <w:tcPr>
            <w:tcW w:w="32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7"/>
              <w:rPr>
                <w:sz w:val="14"/>
              </w:rPr>
            </w:pPr>
            <w:r>
              <w:rPr>
                <w:w w:val="105"/>
                <w:sz w:val="14"/>
              </w:rPr>
              <w:t>5.716.500</w:t>
            </w:r>
          </w:p>
        </w:tc>
        <w:tc>
          <w:tcPr>
            <w:tcW w:w="356" w:type="dxa"/>
            <w:tcBorders>
              <w:left w:val="single" w:sz="4" w:space="0" w:color="000000"/>
              <w:right w:val="single" w:sz="4" w:space="0" w:color="000000"/>
            </w:tcBorders>
          </w:tcPr>
          <w:p>
            <w:pPr/>
          </w:p>
        </w:tc>
        <w:tc>
          <w:tcPr>
            <w:tcW w:w="1069" w:type="dxa"/>
            <w:tcBorders>
              <w:left w:val="single" w:sz="4" w:space="0" w:color="000000"/>
              <w:right w:val="single" w:sz="4" w:space="0" w:color="000000"/>
            </w:tcBorders>
          </w:tcPr>
          <w:p>
            <w:pPr>
              <w:pStyle w:val="TableParagraph"/>
              <w:spacing w:before="21"/>
              <w:ind w:right="57"/>
              <w:rPr>
                <w:sz w:val="14"/>
              </w:rPr>
            </w:pPr>
            <w:r>
              <w:rPr>
                <w:w w:val="105"/>
                <w:sz w:val="14"/>
              </w:rPr>
              <w:t>20.308.334</w:t>
            </w:r>
          </w:p>
        </w:tc>
      </w:tr>
      <w:tr>
        <w:trPr>
          <w:trHeight w:val="190" w:hRule="exact"/>
        </w:trPr>
        <w:tc>
          <w:tcPr>
            <w:tcW w:w="1832" w:type="dxa"/>
            <w:tcBorders>
              <w:left w:val="single" w:sz="4" w:space="0" w:color="000000"/>
              <w:bottom w:val="single" w:sz="4" w:space="0" w:color="000000"/>
              <w:right w:val="single" w:sz="4" w:space="0" w:color="A6A6A6"/>
            </w:tcBorders>
          </w:tcPr>
          <w:p>
            <w:pPr>
              <w:pStyle w:val="TableParagraph"/>
              <w:spacing w:before="21"/>
              <w:ind w:left="19"/>
              <w:jc w:val="left"/>
              <w:rPr>
                <w:sz w:val="14"/>
              </w:rPr>
            </w:pPr>
            <w:r>
              <w:rPr>
                <w:w w:val="105"/>
                <w:sz w:val="14"/>
              </w:rPr>
              <w:t>TFR</w:t>
            </w:r>
          </w:p>
        </w:tc>
        <w:tc>
          <w:tcPr>
            <w:tcW w:w="1000" w:type="dxa"/>
            <w:tcBorders>
              <w:left w:val="single" w:sz="4" w:space="0" w:color="A6A6A6"/>
              <w:bottom w:val="single" w:sz="4" w:space="0" w:color="000000"/>
              <w:right w:val="single" w:sz="4" w:space="0" w:color="A6A6A6"/>
            </w:tcBorders>
          </w:tcPr>
          <w:p>
            <w:pPr>
              <w:pStyle w:val="TableParagraph"/>
              <w:spacing w:before="21"/>
              <w:ind w:right="57"/>
              <w:rPr>
                <w:sz w:val="14"/>
              </w:rPr>
            </w:pPr>
            <w:r>
              <w:rPr>
                <w:w w:val="105"/>
                <w:sz w:val="14"/>
              </w:rPr>
              <w:t>572.000</w:t>
            </w:r>
          </w:p>
        </w:tc>
        <w:tc>
          <w:tcPr>
            <w:tcW w:w="416" w:type="dxa"/>
            <w:tcBorders>
              <w:left w:val="single" w:sz="4" w:space="0" w:color="A6A6A6"/>
              <w:bottom w:val="single" w:sz="4" w:space="0" w:color="000000"/>
              <w:right w:val="single" w:sz="4" w:space="0" w:color="A6A6A6"/>
            </w:tcBorders>
          </w:tcPr>
          <w:p>
            <w:pPr/>
          </w:p>
        </w:tc>
        <w:tc>
          <w:tcPr>
            <w:tcW w:w="1000" w:type="dxa"/>
            <w:tcBorders>
              <w:left w:val="single" w:sz="4" w:space="0" w:color="A6A6A6"/>
              <w:bottom w:val="single" w:sz="4" w:space="0" w:color="000000"/>
              <w:right w:val="single" w:sz="4" w:space="0" w:color="000000"/>
            </w:tcBorders>
          </w:tcPr>
          <w:p>
            <w:pPr>
              <w:pStyle w:val="TableParagraph"/>
              <w:spacing w:before="21"/>
              <w:ind w:right="56"/>
              <w:rPr>
                <w:sz w:val="14"/>
              </w:rPr>
            </w:pPr>
            <w:r>
              <w:rPr>
                <w:w w:val="105"/>
                <w:sz w:val="14"/>
              </w:rPr>
              <w:t>916.000</w:t>
            </w:r>
          </w:p>
        </w:tc>
        <w:tc>
          <w:tcPr>
            <w:tcW w:w="366" w:type="dxa"/>
            <w:tcBorders>
              <w:left w:val="single" w:sz="4" w:space="0" w:color="000000"/>
              <w:bottom w:val="single" w:sz="4" w:space="0" w:color="000000"/>
              <w:right w:val="single" w:sz="4" w:space="0" w:color="000000"/>
            </w:tcBorders>
          </w:tcPr>
          <w:p>
            <w:pPr/>
          </w:p>
        </w:tc>
        <w:tc>
          <w:tcPr>
            <w:tcW w:w="1000" w:type="dxa"/>
            <w:tcBorders>
              <w:left w:val="single" w:sz="4" w:space="0" w:color="000000"/>
              <w:bottom w:val="single" w:sz="4" w:space="0" w:color="000000"/>
              <w:right w:val="single" w:sz="4" w:space="0" w:color="000000"/>
            </w:tcBorders>
          </w:tcPr>
          <w:p>
            <w:pPr>
              <w:pStyle w:val="TableParagraph"/>
              <w:spacing w:before="21"/>
              <w:ind w:right="56"/>
              <w:rPr>
                <w:sz w:val="14"/>
              </w:rPr>
            </w:pPr>
            <w:r>
              <w:rPr>
                <w:w w:val="105"/>
                <w:sz w:val="14"/>
              </w:rPr>
              <w:t>986.000</w:t>
            </w:r>
          </w:p>
        </w:tc>
        <w:tc>
          <w:tcPr>
            <w:tcW w:w="367" w:type="dxa"/>
            <w:tcBorders>
              <w:left w:val="single" w:sz="4" w:space="0" w:color="000000"/>
              <w:bottom w:val="single" w:sz="4" w:space="0" w:color="000000"/>
              <w:right w:val="single" w:sz="4" w:space="0" w:color="000000"/>
            </w:tcBorders>
          </w:tcPr>
          <w:p>
            <w:pPr/>
          </w:p>
        </w:tc>
        <w:tc>
          <w:tcPr>
            <w:tcW w:w="1000" w:type="dxa"/>
            <w:tcBorders>
              <w:left w:val="single" w:sz="4" w:space="0" w:color="000000"/>
              <w:bottom w:val="single" w:sz="4" w:space="0" w:color="000000"/>
              <w:right w:val="single" w:sz="4" w:space="0" w:color="000000"/>
            </w:tcBorders>
          </w:tcPr>
          <w:p>
            <w:pPr>
              <w:pStyle w:val="TableParagraph"/>
              <w:spacing w:before="21"/>
              <w:ind w:right="57"/>
              <w:rPr>
                <w:sz w:val="14"/>
              </w:rPr>
            </w:pPr>
            <w:r>
              <w:rPr>
                <w:w w:val="105"/>
                <w:sz w:val="14"/>
              </w:rPr>
              <w:t>801.000</w:t>
            </w:r>
          </w:p>
        </w:tc>
        <w:tc>
          <w:tcPr>
            <w:tcW w:w="327" w:type="dxa"/>
            <w:tcBorders>
              <w:left w:val="single" w:sz="4" w:space="0" w:color="000000"/>
              <w:bottom w:val="single" w:sz="4" w:space="0" w:color="000000"/>
              <w:right w:val="single" w:sz="4" w:space="0" w:color="000000"/>
            </w:tcBorders>
          </w:tcPr>
          <w:p>
            <w:pPr/>
          </w:p>
        </w:tc>
        <w:tc>
          <w:tcPr>
            <w:tcW w:w="1000" w:type="dxa"/>
            <w:tcBorders>
              <w:left w:val="single" w:sz="4" w:space="0" w:color="000000"/>
              <w:bottom w:val="single" w:sz="4" w:space="0" w:color="000000"/>
              <w:right w:val="single" w:sz="4" w:space="0" w:color="000000"/>
            </w:tcBorders>
          </w:tcPr>
          <w:p>
            <w:pPr>
              <w:pStyle w:val="TableParagraph"/>
              <w:spacing w:before="21"/>
              <w:ind w:right="57"/>
              <w:rPr>
                <w:sz w:val="14"/>
              </w:rPr>
            </w:pPr>
            <w:r>
              <w:rPr>
                <w:w w:val="105"/>
                <w:sz w:val="14"/>
              </w:rPr>
              <w:t>676.000</w:t>
            </w:r>
          </w:p>
        </w:tc>
        <w:tc>
          <w:tcPr>
            <w:tcW w:w="356" w:type="dxa"/>
            <w:tcBorders>
              <w:left w:val="single" w:sz="4" w:space="0" w:color="000000"/>
              <w:bottom w:val="single" w:sz="4" w:space="0" w:color="000000"/>
              <w:right w:val="single" w:sz="4" w:space="0" w:color="000000"/>
            </w:tcBorders>
          </w:tcPr>
          <w:p>
            <w:pPr/>
          </w:p>
        </w:tc>
        <w:tc>
          <w:tcPr>
            <w:tcW w:w="1069" w:type="dxa"/>
            <w:tcBorders>
              <w:left w:val="single" w:sz="4" w:space="0" w:color="000000"/>
              <w:bottom w:val="single" w:sz="4" w:space="0" w:color="000000"/>
              <w:right w:val="single" w:sz="4" w:space="0" w:color="000000"/>
            </w:tcBorders>
          </w:tcPr>
          <w:p>
            <w:pPr>
              <w:pStyle w:val="TableParagraph"/>
              <w:spacing w:before="21"/>
              <w:ind w:right="56"/>
              <w:rPr>
                <w:sz w:val="14"/>
              </w:rPr>
            </w:pPr>
            <w:r>
              <w:rPr>
                <w:w w:val="105"/>
                <w:sz w:val="14"/>
              </w:rPr>
              <w:t>666.497</w:t>
            </w:r>
          </w:p>
        </w:tc>
      </w:tr>
      <w:tr>
        <w:trPr>
          <w:trHeight w:val="189" w:hRule="exact"/>
        </w:trPr>
        <w:tc>
          <w:tcPr>
            <w:tcW w:w="1832" w:type="dxa"/>
            <w:tcBorders>
              <w:top w:val="single" w:sz="4" w:space="0" w:color="000000"/>
              <w:left w:val="single" w:sz="4" w:space="0" w:color="000000"/>
              <w:right w:val="single" w:sz="4" w:space="0" w:color="A6A6A6"/>
            </w:tcBorders>
          </w:tcPr>
          <w:p>
            <w:pPr>
              <w:pStyle w:val="TableParagraph"/>
              <w:spacing w:before="21"/>
              <w:ind w:left="19"/>
              <w:jc w:val="left"/>
              <w:rPr>
                <w:sz w:val="14"/>
              </w:rPr>
            </w:pPr>
            <w:r>
              <w:rPr>
                <w:w w:val="105"/>
                <w:sz w:val="14"/>
              </w:rPr>
              <w:t>Fondi</w:t>
            </w:r>
          </w:p>
        </w:tc>
        <w:tc>
          <w:tcPr>
            <w:tcW w:w="1000" w:type="dxa"/>
            <w:tcBorders>
              <w:top w:val="single" w:sz="4" w:space="0" w:color="000000"/>
              <w:left w:val="single" w:sz="4" w:space="0" w:color="A6A6A6"/>
              <w:right w:val="single" w:sz="4" w:space="0" w:color="A6A6A6"/>
            </w:tcBorders>
          </w:tcPr>
          <w:p>
            <w:pPr>
              <w:pStyle w:val="TableParagraph"/>
              <w:spacing w:before="21"/>
              <w:ind w:right="57"/>
              <w:rPr>
                <w:sz w:val="14"/>
              </w:rPr>
            </w:pPr>
            <w:r>
              <w:rPr>
                <w:w w:val="105"/>
                <w:sz w:val="14"/>
              </w:rPr>
              <w:t>1.969.000</w:t>
            </w:r>
          </w:p>
        </w:tc>
        <w:tc>
          <w:tcPr>
            <w:tcW w:w="416" w:type="dxa"/>
            <w:tcBorders>
              <w:top w:val="single" w:sz="4" w:space="0" w:color="000000"/>
              <w:left w:val="single" w:sz="4" w:space="0" w:color="A6A6A6"/>
              <w:right w:val="single" w:sz="4" w:space="0" w:color="A6A6A6"/>
            </w:tcBorders>
          </w:tcPr>
          <w:p>
            <w:pPr/>
          </w:p>
        </w:tc>
        <w:tc>
          <w:tcPr>
            <w:tcW w:w="1000" w:type="dxa"/>
            <w:tcBorders>
              <w:top w:val="single" w:sz="4" w:space="0" w:color="000000"/>
              <w:left w:val="single" w:sz="4" w:space="0" w:color="A6A6A6"/>
              <w:right w:val="single" w:sz="4" w:space="0" w:color="000000"/>
            </w:tcBorders>
          </w:tcPr>
          <w:p>
            <w:pPr>
              <w:pStyle w:val="TableParagraph"/>
              <w:spacing w:before="21"/>
              <w:ind w:right="57"/>
              <w:rPr>
                <w:sz w:val="14"/>
              </w:rPr>
            </w:pPr>
            <w:r>
              <w:rPr>
                <w:w w:val="105"/>
                <w:sz w:val="14"/>
              </w:rPr>
              <w:t>27.364.000</w:t>
            </w:r>
          </w:p>
        </w:tc>
        <w:tc>
          <w:tcPr>
            <w:tcW w:w="366" w:type="dxa"/>
            <w:tcBorders>
              <w:top w:val="single" w:sz="4" w:space="0" w:color="000000"/>
              <w:left w:val="single" w:sz="4" w:space="0" w:color="000000"/>
              <w:right w:val="single" w:sz="4" w:space="0" w:color="000000"/>
            </w:tcBorders>
          </w:tcPr>
          <w:p>
            <w:pPr/>
          </w:p>
        </w:tc>
        <w:tc>
          <w:tcPr>
            <w:tcW w:w="1000" w:type="dxa"/>
            <w:tcBorders>
              <w:top w:val="single" w:sz="4" w:space="0" w:color="000000"/>
              <w:left w:val="single" w:sz="4" w:space="0" w:color="000000"/>
              <w:right w:val="single" w:sz="4" w:space="0" w:color="000000"/>
            </w:tcBorders>
          </w:tcPr>
          <w:p>
            <w:pPr>
              <w:pStyle w:val="TableParagraph"/>
              <w:spacing w:before="21"/>
              <w:ind w:right="56"/>
              <w:rPr>
                <w:sz w:val="14"/>
              </w:rPr>
            </w:pPr>
            <w:r>
              <w:rPr>
                <w:w w:val="105"/>
                <w:sz w:val="14"/>
              </w:rPr>
              <w:t>23.740.000</w:t>
            </w:r>
          </w:p>
        </w:tc>
        <w:tc>
          <w:tcPr>
            <w:tcW w:w="367" w:type="dxa"/>
            <w:tcBorders>
              <w:top w:val="single" w:sz="4" w:space="0" w:color="000000"/>
              <w:left w:val="single" w:sz="4" w:space="0" w:color="000000"/>
              <w:right w:val="single" w:sz="4" w:space="0" w:color="000000"/>
            </w:tcBorders>
          </w:tcPr>
          <w:p>
            <w:pPr/>
          </w:p>
        </w:tc>
        <w:tc>
          <w:tcPr>
            <w:tcW w:w="1000" w:type="dxa"/>
            <w:tcBorders>
              <w:top w:val="single" w:sz="4" w:space="0" w:color="000000"/>
              <w:left w:val="single" w:sz="4" w:space="0" w:color="000000"/>
              <w:right w:val="single" w:sz="4" w:space="0" w:color="000000"/>
            </w:tcBorders>
          </w:tcPr>
          <w:p>
            <w:pPr>
              <w:pStyle w:val="TableParagraph"/>
              <w:spacing w:before="21"/>
              <w:ind w:right="56"/>
              <w:rPr>
                <w:sz w:val="14"/>
              </w:rPr>
            </w:pPr>
            <w:r>
              <w:rPr>
                <w:w w:val="105"/>
                <w:sz w:val="14"/>
              </w:rPr>
              <w:t>13.317.000</w:t>
            </w:r>
          </w:p>
        </w:tc>
        <w:tc>
          <w:tcPr>
            <w:tcW w:w="327" w:type="dxa"/>
            <w:tcBorders>
              <w:top w:val="single" w:sz="4" w:space="0" w:color="000000"/>
              <w:left w:val="single" w:sz="4" w:space="0" w:color="000000"/>
              <w:right w:val="single" w:sz="4" w:space="0" w:color="000000"/>
            </w:tcBorders>
          </w:tcPr>
          <w:p>
            <w:pPr/>
          </w:p>
        </w:tc>
        <w:tc>
          <w:tcPr>
            <w:tcW w:w="1000" w:type="dxa"/>
            <w:tcBorders>
              <w:top w:val="single" w:sz="4" w:space="0" w:color="000000"/>
              <w:left w:val="single" w:sz="4" w:space="0" w:color="000000"/>
              <w:right w:val="single" w:sz="4" w:space="0" w:color="000000"/>
            </w:tcBorders>
          </w:tcPr>
          <w:p>
            <w:pPr>
              <w:pStyle w:val="TableParagraph"/>
              <w:spacing w:before="21"/>
              <w:ind w:right="57"/>
              <w:rPr>
                <w:sz w:val="14"/>
              </w:rPr>
            </w:pPr>
            <w:r>
              <w:rPr>
                <w:w w:val="105"/>
                <w:sz w:val="14"/>
              </w:rPr>
              <w:t>6.392.500</w:t>
            </w:r>
          </w:p>
        </w:tc>
        <w:tc>
          <w:tcPr>
            <w:tcW w:w="356" w:type="dxa"/>
            <w:tcBorders>
              <w:top w:val="single" w:sz="4" w:space="0" w:color="000000"/>
              <w:left w:val="single" w:sz="4" w:space="0" w:color="000000"/>
              <w:right w:val="single" w:sz="4" w:space="0" w:color="000000"/>
            </w:tcBorders>
          </w:tcPr>
          <w:p>
            <w:pPr/>
          </w:p>
        </w:tc>
        <w:tc>
          <w:tcPr>
            <w:tcW w:w="1069" w:type="dxa"/>
            <w:tcBorders>
              <w:top w:val="single" w:sz="4" w:space="0" w:color="000000"/>
              <w:left w:val="single" w:sz="4" w:space="0" w:color="000000"/>
              <w:right w:val="single" w:sz="4" w:space="0" w:color="000000"/>
            </w:tcBorders>
          </w:tcPr>
          <w:p>
            <w:pPr>
              <w:pStyle w:val="TableParagraph"/>
              <w:spacing w:before="21"/>
              <w:ind w:right="57"/>
              <w:rPr>
                <w:sz w:val="14"/>
              </w:rPr>
            </w:pPr>
            <w:r>
              <w:rPr>
                <w:w w:val="105"/>
                <w:sz w:val="14"/>
              </w:rPr>
              <w:t>20.974.831</w:t>
            </w:r>
          </w:p>
        </w:tc>
      </w:tr>
      <w:tr>
        <w:trPr>
          <w:trHeight w:val="189" w:hRule="exact"/>
        </w:trPr>
        <w:tc>
          <w:tcPr>
            <w:tcW w:w="1832" w:type="dxa"/>
            <w:tcBorders>
              <w:left w:val="single" w:sz="4" w:space="0" w:color="000000"/>
              <w:right w:val="single" w:sz="4" w:space="0" w:color="A6A6A6"/>
            </w:tcBorders>
          </w:tcPr>
          <w:p>
            <w:pPr/>
          </w:p>
        </w:tc>
        <w:tc>
          <w:tcPr>
            <w:tcW w:w="1000" w:type="dxa"/>
            <w:tcBorders>
              <w:left w:val="single" w:sz="4" w:space="0" w:color="A6A6A6"/>
              <w:right w:val="single" w:sz="4" w:space="0" w:color="A6A6A6"/>
            </w:tcBorders>
          </w:tcPr>
          <w:p>
            <w:pPr/>
          </w:p>
        </w:tc>
        <w:tc>
          <w:tcPr>
            <w:tcW w:w="416" w:type="dxa"/>
            <w:tcBorders>
              <w:left w:val="single" w:sz="4" w:space="0" w:color="A6A6A6"/>
              <w:right w:val="single" w:sz="4" w:space="0" w:color="A6A6A6"/>
            </w:tcBorders>
          </w:tcPr>
          <w:p>
            <w:pPr/>
          </w:p>
        </w:tc>
        <w:tc>
          <w:tcPr>
            <w:tcW w:w="1000" w:type="dxa"/>
            <w:tcBorders>
              <w:left w:val="single" w:sz="4" w:space="0" w:color="A6A6A6"/>
              <w:right w:val="single" w:sz="4" w:space="0" w:color="000000"/>
            </w:tcBorders>
          </w:tcPr>
          <w:p>
            <w:pPr/>
          </w:p>
        </w:tc>
        <w:tc>
          <w:tcPr>
            <w:tcW w:w="366"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
        </w:tc>
        <w:tc>
          <w:tcPr>
            <w:tcW w:w="36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
        </w:tc>
        <w:tc>
          <w:tcPr>
            <w:tcW w:w="32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
        </w:tc>
        <w:tc>
          <w:tcPr>
            <w:tcW w:w="356" w:type="dxa"/>
            <w:tcBorders>
              <w:left w:val="single" w:sz="4" w:space="0" w:color="000000"/>
              <w:right w:val="single" w:sz="4" w:space="0" w:color="000000"/>
            </w:tcBorders>
          </w:tcPr>
          <w:p>
            <w:pPr/>
          </w:p>
        </w:tc>
        <w:tc>
          <w:tcPr>
            <w:tcW w:w="1069" w:type="dxa"/>
            <w:tcBorders>
              <w:left w:val="single" w:sz="4" w:space="0" w:color="000000"/>
              <w:right w:val="single" w:sz="4" w:space="0" w:color="000000"/>
            </w:tcBorders>
          </w:tcPr>
          <w:p>
            <w:pPr/>
          </w:p>
        </w:tc>
      </w:tr>
      <w:tr>
        <w:trPr>
          <w:trHeight w:val="189" w:hRule="exact"/>
        </w:trPr>
        <w:tc>
          <w:tcPr>
            <w:tcW w:w="1832" w:type="dxa"/>
            <w:tcBorders>
              <w:left w:val="single" w:sz="4" w:space="0" w:color="000000"/>
              <w:right w:val="single" w:sz="4" w:space="0" w:color="A6A6A6"/>
            </w:tcBorders>
          </w:tcPr>
          <w:p>
            <w:pPr>
              <w:pStyle w:val="TableParagraph"/>
              <w:spacing w:before="21"/>
              <w:ind w:left="19"/>
              <w:jc w:val="left"/>
              <w:rPr>
                <w:sz w:val="14"/>
              </w:rPr>
            </w:pPr>
            <w:r>
              <w:rPr>
                <w:w w:val="105"/>
                <w:sz w:val="14"/>
              </w:rPr>
              <w:t>Patrimonio netto</w:t>
            </w:r>
          </w:p>
        </w:tc>
        <w:tc>
          <w:tcPr>
            <w:tcW w:w="1000" w:type="dxa"/>
            <w:tcBorders>
              <w:left w:val="single" w:sz="4" w:space="0" w:color="A6A6A6"/>
              <w:right w:val="single" w:sz="4" w:space="0" w:color="A6A6A6"/>
            </w:tcBorders>
          </w:tcPr>
          <w:p>
            <w:pPr>
              <w:pStyle w:val="TableParagraph"/>
              <w:spacing w:before="21"/>
              <w:ind w:right="56"/>
              <w:rPr>
                <w:sz w:val="14"/>
              </w:rPr>
            </w:pPr>
            <w:r>
              <w:rPr>
                <w:w w:val="105"/>
                <w:sz w:val="14"/>
              </w:rPr>
              <w:t>22.328.000</w:t>
            </w:r>
          </w:p>
        </w:tc>
        <w:tc>
          <w:tcPr>
            <w:tcW w:w="416" w:type="dxa"/>
            <w:tcBorders>
              <w:left w:val="single" w:sz="4" w:space="0" w:color="A6A6A6"/>
              <w:right w:val="single" w:sz="4" w:space="0" w:color="A6A6A6"/>
            </w:tcBorders>
          </w:tcPr>
          <w:p>
            <w:pPr/>
          </w:p>
        </w:tc>
        <w:tc>
          <w:tcPr>
            <w:tcW w:w="1000" w:type="dxa"/>
            <w:tcBorders>
              <w:left w:val="single" w:sz="4" w:space="0" w:color="A6A6A6"/>
              <w:right w:val="single" w:sz="4" w:space="0" w:color="000000"/>
            </w:tcBorders>
          </w:tcPr>
          <w:p>
            <w:pPr>
              <w:pStyle w:val="TableParagraph"/>
              <w:spacing w:before="21"/>
              <w:ind w:right="57"/>
              <w:rPr>
                <w:sz w:val="14"/>
              </w:rPr>
            </w:pPr>
            <w:r>
              <w:rPr>
                <w:w w:val="105"/>
                <w:sz w:val="14"/>
              </w:rPr>
              <w:t>66.303.000</w:t>
            </w:r>
          </w:p>
        </w:tc>
        <w:tc>
          <w:tcPr>
            <w:tcW w:w="366"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6"/>
              <w:rPr>
                <w:sz w:val="14"/>
              </w:rPr>
            </w:pPr>
            <w:r>
              <w:rPr>
                <w:w w:val="105"/>
                <w:sz w:val="14"/>
              </w:rPr>
              <w:t>70.863.000</w:t>
            </w:r>
          </w:p>
        </w:tc>
        <w:tc>
          <w:tcPr>
            <w:tcW w:w="36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6"/>
              <w:rPr>
                <w:sz w:val="14"/>
              </w:rPr>
            </w:pPr>
            <w:r>
              <w:rPr>
                <w:w w:val="105"/>
                <w:sz w:val="14"/>
              </w:rPr>
              <w:t>74.622.000</w:t>
            </w:r>
          </w:p>
        </w:tc>
        <w:tc>
          <w:tcPr>
            <w:tcW w:w="32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7"/>
              <w:rPr>
                <w:sz w:val="14"/>
              </w:rPr>
            </w:pPr>
            <w:r>
              <w:rPr>
                <w:w w:val="105"/>
                <w:sz w:val="14"/>
              </w:rPr>
              <w:t>74.427.000</w:t>
            </w:r>
          </w:p>
        </w:tc>
        <w:tc>
          <w:tcPr>
            <w:tcW w:w="356" w:type="dxa"/>
            <w:tcBorders>
              <w:left w:val="single" w:sz="4" w:space="0" w:color="000000"/>
              <w:right w:val="single" w:sz="4" w:space="0" w:color="000000"/>
            </w:tcBorders>
          </w:tcPr>
          <w:p>
            <w:pPr/>
          </w:p>
        </w:tc>
        <w:tc>
          <w:tcPr>
            <w:tcW w:w="1069" w:type="dxa"/>
            <w:tcBorders>
              <w:left w:val="single" w:sz="4" w:space="0" w:color="000000"/>
              <w:right w:val="single" w:sz="4" w:space="0" w:color="000000"/>
            </w:tcBorders>
          </w:tcPr>
          <w:p>
            <w:pPr>
              <w:pStyle w:val="TableParagraph"/>
              <w:spacing w:before="21"/>
              <w:ind w:right="14"/>
              <w:rPr>
                <w:sz w:val="14"/>
              </w:rPr>
            </w:pPr>
            <w:r>
              <w:rPr>
                <w:w w:val="105"/>
                <w:sz w:val="14"/>
              </w:rPr>
              <w:t>(95.146.538)</w:t>
            </w:r>
          </w:p>
        </w:tc>
      </w:tr>
      <w:tr>
        <w:trPr>
          <w:trHeight w:val="190" w:hRule="exact"/>
        </w:trPr>
        <w:tc>
          <w:tcPr>
            <w:tcW w:w="1832" w:type="dxa"/>
            <w:tcBorders>
              <w:left w:val="single" w:sz="4" w:space="0" w:color="000000"/>
              <w:right w:val="single" w:sz="4" w:space="0" w:color="A6A6A6"/>
            </w:tcBorders>
          </w:tcPr>
          <w:p>
            <w:pPr/>
          </w:p>
        </w:tc>
        <w:tc>
          <w:tcPr>
            <w:tcW w:w="1000" w:type="dxa"/>
            <w:tcBorders>
              <w:left w:val="single" w:sz="4" w:space="0" w:color="A6A6A6"/>
              <w:right w:val="single" w:sz="4" w:space="0" w:color="A6A6A6"/>
            </w:tcBorders>
          </w:tcPr>
          <w:p>
            <w:pPr/>
          </w:p>
        </w:tc>
        <w:tc>
          <w:tcPr>
            <w:tcW w:w="416" w:type="dxa"/>
            <w:tcBorders>
              <w:left w:val="single" w:sz="4" w:space="0" w:color="A6A6A6"/>
              <w:right w:val="single" w:sz="4" w:space="0" w:color="A6A6A6"/>
            </w:tcBorders>
          </w:tcPr>
          <w:p>
            <w:pPr/>
          </w:p>
        </w:tc>
        <w:tc>
          <w:tcPr>
            <w:tcW w:w="1000" w:type="dxa"/>
            <w:tcBorders>
              <w:left w:val="single" w:sz="4" w:space="0" w:color="A6A6A6"/>
              <w:right w:val="single" w:sz="4" w:space="0" w:color="000000"/>
            </w:tcBorders>
          </w:tcPr>
          <w:p>
            <w:pPr/>
          </w:p>
        </w:tc>
        <w:tc>
          <w:tcPr>
            <w:tcW w:w="366"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60"/>
              <w:rPr>
                <w:sz w:val="14"/>
              </w:rPr>
            </w:pPr>
            <w:r>
              <w:rPr>
                <w:w w:val="106"/>
                <w:sz w:val="14"/>
              </w:rPr>
              <w:t>-</w:t>
            </w:r>
          </w:p>
        </w:tc>
        <w:tc>
          <w:tcPr>
            <w:tcW w:w="36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60"/>
              <w:rPr>
                <w:sz w:val="14"/>
              </w:rPr>
            </w:pPr>
            <w:r>
              <w:rPr>
                <w:w w:val="106"/>
                <w:sz w:val="14"/>
              </w:rPr>
              <w:t>-</w:t>
            </w:r>
          </w:p>
        </w:tc>
        <w:tc>
          <w:tcPr>
            <w:tcW w:w="32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
        </w:tc>
        <w:tc>
          <w:tcPr>
            <w:tcW w:w="356" w:type="dxa"/>
            <w:tcBorders>
              <w:left w:val="single" w:sz="4" w:space="0" w:color="000000"/>
              <w:right w:val="single" w:sz="4" w:space="0" w:color="000000"/>
            </w:tcBorders>
          </w:tcPr>
          <w:p>
            <w:pPr/>
          </w:p>
        </w:tc>
        <w:tc>
          <w:tcPr>
            <w:tcW w:w="1069" w:type="dxa"/>
            <w:tcBorders>
              <w:left w:val="single" w:sz="4" w:space="0" w:color="000000"/>
              <w:right w:val="single" w:sz="4" w:space="0" w:color="000000"/>
            </w:tcBorders>
          </w:tcPr>
          <w:p>
            <w:pPr/>
          </w:p>
        </w:tc>
      </w:tr>
      <w:tr>
        <w:trPr>
          <w:trHeight w:val="189" w:hRule="exact"/>
        </w:trPr>
        <w:tc>
          <w:tcPr>
            <w:tcW w:w="1832" w:type="dxa"/>
            <w:tcBorders>
              <w:left w:val="single" w:sz="4" w:space="0" w:color="000000"/>
              <w:right w:val="single" w:sz="4" w:space="0" w:color="A6A6A6"/>
            </w:tcBorders>
          </w:tcPr>
          <w:p>
            <w:pPr>
              <w:pStyle w:val="TableParagraph"/>
              <w:spacing w:before="21"/>
              <w:ind w:left="19"/>
              <w:jc w:val="left"/>
              <w:rPr>
                <w:sz w:val="14"/>
              </w:rPr>
            </w:pPr>
            <w:r>
              <w:rPr>
                <w:w w:val="105"/>
                <w:sz w:val="14"/>
              </w:rPr>
              <w:t>Disponibilità liquide</w:t>
            </w:r>
          </w:p>
        </w:tc>
        <w:tc>
          <w:tcPr>
            <w:tcW w:w="1000" w:type="dxa"/>
            <w:tcBorders>
              <w:left w:val="single" w:sz="4" w:space="0" w:color="A6A6A6"/>
              <w:right w:val="single" w:sz="4" w:space="0" w:color="A6A6A6"/>
            </w:tcBorders>
          </w:tcPr>
          <w:p>
            <w:pPr>
              <w:pStyle w:val="TableParagraph"/>
              <w:spacing w:before="21"/>
              <w:ind w:right="14"/>
              <w:rPr>
                <w:sz w:val="14"/>
              </w:rPr>
            </w:pPr>
            <w:r>
              <w:rPr>
                <w:w w:val="105"/>
                <w:sz w:val="14"/>
              </w:rPr>
              <w:t>(9.936.000)</w:t>
            </w:r>
          </w:p>
        </w:tc>
        <w:tc>
          <w:tcPr>
            <w:tcW w:w="416" w:type="dxa"/>
            <w:tcBorders>
              <w:left w:val="single" w:sz="4" w:space="0" w:color="A6A6A6"/>
              <w:right w:val="single" w:sz="4" w:space="0" w:color="A6A6A6"/>
            </w:tcBorders>
          </w:tcPr>
          <w:p>
            <w:pPr/>
          </w:p>
        </w:tc>
        <w:tc>
          <w:tcPr>
            <w:tcW w:w="1000" w:type="dxa"/>
            <w:tcBorders>
              <w:left w:val="single" w:sz="4" w:space="0" w:color="A6A6A6"/>
              <w:right w:val="single" w:sz="4" w:space="0" w:color="000000"/>
            </w:tcBorders>
          </w:tcPr>
          <w:p>
            <w:pPr>
              <w:pStyle w:val="TableParagraph"/>
              <w:spacing w:before="21"/>
              <w:ind w:right="14"/>
              <w:rPr>
                <w:sz w:val="14"/>
              </w:rPr>
            </w:pPr>
            <w:r>
              <w:rPr>
                <w:w w:val="105"/>
                <w:sz w:val="14"/>
              </w:rPr>
              <w:t>(4.742.000)</w:t>
            </w:r>
          </w:p>
        </w:tc>
        <w:tc>
          <w:tcPr>
            <w:tcW w:w="366"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14"/>
              <w:rPr>
                <w:sz w:val="14"/>
              </w:rPr>
            </w:pPr>
            <w:r>
              <w:rPr>
                <w:w w:val="105"/>
                <w:sz w:val="14"/>
              </w:rPr>
              <w:t>(4.818.000)</w:t>
            </w:r>
          </w:p>
        </w:tc>
        <w:tc>
          <w:tcPr>
            <w:tcW w:w="36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14"/>
              <w:rPr>
                <w:sz w:val="14"/>
              </w:rPr>
            </w:pPr>
            <w:r>
              <w:rPr>
                <w:w w:val="105"/>
                <w:sz w:val="14"/>
              </w:rPr>
              <w:t>(3.209.000)</w:t>
            </w:r>
          </w:p>
        </w:tc>
        <w:tc>
          <w:tcPr>
            <w:tcW w:w="32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14"/>
              <w:rPr>
                <w:sz w:val="14"/>
              </w:rPr>
            </w:pPr>
            <w:r>
              <w:rPr>
                <w:w w:val="105"/>
                <w:sz w:val="14"/>
              </w:rPr>
              <w:t>(9.733.000)</w:t>
            </w:r>
          </w:p>
        </w:tc>
        <w:tc>
          <w:tcPr>
            <w:tcW w:w="356" w:type="dxa"/>
            <w:tcBorders>
              <w:left w:val="single" w:sz="4" w:space="0" w:color="000000"/>
              <w:right w:val="single" w:sz="4" w:space="0" w:color="000000"/>
            </w:tcBorders>
          </w:tcPr>
          <w:p>
            <w:pPr/>
          </w:p>
        </w:tc>
        <w:tc>
          <w:tcPr>
            <w:tcW w:w="1069" w:type="dxa"/>
            <w:tcBorders>
              <w:left w:val="single" w:sz="4" w:space="0" w:color="000000"/>
              <w:right w:val="single" w:sz="4" w:space="0" w:color="000000"/>
            </w:tcBorders>
          </w:tcPr>
          <w:p>
            <w:pPr>
              <w:pStyle w:val="TableParagraph"/>
              <w:spacing w:before="21"/>
              <w:ind w:right="14"/>
              <w:rPr>
                <w:sz w:val="14"/>
              </w:rPr>
            </w:pPr>
            <w:r>
              <w:rPr>
                <w:w w:val="105"/>
                <w:sz w:val="14"/>
              </w:rPr>
              <w:t>(1.139.762)</w:t>
            </w:r>
          </w:p>
        </w:tc>
      </w:tr>
      <w:tr>
        <w:trPr>
          <w:trHeight w:val="189" w:hRule="exact"/>
        </w:trPr>
        <w:tc>
          <w:tcPr>
            <w:tcW w:w="1832" w:type="dxa"/>
            <w:tcBorders>
              <w:left w:val="single" w:sz="4" w:space="0" w:color="000000"/>
              <w:right w:val="single" w:sz="4" w:space="0" w:color="A6A6A6"/>
            </w:tcBorders>
          </w:tcPr>
          <w:p>
            <w:pPr>
              <w:pStyle w:val="TableParagraph"/>
              <w:spacing w:before="21"/>
              <w:ind w:left="19"/>
              <w:jc w:val="left"/>
              <w:rPr>
                <w:sz w:val="14"/>
              </w:rPr>
            </w:pPr>
            <w:r>
              <w:rPr>
                <w:w w:val="105"/>
                <w:sz w:val="14"/>
              </w:rPr>
              <w:t>Debiti vs banche</w:t>
            </w:r>
          </w:p>
        </w:tc>
        <w:tc>
          <w:tcPr>
            <w:tcW w:w="1000" w:type="dxa"/>
            <w:tcBorders>
              <w:left w:val="single" w:sz="4" w:space="0" w:color="A6A6A6"/>
              <w:right w:val="single" w:sz="4" w:space="0" w:color="A6A6A6"/>
            </w:tcBorders>
          </w:tcPr>
          <w:p>
            <w:pPr>
              <w:pStyle w:val="TableParagraph"/>
              <w:spacing w:before="21"/>
              <w:ind w:right="56"/>
              <w:rPr>
                <w:sz w:val="14"/>
              </w:rPr>
            </w:pPr>
            <w:r>
              <w:rPr>
                <w:w w:val="105"/>
                <w:sz w:val="14"/>
              </w:rPr>
              <w:t>49.317.000</w:t>
            </w:r>
          </w:p>
        </w:tc>
        <w:tc>
          <w:tcPr>
            <w:tcW w:w="416" w:type="dxa"/>
            <w:tcBorders>
              <w:left w:val="single" w:sz="4" w:space="0" w:color="A6A6A6"/>
              <w:right w:val="single" w:sz="4" w:space="0" w:color="A6A6A6"/>
            </w:tcBorders>
          </w:tcPr>
          <w:p>
            <w:pPr/>
          </w:p>
        </w:tc>
        <w:tc>
          <w:tcPr>
            <w:tcW w:w="1000" w:type="dxa"/>
            <w:tcBorders>
              <w:left w:val="single" w:sz="4" w:space="0" w:color="A6A6A6"/>
              <w:right w:val="single" w:sz="4" w:space="0" w:color="000000"/>
            </w:tcBorders>
          </w:tcPr>
          <w:p>
            <w:pPr>
              <w:pStyle w:val="TableParagraph"/>
              <w:spacing w:before="21"/>
              <w:ind w:right="57"/>
              <w:rPr>
                <w:sz w:val="14"/>
              </w:rPr>
            </w:pPr>
            <w:r>
              <w:rPr>
                <w:w w:val="105"/>
                <w:sz w:val="14"/>
              </w:rPr>
              <w:t>44.863.000</w:t>
            </w:r>
          </w:p>
        </w:tc>
        <w:tc>
          <w:tcPr>
            <w:tcW w:w="366"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6"/>
              <w:rPr>
                <w:sz w:val="14"/>
              </w:rPr>
            </w:pPr>
            <w:r>
              <w:rPr>
                <w:w w:val="105"/>
                <w:sz w:val="14"/>
              </w:rPr>
              <w:t>105.751.000</w:t>
            </w:r>
          </w:p>
        </w:tc>
        <w:tc>
          <w:tcPr>
            <w:tcW w:w="36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7"/>
              <w:rPr>
                <w:sz w:val="14"/>
              </w:rPr>
            </w:pPr>
            <w:r>
              <w:rPr>
                <w:w w:val="105"/>
                <w:sz w:val="14"/>
              </w:rPr>
              <w:t>131.071.000</w:t>
            </w:r>
          </w:p>
        </w:tc>
        <w:tc>
          <w:tcPr>
            <w:tcW w:w="327" w:type="dxa"/>
            <w:tcBorders>
              <w:left w:val="single" w:sz="4" w:space="0" w:color="000000"/>
              <w:right w:val="single" w:sz="4" w:space="0" w:color="000000"/>
            </w:tcBorders>
          </w:tcPr>
          <w:p>
            <w:pPr/>
          </w:p>
        </w:tc>
        <w:tc>
          <w:tcPr>
            <w:tcW w:w="1000" w:type="dxa"/>
            <w:tcBorders>
              <w:left w:val="single" w:sz="4" w:space="0" w:color="000000"/>
              <w:right w:val="single" w:sz="4" w:space="0" w:color="000000"/>
            </w:tcBorders>
          </w:tcPr>
          <w:p>
            <w:pPr>
              <w:pStyle w:val="TableParagraph"/>
              <w:spacing w:before="21"/>
              <w:ind w:right="57"/>
              <w:rPr>
                <w:sz w:val="14"/>
              </w:rPr>
            </w:pPr>
            <w:r>
              <w:rPr>
                <w:w w:val="105"/>
                <w:sz w:val="14"/>
              </w:rPr>
              <w:t>119.171.000</w:t>
            </w:r>
          </w:p>
        </w:tc>
        <w:tc>
          <w:tcPr>
            <w:tcW w:w="356" w:type="dxa"/>
            <w:tcBorders>
              <w:left w:val="single" w:sz="4" w:space="0" w:color="000000"/>
              <w:right w:val="single" w:sz="4" w:space="0" w:color="000000"/>
            </w:tcBorders>
          </w:tcPr>
          <w:p>
            <w:pPr/>
          </w:p>
        </w:tc>
        <w:tc>
          <w:tcPr>
            <w:tcW w:w="1069" w:type="dxa"/>
            <w:tcBorders>
              <w:left w:val="single" w:sz="4" w:space="0" w:color="000000"/>
              <w:right w:val="single" w:sz="4" w:space="0" w:color="000000"/>
            </w:tcBorders>
          </w:tcPr>
          <w:p>
            <w:pPr>
              <w:pStyle w:val="TableParagraph"/>
              <w:spacing w:before="21"/>
              <w:ind w:right="56"/>
              <w:rPr>
                <w:sz w:val="14"/>
              </w:rPr>
            </w:pPr>
            <w:r>
              <w:rPr>
                <w:w w:val="105"/>
                <w:sz w:val="14"/>
              </w:rPr>
              <w:t>112.808.941</w:t>
            </w:r>
          </w:p>
        </w:tc>
      </w:tr>
      <w:tr>
        <w:trPr>
          <w:trHeight w:val="190" w:hRule="exact"/>
        </w:trPr>
        <w:tc>
          <w:tcPr>
            <w:tcW w:w="1832" w:type="dxa"/>
            <w:tcBorders>
              <w:left w:val="single" w:sz="4" w:space="0" w:color="000000"/>
              <w:bottom w:val="single" w:sz="4" w:space="0" w:color="D3D3D3"/>
              <w:right w:val="single" w:sz="4" w:space="0" w:color="A6A6A6"/>
            </w:tcBorders>
          </w:tcPr>
          <w:p>
            <w:pPr>
              <w:pStyle w:val="TableParagraph"/>
              <w:spacing w:before="21"/>
              <w:ind w:left="19"/>
              <w:jc w:val="left"/>
              <w:rPr>
                <w:sz w:val="14"/>
              </w:rPr>
            </w:pPr>
            <w:r>
              <w:rPr>
                <w:w w:val="105"/>
                <w:sz w:val="14"/>
              </w:rPr>
              <w:t>Acconti</w:t>
            </w:r>
          </w:p>
        </w:tc>
        <w:tc>
          <w:tcPr>
            <w:tcW w:w="1000" w:type="dxa"/>
            <w:tcBorders>
              <w:left w:val="single" w:sz="4" w:space="0" w:color="A6A6A6"/>
              <w:bottom w:val="single" w:sz="4" w:space="0" w:color="D3D3D3"/>
              <w:right w:val="single" w:sz="4" w:space="0" w:color="A6A6A6"/>
            </w:tcBorders>
          </w:tcPr>
          <w:p>
            <w:pPr>
              <w:pStyle w:val="TableParagraph"/>
              <w:spacing w:before="21"/>
              <w:ind w:right="56"/>
              <w:rPr>
                <w:sz w:val="14"/>
              </w:rPr>
            </w:pPr>
            <w:r>
              <w:rPr>
                <w:w w:val="105"/>
                <w:sz w:val="14"/>
              </w:rPr>
              <w:t>56.451.000</w:t>
            </w:r>
          </w:p>
        </w:tc>
        <w:tc>
          <w:tcPr>
            <w:tcW w:w="416" w:type="dxa"/>
            <w:tcBorders>
              <w:left w:val="single" w:sz="4" w:space="0" w:color="A6A6A6"/>
              <w:bottom w:val="single" w:sz="4" w:space="0" w:color="D3D3D3"/>
              <w:right w:val="single" w:sz="4" w:space="0" w:color="A6A6A6"/>
            </w:tcBorders>
          </w:tcPr>
          <w:p>
            <w:pPr/>
          </w:p>
        </w:tc>
        <w:tc>
          <w:tcPr>
            <w:tcW w:w="1000" w:type="dxa"/>
            <w:tcBorders>
              <w:left w:val="single" w:sz="4" w:space="0" w:color="A6A6A6"/>
              <w:bottom w:val="single" w:sz="4" w:space="0" w:color="D3D3D3"/>
              <w:right w:val="single" w:sz="4" w:space="0" w:color="000000"/>
            </w:tcBorders>
          </w:tcPr>
          <w:p>
            <w:pPr>
              <w:pStyle w:val="TableParagraph"/>
              <w:spacing w:before="21"/>
              <w:ind w:right="57"/>
              <w:rPr>
                <w:sz w:val="14"/>
              </w:rPr>
            </w:pPr>
            <w:r>
              <w:rPr>
                <w:w w:val="105"/>
                <w:sz w:val="14"/>
              </w:rPr>
              <w:t>22.601.000</w:t>
            </w:r>
          </w:p>
        </w:tc>
        <w:tc>
          <w:tcPr>
            <w:tcW w:w="366" w:type="dxa"/>
            <w:tcBorders>
              <w:left w:val="single" w:sz="4" w:space="0" w:color="000000"/>
              <w:bottom w:val="single" w:sz="4" w:space="0" w:color="D3D3D3"/>
              <w:right w:val="single" w:sz="4" w:space="0" w:color="000000"/>
            </w:tcBorders>
          </w:tcPr>
          <w:p>
            <w:pPr/>
          </w:p>
        </w:tc>
        <w:tc>
          <w:tcPr>
            <w:tcW w:w="1000" w:type="dxa"/>
            <w:tcBorders>
              <w:left w:val="single" w:sz="4" w:space="0" w:color="000000"/>
              <w:bottom w:val="single" w:sz="4" w:space="0" w:color="D3D3D3"/>
              <w:right w:val="single" w:sz="4" w:space="0" w:color="000000"/>
            </w:tcBorders>
          </w:tcPr>
          <w:p>
            <w:pPr>
              <w:pStyle w:val="TableParagraph"/>
              <w:spacing w:before="21"/>
              <w:ind w:right="56"/>
              <w:rPr>
                <w:sz w:val="14"/>
              </w:rPr>
            </w:pPr>
            <w:r>
              <w:rPr>
                <w:w w:val="105"/>
                <w:sz w:val="14"/>
              </w:rPr>
              <w:t>8.850.000</w:t>
            </w:r>
          </w:p>
        </w:tc>
        <w:tc>
          <w:tcPr>
            <w:tcW w:w="367" w:type="dxa"/>
            <w:tcBorders>
              <w:left w:val="single" w:sz="4" w:space="0" w:color="000000"/>
              <w:bottom w:val="single" w:sz="4" w:space="0" w:color="D3D3D3"/>
              <w:right w:val="single" w:sz="4" w:space="0" w:color="000000"/>
            </w:tcBorders>
          </w:tcPr>
          <w:p>
            <w:pPr/>
          </w:p>
        </w:tc>
        <w:tc>
          <w:tcPr>
            <w:tcW w:w="1000" w:type="dxa"/>
            <w:tcBorders>
              <w:left w:val="single" w:sz="4" w:space="0" w:color="000000"/>
              <w:bottom w:val="single" w:sz="4" w:space="0" w:color="D3D3D3"/>
              <w:right w:val="single" w:sz="4" w:space="0" w:color="000000"/>
            </w:tcBorders>
          </w:tcPr>
          <w:p>
            <w:pPr>
              <w:pStyle w:val="TableParagraph"/>
              <w:spacing w:before="21"/>
              <w:ind w:right="57"/>
              <w:rPr>
                <w:sz w:val="14"/>
              </w:rPr>
            </w:pPr>
            <w:r>
              <w:rPr>
                <w:w w:val="105"/>
                <w:sz w:val="14"/>
              </w:rPr>
              <w:t>5.151.000</w:t>
            </w:r>
          </w:p>
        </w:tc>
        <w:tc>
          <w:tcPr>
            <w:tcW w:w="327" w:type="dxa"/>
            <w:tcBorders>
              <w:left w:val="single" w:sz="4" w:space="0" w:color="000000"/>
              <w:bottom w:val="single" w:sz="4" w:space="0" w:color="D3D3D3"/>
              <w:right w:val="single" w:sz="4" w:space="0" w:color="000000"/>
            </w:tcBorders>
          </w:tcPr>
          <w:p>
            <w:pPr/>
          </w:p>
        </w:tc>
        <w:tc>
          <w:tcPr>
            <w:tcW w:w="1000" w:type="dxa"/>
            <w:tcBorders>
              <w:left w:val="single" w:sz="4" w:space="0" w:color="000000"/>
              <w:bottom w:val="single" w:sz="4" w:space="0" w:color="D3D3D3"/>
              <w:right w:val="single" w:sz="4" w:space="0" w:color="000000"/>
            </w:tcBorders>
          </w:tcPr>
          <w:p>
            <w:pPr>
              <w:pStyle w:val="TableParagraph"/>
              <w:spacing w:before="21"/>
              <w:ind w:right="57"/>
              <w:rPr>
                <w:sz w:val="14"/>
              </w:rPr>
            </w:pPr>
            <w:r>
              <w:rPr>
                <w:w w:val="105"/>
                <w:sz w:val="14"/>
              </w:rPr>
              <w:t>10.811.000</w:t>
            </w:r>
          </w:p>
        </w:tc>
        <w:tc>
          <w:tcPr>
            <w:tcW w:w="356" w:type="dxa"/>
            <w:tcBorders>
              <w:left w:val="single" w:sz="4" w:space="0" w:color="000000"/>
              <w:bottom w:val="single" w:sz="4" w:space="0" w:color="D3D3D3"/>
              <w:right w:val="single" w:sz="4" w:space="0" w:color="000000"/>
            </w:tcBorders>
          </w:tcPr>
          <w:p>
            <w:pPr/>
          </w:p>
        </w:tc>
        <w:tc>
          <w:tcPr>
            <w:tcW w:w="1069" w:type="dxa"/>
            <w:tcBorders>
              <w:left w:val="single" w:sz="4" w:space="0" w:color="000000"/>
              <w:bottom w:val="single" w:sz="4" w:space="0" w:color="D3D3D3"/>
              <w:right w:val="single" w:sz="4" w:space="0" w:color="000000"/>
            </w:tcBorders>
          </w:tcPr>
          <w:p>
            <w:pPr/>
          </w:p>
        </w:tc>
      </w:tr>
      <w:tr>
        <w:trPr>
          <w:trHeight w:val="190" w:hRule="exact"/>
        </w:trPr>
        <w:tc>
          <w:tcPr>
            <w:tcW w:w="1832" w:type="dxa"/>
            <w:tcBorders>
              <w:top w:val="single" w:sz="4" w:space="0" w:color="D3D3D3"/>
              <w:left w:val="single" w:sz="4" w:space="0" w:color="000000"/>
              <w:bottom w:val="single" w:sz="4" w:space="0" w:color="000000"/>
              <w:right w:val="single" w:sz="4" w:space="0" w:color="A6A6A6"/>
            </w:tcBorders>
          </w:tcPr>
          <w:p>
            <w:pPr>
              <w:pStyle w:val="TableParagraph"/>
              <w:spacing w:before="21"/>
              <w:ind w:left="19"/>
              <w:jc w:val="left"/>
              <w:rPr>
                <w:sz w:val="14"/>
              </w:rPr>
            </w:pPr>
            <w:r>
              <w:rPr>
                <w:w w:val="105"/>
                <w:sz w:val="14"/>
              </w:rPr>
              <w:t>Debiti vs altri finanziatori</w:t>
            </w:r>
          </w:p>
        </w:tc>
        <w:tc>
          <w:tcPr>
            <w:tcW w:w="1000" w:type="dxa"/>
            <w:tcBorders>
              <w:top w:val="single" w:sz="4" w:space="0" w:color="D3D3D3"/>
              <w:left w:val="single" w:sz="4" w:space="0" w:color="A6A6A6"/>
              <w:bottom w:val="single" w:sz="4" w:space="0" w:color="000000"/>
              <w:right w:val="single" w:sz="4" w:space="0" w:color="A6A6A6"/>
            </w:tcBorders>
          </w:tcPr>
          <w:p>
            <w:pPr>
              <w:pStyle w:val="TableParagraph"/>
              <w:spacing w:before="21"/>
              <w:ind w:right="56"/>
              <w:rPr>
                <w:sz w:val="14"/>
              </w:rPr>
            </w:pPr>
            <w:r>
              <w:rPr>
                <w:w w:val="105"/>
                <w:sz w:val="14"/>
              </w:rPr>
              <w:t>21.481.000</w:t>
            </w:r>
          </w:p>
        </w:tc>
        <w:tc>
          <w:tcPr>
            <w:tcW w:w="416" w:type="dxa"/>
            <w:tcBorders>
              <w:top w:val="single" w:sz="4" w:space="0" w:color="D3D3D3"/>
              <w:left w:val="single" w:sz="4" w:space="0" w:color="A6A6A6"/>
              <w:bottom w:val="single" w:sz="4" w:space="0" w:color="000000"/>
              <w:right w:val="single" w:sz="4" w:space="0" w:color="A6A6A6"/>
            </w:tcBorders>
          </w:tcPr>
          <w:p>
            <w:pPr/>
          </w:p>
        </w:tc>
        <w:tc>
          <w:tcPr>
            <w:tcW w:w="1000" w:type="dxa"/>
            <w:tcBorders>
              <w:top w:val="single" w:sz="4" w:space="0" w:color="D3D3D3"/>
              <w:left w:val="single" w:sz="4" w:space="0" w:color="A6A6A6"/>
              <w:bottom w:val="single" w:sz="4" w:space="0" w:color="000000"/>
              <w:right w:val="single" w:sz="4" w:space="0" w:color="000000"/>
            </w:tcBorders>
          </w:tcPr>
          <w:p>
            <w:pPr>
              <w:pStyle w:val="TableParagraph"/>
              <w:spacing w:before="21"/>
              <w:ind w:right="56"/>
              <w:rPr>
                <w:sz w:val="14"/>
              </w:rPr>
            </w:pPr>
            <w:r>
              <w:rPr>
                <w:w w:val="105"/>
                <w:sz w:val="14"/>
              </w:rPr>
              <w:t>74.000</w:t>
            </w:r>
          </w:p>
        </w:tc>
        <w:tc>
          <w:tcPr>
            <w:tcW w:w="366" w:type="dxa"/>
            <w:tcBorders>
              <w:top w:val="single" w:sz="4" w:space="0" w:color="D3D3D3"/>
              <w:left w:val="single" w:sz="4" w:space="0" w:color="000000"/>
              <w:bottom w:val="single" w:sz="4" w:space="0" w:color="000000"/>
              <w:right w:val="single" w:sz="4" w:space="0" w:color="000000"/>
            </w:tcBorders>
          </w:tcPr>
          <w:p>
            <w:pPr/>
          </w:p>
        </w:tc>
        <w:tc>
          <w:tcPr>
            <w:tcW w:w="1000" w:type="dxa"/>
            <w:tcBorders>
              <w:top w:val="single" w:sz="4" w:space="0" w:color="D3D3D3"/>
              <w:left w:val="single" w:sz="4" w:space="0" w:color="000000"/>
              <w:bottom w:val="single" w:sz="4" w:space="0" w:color="000000"/>
              <w:right w:val="single" w:sz="4" w:space="0" w:color="000000"/>
            </w:tcBorders>
          </w:tcPr>
          <w:p>
            <w:pPr>
              <w:pStyle w:val="TableParagraph"/>
              <w:spacing w:before="21"/>
              <w:ind w:right="56"/>
              <w:rPr>
                <w:sz w:val="14"/>
              </w:rPr>
            </w:pPr>
            <w:r>
              <w:rPr>
                <w:w w:val="105"/>
                <w:sz w:val="14"/>
              </w:rPr>
              <w:t>129.000</w:t>
            </w:r>
          </w:p>
        </w:tc>
        <w:tc>
          <w:tcPr>
            <w:tcW w:w="367" w:type="dxa"/>
            <w:tcBorders>
              <w:top w:val="single" w:sz="4" w:space="0" w:color="D3D3D3"/>
              <w:left w:val="single" w:sz="4" w:space="0" w:color="000000"/>
              <w:bottom w:val="single" w:sz="4" w:space="0" w:color="000000"/>
              <w:right w:val="single" w:sz="4" w:space="0" w:color="000000"/>
            </w:tcBorders>
          </w:tcPr>
          <w:p>
            <w:pPr/>
          </w:p>
        </w:tc>
        <w:tc>
          <w:tcPr>
            <w:tcW w:w="1000" w:type="dxa"/>
            <w:tcBorders>
              <w:top w:val="single" w:sz="4" w:space="0" w:color="D3D3D3"/>
              <w:left w:val="single" w:sz="4" w:space="0" w:color="000000"/>
              <w:bottom w:val="single" w:sz="4" w:space="0" w:color="000000"/>
              <w:right w:val="single" w:sz="4" w:space="0" w:color="000000"/>
            </w:tcBorders>
          </w:tcPr>
          <w:p>
            <w:pPr>
              <w:pStyle w:val="TableParagraph"/>
              <w:spacing w:before="21"/>
              <w:ind w:right="60"/>
              <w:rPr>
                <w:sz w:val="14"/>
              </w:rPr>
            </w:pPr>
            <w:r>
              <w:rPr>
                <w:w w:val="106"/>
                <w:sz w:val="14"/>
              </w:rPr>
              <w:t>-</w:t>
            </w:r>
          </w:p>
        </w:tc>
        <w:tc>
          <w:tcPr>
            <w:tcW w:w="327" w:type="dxa"/>
            <w:tcBorders>
              <w:top w:val="single" w:sz="4" w:space="0" w:color="D3D3D3"/>
              <w:left w:val="single" w:sz="4" w:space="0" w:color="000000"/>
              <w:bottom w:val="single" w:sz="4" w:space="0" w:color="000000"/>
              <w:right w:val="single" w:sz="4" w:space="0" w:color="000000"/>
            </w:tcBorders>
          </w:tcPr>
          <w:p>
            <w:pPr/>
          </w:p>
        </w:tc>
        <w:tc>
          <w:tcPr>
            <w:tcW w:w="1000" w:type="dxa"/>
            <w:tcBorders>
              <w:top w:val="single" w:sz="4" w:space="0" w:color="D3D3D3"/>
              <w:left w:val="single" w:sz="4" w:space="0" w:color="000000"/>
              <w:bottom w:val="single" w:sz="4" w:space="0" w:color="000000"/>
              <w:right w:val="single" w:sz="4" w:space="0" w:color="000000"/>
            </w:tcBorders>
          </w:tcPr>
          <w:p>
            <w:pPr>
              <w:pStyle w:val="TableParagraph"/>
              <w:spacing w:before="21"/>
              <w:ind w:right="60"/>
              <w:rPr>
                <w:sz w:val="14"/>
              </w:rPr>
            </w:pPr>
            <w:r>
              <w:rPr>
                <w:w w:val="106"/>
                <w:sz w:val="14"/>
              </w:rPr>
              <w:t>-</w:t>
            </w:r>
          </w:p>
        </w:tc>
        <w:tc>
          <w:tcPr>
            <w:tcW w:w="356" w:type="dxa"/>
            <w:tcBorders>
              <w:top w:val="single" w:sz="4" w:space="0" w:color="D3D3D3"/>
              <w:left w:val="single" w:sz="4" w:space="0" w:color="000000"/>
              <w:bottom w:val="single" w:sz="4" w:space="0" w:color="000000"/>
              <w:right w:val="single" w:sz="4" w:space="0" w:color="000000"/>
            </w:tcBorders>
          </w:tcPr>
          <w:p>
            <w:pPr/>
          </w:p>
        </w:tc>
        <w:tc>
          <w:tcPr>
            <w:tcW w:w="1069" w:type="dxa"/>
            <w:tcBorders>
              <w:top w:val="single" w:sz="4" w:space="0" w:color="D3D3D3"/>
              <w:left w:val="single" w:sz="4" w:space="0" w:color="000000"/>
              <w:bottom w:val="single" w:sz="4" w:space="0" w:color="000000"/>
              <w:right w:val="single" w:sz="4" w:space="0" w:color="000000"/>
            </w:tcBorders>
          </w:tcPr>
          <w:p>
            <w:pPr/>
          </w:p>
        </w:tc>
      </w:tr>
      <w:tr>
        <w:trPr>
          <w:trHeight w:val="189" w:hRule="exact"/>
        </w:trPr>
        <w:tc>
          <w:tcPr>
            <w:tcW w:w="1832" w:type="dxa"/>
            <w:tcBorders>
              <w:top w:val="single" w:sz="4" w:space="0" w:color="000000"/>
              <w:left w:val="single" w:sz="4" w:space="0" w:color="000000"/>
              <w:right w:val="single" w:sz="4" w:space="0" w:color="A6A6A6"/>
            </w:tcBorders>
          </w:tcPr>
          <w:p>
            <w:pPr>
              <w:pStyle w:val="TableParagraph"/>
              <w:spacing w:before="21"/>
              <w:ind w:left="19"/>
              <w:jc w:val="left"/>
              <w:rPr>
                <w:sz w:val="14"/>
              </w:rPr>
            </w:pPr>
            <w:r>
              <w:rPr>
                <w:w w:val="105"/>
                <w:sz w:val="14"/>
              </w:rPr>
              <w:t>Posizione  finanziaria netta</w:t>
            </w:r>
          </w:p>
        </w:tc>
        <w:tc>
          <w:tcPr>
            <w:tcW w:w="1000" w:type="dxa"/>
            <w:tcBorders>
              <w:top w:val="single" w:sz="4" w:space="0" w:color="000000"/>
              <w:left w:val="single" w:sz="4" w:space="0" w:color="A6A6A6"/>
              <w:right w:val="single" w:sz="4" w:space="0" w:color="A6A6A6"/>
            </w:tcBorders>
          </w:tcPr>
          <w:p>
            <w:pPr>
              <w:pStyle w:val="TableParagraph"/>
              <w:spacing w:before="21"/>
              <w:ind w:right="57"/>
              <w:rPr>
                <w:sz w:val="14"/>
              </w:rPr>
            </w:pPr>
            <w:r>
              <w:rPr>
                <w:w w:val="105"/>
                <w:sz w:val="14"/>
              </w:rPr>
              <w:t>117.313.000</w:t>
            </w:r>
          </w:p>
        </w:tc>
        <w:tc>
          <w:tcPr>
            <w:tcW w:w="416" w:type="dxa"/>
            <w:tcBorders>
              <w:top w:val="single" w:sz="4" w:space="0" w:color="000000"/>
              <w:left w:val="single" w:sz="4" w:space="0" w:color="A6A6A6"/>
              <w:right w:val="single" w:sz="4" w:space="0" w:color="A6A6A6"/>
            </w:tcBorders>
          </w:tcPr>
          <w:p>
            <w:pPr/>
          </w:p>
        </w:tc>
        <w:tc>
          <w:tcPr>
            <w:tcW w:w="1000" w:type="dxa"/>
            <w:tcBorders>
              <w:top w:val="single" w:sz="4" w:space="0" w:color="000000"/>
              <w:left w:val="single" w:sz="4" w:space="0" w:color="A6A6A6"/>
              <w:right w:val="single" w:sz="4" w:space="0" w:color="000000"/>
            </w:tcBorders>
          </w:tcPr>
          <w:p>
            <w:pPr>
              <w:pStyle w:val="TableParagraph"/>
              <w:spacing w:before="21"/>
              <w:ind w:right="57"/>
              <w:rPr>
                <w:sz w:val="14"/>
              </w:rPr>
            </w:pPr>
            <w:r>
              <w:rPr>
                <w:w w:val="105"/>
                <w:sz w:val="14"/>
              </w:rPr>
              <w:t>62.796.000</w:t>
            </w:r>
          </w:p>
        </w:tc>
        <w:tc>
          <w:tcPr>
            <w:tcW w:w="366" w:type="dxa"/>
            <w:tcBorders>
              <w:top w:val="single" w:sz="4" w:space="0" w:color="000000"/>
              <w:left w:val="single" w:sz="4" w:space="0" w:color="000000"/>
              <w:right w:val="single" w:sz="4" w:space="0" w:color="000000"/>
            </w:tcBorders>
          </w:tcPr>
          <w:p>
            <w:pPr/>
          </w:p>
        </w:tc>
        <w:tc>
          <w:tcPr>
            <w:tcW w:w="1000" w:type="dxa"/>
            <w:tcBorders>
              <w:top w:val="single" w:sz="4" w:space="0" w:color="000000"/>
              <w:left w:val="single" w:sz="4" w:space="0" w:color="000000"/>
              <w:right w:val="single" w:sz="4" w:space="0" w:color="000000"/>
            </w:tcBorders>
          </w:tcPr>
          <w:p>
            <w:pPr>
              <w:pStyle w:val="TableParagraph"/>
              <w:spacing w:before="21"/>
              <w:ind w:right="56"/>
              <w:rPr>
                <w:sz w:val="14"/>
              </w:rPr>
            </w:pPr>
            <w:r>
              <w:rPr>
                <w:w w:val="105"/>
                <w:sz w:val="14"/>
              </w:rPr>
              <w:t>109.912.000</w:t>
            </w:r>
          </w:p>
        </w:tc>
        <w:tc>
          <w:tcPr>
            <w:tcW w:w="367" w:type="dxa"/>
            <w:tcBorders>
              <w:top w:val="single" w:sz="4" w:space="0" w:color="000000"/>
              <w:left w:val="single" w:sz="4" w:space="0" w:color="000000"/>
              <w:right w:val="single" w:sz="4" w:space="0" w:color="000000"/>
            </w:tcBorders>
          </w:tcPr>
          <w:p>
            <w:pPr/>
          </w:p>
        </w:tc>
        <w:tc>
          <w:tcPr>
            <w:tcW w:w="1000" w:type="dxa"/>
            <w:tcBorders>
              <w:top w:val="single" w:sz="4" w:space="0" w:color="000000"/>
              <w:left w:val="single" w:sz="4" w:space="0" w:color="000000"/>
              <w:right w:val="single" w:sz="4" w:space="0" w:color="000000"/>
            </w:tcBorders>
          </w:tcPr>
          <w:p>
            <w:pPr>
              <w:pStyle w:val="TableParagraph"/>
              <w:spacing w:before="21"/>
              <w:ind w:right="57"/>
              <w:rPr>
                <w:sz w:val="14"/>
              </w:rPr>
            </w:pPr>
            <w:r>
              <w:rPr>
                <w:w w:val="105"/>
                <w:sz w:val="14"/>
              </w:rPr>
              <w:t>133.013.000</w:t>
            </w:r>
          </w:p>
        </w:tc>
        <w:tc>
          <w:tcPr>
            <w:tcW w:w="327" w:type="dxa"/>
            <w:tcBorders>
              <w:top w:val="single" w:sz="4" w:space="0" w:color="000000"/>
              <w:left w:val="single" w:sz="4" w:space="0" w:color="000000"/>
              <w:right w:val="single" w:sz="4" w:space="0" w:color="000000"/>
            </w:tcBorders>
          </w:tcPr>
          <w:p>
            <w:pPr/>
          </w:p>
        </w:tc>
        <w:tc>
          <w:tcPr>
            <w:tcW w:w="1000" w:type="dxa"/>
            <w:tcBorders>
              <w:top w:val="single" w:sz="4" w:space="0" w:color="000000"/>
              <w:left w:val="single" w:sz="4" w:space="0" w:color="000000"/>
              <w:right w:val="single" w:sz="4" w:space="0" w:color="000000"/>
            </w:tcBorders>
          </w:tcPr>
          <w:p>
            <w:pPr>
              <w:pStyle w:val="TableParagraph"/>
              <w:spacing w:before="21"/>
              <w:ind w:right="57"/>
              <w:rPr>
                <w:sz w:val="14"/>
              </w:rPr>
            </w:pPr>
            <w:r>
              <w:rPr>
                <w:w w:val="105"/>
                <w:sz w:val="14"/>
              </w:rPr>
              <w:t>120.249.000</w:t>
            </w:r>
          </w:p>
        </w:tc>
        <w:tc>
          <w:tcPr>
            <w:tcW w:w="356" w:type="dxa"/>
            <w:tcBorders>
              <w:top w:val="single" w:sz="4" w:space="0" w:color="000000"/>
              <w:left w:val="single" w:sz="4" w:space="0" w:color="000000"/>
              <w:right w:val="single" w:sz="4" w:space="0" w:color="000000"/>
            </w:tcBorders>
          </w:tcPr>
          <w:p>
            <w:pPr/>
          </w:p>
        </w:tc>
        <w:tc>
          <w:tcPr>
            <w:tcW w:w="1069" w:type="dxa"/>
            <w:tcBorders>
              <w:top w:val="single" w:sz="4" w:space="0" w:color="000000"/>
              <w:left w:val="single" w:sz="4" w:space="0" w:color="000000"/>
              <w:right w:val="single" w:sz="4" w:space="0" w:color="000000"/>
            </w:tcBorders>
          </w:tcPr>
          <w:p>
            <w:pPr>
              <w:pStyle w:val="TableParagraph"/>
              <w:spacing w:before="21"/>
              <w:ind w:right="56"/>
              <w:rPr>
                <w:sz w:val="14"/>
              </w:rPr>
            </w:pPr>
            <w:r>
              <w:rPr>
                <w:w w:val="105"/>
                <w:sz w:val="14"/>
              </w:rPr>
              <w:t>111.669.179</w:t>
            </w:r>
          </w:p>
        </w:tc>
      </w:tr>
      <w:tr>
        <w:trPr>
          <w:trHeight w:val="189" w:hRule="exact"/>
        </w:trPr>
        <w:tc>
          <w:tcPr>
            <w:tcW w:w="1832" w:type="dxa"/>
            <w:tcBorders>
              <w:left w:val="single" w:sz="4" w:space="0" w:color="000000"/>
              <w:bottom w:val="single" w:sz="4" w:space="0" w:color="000000"/>
              <w:right w:val="single" w:sz="4" w:space="0" w:color="A6A6A6"/>
            </w:tcBorders>
          </w:tcPr>
          <w:p>
            <w:pPr/>
          </w:p>
        </w:tc>
        <w:tc>
          <w:tcPr>
            <w:tcW w:w="1000" w:type="dxa"/>
            <w:tcBorders>
              <w:left w:val="single" w:sz="4" w:space="0" w:color="A6A6A6"/>
              <w:bottom w:val="single" w:sz="4" w:space="0" w:color="000000"/>
              <w:right w:val="single" w:sz="4" w:space="0" w:color="A6A6A6"/>
            </w:tcBorders>
          </w:tcPr>
          <w:p>
            <w:pPr/>
          </w:p>
        </w:tc>
        <w:tc>
          <w:tcPr>
            <w:tcW w:w="416" w:type="dxa"/>
            <w:tcBorders>
              <w:left w:val="single" w:sz="4" w:space="0" w:color="A6A6A6"/>
              <w:bottom w:val="single" w:sz="4" w:space="0" w:color="000000"/>
              <w:right w:val="single" w:sz="4" w:space="0" w:color="A6A6A6"/>
            </w:tcBorders>
          </w:tcPr>
          <w:p>
            <w:pPr/>
          </w:p>
        </w:tc>
        <w:tc>
          <w:tcPr>
            <w:tcW w:w="1000" w:type="dxa"/>
            <w:tcBorders>
              <w:left w:val="single" w:sz="4" w:space="0" w:color="A6A6A6"/>
              <w:bottom w:val="single" w:sz="4" w:space="0" w:color="000000"/>
              <w:right w:val="single" w:sz="4" w:space="0" w:color="000000"/>
            </w:tcBorders>
          </w:tcPr>
          <w:p>
            <w:pPr/>
          </w:p>
        </w:tc>
        <w:tc>
          <w:tcPr>
            <w:tcW w:w="366" w:type="dxa"/>
            <w:tcBorders>
              <w:left w:val="single" w:sz="4" w:space="0" w:color="000000"/>
              <w:bottom w:val="single" w:sz="4" w:space="0" w:color="000000"/>
              <w:right w:val="single" w:sz="4" w:space="0" w:color="000000"/>
            </w:tcBorders>
          </w:tcPr>
          <w:p>
            <w:pPr/>
          </w:p>
        </w:tc>
        <w:tc>
          <w:tcPr>
            <w:tcW w:w="1000" w:type="dxa"/>
            <w:tcBorders>
              <w:left w:val="single" w:sz="4" w:space="0" w:color="000000"/>
              <w:bottom w:val="single" w:sz="4" w:space="0" w:color="000000"/>
              <w:right w:val="single" w:sz="4" w:space="0" w:color="000000"/>
            </w:tcBorders>
          </w:tcPr>
          <w:p>
            <w:pPr/>
          </w:p>
        </w:tc>
        <w:tc>
          <w:tcPr>
            <w:tcW w:w="367" w:type="dxa"/>
            <w:tcBorders>
              <w:left w:val="single" w:sz="4" w:space="0" w:color="000000"/>
              <w:bottom w:val="single" w:sz="4" w:space="0" w:color="000000"/>
              <w:right w:val="single" w:sz="4" w:space="0" w:color="000000"/>
            </w:tcBorders>
          </w:tcPr>
          <w:p>
            <w:pPr/>
          </w:p>
        </w:tc>
        <w:tc>
          <w:tcPr>
            <w:tcW w:w="1000" w:type="dxa"/>
            <w:tcBorders>
              <w:left w:val="single" w:sz="4" w:space="0" w:color="000000"/>
              <w:bottom w:val="single" w:sz="4" w:space="0" w:color="000000"/>
              <w:right w:val="single" w:sz="4" w:space="0" w:color="000000"/>
            </w:tcBorders>
          </w:tcPr>
          <w:p>
            <w:pPr/>
          </w:p>
        </w:tc>
        <w:tc>
          <w:tcPr>
            <w:tcW w:w="327" w:type="dxa"/>
            <w:tcBorders>
              <w:left w:val="single" w:sz="4" w:space="0" w:color="000000"/>
              <w:bottom w:val="single" w:sz="4" w:space="0" w:color="000000"/>
              <w:right w:val="single" w:sz="4" w:space="0" w:color="000000"/>
            </w:tcBorders>
          </w:tcPr>
          <w:p>
            <w:pPr/>
          </w:p>
        </w:tc>
        <w:tc>
          <w:tcPr>
            <w:tcW w:w="1000" w:type="dxa"/>
            <w:tcBorders>
              <w:left w:val="single" w:sz="4" w:space="0" w:color="000000"/>
              <w:bottom w:val="single" w:sz="4" w:space="0" w:color="000000"/>
              <w:right w:val="single" w:sz="4" w:space="0" w:color="000000"/>
            </w:tcBorders>
          </w:tcPr>
          <w:p>
            <w:pPr/>
          </w:p>
        </w:tc>
        <w:tc>
          <w:tcPr>
            <w:tcW w:w="356" w:type="dxa"/>
            <w:tcBorders>
              <w:left w:val="single" w:sz="4" w:space="0" w:color="000000"/>
              <w:bottom w:val="single" w:sz="4" w:space="0" w:color="000000"/>
              <w:right w:val="single" w:sz="4" w:space="0" w:color="000000"/>
            </w:tcBorders>
          </w:tcPr>
          <w:p>
            <w:pPr/>
          </w:p>
        </w:tc>
        <w:tc>
          <w:tcPr>
            <w:tcW w:w="1069" w:type="dxa"/>
            <w:tcBorders>
              <w:left w:val="single" w:sz="4" w:space="0" w:color="000000"/>
              <w:bottom w:val="single" w:sz="4" w:space="0" w:color="000000"/>
              <w:right w:val="single" w:sz="4" w:space="0" w:color="000000"/>
            </w:tcBorders>
          </w:tcPr>
          <w:p>
            <w:pPr/>
          </w:p>
        </w:tc>
      </w:tr>
      <w:tr>
        <w:trPr>
          <w:trHeight w:val="190" w:hRule="exact"/>
        </w:trPr>
        <w:tc>
          <w:tcPr>
            <w:tcW w:w="1832" w:type="dxa"/>
            <w:tcBorders>
              <w:top w:val="single" w:sz="4" w:space="0" w:color="000000"/>
              <w:left w:val="single" w:sz="4" w:space="0" w:color="000000"/>
              <w:bottom w:val="single" w:sz="4" w:space="0" w:color="000000"/>
              <w:right w:val="single" w:sz="4" w:space="0" w:color="A6A6A6"/>
            </w:tcBorders>
            <w:shd w:val="clear" w:color="auto" w:fill="D9D9D9"/>
          </w:tcPr>
          <w:p>
            <w:pPr>
              <w:pStyle w:val="TableParagraph"/>
              <w:spacing w:before="21"/>
              <w:ind w:left="19"/>
              <w:jc w:val="left"/>
              <w:rPr>
                <w:sz w:val="14"/>
              </w:rPr>
            </w:pPr>
            <w:r>
              <w:rPr>
                <w:w w:val="105"/>
                <w:sz w:val="14"/>
              </w:rPr>
              <w:t>Fonti</w:t>
            </w:r>
          </w:p>
        </w:tc>
        <w:tc>
          <w:tcPr>
            <w:tcW w:w="1000" w:type="dxa"/>
            <w:tcBorders>
              <w:top w:val="single" w:sz="4" w:space="0" w:color="000000"/>
              <w:left w:val="single" w:sz="4" w:space="0" w:color="A6A6A6"/>
              <w:bottom w:val="single" w:sz="4" w:space="0" w:color="000000"/>
              <w:right w:val="single" w:sz="4" w:space="0" w:color="A6A6A6"/>
            </w:tcBorders>
            <w:shd w:val="clear" w:color="auto" w:fill="D9D9D9"/>
          </w:tcPr>
          <w:p>
            <w:pPr>
              <w:pStyle w:val="TableParagraph"/>
              <w:spacing w:before="21"/>
              <w:ind w:right="57"/>
              <w:rPr>
                <w:sz w:val="14"/>
              </w:rPr>
            </w:pPr>
            <w:r>
              <w:rPr>
                <w:w w:val="105"/>
                <w:sz w:val="14"/>
              </w:rPr>
              <w:t>141.610.000</w:t>
            </w:r>
          </w:p>
        </w:tc>
        <w:tc>
          <w:tcPr>
            <w:tcW w:w="416" w:type="dxa"/>
            <w:tcBorders>
              <w:top w:val="single" w:sz="4" w:space="0" w:color="000000"/>
              <w:left w:val="single" w:sz="4" w:space="0" w:color="A6A6A6"/>
              <w:bottom w:val="single" w:sz="4" w:space="0" w:color="000000"/>
              <w:right w:val="single" w:sz="4" w:space="0" w:color="A6A6A6"/>
            </w:tcBorders>
            <w:shd w:val="clear" w:color="auto" w:fill="D9D9D9"/>
          </w:tcPr>
          <w:p>
            <w:pPr/>
          </w:p>
        </w:tc>
        <w:tc>
          <w:tcPr>
            <w:tcW w:w="1000" w:type="dxa"/>
            <w:tcBorders>
              <w:top w:val="single" w:sz="4" w:space="0" w:color="000000"/>
              <w:left w:val="single" w:sz="4" w:space="0" w:color="A6A6A6"/>
              <w:bottom w:val="single" w:sz="4" w:space="0" w:color="000000"/>
              <w:right w:val="single" w:sz="4" w:space="0" w:color="000000"/>
            </w:tcBorders>
            <w:shd w:val="clear" w:color="auto" w:fill="D9D9D9"/>
          </w:tcPr>
          <w:p>
            <w:pPr>
              <w:pStyle w:val="TableParagraph"/>
              <w:spacing w:before="21"/>
              <w:ind w:right="57"/>
              <w:rPr>
                <w:sz w:val="14"/>
              </w:rPr>
            </w:pPr>
            <w:r>
              <w:rPr>
                <w:w w:val="105"/>
                <w:sz w:val="14"/>
              </w:rPr>
              <w:t>156.463.000</w:t>
            </w:r>
          </w:p>
        </w:tc>
        <w:tc>
          <w:tcPr>
            <w:tcW w:w="366" w:type="dxa"/>
            <w:tcBorders>
              <w:top w:val="single" w:sz="4" w:space="0" w:color="000000"/>
              <w:left w:val="single" w:sz="4" w:space="0" w:color="000000"/>
              <w:bottom w:val="single" w:sz="4" w:space="0" w:color="000000"/>
              <w:right w:val="single" w:sz="4" w:space="0" w:color="000000"/>
            </w:tcBorders>
            <w:shd w:val="clear" w:color="auto" w:fill="D9D9D9"/>
          </w:tcPr>
          <w:p>
            <w:pPr/>
          </w:p>
        </w:tc>
        <w:tc>
          <w:tcPr>
            <w:tcW w:w="1000"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before="21"/>
              <w:ind w:right="56"/>
              <w:rPr>
                <w:sz w:val="14"/>
              </w:rPr>
            </w:pPr>
            <w:r>
              <w:rPr>
                <w:w w:val="105"/>
                <w:sz w:val="14"/>
              </w:rPr>
              <w:t>204.515.000</w:t>
            </w:r>
          </w:p>
        </w:tc>
        <w:tc>
          <w:tcPr>
            <w:tcW w:w="367" w:type="dxa"/>
            <w:tcBorders>
              <w:top w:val="single" w:sz="4" w:space="0" w:color="000000"/>
              <w:left w:val="single" w:sz="4" w:space="0" w:color="000000"/>
              <w:bottom w:val="single" w:sz="4" w:space="0" w:color="000000"/>
              <w:right w:val="single" w:sz="4" w:space="0" w:color="000000"/>
            </w:tcBorders>
            <w:shd w:val="clear" w:color="auto" w:fill="D9D9D9"/>
          </w:tcPr>
          <w:p>
            <w:pPr/>
          </w:p>
        </w:tc>
        <w:tc>
          <w:tcPr>
            <w:tcW w:w="1000"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before="21"/>
              <w:ind w:right="57"/>
              <w:rPr>
                <w:sz w:val="14"/>
              </w:rPr>
            </w:pPr>
            <w:r>
              <w:rPr>
                <w:w w:val="105"/>
                <w:sz w:val="14"/>
              </w:rPr>
              <w:t>220.952.000</w:t>
            </w:r>
          </w:p>
        </w:tc>
        <w:tc>
          <w:tcPr>
            <w:tcW w:w="327" w:type="dxa"/>
            <w:tcBorders>
              <w:top w:val="single" w:sz="4" w:space="0" w:color="000000"/>
              <w:left w:val="single" w:sz="4" w:space="0" w:color="000000"/>
              <w:bottom w:val="single" w:sz="4" w:space="0" w:color="000000"/>
              <w:right w:val="single" w:sz="4" w:space="0" w:color="000000"/>
            </w:tcBorders>
            <w:shd w:val="clear" w:color="auto" w:fill="D9D9D9"/>
          </w:tcPr>
          <w:p>
            <w:pPr/>
          </w:p>
        </w:tc>
        <w:tc>
          <w:tcPr>
            <w:tcW w:w="1000"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before="21"/>
              <w:ind w:right="57"/>
              <w:rPr>
                <w:sz w:val="14"/>
              </w:rPr>
            </w:pPr>
            <w:r>
              <w:rPr>
                <w:w w:val="105"/>
                <w:sz w:val="14"/>
              </w:rPr>
              <w:t>201.068.500</w:t>
            </w:r>
          </w:p>
        </w:tc>
        <w:tc>
          <w:tcPr>
            <w:tcW w:w="356" w:type="dxa"/>
            <w:tcBorders>
              <w:top w:val="single" w:sz="4" w:space="0" w:color="000000"/>
              <w:left w:val="single" w:sz="4" w:space="0" w:color="000000"/>
              <w:bottom w:val="single" w:sz="4" w:space="0" w:color="000000"/>
              <w:right w:val="single" w:sz="4" w:space="0" w:color="000000"/>
            </w:tcBorders>
            <w:shd w:val="clear" w:color="auto" w:fill="D9D9D9"/>
          </w:tcPr>
          <w:p>
            <w:pPr/>
          </w:p>
        </w:tc>
        <w:tc>
          <w:tcPr>
            <w:tcW w:w="1069"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before="21"/>
              <w:ind w:right="57"/>
              <w:rPr>
                <w:sz w:val="14"/>
              </w:rPr>
            </w:pPr>
            <w:r>
              <w:rPr>
                <w:w w:val="105"/>
                <w:sz w:val="14"/>
              </w:rPr>
              <w:t>37.497.472</w:t>
            </w:r>
          </w:p>
        </w:tc>
      </w:tr>
    </w:tbl>
    <w:p>
      <w:pPr>
        <w:pStyle w:val="BodyText"/>
        <w:spacing w:before="4"/>
        <w:rPr>
          <w:sz w:val="15"/>
        </w:rPr>
      </w:pPr>
    </w:p>
    <w:p>
      <w:pPr>
        <w:pStyle w:val="BodyText"/>
        <w:spacing w:line="480" w:lineRule="auto" w:before="100"/>
        <w:ind w:left="1418" w:right="1413"/>
        <w:jc w:val="both"/>
      </w:pPr>
      <w:r>
        <w:rPr/>
        <w:t>A livello patrimoniale, nell’ambito dell’attivo fisso si coglie una progressiva espansione e modificazione qualitativa dovuta all’acquisizione, nell’esercizio 2015, delle partecipazioni in IBP ed IBP Energia (sul punto cfr. </w:t>
      </w:r>
      <w:r>
        <w:rPr>
          <w:i/>
        </w:rPr>
        <w:t>infra </w:t>
      </w:r>
      <w:r>
        <w:rPr/>
        <w:t>paragrafo 2.3.1 e</w:t>
      </w:r>
      <w:r>
        <w:rPr>
          <w:spacing w:val="-26"/>
        </w:rPr>
        <w:t> </w:t>
      </w:r>
      <w:r>
        <w:rPr/>
        <w:t>2.3.2).</w:t>
      </w:r>
    </w:p>
    <w:p>
      <w:pPr>
        <w:pStyle w:val="BodyText"/>
        <w:spacing w:line="480" w:lineRule="auto"/>
        <w:ind w:left="1418" w:right="1411"/>
        <w:jc w:val="both"/>
      </w:pPr>
      <w:r>
        <w:rPr/>
        <w:t>Il capitale circolante risulta composto in larga misura da crediti </w:t>
      </w:r>
      <w:r>
        <w:rPr>
          <w:i/>
        </w:rPr>
        <w:t>intercompany</w:t>
      </w:r>
      <w:r>
        <w:rPr/>
        <w:t>, avuto particolare riguardo alla dinamica del </w:t>
      </w:r>
      <w:r>
        <w:rPr>
          <w:i/>
        </w:rPr>
        <w:t>cash pooling </w:t>
      </w:r>
      <w:r>
        <w:rPr/>
        <w:t>(che mostra un vistoso incremento nel passaggio dall’esercizio 2012 all’esercizio 2014 e successivamente una progressiva contrazione).</w:t>
      </w:r>
    </w:p>
    <w:p>
      <w:pPr>
        <w:pStyle w:val="BodyText"/>
        <w:spacing w:line="480" w:lineRule="auto"/>
        <w:ind w:left="1418" w:right="1411"/>
        <w:jc w:val="both"/>
      </w:pPr>
      <w:r>
        <w:rPr/>
        <w:t>Come risulta dal bilancio 2013 (NI, pag. 44), i crediti per </w:t>
      </w:r>
      <w:r>
        <w:rPr>
          <w:i/>
        </w:rPr>
        <w:t>cash pooling </w:t>
      </w:r>
      <w:r>
        <w:rPr/>
        <w:t>(costituiti dalla sommatoria delle posizioni di credito/debito verso altre società del Gruppo per effetto della partecipazione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418" w:right="1412" w:firstLine="0"/>
        <w:jc w:val="both"/>
        <w:rPr>
          <w:sz w:val="24"/>
        </w:rPr>
      </w:pPr>
      <w:r>
        <w:rPr>
          <w:sz w:val="24"/>
        </w:rPr>
        <w:t>alla tesoreria accentrata) si incrementano nel 2013 per effetto della “</w:t>
      </w:r>
      <w:r>
        <w:rPr>
          <w:i/>
          <w:sz w:val="24"/>
        </w:rPr>
        <w:t>vendita alla società collegata </w:t>
      </w:r>
      <w:r>
        <w:rPr>
          <w:i/>
          <w:sz w:val="24"/>
        </w:rPr>
        <w:t>M&amp;G Corporation del “Proesa Pet Agreement” per US$ 141.960 migliaia</w:t>
      </w:r>
      <w:r>
        <w:rPr>
          <w:sz w:val="24"/>
        </w:rPr>
        <w:t>”.</w:t>
      </w:r>
    </w:p>
    <w:p>
      <w:pPr>
        <w:spacing w:line="480" w:lineRule="auto" w:before="0"/>
        <w:ind w:left="1418" w:right="1413" w:firstLine="0"/>
        <w:jc w:val="both"/>
        <w:rPr>
          <w:sz w:val="24"/>
        </w:rPr>
      </w:pPr>
      <w:r>
        <w:rPr>
          <w:sz w:val="24"/>
        </w:rPr>
        <w:t>L’operazione è descritta a pag. 12 della NI laddove è indicato che “</w:t>
      </w:r>
      <w:r>
        <w:rPr>
          <w:i/>
          <w:sz w:val="24"/>
        </w:rPr>
        <w:t>altro fatto importante è stato il </w:t>
      </w:r>
      <w:r>
        <w:rPr>
          <w:i/>
          <w:sz w:val="24"/>
        </w:rPr>
        <w:t>conseguimento di un rilevante provento relativo alla cessione del Know-how e della relativa licenza PROESA applicati alle applicazioni PET (“Proesa Pet License Agreement”) alla società consociata M&amp;G Usa Corporation per un corrispettivo pari ad USD 141.960 migliaia</w:t>
      </w:r>
      <w:r>
        <w:rPr>
          <w:sz w:val="24"/>
        </w:rPr>
        <w:t>”. </w:t>
      </w:r>
      <w:r>
        <w:rPr>
          <w:i/>
          <w:sz w:val="24"/>
        </w:rPr>
        <w:t>Tale cessione ha consentito la realizzazione di </w:t>
      </w:r>
      <w:r>
        <w:rPr>
          <w:i/>
          <w:sz w:val="24"/>
        </w:rPr>
        <w:t>una plusvalenza di euro 104.658 migliaia</w:t>
      </w:r>
      <w:r>
        <w:rPr>
          <w:sz w:val="24"/>
        </w:rPr>
        <w:t>”.</w:t>
      </w:r>
    </w:p>
    <w:p>
      <w:pPr>
        <w:pStyle w:val="BodyText"/>
        <w:spacing w:line="480" w:lineRule="auto"/>
        <w:ind w:left="1418" w:right="1411"/>
        <w:jc w:val="both"/>
      </w:pPr>
      <w:r>
        <w:rPr/>
        <w:t>L’ulteriore aumento dei crediti </w:t>
      </w:r>
      <w:r>
        <w:rPr>
          <w:i/>
        </w:rPr>
        <w:t>intercompany </w:t>
      </w:r>
      <w:r>
        <w:rPr/>
        <w:t>si realizza nell’esercizio 2014, ancora a seguito del significativo incremento del saldo attivo di </w:t>
      </w:r>
      <w:r>
        <w:rPr>
          <w:i/>
        </w:rPr>
        <w:t>cash pooling </w:t>
      </w:r>
      <w:r>
        <w:rPr/>
        <w:t>nei confronti della controllante M&amp;G Finanziaria alla quale è stata trasferita la liquidità proveniente dal finanziamento di euro 65 milioni erogato da BEI (Banca Europea per gli Investimenti) nell’esercizio 2014 (NI bilancio 2014, pag. 45).</w:t>
      </w:r>
    </w:p>
    <w:p>
      <w:pPr>
        <w:pStyle w:val="BodyText"/>
        <w:ind w:left="1418"/>
        <w:jc w:val="both"/>
      </w:pPr>
      <w:r>
        <w:rPr/>
        <w:t>Successivamente, i crediti </w:t>
      </w:r>
      <w:r>
        <w:rPr>
          <w:i/>
        </w:rPr>
        <w:t>intercompany </w:t>
      </w:r>
      <w:r>
        <w:rPr/>
        <w:t>si riducono progressivamente nei termini seguenti:</w:t>
      </w:r>
    </w:p>
    <w:p>
      <w:pPr>
        <w:pStyle w:val="BodyText"/>
      </w:pPr>
    </w:p>
    <w:p>
      <w:pPr>
        <w:pStyle w:val="ListParagraph"/>
        <w:numPr>
          <w:ilvl w:val="0"/>
          <w:numId w:val="10"/>
        </w:numPr>
        <w:tabs>
          <w:tab w:pos="2126" w:val="left" w:leader="none"/>
          <w:tab w:pos="2127" w:val="left" w:leader="none"/>
        </w:tabs>
        <w:spacing w:line="480" w:lineRule="auto" w:before="0" w:after="0"/>
        <w:ind w:left="1418" w:right="1413" w:firstLine="0"/>
        <w:jc w:val="both"/>
        <w:rPr>
          <w:sz w:val="24"/>
        </w:rPr>
      </w:pPr>
      <w:r>
        <w:rPr>
          <w:sz w:val="24"/>
        </w:rPr>
        <w:t>nell’esercizio 2015 il saldo attivo di </w:t>
      </w:r>
      <w:r>
        <w:rPr>
          <w:i/>
          <w:sz w:val="24"/>
        </w:rPr>
        <w:t>cash pooling </w:t>
      </w:r>
      <w:r>
        <w:rPr>
          <w:sz w:val="24"/>
        </w:rPr>
        <w:t>nei confronti della controllante M&amp;G Finanziaria si riduce di euro 53 milioni per effetto anche della acquisizione delle partecipazioni  del Gruppo Bio (NI bilancio 2015, pag.</w:t>
      </w:r>
      <w:r>
        <w:rPr>
          <w:spacing w:val="-12"/>
          <w:sz w:val="24"/>
        </w:rPr>
        <w:t> </w:t>
      </w:r>
      <w:r>
        <w:rPr>
          <w:sz w:val="24"/>
        </w:rPr>
        <w:t>49)</w:t>
      </w:r>
    </w:p>
    <w:p>
      <w:pPr>
        <w:pStyle w:val="ListParagraph"/>
        <w:numPr>
          <w:ilvl w:val="0"/>
          <w:numId w:val="10"/>
        </w:numPr>
        <w:tabs>
          <w:tab w:pos="2126" w:val="left" w:leader="none"/>
          <w:tab w:pos="2127" w:val="left" w:leader="none"/>
        </w:tabs>
        <w:spacing w:line="480" w:lineRule="auto" w:before="0" w:after="0"/>
        <w:ind w:left="1418" w:right="1410" w:firstLine="0"/>
        <w:jc w:val="both"/>
        <w:rPr>
          <w:sz w:val="24"/>
        </w:rPr>
      </w:pPr>
      <w:r>
        <w:rPr>
          <w:sz w:val="24"/>
        </w:rPr>
        <w:t>nell’esercizio 2016 il saldo attivo di </w:t>
      </w:r>
      <w:r>
        <w:rPr>
          <w:i/>
          <w:sz w:val="24"/>
        </w:rPr>
        <w:t>cash pooling </w:t>
      </w:r>
      <w:r>
        <w:rPr>
          <w:sz w:val="24"/>
        </w:rPr>
        <w:t>si riduce ulteriormente principalmente in relazione ai versamenti a copertura perdite in IBP Srl (NI bilancio 2016, pagg. 41 e</w:t>
      </w:r>
      <w:r>
        <w:rPr>
          <w:spacing w:val="-36"/>
          <w:sz w:val="24"/>
        </w:rPr>
        <w:t> </w:t>
      </w:r>
      <w:r>
        <w:rPr>
          <w:sz w:val="24"/>
        </w:rPr>
        <w:t>49).</w:t>
      </w:r>
    </w:p>
    <w:p>
      <w:pPr>
        <w:pStyle w:val="BodyText"/>
        <w:spacing w:line="480" w:lineRule="auto"/>
        <w:ind w:left="1418" w:right="1414"/>
        <w:jc w:val="both"/>
      </w:pPr>
      <w:r>
        <w:rPr/>
        <w:t>La ricostruzione riportata nei </w:t>
      </w:r>
      <w:r>
        <w:rPr>
          <w:i/>
        </w:rPr>
        <w:t>Deliverables </w:t>
      </w:r>
      <w:r>
        <w:rPr/>
        <w:t>prodotti da Deloitte in relazione all’andamento dei rapporti di </w:t>
      </w:r>
      <w:r>
        <w:rPr>
          <w:i/>
        </w:rPr>
        <w:t>cash pooling </w:t>
      </w:r>
      <w:r>
        <w:rPr/>
        <w:t>(due intrattenuti da Biochemtex con M&amp;G Finanziaria quale “capofila”, e l’altro intrattenuto da Biochemtex quale “capofila” del sottogruppo Bio) conferma la sintesi suesposta ed evidenzia in particolare quanto segue: nei confronti di M&amp;G Finanziaria, la società Biochemtex mostra costantemente una posizione creditoria, seppure in riduzione dall’esercizio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4"/>
        <w:jc w:val="both"/>
      </w:pPr>
      <w:r>
        <w:rPr/>
        <w:t>2014 al 15 ottobre 2017 (credito a tale data euro 33 milioni); nei confronti delle altre società del Gruppo Bio, invece, Biochemtex ha progressivamente ridotto il credito fino a divenire debitrice  al 15 ottobre 2017 (debito di euro 232</w:t>
      </w:r>
      <w:r>
        <w:rPr>
          <w:spacing w:val="-9"/>
        </w:rPr>
        <w:t> </w:t>
      </w:r>
      <w:r>
        <w:rPr/>
        <w:t>mila).</w:t>
      </w:r>
    </w:p>
    <w:p>
      <w:pPr>
        <w:pStyle w:val="BodyText"/>
        <w:spacing w:line="480" w:lineRule="auto"/>
        <w:ind w:left="1418" w:right="1413"/>
        <w:jc w:val="both"/>
      </w:pPr>
      <w:r>
        <w:rPr/>
        <w:t>Relativamente ai debiti verso fornitori e tributari, si coglie una significativa espansione a partire  dal 2016 rispetto al precedente</w:t>
      </w:r>
      <w:r>
        <w:rPr>
          <w:spacing w:val="-13"/>
        </w:rPr>
        <w:t> </w:t>
      </w:r>
      <w:r>
        <w:rPr/>
        <w:t>esercizio.</w:t>
      </w:r>
    </w:p>
    <w:p>
      <w:pPr>
        <w:spacing w:line="480" w:lineRule="auto" w:before="0"/>
        <w:ind w:left="1418" w:right="1409" w:firstLine="0"/>
        <w:jc w:val="both"/>
        <w:rPr>
          <w:sz w:val="24"/>
        </w:rPr>
      </w:pPr>
      <w:r>
        <w:rPr>
          <w:sz w:val="24"/>
        </w:rPr>
        <w:t>Per quanto attiene alla posizione finanziaria netta, si assiste ad un incremento nell’esercizio 2014 per effetto del finanziamento (garantito da un pool di 4 banche italiane, a loro volta garantite  dalla controllante M&amp;G Finanziaria) concesso da BEI alla Società per un totale di euro 65  milioni. Nella nota integrativa (pag. 50) si legge che “</w:t>
      </w:r>
      <w:r>
        <w:rPr>
          <w:i/>
          <w:sz w:val="24"/>
        </w:rPr>
        <w:t>detto finanziamento è stato concesso con lo scopo </w:t>
      </w:r>
      <w:r>
        <w:rPr>
          <w:i/>
          <w:sz w:val="24"/>
        </w:rPr>
        <w:t>specifico di permettere alla Società la realizzazione di un progetto relativo a investimenti di ricerca e sviluppo per gli anni 2013-2016 …. il fabbisogno finanziario complessivo del progetto di ricerca e sviluppo valutato dalla BEI ai fini della concessione del finanziamento è di euro 133 milioni, di cui euro 65 milioni finanziati dalla BEI e per la restante da sviluppare con risorse della società</w:t>
      </w:r>
      <w:r>
        <w:rPr>
          <w:sz w:val="24"/>
        </w:rPr>
        <w:t>”. La descrizione prosegue citando le caratteristiche del contratto e la specificazione che “</w:t>
      </w:r>
      <w:r>
        <w:rPr>
          <w:i/>
          <w:sz w:val="24"/>
        </w:rPr>
        <w:t>al 31 dicembre 2014 risultavano rispettati tutti i covenants ed i negative </w:t>
      </w:r>
      <w:r>
        <w:rPr>
          <w:i/>
          <w:sz w:val="24"/>
        </w:rPr>
        <w:t>pledge</w:t>
      </w:r>
      <w:r>
        <w:rPr>
          <w:sz w:val="24"/>
        </w:rPr>
        <w:t>” (analoga informazione viene riportata nella note integrative ai bilanci 2015 e 2016, pag. 54). La posizione finanziaria netta si incrementa ulteriormente nell’esercizio 2015, in relazione a scoperti bancari che derivano da “</w:t>
      </w:r>
      <w:r>
        <w:rPr>
          <w:i/>
          <w:sz w:val="24"/>
        </w:rPr>
        <w:t>linee di credito commerciali rilasciate da Istituti bancari a favore della </w:t>
      </w:r>
      <w:r>
        <w:rPr>
          <w:i/>
          <w:sz w:val="24"/>
        </w:rPr>
        <w:t>società a sostegno dei progetti in portafoglio della società</w:t>
      </w:r>
      <w:r>
        <w:rPr>
          <w:sz w:val="24"/>
        </w:rPr>
        <w:t>” (NI bilancio 2015, pag. 55), per poi ridursi nel successivo esercizio 2016 a seguito di rimborsi dei predetti</w:t>
      </w:r>
      <w:r>
        <w:rPr>
          <w:spacing w:val="-17"/>
          <w:sz w:val="24"/>
        </w:rPr>
        <w:t> </w:t>
      </w:r>
      <w:r>
        <w:rPr>
          <w:sz w:val="24"/>
        </w:rPr>
        <w:t>finanziamenti.</w:t>
      </w:r>
    </w:p>
    <w:p>
      <w:pPr>
        <w:pStyle w:val="BodyText"/>
        <w:spacing w:line="480" w:lineRule="auto"/>
        <w:ind w:left="1418" w:right="1410"/>
        <w:jc w:val="both"/>
      </w:pPr>
      <w:r>
        <w:rPr/>
        <w:t>I fondi rischi si collegano a perdite ed a rischi su commesse e presentano un significativo incremento rispetto agli esercizi 2012 e 2013.</w:t>
      </w:r>
    </w:p>
    <w:p>
      <w:pPr>
        <w:pStyle w:val="BodyText"/>
        <w:spacing w:line="480" w:lineRule="auto"/>
        <w:ind w:left="1418" w:right="1413"/>
        <w:jc w:val="both"/>
      </w:pPr>
      <w:r>
        <w:rPr/>
        <w:t>L’esposizione debitoria della Società (in termini di rischi) si completa con le garanzie (prestate e ricevute) che  raggiungono nell’esercizio 2016  l’importo di  euro  377  milioni.  In particolare,   le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4"/>
        <w:jc w:val="both"/>
      </w:pPr>
      <w:r>
        <w:rPr/>
        <w:t>garanzie ricevute dalla capogruppo M&amp;G Finanziaria SpA riguardano fidi commerciali e bancari, il pool di Banche intervenuto nel finanziamento BEI, Novozymes con riferimento alle obbligazioni derivanti dalle pattuizioni contrattuali </w:t>
      </w:r>
      <w:r>
        <w:rPr>
          <w:i/>
        </w:rPr>
        <w:t>infra </w:t>
      </w:r>
      <w:r>
        <w:rPr/>
        <w:t>illustrate nel successivo paragrafo</w:t>
      </w:r>
      <w:r>
        <w:rPr>
          <w:spacing w:val="-38"/>
        </w:rPr>
        <w:t> </w:t>
      </w:r>
      <w:r>
        <w:rPr/>
        <w:t>2.3.5.</w:t>
      </w: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0"/>
        <w:gridCol w:w="1015"/>
        <w:gridCol w:w="422"/>
        <w:gridCol w:w="1015"/>
        <w:gridCol w:w="372"/>
        <w:gridCol w:w="1015"/>
        <w:gridCol w:w="372"/>
        <w:gridCol w:w="1015"/>
        <w:gridCol w:w="332"/>
        <w:gridCol w:w="1015"/>
        <w:gridCol w:w="362"/>
        <w:gridCol w:w="1086"/>
      </w:tblGrid>
      <w:tr>
        <w:trPr>
          <w:trHeight w:val="206" w:hRule="exact"/>
        </w:trPr>
        <w:tc>
          <w:tcPr>
            <w:tcW w:w="1860" w:type="dxa"/>
            <w:tcBorders>
              <w:bottom w:val="nil"/>
              <w:right w:val="single" w:sz="4" w:space="0" w:color="A6A6A6"/>
            </w:tcBorders>
            <w:shd w:val="clear" w:color="auto" w:fill="8496AF"/>
          </w:tcPr>
          <w:p>
            <w:pPr>
              <w:pStyle w:val="TableParagraph"/>
              <w:spacing w:before="21"/>
              <w:ind w:left="20"/>
              <w:jc w:val="left"/>
              <w:rPr>
                <w:sz w:val="15"/>
              </w:rPr>
            </w:pPr>
            <w:r>
              <w:rPr>
                <w:color w:val="FFFFFF"/>
                <w:sz w:val="15"/>
              </w:rPr>
              <w:t>BioChemtex srl</w:t>
            </w:r>
          </w:p>
        </w:tc>
        <w:tc>
          <w:tcPr>
            <w:tcW w:w="1015" w:type="dxa"/>
            <w:tcBorders>
              <w:left w:val="single" w:sz="4" w:space="0" w:color="A6A6A6"/>
              <w:bottom w:val="nil"/>
              <w:right w:val="single" w:sz="4" w:space="0" w:color="A6A6A6"/>
            </w:tcBorders>
            <w:shd w:val="clear" w:color="auto" w:fill="8496AF"/>
          </w:tcPr>
          <w:p>
            <w:pPr>
              <w:pStyle w:val="TableParagraph"/>
              <w:spacing w:before="21"/>
              <w:ind w:right="18"/>
              <w:rPr>
                <w:sz w:val="15"/>
              </w:rPr>
            </w:pPr>
            <w:r>
              <w:rPr>
                <w:color w:val="FFFFFF"/>
                <w:sz w:val="15"/>
              </w:rPr>
              <w:t>31/12/2012</w:t>
            </w:r>
          </w:p>
        </w:tc>
        <w:tc>
          <w:tcPr>
            <w:tcW w:w="422" w:type="dxa"/>
            <w:tcBorders>
              <w:left w:val="single" w:sz="4" w:space="0" w:color="A6A6A6"/>
              <w:bottom w:val="nil"/>
              <w:right w:val="single" w:sz="4" w:space="0" w:color="A6A6A6"/>
            </w:tcBorders>
            <w:shd w:val="clear" w:color="auto" w:fill="8496AF"/>
          </w:tcPr>
          <w:p>
            <w:pPr>
              <w:pStyle w:val="TableParagraph"/>
              <w:spacing w:before="21"/>
              <w:ind w:left="150"/>
              <w:jc w:val="left"/>
              <w:rPr>
                <w:sz w:val="15"/>
              </w:rPr>
            </w:pPr>
            <w:r>
              <w:rPr>
                <w:color w:val="FFFFFF"/>
                <w:w w:val="100"/>
                <w:sz w:val="15"/>
              </w:rPr>
              <w:t>%</w:t>
            </w:r>
          </w:p>
        </w:tc>
        <w:tc>
          <w:tcPr>
            <w:tcW w:w="1015" w:type="dxa"/>
            <w:tcBorders>
              <w:left w:val="single" w:sz="4" w:space="0" w:color="A6A6A6"/>
              <w:bottom w:val="nil"/>
              <w:right w:val="single" w:sz="4" w:space="0" w:color="A6A6A6"/>
            </w:tcBorders>
            <w:shd w:val="clear" w:color="auto" w:fill="8496AF"/>
          </w:tcPr>
          <w:p>
            <w:pPr>
              <w:pStyle w:val="TableParagraph"/>
              <w:spacing w:before="21"/>
              <w:ind w:right="18"/>
              <w:rPr>
                <w:sz w:val="15"/>
              </w:rPr>
            </w:pPr>
            <w:r>
              <w:rPr>
                <w:color w:val="FFFFFF"/>
                <w:sz w:val="15"/>
              </w:rPr>
              <w:t>31/12/2013</w:t>
            </w:r>
          </w:p>
        </w:tc>
        <w:tc>
          <w:tcPr>
            <w:tcW w:w="372" w:type="dxa"/>
            <w:tcBorders>
              <w:left w:val="single" w:sz="4" w:space="0" w:color="A6A6A6"/>
              <w:bottom w:val="nil"/>
              <w:right w:val="single" w:sz="4" w:space="0" w:color="A6A6A6"/>
            </w:tcBorders>
            <w:shd w:val="clear" w:color="auto" w:fill="8496AF"/>
          </w:tcPr>
          <w:p>
            <w:pPr>
              <w:pStyle w:val="TableParagraph"/>
              <w:spacing w:before="21"/>
              <w:ind w:left="120"/>
              <w:jc w:val="left"/>
              <w:rPr>
                <w:sz w:val="15"/>
              </w:rPr>
            </w:pPr>
            <w:r>
              <w:rPr>
                <w:color w:val="FFFFFF"/>
                <w:w w:val="100"/>
                <w:sz w:val="15"/>
              </w:rPr>
              <w:t>%</w:t>
            </w:r>
          </w:p>
        </w:tc>
        <w:tc>
          <w:tcPr>
            <w:tcW w:w="1015" w:type="dxa"/>
            <w:tcBorders>
              <w:left w:val="single" w:sz="4" w:space="0" w:color="A6A6A6"/>
              <w:bottom w:val="nil"/>
              <w:right w:val="single" w:sz="4" w:space="0" w:color="A6A6A6"/>
            </w:tcBorders>
            <w:shd w:val="clear" w:color="auto" w:fill="8496AF"/>
          </w:tcPr>
          <w:p>
            <w:pPr>
              <w:pStyle w:val="TableParagraph"/>
              <w:spacing w:before="21"/>
              <w:ind w:right="18"/>
              <w:rPr>
                <w:sz w:val="15"/>
              </w:rPr>
            </w:pPr>
            <w:r>
              <w:rPr>
                <w:color w:val="FFFFFF"/>
                <w:sz w:val="15"/>
              </w:rPr>
              <w:t>31/12/2014</w:t>
            </w:r>
          </w:p>
        </w:tc>
        <w:tc>
          <w:tcPr>
            <w:tcW w:w="372" w:type="dxa"/>
            <w:tcBorders>
              <w:left w:val="single" w:sz="4" w:space="0" w:color="A6A6A6"/>
              <w:bottom w:val="nil"/>
              <w:right w:val="single" w:sz="4" w:space="0" w:color="A6A6A6"/>
            </w:tcBorders>
            <w:shd w:val="clear" w:color="auto" w:fill="8496AF"/>
          </w:tcPr>
          <w:p>
            <w:pPr>
              <w:pStyle w:val="TableParagraph"/>
              <w:spacing w:before="21"/>
              <w:ind w:left="120"/>
              <w:jc w:val="left"/>
              <w:rPr>
                <w:sz w:val="15"/>
              </w:rPr>
            </w:pPr>
            <w:r>
              <w:rPr>
                <w:color w:val="FFFFFF"/>
                <w:w w:val="100"/>
                <w:sz w:val="15"/>
              </w:rPr>
              <w:t>%</w:t>
            </w:r>
          </w:p>
        </w:tc>
        <w:tc>
          <w:tcPr>
            <w:tcW w:w="1015" w:type="dxa"/>
            <w:tcBorders>
              <w:left w:val="single" w:sz="4" w:space="0" w:color="A6A6A6"/>
              <w:bottom w:val="nil"/>
              <w:right w:val="single" w:sz="4" w:space="0" w:color="A6A6A6"/>
            </w:tcBorders>
            <w:shd w:val="clear" w:color="auto" w:fill="8496AF"/>
          </w:tcPr>
          <w:p>
            <w:pPr>
              <w:pStyle w:val="TableParagraph"/>
              <w:spacing w:before="21"/>
              <w:ind w:right="18"/>
              <w:rPr>
                <w:sz w:val="15"/>
              </w:rPr>
            </w:pPr>
            <w:r>
              <w:rPr>
                <w:color w:val="FFFFFF"/>
                <w:sz w:val="15"/>
              </w:rPr>
              <w:t>31/12/2015</w:t>
            </w:r>
          </w:p>
        </w:tc>
        <w:tc>
          <w:tcPr>
            <w:tcW w:w="332" w:type="dxa"/>
            <w:tcBorders>
              <w:left w:val="single" w:sz="4" w:space="0" w:color="A6A6A6"/>
              <w:bottom w:val="nil"/>
              <w:right w:val="single" w:sz="4" w:space="0" w:color="A6A6A6"/>
            </w:tcBorders>
            <w:shd w:val="clear" w:color="auto" w:fill="8496AF"/>
          </w:tcPr>
          <w:p>
            <w:pPr>
              <w:pStyle w:val="TableParagraph"/>
              <w:spacing w:before="21"/>
              <w:ind w:left="100"/>
              <w:jc w:val="left"/>
              <w:rPr>
                <w:sz w:val="15"/>
              </w:rPr>
            </w:pPr>
            <w:r>
              <w:rPr>
                <w:color w:val="FFFFFF"/>
                <w:w w:val="100"/>
                <w:sz w:val="15"/>
              </w:rPr>
              <w:t>%</w:t>
            </w:r>
          </w:p>
        </w:tc>
        <w:tc>
          <w:tcPr>
            <w:tcW w:w="1015" w:type="dxa"/>
            <w:tcBorders>
              <w:left w:val="single" w:sz="4" w:space="0" w:color="A6A6A6"/>
              <w:bottom w:val="nil"/>
              <w:right w:val="single" w:sz="4" w:space="0" w:color="A6A6A6"/>
            </w:tcBorders>
            <w:shd w:val="clear" w:color="auto" w:fill="8496AF"/>
          </w:tcPr>
          <w:p>
            <w:pPr>
              <w:pStyle w:val="TableParagraph"/>
              <w:spacing w:before="21"/>
              <w:ind w:right="18"/>
              <w:rPr>
                <w:sz w:val="15"/>
              </w:rPr>
            </w:pPr>
            <w:r>
              <w:rPr>
                <w:color w:val="FFFFFF"/>
                <w:sz w:val="15"/>
              </w:rPr>
              <w:t>31/12/2016</w:t>
            </w:r>
          </w:p>
        </w:tc>
        <w:tc>
          <w:tcPr>
            <w:tcW w:w="362" w:type="dxa"/>
            <w:tcBorders>
              <w:left w:val="single" w:sz="4" w:space="0" w:color="A6A6A6"/>
              <w:bottom w:val="nil"/>
              <w:right w:val="single" w:sz="4" w:space="0" w:color="A6A6A6"/>
            </w:tcBorders>
            <w:shd w:val="clear" w:color="auto" w:fill="8496AF"/>
          </w:tcPr>
          <w:p>
            <w:pPr>
              <w:pStyle w:val="TableParagraph"/>
              <w:spacing w:before="21"/>
              <w:ind w:left="13"/>
              <w:jc w:val="center"/>
              <w:rPr>
                <w:sz w:val="15"/>
              </w:rPr>
            </w:pPr>
            <w:r>
              <w:rPr>
                <w:color w:val="FFFFFF"/>
                <w:w w:val="100"/>
                <w:sz w:val="15"/>
              </w:rPr>
              <w:t>%</w:t>
            </w:r>
          </w:p>
        </w:tc>
        <w:tc>
          <w:tcPr>
            <w:tcW w:w="1086" w:type="dxa"/>
            <w:tcBorders>
              <w:left w:val="single" w:sz="4" w:space="0" w:color="A6A6A6"/>
              <w:bottom w:val="nil"/>
            </w:tcBorders>
            <w:shd w:val="clear" w:color="auto" w:fill="8496AF"/>
          </w:tcPr>
          <w:p>
            <w:pPr>
              <w:pStyle w:val="TableParagraph"/>
              <w:spacing w:before="21"/>
              <w:ind w:right="18"/>
              <w:rPr>
                <w:sz w:val="15"/>
              </w:rPr>
            </w:pPr>
            <w:r>
              <w:rPr>
                <w:color w:val="FFFFFF"/>
                <w:sz w:val="15"/>
              </w:rPr>
              <w:t>15/10/2017</w:t>
            </w:r>
          </w:p>
        </w:tc>
      </w:tr>
      <w:tr>
        <w:trPr>
          <w:trHeight w:val="226" w:hRule="exact"/>
        </w:trPr>
        <w:tc>
          <w:tcPr>
            <w:tcW w:w="1860" w:type="dxa"/>
            <w:tcBorders>
              <w:top w:val="nil"/>
              <w:bottom w:val="single" w:sz="4" w:space="0" w:color="D3D3D3"/>
              <w:right w:val="single" w:sz="4" w:space="0" w:color="A6A6A6"/>
            </w:tcBorders>
          </w:tcPr>
          <w:p>
            <w:pPr>
              <w:pStyle w:val="TableParagraph"/>
              <w:tabs>
                <w:tab w:pos="1829" w:val="left" w:leader="none"/>
              </w:tabs>
              <w:spacing w:before="22"/>
              <w:ind w:left="20"/>
              <w:jc w:val="left"/>
              <w:rPr>
                <w:b/>
                <w:sz w:val="15"/>
              </w:rPr>
            </w:pPr>
            <w:r>
              <w:rPr>
                <w:b/>
                <w:sz w:val="15"/>
                <w:u w:val="single"/>
              </w:rPr>
              <w:t>Conto</w:t>
            </w:r>
            <w:r>
              <w:rPr>
                <w:b/>
                <w:spacing w:val="-8"/>
                <w:sz w:val="15"/>
                <w:u w:val="single"/>
              </w:rPr>
              <w:t> </w:t>
            </w:r>
            <w:r>
              <w:rPr>
                <w:b/>
                <w:sz w:val="15"/>
                <w:u w:val="single"/>
              </w:rPr>
              <w:t>economico</w:t>
              <w:tab/>
            </w:r>
          </w:p>
        </w:tc>
        <w:tc>
          <w:tcPr>
            <w:tcW w:w="1015" w:type="dxa"/>
            <w:tcBorders>
              <w:top w:val="nil"/>
              <w:left w:val="single" w:sz="4" w:space="0" w:color="A6A6A6"/>
              <w:bottom w:val="single" w:sz="4" w:space="0" w:color="D3D3D3"/>
              <w:right w:val="single" w:sz="4" w:space="0" w:color="D3D3D3"/>
            </w:tcBorders>
          </w:tcPr>
          <w:p>
            <w:pPr/>
          </w:p>
        </w:tc>
        <w:tc>
          <w:tcPr>
            <w:tcW w:w="42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7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A6A6A6"/>
            </w:tcBorders>
          </w:tcPr>
          <w:p>
            <w:pPr/>
          </w:p>
        </w:tc>
        <w:tc>
          <w:tcPr>
            <w:tcW w:w="372" w:type="dxa"/>
            <w:tcBorders>
              <w:top w:val="nil"/>
              <w:left w:val="single" w:sz="4" w:space="0" w:color="A6A6A6"/>
              <w:bottom w:val="single" w:sz="4" w:space="0" w:color="D3D3D3"/>
              <w:right w:val="single" w:sz="4" w:space="0" w:color="D3D3D3"/>
            </w:tcBorders>
          </w:tcPr>
          <w:p>
            <w:pPr/>
          </w:p>
        </w:tc>
        <w:tc>
          <w:tcPr>
            <w:tcW w:w="1015" w:type="dxa"/>
            <w:tcBorders>
              <w:top w:val="nil"/>
              <w:left w:val="single" w:sz="4" w:space="0" w:color="D3D3D3"/>
              <w:bottom w:val="single" w:sz="4" w:space="0" w:color="D3D3D3"/>
              <w:right w:val="single" w:sz="4" w:space="0" w:color="D3D3D3"/>
            </w:tcBorders>
          </w:tcPr>
          <w:p>
            <w:pPr/>
          </w:p>
        </w:tc>
        <w:tc>
          <w:tcPr>
            <w:tcW w:w="33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A6A6A6"/>
            </w:tcBorders>
          </w:tcPr>
          <w:p>
            <w:pPr/>
          </w:p>
        </w:tc>
        <w:tc>
          <w:tcPr>
            <w:tcW w:w="362" w:type="dxa"/>
            <w:tcBorders>
              <w:top w:val="nil"/>
              <w:left w:val="single" w:sz="4" w:space="0" w:color="A6A6A6"/>
              <w:bottom w:val="single" w:sz="4" w:space="0" w:color="D3D3D3"/>
              <w:right w:val="single" w:sz="4" w:space="0" w:color="D3D3D3"/>
            </w:tcBorders>
          </w:tcPr>
          <w:p>
            <w:pPr/>
          </w:p>
        </w:tc>
        <w:tc>
          <w:tcPr>
            <w:tcW w:w="1086" w:type="dxa"/>
            <w:tcBorders>
              <w:top w:val="nil"/>
              <w:left w:val="single" w:sz="4" w:space="0" w:color="D3D3D3"/>
              <w:bottom w:val="single" w:sz="4" w:space="0" w:color="D3D3D3"/>
            </w:tcBorders>
          </w:tcPr>
          <w:p>
            <w:pP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Valore della produzione</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8"/>
              <w:rPr>
                <w:sz w:val="15"/>
              </w:rPr>
            </w:pPr>
            <w:r>
              <w:rPr>
                <w:sz w:val="15"/>
              </w:rPr>
              <w:t>197.152.000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100%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7"/>
              <w:rPr>
                <w:sz w:val="15"/>
              </w:rPr>
            </w:pPr>
            <w:r>
              <w:rPr>
                <w:sz w:val="15"/>
              </w:rPr>
              <w:t>191.422.000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100%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7"/>
              <w:rPr>
                <w:sz w:val="15"/>
              </w:rPr>
            </w:pPr>
            <w:r>
              <w:rPr>
                <w:sz w:val="15"/>
              </w:rPr>
              <w:t>74.728.000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left="60"/>
              <w:jc w:val="left"/>
              <w:rPr>
                <w:sz w:val="12"/>
              </w:rPr>
            </w:pPr>
            <w:r>
              <w:rPr>
                <w:sz w:val="12"/>
              </w:rPr>
              <w:t>100%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7"/>
              <w:rPr>
                <w:sz w:val="15"/>
              </w:rPr>
            </w:pPr>
            <w:r>
              <w:rPr>
                <w:sz w:val="15"/>
              </w:rPr>
              <w:t>57.716.000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100%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8"/>
              <w:rPr>
                <w:sz w:val="15"/>
              </w:rPr>
            </w:pPr>
            <w:r>
              <w:rPr>
                <w:sz w:val="15"/>
              </w:rPr>
              <w:t>102.943.000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34" w:right="2"/>
              <w:jc w:val="center"/>
              <w:rPr>
                <w:sz w:val="12"/>
              </w:rPr>
            </w:pPr>
            <w:r>
              <w:rPr>
                <w:sz w:val="12"/>
              </w:rPr>
              <w:t>100%</w:t>
            </w:r>
          </w:p>
        </w:tc>
        <w:tc>
          <w:tcPr>
            <w:tcW w:w="1086" w:type="dxa"/>
            <w:tcBorders>
              <w:top w:val="single" w:sz="4" w:space="0" w:color="D3D3D3"/>
              <w:left w:val="single" w:sz="4" w:space="0" w:color="A6A6A6"/>
              <w:bottom w:val="single" w:sz="4" w:space="0" w:color="D3D3D3"/>
            </w:tcBorders>
          </w:tcPr>
          <w:p>
            <w:pPr>
              <w:pStyle w:val="TableParagraph"/>
              <w:spacing w:before="21"/>
              <w:ind w:right="57"/>
              <w:rPr>
                <w:sz w:val="15"/>
              </w:rPr>
            </w:pPr>
            <w:r>
              <w:rPr>
                <w:sz w:val="15"/>
              </w:rPr>
              <w:t>56.394.081</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2"/>
              <w:ind w:left="20"/>
              <w:jc w:val="left"/>
              <w:rPr>
                <w:sz w:val="15"/>
              </w:rPr>
            </w:pPr>
            <w:r>
              <w:rPr>
                <w:sz w:val="15"/>
              </w:rPr>
              <w:t>Materie prime e consumo</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2"/>
              <w:ind w:right="14"/>
              <w:rPr>
                <w:sz w:val="15"/>
              </w:rPr>
            </w:pPr>
            <w:r>
              <w:rPr>
                <w:sz w:val="15"/>
              </w:rPr>
              <w:t>(98.060.000)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-50%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2"/>
              <w:ind w:right="14"/>
              <w:rPr>
                <w:sz w:val="15"/>
              </w:rPr>
            </w:pPr>
            <w:r>
              <w:rPr>
                <w:sz w:val="15"/>
              </w:rPr>
              <w:t>(39.635.000)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-21%</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2"/>
              <w:ind w:right="14"/>
              <w:rPr>
                <w:sz w:val="15"/>
              </w:rPr>
            </w:pPr>
            <w:r>
              <w:rPr>
                <w:sz w:val="15"/>
              </w:rPr>
              <w:t>(21.275.000)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left="80"/>
              <w:jc w:val="left"/>
              <w:rPr>
                <w:sz w:val="12"/>
              </w:rPr>
            </w:pPr>
            <w:r>
              <w:rPr>
                <w:sz w:val="12"/>
              </w:rPr>
              <w:t>-28%</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2"/>
              <w:ind w:right="14"/>
              <w:rPr>
                <w:sz w:val="15"/>
              </w:rPr>
            </w:pPr>
            <w:r>
              <w:rPr>
                <w:sz w:val="15"/>
              </w:rPr>
              <w:t>(15.225.000)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-26%</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2"/>
              <w:ind w:right="14"/>
              <w:rPr>
                <w:sz w:val="15"/>
              </w:rPr>
            </w:pPr>
            <w:r>
              <w:rPr>
                <w:sz w:val="15"/>
              </w:rPr>
              <w:t>(68.204.000)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50" w:right="2"/>
              <w:jc w:val="center"/>
              <w:rPr>
                <w:sz w:val="12"/>
              </w:rPr>
            </w:pPr>
            <w:r>
              <w:rPr>
                <w:sz w:val="12"/>
              </w:rPr>
              <w:t>-66%</w:t>
            </w:r>
          </w:p>
        </w:tc>
        <w:tc>
          <w:tcPr>
            <w:tcW w:w="1086" w:type="dxa"/>
            <w:tcBorders>
              <w:top w:val="single" w:sz="4" w:space="0" w:color="D3D3D3"/>
              <w:left w:val="single" w:sz="4" w:space="0" w:color="A6A6A6"/>
              <w:bottom w:val="single" w:sz="4" w:space="0" w:color="D3D3D3"/>
            </w:tcBorders>
          </w:tcPr>
          <w:p>
            <w:pPr>
              <w:pStyle w:val="TableParagraph"/>
              <w:spacing w:before="22"/>
              <w:ind w:right="14"/>
              <w:rPr>
                <w:sz w:val="15"/>
              </w:rPr>
            </w:pPr>
            <w:r>
              <w:rPr>
                <w:sz w:val="15"/>
              </w:rPr>
              <w:t>(26.615.753)</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Servizi</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(77.937.000)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-40%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(54.738.000)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-29%</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(8.611.000)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left="80"/>
              <w:jc w:val="left"/>
              <w:rPr>
                <w:sz w:val="12"/>
              </w:rPr>
            </w:pPr>
            <w:r>
              <w:rPr>
                <w:sz w:val="12"/>
              </w:rPr>
              <w:t>-12%</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(4.374.000)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-8%</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(5.557.500)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110" w:right="2"/>
              <w:jc w:val="center"/>
              <w:rPr>
                <w:sz w:val="12"/>
              </w:rPr>
            </w:pPr>
            <w:r>
              <w:rPr>
                <w:sz w:val="12"/>
              </w:rPr>
              <w:t>-5%</w:t>
            </w:r>
          </w:p>
        </w:tc>
        <w:tc>
          <w:tcPr>
            <w:tcW w:w="1086" w:type="dxa"/>
            <w:tcBorders>
              <w:top w:val="single" w:sz="4" w:space="0" w:color="D3D3D3"/>
              <w:left w:val="single" w:sz="4" w:space="0" w:color="A6A6A6"/>
              <w:bottom w:val="single" w:sz="4" w:space="0" w:color="D3D3D3"/>
            </w:tcBorders>
          </w:tcPr>
          <w:p>
            <w:pPr>
              <w:pStyle w:val="TableParagraph"/>
              <w:spacing w:before="21"/>
              <w:ind w:right="14"/>
              <w:rPr>
                <w:sz w:val="15"/>
              </w:rPr>
            </w:pPr>
            <w:r>
              <w:rPr>
                <w:sz w:val="15"/>
              </w:rPr>
              <w:t>(11.138.863)</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Godimento beni di terzi</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154" w:right="2"/>
              <w:jc w:val="center"/>
              <w:rPr>
                <w:sz w:val="12"/>
              </w:rPr>
            </w:pPr>
            <w:r>
              <w:rPr>
                <w:sz w:val="12"/>
              </w:rPr>
              <w:t>0%</w:t>
            </w:r>
          </w:p>
        </w:tc>
        <w:tc>
          <w:tcPr>
            <w:tcW w:w="1086" w:type="dxa"/>
            <w:tcBorders>
              <w:top w:val="single" w:sz="4" w:space="0" w:color="D3D3D3"/>
              <w:left w:val="single" w:sz="4" w:space="0" w:color="A6A6A6"/>
              <w:bottom w:val="single" w:sz="4" w:space="0" w:color="D3D3D3"/>
            </w:tcBorders>
          </w:tcPr>
          <w:p>
            <w:pPr>
              <w:pStyle w:val="TableParagraph"/>
              <w:spacing w:before="21"/>
              <w:ind w:right="61"/>
              <w:rPr>
                <w:sz w:val="15"/>
              </w:rPr>
            </w:pPr>
            <w:r>
              <w:rPr>
                <w:w w:val="100"/>
                <w:sz w:val="15"/>
              </w:rPr>
              <w:t>-</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Personale</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(9.558.000)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-5%</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(12.288.000)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-6%</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(12.372.000)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left="80"/>
              <w:jc w:val="left"/>
              <w:rPr>
                <w:sz w:val="12"/>
              </w:rPr>
            </w:pPr>
            <w:r>
              <w:rPr>
                <w:sz w:val="12"/>
              </w:rPr>
              <w:t>-17%</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(8.135.000)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-14%</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(5.863.000)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110" w:right="2"/>
              <w:jc w:val="center"/>
              <w:rPr>
                <w:sz w:val="12"/>
              </w:rPr>
            </w:pPr>
            <w:r>
              <w:rPr>
                <w:sz w:val="12"/>
              </w:rPr>
              <w:t>-6%</w:t>
            </w:r>
          </w:p>
        </w:tc>
        <w:tc>
          <w:tcPr>
            <w:tcW w:w="1086" w:type="dxa"/>
            <w:tcBorders>
              <w:top w:val="single" w:sz="4" w:space="0" w:color="D3D3D3"/>
              <w:left w:val="single" w:sz="4" w:space="0" w:color="A6A6A6"/>
              <w:bottom w:val="single" w:sz="4" w:space="0" w:color="D3D3D3"/>
            </w:tcBorders>
          </w:tcPr>
          <w:p>
            <w:pPr>
              <w:pStyle w:val="TableParagraph"/>
              <w:spacing w:before="21"/>
              <w:ind w:right="14"/>
              <w:rPr>
                <w:sz w:val="15"/>
              </w:rPr>
            </w:pPr>
            <w:r>
              <w:rPr>
                <w:sz w:val="15"/>
              </w:rPr>
              <w:t>(3.090.815)</w:t>
            </w:r>
          </w:p>
        </w:tc>
      </w:tr>
      <w:tr>
        <w:trPr>
          <w:trHeight w:val="201" w:hRule="exact"/>
        </w:trPr>
        <w:tc>
          <w:tcPr>
            <w:tcW w:w="1860" w:type="dxa"/>
            <w:tcBorders>
              <w:top w:val="single" w:sz="4" w:space="0" w:color="D3D3D3"/>
              <w:bottom w:val="single" w:sz="4" w:space="0" w:color="000000"/>
              <w:right w:val="single" w:sz="4" w:space="0" w:color="A6A6A6"/>
            </w:tcBorders>
          </w:tcPr>
          <w:p>
            <w:pPr>
              <w:pStyle w:val="TableParagraph"/>
              <w:spacing w:before="21"/>
              <w:ind w:left="20"/>
              <w:jc w:val="left"/>
              <w:rPr>
                <w:sz w:val="15"/>
              </w:rPr>
            </w:pPr>
            <w:r>
              <w:rPr>
                <w:sz w:val="15"/>
              </w:rPr>
              <w:t>Oneri diversi di gestione</w:t>
            </w:r>
          </w:p>
        </w:tc>
        <w:tc>
          <w:tcPr>
            <w:tcW w:w="1015" w:type="dxa"/>
            <w:tcBorders>
              <w:top w:val="single" w:sz="4" w:space="0" w:color="D3D3D3"/>
              <w:left w:val="single" w:sz="4" w:space="0" w:color="A6A6A6"/>
              <w:bottom w:val="single" w:sz="4" w:space="0" w:color="000000"/>
              <w:right w:val="single" w:sz="4" w:space="0" w:color="A6A6A6"/>
            </w:tcBorders>
          </w:tcPr>
          <w:p>
            <w:pPr>
              <w:pStyle w:val="TableParagraph"/>
              <w:spacing w:before="21"/>
              <w:ind w:right="61"/>
              <w:rPr>
                <w:sz w:val="15"/>
              </w:rPr>
            </w:pPr>
            <w:r>
              <w:rPr>
                <w:w w:val="100"/>
                <w:sz w:val="15"/>
              </w:rPr>
              <w:t>-</w:t>
            </w:r>
          </w:p>
        </w:tc>
        <w:tc>
          <w:tcPr>
            <w:tcW w:w="422" w:type="dxa"/>
            <w:tcBorders>
              <w:top w:val="single" w:sz="4" w:space="0" w:color="D3D3D3"/>
              <w:left w:val="single" w:sz="4" w:space="0" w:color="A6A6A6"/>
              <w:bottom w:val="single" w:sz="4" w:space="0" w:color="000000"/>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000000"/>
              <w:right w:val="single" w:sz="4" w:space="0" w:color="A6A6A6"/>
            </w:tcBorders>
          </w:tcPr>
          <w:p>
            <w:pPr>
              <w:pStyle w:val="TableParagraph"/>
              <w:spacing w:before="21"/>
              <w:ind w:right="61"/>
              <w:rPr>
                <w:sz w:val="15"/>
              </w:rPr>
            </w:pPr>
            <w:r>
              <w:rPr>
                <w:w w:val="100"/>
                <w:sz w:val="15"/>
              </w:rPr>
              <w:t>-</w:t>
            </w:r>
          </w:p>
        </w:tc>
        <w:tc>
          <w:tcPr>
            <w:tcW w:w="372" w:type="dxa"/>
            <w:tcBorders>
              <w:top w:val="single" w:sz="4" w:space="0" w:color="D3D3D3"/>
              <w:left w:val="single" w:sz="4" w:space="0" w:color="A6A6A6"/>
              <w:bottom w:val="single" w:sz="4" w:space="0" w:color="000000"/>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000000"/>
              <w:right w:val="single" w:sz="4" w:space="0" w:color="A6A6A6"/>
            </w:tcBorders>
          </w:tcPr>
          <w:p>
            <w:pPr>
              <w:pStyle w:val="TableParagraph"/>
              <w:spacing w:before="21"/>
              <w:ind w:right="14"/>
              <w:rPr>
                <w:sz w:val="15"/>
              </w:rPr>
            </w:pPr>
            <w:r>
              <w:rPr>
                <w:sz w:val="15"/>
              </w:rPr>
              <w:t>(3.926.000)</w:t>
            </w:r>
          </w:p>
        </w:tc>
        <w:tc>
          <w:tcPr>
            <w:tcW w:w="372" w:type="dxa"/>
            <w:tcBorders>
              <w:top w:val="single" w:sz="4" w:space="0" w:color="D3D3D3"/>
              <w:left w:val="single" w:sz="4" w:space="0" w:color="A6A6A6"/>
              <w:bottom w:val="single" w:sz="4" w:space="0" w:color="000000"/>
              <w:right w:val="single" w:sz="4" w:space="0" w:color="A6A6A6"/>
            </w:tcBorders>
          </w:tcPr>
          <w:p>
            <w:pPr>
              <w:pStyle w:val="TableParagraph"/>
              <w:spacing w:before="47"/>
              <w:ind w:left="140"/>
              <w:jc w:val="left"/>
              <w:rPr>
                <w:sz w:val="12"/>
              </w:rPr>
            </w:pPr>
            <w:r>
              <w:rPr>
                <w:sz w:val="12"/>
              </w:rPr>
              <w:t>-5%</w:t>
            </w:r>
          </w:p>
        </w:tc>
        <w:tc>
          <w:tcPr>
            <w:tcW w:w="1015" w:type="dxa"/>
            <w:tcBorders>
              <w:top w:val="single" w:sz="4" w:space="0" w:color="D3D3D3"/>
              <w:left w:val="single" w:sz="4" w:space="0" w:color="A6A6A6"/>
              <w:bottom w:val="single" w:sz="4" w:space="0" w:color="000000"/>
              <w:right w:val="single" w:sz="4" w:space="0" w:color="A6A6A6"/>
            </w:tcBorders>
          </w:tcPr>
          <w:p>
            <w:pPr>
              <w:pStyle w:val="TableParagraph"/>
              <w:spacing w:before="21"/>
              <w:ind w:right="14"/>
              <w:rPr>
                <w:sz w:val="15"/>
              </w:rPr>
            </w:pPr>
            <w:r>
              <w:rPr>
                <w:sz w:val="15"/>
              </w:rPr>
              <w:t>(2.402.000)</w:t>
            </w:r>
          </w:p>
        </w:tc>
        <w:tc>
          <w:tcPr>
            <w:tcW w:w="332" w:type="dxa"/>
            <w:tcBorders>
              <w:top w:val="single" w:sz="4" w:space="0" w:color="D3D3D3"/>
              <w:left w:val="single" w:sz="4" w:space="0" w:color="A6A6A6"/>
              <w:bottom w:val="single" w:sz="4" w:space="0" w:color="000000"/>
              <w:right w:val="single" w:sz="4" w:space="0" w:color="A6A6A6"/>
            </w:tcBorders>
          </w:tcPr>
          <w:p>
            <w:pPr>
              <w:pStyle w:val="TableParagraph"/>
              <w:spacing w:before="47"/>
              <w:ind w:right="19"/>
              <w:rPr>
                <w:sz w:val="12"/>
              </w:rPr>
            </w:pPr>
            <w:r>
              <w:rPr>
                <w:sz w:val="12"/>
              </w:rPr>
              <w:t>-4%</w:t>
            </w:r>
          </w:p>
        </w:tc>
        <w:tc>
          <w:tcPr>
            <w:tcW w:w="1015" w:type="dxa"/>
            <w:tcBorders>
              <w:top w:val="single" w:sz="4" w:space="0" w:color="D3D3D3"/>
              <w:left w:val="single" w:sz="4" w:space="0" w:color="A6A6A6"/>
              <w:bottom w:val="single" w:sz="4" w:space="0" w:color="000000"/>
              <w:right w:val="single" w:sz="4" w:space="0" w:color="A6A6A6"/>
            </w:tcBorders>
          </w:tcPr>
          <w:p>
            <w:pPr>
              <w:pStyle w:val="TableParagraph"/>
              <w:spacing w:before="21"/>
              <w:ind w:right="14"/>
              <w:rPr>
                <w:sz w:val="15"/>
              </w:rPr>
            </w:pPr>
            <w:r>
              <w:rPr>
                <w:sz w:val="15"/>
              </w:rPr>
              <w:t>(1.200.500)</w:t>
            </w:r>
          </w:p>
        </w:tc>
        <w:tc>
          <w:tcPr>
            <w:tcW w:w="362" w:type="dxa"/>
            <w:tcBorders>
              <w:top w:val="single" w:sz="4" w:space="0" w:color="D3D3D3"/>
              <w:left w:val="single" w:sz="4" w:space="0" w:color="A6A6A6"/>
              <w:bottom w:val="single" w:sz="4" w:space="0" w:color="000000"/>
              <w:right w:val="single" w:sz="4" w:space="0" w:color="A6A6A6"/>
            </w:tcBorders>
          </w:tcPr>
          <w:p>
            <w:pPr>
              <w:pStyle w:val="TableParagraph"/>
              <w:spacing w:before="47"/>
              <w:ind w:left="110" w:right="2"/>
              <w:jc w:val="center"/>
              <w:rPr>
                <w:sz w:val="12"/>
              </w:rPr>
            </w:pPr>
            <w:r>
              <w:rPr>
                <w:sz w:val="12"/>
              </w:rPr>
              <w:t>-1%</w:t>
            </w:r>
          </w:p>
        </w:tc>
        <w:tc>
          <w:tcPr>
            <w:tcW w:w="1086" w:type="dxa"/>
            <w:tcBorders>
              <w:top w:val="single" w:sz="4" w:space="0" w:color="D3D3D3"/>
              <w:left w:val="single" w:sz="4" w:space="0" w:color="A6A6A6"/>
              <w:bottom w:val="single" w:sz="4" w:space="0" w:color="000000"/>
            </w:tcBorders>
          </w:tcPr>
          <w:p>
            <w:pPr>
              <w:pStyle w:val="TableParagraph"/>
              <w:spacing w:before="21"/>
              <w:ind w:right="61"/>
              <w:rPr>
                <w:sz w:val="15"/>
              </w:rPr>
            </w:pPr>
            <w:r>
              <w:rPr>
                <w:w w:val="100"/>
                <w:sz w:val="15"/>
              </w:rPr>
              <w:t>-</w:t>
            </w:r>
          </w:p>
        </w:tc>
      </w:tr>
      <w:tr>
        <w:trPr>
          <w:trHeight w:val="206" w:hRule="exact"/>
        </w:trPr>
        <w:tc>
          <w:tcPr>
            <w:tcW w:w="1860" w:type="dxa"/>
            <w:tcBorders>
              <w:top w:val="single" w:sz="4" w:space="0" w:color="000000"/>
              <w:bottom w:val="nil"/>
              <w:right w:val="single" w:sz="4" w:space="0" w:color="A6A6A6"/>
            </w:tcBorders>
            <w:shd w:val="clear" w:color="auto" w:fill="F1F1F1"/>
          </w:tcPr>
          <w:p>
            <w:pPr>
              <w:pStyle w:val="TableParagraph"/>
              <w:spacing w:before="21"/>
              <w:ind w:left="20"/>
              <w:jc w:val="left"/>
              <w:rPr>
                <w:sz w:val="15"/>
              </w:rPr>
            </w:pPr>
            <w:r>
              <w:rPr>
                <w:sz w:val="15"/>
              </w:rPr>
              <w:t>Ebitda</w:t>
            </w:r>
          </w:p>
        </w:tc>
        <w:tc>
          <w:tcPr>
            <w:tcW w:w="1437" w:type="dxa"/>
            <w:gridSpan w:val="2"/>
            <w:tcBorders>
              <w:top w:val="single" w:sz="4" w:space="0" w:color="000000"/>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246" w:val="left" w:leader="none"/>
              </w:tabs>
              <w:spacing w:before="0"/>
              <w:ind w:left="321"/>
              <w:jc w:val="left"/>
              <w:rPr>
                <w:sz w:val="12"/>
              </w:rPr>
            </w:pPr>
            <w:r>
              <w:rPr>
                <w:sz w:val="15"/>
              </w:rPr>
              <w:t>11.597.000</w:t>
              <w:tab/>
            </w:r>
            <w:r>
              <w:rPr>
                <w:spacing w:val="3"/>
                <w:sz w:val="12"/>
              </w:rPr>
              <w:t>6%</w:t>
            </w:r>
          </w:p>
        </w:tc>
        <w:tc>
          <w:tcPr>
            <w:tcW w:w="1387" w:type="dxa"/>
            <w:gridSpan w:val="2"/>
            <w:tcBorders>
              <w:top w:val="single" w:sz="4" w:space="0" w:color="000000"/>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spacing w:before="0"/>
              <w:ind w:left="321"/>
              <w:jc w:val="left"/>
              <w:rPr>
                <w:sz w:val="12"/>
              </w:rPr>
            </w:pPr>
            <w:r>
              <w:rPr>
                <w:sz w:val="15"/>
              </w:rPr>
              <w:t>84.761.000    </w:t>
            </w:r>
            <w:r>
              <w:rPr>
                <w:sz w:val="12"/>
              </w:rPr>
              <w:t>44%</w:t>
            </w:r>
          </w:p>
        </w:tc>
        <w:tc>
          <w:tcPr>
            <w:tcW w:w="1387" w:type="dxa"/>
            <w:gridSpan w:val="2"/>
            <w:tcBorders>
              <w:top w:val="single" w:sz="4" w:space="0" w:color="000000"/>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spacing w:before="0"/>
              <w:ind w:left="321"/>
              <w:jc w:val="left"/>
              <w:rPr>
                <w:sz w:val="12"/>
              </w:rPr>
            </w:pPr>
            <w:r>
              <w:rPr>
                <w:sz w:val="15"/>
              </w:rPr>
              <w:t>28.544.000    </w:t>
            </w:r>
            <w:r>
              <w:rPr>
                <w:sz w:val="12"/>
              </w:rPr>
              <w:t>38%</w:t>
            </w:r>
          </w:p>
        </w:tc>
        <w:tc>
          <w:tcPr>
            <w:tcW w:w="1347" w:type="dxa"/>
            <w:gridSpan w:val="2"/>
            <w:tcBorders>
              <w:top w:val="single" w:sz="4" w:space="0" w:color="000000"/>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spacing w:before="0"/>
              <w:ind w:left="321"/>
              <w:jc w:val="left"/>
              <w:rPr>
                <w:sz w:val="12"/>
              </w:rPr>
            </w:pPr>
            <w:r>
              <w:rPr>
                <w:sz w:val="15"/>
              </w:rPr>
              <w:t>27.580.000   </w:t>
            </w:r>
            <w:r>
              <w:rPr>
                <w:sz w:val="12"/>
              </w:rPr>
              <w:t>48%</w:t>
            </w:r>
          </w:p>
        </w:tc>
        <w:tc>
          <w:tcPr>
            <w:tcW w:w="1377" w:type="dxa"/>
            <w:gridSpan w:val="2"/>
            <w:tcBorders>
              <w:top w:val="single" w:sz="4" w:space="0" w:color="000000"/>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spacing w:before="0"/>
              <w:ind w:left="321"/>
              <w:jc w:val="left"/>
              <w:rPr>
                <w:sz w:val="12"/>
              </w:rPr>
            </w:pPr>
            <w:r>
              <w:rPr>
                <w:sz w:val="15"/>
              </w:rPr>
              <w:t>22.118.000    </w:t>
            </w:r>
            <w:r>
              <w:rPr>
                <w:sz w:val="12"/>
              </w:rPr>
              <w:t>21%</w:t>
            </w:r>
          </w:p>
        </w:tc>
        <w:tc>
          <w:tcPr>
            <w:tcW w:w="1086" w:type="dxa"/>
            <w:tcBorders>
              <w:top w:val="single" w:sz="4" w:space="0" w:color="000000"/>
              <w:left w:val="single" w:sz="4" w:space="0" w:color="A6A6A6"/>
              <w:bottom w:val="nil"/>
            </w:tcBorders>
            <w:shd w:val="clear" w:color="auto" w:fill="F1F1F1"/>
          </w:tcPr>
          <w:p>
            <w:pPr>
              <w:pStyle w:val="TableParagraph"/>
              <w:spacing w:before="21"/>
              <w:ind w:right="57"/>
              <w:rPr>
                <w:sz w:val="15"/>
              </w:rPr>
            </w:pPr>
            <w:r>
              <w:rPr>
                <w:sz w:val="15"/>
              </w:rPr>
              <w:t>15.548.651</w:t>
            </w:r>
          </w:p>
        </w:tc>
      </w:tr>
      <w:tr>
        <w:trPr>
          <w:trHeight w:val="196" w:hRule="exact"/>
        </w:trPr>
        <w:tc>
          <w:tcPr>
            <w:tcW w:w="1860" w:type="dxa"/>
            <w:tcBorders>
              <w:top w:val="nil"/>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42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7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7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3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62" w:type="dxa"/>
            <w:tcBorders>
              <w:top w:val="nil"/>
              <w:left w:val="single" w:sz="4" w:space="0" w:color="D3D3D3"/>
              <w:bottom w:val="single" w:sz="4" w:space="0" w:color="D3D3D3"/>
              <w:right w:val="single" w:sz="4" w:space="0" w:color="A6A6A6"/>
            </w:tcBorders>
          </w:tcPr>
          <w:p>
            <w:pPr/>
          </w:p>
        </w:tc>
        <w:tc>
          <w:tcPr>
            <w:tcW w:w="1086" w:type="dxa"/>
            <w:tcBorders>
              <w:top w:val="nil"/>
              <w:left w:val="single" w:sz="4" w:space="0" w:color="A6A6A6"/>
              <w:bottom w:val="single" w:sz="4" w:space="0" w:color="D3D3D3"/>
            </w:tcBorders>
          </w:tcPr>
          <w:p>
            <w:pP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Ammortamenti e svalut.</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(3.644.000)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-2%</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(10.790.000)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-6%</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(13.917.000)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left="80"/>
              <w:jc w:val="left"/>
              <w:rPr>
                <w:sz w:val="12"/>
              </w:rPr>
            </w:pPr>
            <w:r>
              <w:rPr>
                <w:sz w:val="12"/>
              </w:rPr>
              <w:t>-19%</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(14.121.000)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-24%</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(13.767.000)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50" w:right="2"/>
              <w:jc w:val="center"/>
              <w:rPr>
                <w:sz w:val="12"/>
              </w:rPr>
            </w:pPr>
            <w:r>
              <w:rPr>
                <w:sz w:val="12"/>
              </w:rPr>
              <w:t>-13%</w:t>
            </w:r>
          </w:p>
        </w:tc>
        <w:tc>
          <w:tcPr>
            <w:tcW w:w="1086" w:type="dxa"/>
            <w:tcBorders>
              <w:top w:val="single" w:sz="4" w:space="0" w:color="D3D3D3"/>
              <w:left w:val="single" w:sz="4" w:space="0" w:color="A6A6A6"/>
              <w:bottom w:val="single" w:sz="4" w:space="0" w:color="D3D3D3"/>
            </w:tcBorders>
          </w:tcPr>
          <w:p>
            <w:pPr>
              <w:pStyle w:val="TableParagraph"/>
              <w:spacing w:before="21"/>
              <w:ind w:right="14"/>
              <w:rPr>
                <w:sz w:val="15"/>
              </w:rPr>
            </w:pPr>
            <w:r>
              <w:rPr>
                <w:sz w:val="15"/>
              </w:rPr>
              <w:t>(31.777.544)</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Accantonamenti</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(2.090.000)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-1%</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(4.000.000)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left="140"/>
              <w:jc w:val="left"/>
              <w:rPr>
                <w:sz w:val="12"/>
              </w:rPr>
            </w:pPr>
            <w:r>
              <w:rPr>
                <w:sz w:val="12"/>
              </w:rPr>
              <w:t>-5%</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(308.000)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-1%</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(20.000)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154" w:right="2"/>
              <w:jc w:val="center"/>
              <w:rPr>
                <w:sz w:val="12"/>
              </w:rPr>
            </w:pPr>
            <w:r>
              <w:rPr>
                <w:sz w:val="12"/>
              </w:rPr>
              <w:t>0%</w:t>
            </w:r>
          </w:p>
        </w:tc>
        <w:tc>
          <w:tcPr>
            <w:tcW w:w="1086" w:type="dxa"/>
            <w:tcBorders>
              <w:top w:val="single" w:sz="4" w:space="0" w:color="D3D3D3"/>
              <w:left w:val="single" w:sz="4" w:space="0" w:color="A6A6A6"/>
              <w:bottom w:val="single" w:sz="4" w:space="0" w:color="D3D3D3"/>
            </w:tcBorders>
          </w:tcPr>
          <w:p>
            <w:pPr>
              <w:pStyle w:val="TableParagraph"/>
              <w:spacing w:before="21"/>
              <w:ind w:right="61"/>
              <w:rPr>
                <w:sz w:val="15"/>
              </w:rPr>
            </w:pPr>
            <w:r>
              <w:rPr>
                <w:w w:val="100"/>
                <w:sz w:val="15"/>
              </w:rPr>
              <w:t>-</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Oneri straordinari</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8"/>
              <w:rPr>
                <w:sz w:val="15"/>
              </w:rPr>
            </w:pPr>
            <w:r>
              <w:rPr>
                <w:sz w:val="15"/>
              </w:rPr>
              <w:t>1.503.000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1%</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(455.000)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-1%</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(452.000)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154" w:right="2"/>
              <w:jc w:val="center"/>
              <w:rPr>
                <w:sz w:val="12"/>
              </w:rPr>
            </w:pPr>
            <w:r>
              <w:rPr>
                <w:sz w:val="12"/>
              </w:rPr>
              <w:t>0%</w:t>
            </w:r>
          </w:p>
        </w:tc>
        <w:tc>
          <w:tcPr>
            <w:tcW w:w="1086" w:type="dxa"/>
            <w:tcBorders>
              <w:top w:val="single" w:sz="4" w:space="0" w:color="D3D3D3"/>
              <w:left w:val="single" w:sz="4" w:space="0" w:color="A6A6A6"/>
              <w:bottom w:val="single" w:sz="4" w:space="0" w:color="D3D3D3"/>
            </w:tcBorders>
          </w:tcPr>
          <w:p>
            <w:pPr>
              <w:pStyle w:val="TableParagraph"/>
              <w:spacing w:before="21"/>
              <w:ind w:right="61"/>
              <w:rPr>
                <w:sz w:val="15"/>
              </w:rPr>
            </w:pPr>
            <w:r>
              <w:rPr>
                <w:w w:val="100"/>
                <w:sz w:val="15"/>
              </w:rPr>
              <w:t>-</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Proventi finanziari</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8"/>
              <w:rPr>
                <w:sz w:val="15"/>
              </w:rPr>
            </w:pPr>
            <w:r>
              <w:rPr>
                <w:sz w:val="15"/>
              </w:rPr>
              <w:t>271.000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8"/>
              <w:rPr>
                <w:sz w:val="15"/>
              </w:rPr>
            </w:pPr>
            <w:r>
              <w:rPr>
                <w:sz w:val="15"/>
              </w:rPr>
              <w:t>1.472.000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1%</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7"/>
              <w:rPr>
                <w:sz w:val="15"/>
              </w:rPr>
            </w:pPr>
            <w:r>
              <w:rPr>
                <w:sz w:val="15"/>
              </w:rPr>
              <w:t>1.567.000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2%</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7"/>
              <w:rPr>
                <w:sz w:val="15"/>
              </w:rPr>
            </w:pPr>
            <w:r>
              <w:rPr>
                <w:sz w:val="15"/>
              </w:rPr>
              <w:t>1.721.000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5"/>
              <w:rPr>
                <w:sz w:val="12"/>
              </w:rPr>
            </w:pPr>
            <w:r>
              <w:rPr>
                <w:sz w:val="12"/>
              </w:rPr>
              <w:t>3%</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58"/>
              <w:rPr>
                <w:sz w:val="15"/>
              </w:rPr>
            </w:pPr>
            <w:r>
              <w:rPr>
                <w:sz w:val="15"/>
              </w:rPr>
              <w:t>950.500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154" w:right="2"/>
              <w:jc w:val="center"/>
              <w:rPr>
                <w:sz w:val="12"/>
              </w:rPr>
            </w:pPr>
            <w:r>
              <w:rPr>
                <w:sz w:val="12"/>
              </w:rPr>
              <w:t>1%</w:t>
            </w:r>
          </w:p>
        </w:tc>
        <w:tc>
          <w:tcPr>
            <w:tcW w:w="1086" w:type="dxa"/>
            <w:tcBorders>
              <w:top w:val="single" w:sz="4" w:space="0" w:color="D3D3D3"/>
              <w:left w:val="single" w:sz="4" w:space="0" w:color="A6A6A6"/>
              <w:bottom w:val="single" w:sz="4" w:space="0" w:color="D3D3D3"/>
            </w:tcBorders>
          </w:tcPr>
          <w:p>
            <w:pPr>
              <w:pStyle w:val="TableParagraph"/>
              <w:spacing w:before="21"/>
              <w:ind w:right="57"/>
              <w:rPr>
                <w:sz w:val="15"/>
              </w:rPr>
            </w:pPr>
            <w:r>
              <w:rPr>
                <w:sz w:val="15"/>
              </w:rPr>
              <w:t>306.133</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Oneri finanziari</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(4.027.000)</w:t>
            </w:r>
          </w:p>
        </w:tc>
        <w:tc>
          <w:tcPr>
            <w:tcW w:w="42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-2%</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(6.305.000)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-3%</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(4.283.000)</w:t>
            </w:r>
          </w:p>
        </w:tc>
        <w:tc>
          <w:tcPr>
            <w:tcW w:w="372" w:type="dxa"/>
            <w:tcBorders>
              <w:top w:val="single" w:sz="4" w:space="0" w:color="D3D3D3"/>
              <w:left w:val="single" w:sz="4" w:space="0" w:color="A6A6A6"/>
              <w:bottom w:val="single" w:sz="4" w:space="0" w:color="D3D3D3"/>
              <w:right w:val="single" w:sz="4" w:space="0" w:color="A6A6A6"/>
            </w:tcBorders>
          </w:tcPr>
          <w:p>
            <w:pPr>
              <w:pStyle w:val="TableParagraph"/>
              <w:spacing w:before="47"/>
              <w:ind w:left="140"/>
              <w:jc w:val="left"/>
              <w:rPr>
                <w:sz w:val="12"/>
              </w:rPr>
            </w:pPr>
            <w:r>
              <w:rPr>
                <w:sz w:val="12"/>
              </w:rPr>
              <w:t>-6%</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(7.920.000)</w:t>
            </w:r>
          </w:p>
        </w:tc>
        <w:tc>
          <w:tcPr>
            <w:tcW w:w="332" w:type="dxa"/>
            <w:tcBorders>
              <w:top w:val="single" w:sz="4" w:space="0" w:color="D3D3D3"/>
              <w:left w:val="single" w:sz="4" w:space="0" w:color="A6A6A6"/>
              <w:bottom w:val="single" w:sz="4" w:space="0" w:color="D3D3D3"/>
              <w:right w:val="single" w:sz="4" w:space="0" w:color="A6A6A6"/>
            </w:tcBorders>
          </w:tcPr>
          <w:p>
            <w:pPr>
              <w:pStyle w:val="TableParagraph"/>
              <w:spacing w:before="47"/>
              <w:ind w:right="19"/>
              <w:rPr>
                <w:sz w:val="12"/>
              </w:rPr>
            </w:pPr>
            <w:r>
              <w:rPr>
                <w:sz w:val="12"/>
              </w:rPr>
              <w:t>-14%</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(8.533.000)</w:t>
            </w:r>
          </w:p>
        </w:tc>
        <w:tc>
          <w:tcPr>
            <w:tcW w:w="362" w:type="dxa"/>
            <w:tcBorders>
              <w:top w:val="single" w:sz="4" w:space="0" w:color="D3D3D3"/>
              <w:left w:val="single" w:sz="4" w:space="0" w:color="A6A6A6"/>
              <w:bottom w:val="single" w:sz="4" w:space="0" w:color="D3D3D3"/>
              <w:right w:val="single" w:sz="4" w:space="0" w:color="A6A6A6"/>
            </w:tcBorders>
          </w:tcPr>
          <w:p>
            <w:pPr>
              <w:pStyle w:val="TableParagraph"/>
              <w:spacing w:before="47"/>
              <w:ind w:left="110" w:right="2"/>
              <w:jc w:val="center"/>
              <w:rPr>
                <w:sz w:val="12"/>
              </w:rPr>
            </w:pPr>
            <w:r>
              <w:rPr>
                <w:sz w:val="12"/>
              </w:rPr>
              <w:t>-8%</w:t>
            </w:r>
          </w:p>
        </w:tc>
        <w:tc>
          <w:tcPr>
            <w:tcW w:w="1086" w:type="dxa"/>
            <w:tcBorders>
              <w:top w:val="single" w:sz="4" w:space="0" w:color="D3D3D3"/>
              <w:left w:val="single" w:sz="4" w:space="0" w:color="A6A6A6"/>
              <w:bottom w:val="single" w:sz="4" w:space="0" w:color="D3D3D3"/>
            </w:tcBorders>
          </w:tcPr>
          <w:p>
            <w:pPr>
              <w:pStyle w:val="TableParagraph"/>
              <w:spacing w:before="21"/>
              <w:ind w:right="14"/>
              <w:rPr>
                <w:sz w:val="15"/>
              </w:rPr>
            </w:pPr>
            <w:r>
              <w:rPr>
                <w:sz w:val="15"/>
              </w:rPr>
              <w:t>(5.817.754)</w:t>
            </w:r>
          </w:p>
        </w:tc>
      </w:tr>
      <w:tr>
        <w:trPr>
          <w:trHeight w:val="201" w:hRule="exact"/>
        </w:trPr>
        <w:tc>
          <w:tcPr>
            <w:tcW w:w="1860" w:type="dxa"/>
            <w:tcBorders>
              <w:top w:val="single" w:sz="4" w:space="0" w:color="D3D3D3"/>
              <w:bottom w:val="single" w:sz="4" w:space="0" w:color="D3D3D3"/>
              <w:right w:val="single" w:sz="4" w:space="0" w:color="A6A6A6"/>
            </w:tcBorders>
          </w:tcPr>
          <w:p>
            <w:pPr>
              <w:pStyle w:val="TableParagraph"/>
              <w:spacing w:before="21"/>
              <w:ind w:left="20"/>
              <w:jc w:val="left"/>
              <w:rPr>
                <w:sz w:val="15"/>
              </w:rPr>
            </w:pPr>
            <w:r>
              <w:rPr>
                <w:sz w:val="15"/>
              </w:rPr>
              <w:t>Altre rettifiche</w:t>
            </w: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422" w:type="dxa"/>
            <w:tcBorders>
              <w:top w:val="single" w:sz="4" w:space="0" w:color="D3D3D3"/>
              <w:left w:val="single" w:sz="4" w:space="0" w:color="A6A6A6"/>
              <w:bottom w:val="single" w:sz="4" w:space="0" w:color="D3D3D3"/>
              <w:right w:val="single" w:sz="4" w:space="0" w:color="A6A6A6"/>
            </w:tcBorders>
          </w:tcPr>
          <w:p>
            <w:pP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(148.000)</w:t>
            </w:r>
          </w:p>
        </w:tc>
        <w:tc>
          <w:tcPr>
            <w:tcW w:w="372" w:type="dxa"/>
            <w:tcBorders>
              <w:top w:val="single" w:sz="4" w:space="0" w:color="D3D3D3"/>
              <w:left w:val="single" w:sz="4" w:space="0" w:color="A6A6A6"/>
              <w:bottom w:val="single" w:sz="4" w:space="0" w:color="D3D3D3"/>
              <w:right w:val="single" w:sz="4" w:space="0" w:color="A6A6A6"/>
            </w:tcBorders>
          </w:tcPr>
          <w:p>
            <w:pP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61"/>
              <w:rPr>
                <w:sz w:val="15"/>
              </w:rPr>
            </w:pPr>
            <w:r>
              <w:rPr>
                <w:w w:val="100"/>
                <w:sz w:val="15"/>
              </w:rPr>
              <w:t>-</w:t>
            </w:r>
          </w:p>
        </w:tc>
        <w:tc>
          <w:tcPr>
            <w:tcW w:w="372" w:type="dxa"/>
            <w:tcBorders>
              <w:top w:val="single" w:sz="4" w:space="0" w:color="D3D3D3"/>
              <w:left w:val="single" w:sz="4" w:space="0" w:color="A6A6A6"/>
              <w:bottom w:val="single" w:sz="4" w:space="0" w:color="D3D3D3"/>
              <w:right w:val="single" w:sz="4" w:space="0" w:color="A6A6A6"/>
            </w:tcBorders>
          </w:tcPr>
          <w:p>
            <w:pP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(842.000)</w:t>
            </w:r>
          </w:p>
        </w:tc>
        <w:tc>
          <w:tcPr>
            <w:tcW w:w="332" w:type="dxa"/>
            <w:tcBorders>
              <w:top w:val="single" w:sz="4" w:space="0" w:color="D3D3D3"/>
              <w:left w:val="single" w:sz="4" w:space="0" w:color="A6A6A6"/>
              <w:bottom w:val="single" w:sz="4" w:space="0" w:color="D3D3D3"/>
              <w:right w:val="single" w:sz="4" w:space="0" w:color="A6A6A6"/>
            </w:tcBorders>
          </w:tcPr>
          <w:p>
            <w:pPr/>
          </w:p>
        </w:tc>
        <w:tc>
          <w:tcPr>
            <w:tcW w:w="1015" w:type="dxa"/>
            <w:tcBorders>
              <w:top w:val="single" w:sz="4" w:space="0" w:color="D3D3D3"/>
              <w:left w:val="single" w:sz="4" w:space="0" w:color="A6A6A6"/>
              <w:bottom w:val="single" w:sz="4" w:space="0" w:color="D3D3D3"/>
              <w:right w:val="single" w:sz="4" w:space="0" w:color="A6A6A6"/>
            </w:tcBorders>
          </w:tcPr>
          <w:p>
            <w:pPr>
              <w:pStyle w:val="TableParagraph"/>
              <w:spacing w:before="21"/>
              <w:ind w:right="14"/>
              <w:rPr>
                <w:sz w:val="15"/>
              </w:rPr>
            </w:pPr>
            <w:r>
              <w:rPr>
                <w:sz w:val="15"/>
              </w:rPr>
              <w:t>(13.500)</w:t>
            </w:r>
          </w:p>
        </w:tc>
        <w:tc>
          <w:tcPr>
            <w:tcW w:w="362" w:type="dxa"/>
            <w:tcBorders>
              <w:top w:val="single" w:sz="4" w:space="0" w:color="D3D3D3"/>
              <w:left w:val="single" w:sz="4" w:space="0" w:color="A6A6A6"/>
              <w:bottom w:val="single" w:sz="4" w:space="0" w:color="D3D3D3"/>
              <w:right w:val="single" w:sz="4" w:space="0" w:color="A6A6A6"/>
            </w:tcBorders>
          </w:tcPr>
          <w:p>
            <w:pPr/>
          </w:p>
        </w:tc>
        <w:tc>
          <w:tcPr>
            <w:tcW w:w="1086" w:type="dxa"/>
            <w:tcBorders>
              <w:top w:val="single" w:sz="4" w:space="0" w:color="D3D3D3"/>
              <w:left w:val="single" w:sz="4" w:space="0" w:color="A6A6A6"/>
              <w:bottom w:val="single" w:sz="4" w:space="0" w:color="D3D3D3"/>
            </w:tcBorders>
          </w:tcPr>
          <w:p>
            <w:pPr>
              <w:pStyle w:val="TableParagraph"/>
              <w:spacing w:before="21"/>
              <w:ind w:right="14"/>
              <w:rPr>
                <w:sz w:val="15"/>
              </w:rPr>
            </w:pPr>
            <w:r>
              <w:rPr>
                <w:sz w:val="15"/>
              </w:rPr>
              <w:t>(151.417.979)</w:t>
            </w:r>
          </w:p>
        </w:tc>
      </w:tr>
      <w:tr>
        <w:trPr>
          <w:trHeight w:val="201" w:hRule="exact"/>
        </w:trPr>
        <w:tc>
          <w:tcPr>
            <w:tcW w:w="1860" w:type="dxa"/>
            <w:tcBorders>
              <w:top w:val="single" w:sz="4" w:space="0" w:color="D3D3D3"/>
              <w:right w:val="single" w:sz="4" w:space="0" w:color="A6A6A6"/>
            </w:tcBorders>
          </w:tcPr>
          <w:p>
            <w:pPr>
              <w:pStyle w:val="TableParagraph"/>
              <w:spacing w:before="21"/>
              <w:ind w:left="20"/>
              <w:jc w:val="left"/>
              <w:rPr>
                <w:sz w:val="15"/>
              </w:rPr>
            </w:pPr>
            <w:r>
              <w:rPr>
                <w:sz w:val="15"/>
              </w:rPr>
              <w:t>Utili e perdite su cambi</w:t>
            </w:r>
          </w:p>
        </w:tc>
        <w:tc>
          <w:tcPr>
            <w:tcW w:w="1015" w:type="dxa"/>
            <w:tcBorders>
              <w:top w:val="single" w:sz="4" w:space="0" w:color="D3D3D3"/>
              <w:left w:val="single" w:sz="4" w:space="0" w:color="A6A6A6"/>
              <w:right w:val="single" w:sz="4" w:space="0" w:color="A6A6A6"/>
            </w:tcBorders>
          </w:tcPr>
          <w:p>
            <w:pPr>
              <w:pStyle w:val="TableParagraph"/>
              <w:spacing w:before="21"/>
              <w:ind w:right="58"/>
              <w:rPr>
                <w:sz w:val="15"/>
              </w:rPr>
            </w:pPr>
            <w:r>
              <w:rPr>
                <w:sz w:val="15"/>
              </w:rPr>
              <w:t>571.000</w:t>
            </w:r>
          </w:p>
        </w:tc>
        <w:tc>
          <w:tcPr>
            <w:tcW w:w="422" w:type="dxa"/>
            <w:tcBorders>
              <w:top w:val="single" w:sz="4" w:space="0" w:color="D3D3D3"/>
              <w:left w:val="single" w:sz="4" w:space="0" w:color="A6A6A6"/>
              <w:right w:val="single" w:sz="4" w:space="0" w:color="A6A6A6"/>
            </w:tcBorders>
          </w:tcPr>
          <w:p>
            <w:pPr>
              <w:pStyle w:val="TableParagraph"/>
              <w:spacing w:before="47"/>
              <w:ind w:right="15"/>
              <w:rPr>
                <w:sz w:val="12"/>
              </w:rPr>
            </w:pPr>
            <w:r>
              <w:rPr>
                <w:sz w:val="12"/>
              </w:rPr>
              <w:t>0%</w:t>
            </w:r>
          </w:p>
        </w:tc>
        <w:tc>
          <w:tcPr>
            <w:tcW w:w="1015" w:type="dxa"/>
            <w:tcBorders>
              <w:top w:val="single" w:sz="4" w:space="0" w:color="D3D3D3"/>
              <w:left w:val="single" w:sz="4" w:space="0" w:color="A6A6A6"/>
              <w:right w:val="single" w:sz="4" w:space="0" w:color="A6A6A6"/>
            </w:tcBorders>
          </w:tcPr>
          <w:p>
            <w:pPr>
              <w:pStyle w:val="TableParagraph"/>
              <w:spacing w:before="21"/>
              <w:ind w:right="58"/>
              <w:rPr>
                <w:sz w:val="15"/>
              </w:rPr>
            </w:pPr>
            <w:r>
              <w:rPr>
                <w:sz w:val="15"/>
              </w:rPr>
              <w:t>2.850.000</w:t>
            </w:r>
          </w:p>
        </w:tc>
        <w:tc>
          <w:tcPr>
            <w:tcW w:w="372" w:type="dxa"/>
            <w:tcBorders>
              <w:top w:val="single" w:sz="4" w:space="0" w:color="D3D3D3"/>
              <w:left w:val="single" w:sz="4" w:space="0" w:color="A6A6A6"/>
              <w:right w:val="single" w:sz="4" w:space="0" w:color="A6A6A6"/>
            </w:tcBorders>
          </w:tcPr>
          <w:p>
            <w:pPr>
              <w:pStyle w:val="TableParagraph"/>
              <w:spacing w:before="47"/>
              <w:ind w:right="15"/>
              <w:rPr>
                <w:sz w:val="12"/>
              </w:rPr>
            </w:pPr>
            <w:r>
              <w:rPr>
                <w:sz w:val="12"/>
              </w:rPr>
              <w:t>1%</w:t>
            </w:r>
          </w:p>
        </w:tc>
        <w:tc>
          <w:tcPr>
            <w:tcW w:w="1015" w:type="dxa"/>
            <w:tcBorders>
              <w:top w:val="single" w:sz="4" w:space="0" w:color="D3D3D3"/>
              <w:left w:val="single" w:sz="4" w:space="0" w:color="A6A6A6"/>
              <w:right w:val="single" w:sz="4" w:space="0" w:color="A6A6A6"/>
            </w:tcBorders>
          </w:tcPr>
          <w:p>
            <w:pPr>
              <w:pStyle w:val="TableParagraph"/>
              <w:spacing w:before="21"/>
              <w:ind w:right="14"/>
              <w:rPr>
                <w:sz w:val="15"/>
              </w:rPr>
            </w:pPr>
            <w:r>
              <w:rPr>
                <w:sz w:val="15"/>
              </w:rPr>
              <w:t>(856.000)</w:t>
            </w:r>
          </w:p>
        </w:tc>
        <w:tc>
          <w:tcPr>
            <w:tcW w:w="372" w:type="dxa"/>
            <w:tcBorders>
              <w:top w:val="single" w:sz="4" w:space="0" w:color="D3D3D3"/>
              <w:left w:val="single" w:sz="4" w:space="0" w:color="A6A6A6"/>
              <w:right w:val="single" w:sz="4" w:space="0" w:color="A6A6A6"/>
            </w:tcBorders>
          </w:tcPr>
          <w:p>
            <w:pPr>
              <w:pStyle w:val="TableParagraph"/>
              <w:spacing w:before="47"/>
              <w:ind w:left="140"/>
              <w:jc w:val="left"/>
              <w:rPr>
                <w:sz w:val="12"/>
              </w:rPr>
            </w:pPr>
            <w:r>
              <w:rPr>
                <w:sz w:val="12"/>
              </w:rPr>
              <w:t>-1%</w:t>
            </w:r>
          </w:p>
        </w:tc>
        <w:tc>
          <w:tcPr>
            <w:tcW w:w="1015" w:type="dxa"/>
            <w:tcBorders>
              <w:top w:val="single" w:sz="4" w:space="0" w:color="D3D3D3"/>
              <w:left w:val="single" w:sz="4" w:space="0" w:color="A6A6A6"/>
              <w:right w:val="single" w:sz="4" w:space="0" w:color="A6A6A6"/>
            </w:tcBorders>
          </w:tcPr>
          <w:p>
            <w:pPr>
              <w:pStyle w:val="TableParagraph"/>
              <w:spacing w:before="21"/>
              <w:ind w:right="14"/>
              <w:rPr>
                <w:sz w:val="15"/>
              </w:rPr>
            </w:pPr>
            <w:r>
              <w:rPr>
                <w:sz w:val="15"/>
              </w:rPr>
              <w:t>(324.000)</w:t>
            </w:r>
          </w:p>
        </w:tc>
        <w:tc>
          <w:tcPr>
            <w:tcW w:w="332" w:type="dxa"/>
            <w:tcBorders>
              <w:top w:val="single" w:sz="4" w:space="0" w:color="D3D3D3"/>
              <w:left w:val="single" w:sz="4" w:space="0" w:color="A6A6A6"/>
              <w:right w:val="single" w:sz="4" w:space="0" w:color="A6A6A6"/>
            </w:tcBorders>
          </w:tcPr>
          <w:p>
            <w:pPr>
              <w:pStyle w:val="TableParagraph"/>
              <w:spacing w:before="47"/>
              <w:ind w:right="19"/>
              <w:rPr>
                <w:sz w:val="12"/>
              </w:rPr>
            </w:pPr>
            <w:r>
              <w:rPr>
                <w:sz w:val="12"/>
              </w:rPr>
              <w:t>-1%</w:t>
            </w:r>
          </w:p>
        </w:tc>
        <w:tc>
          <w:tcPr>
            <w:tcW w:w="1015" w:type="dxa"/>
            <w:tcBorders>
              <w:top w:val="single" w:sz="4" w:space="0" w:color="D3D3D3"/>
              <w:left w:val="single" w:sz="4" w:space="0" w:color="A6A6A6"/>
              <w:right w:val="single" w:sz="4" w:space="0" w:color="A6A6A6"/>
            </w:tcBorders>
          </w:tcPr>
          <w:p>
            <w:pPr>
              <w:pStyle w:val="TableParagraph"/>
              <w:spacing w:before="21"/>
              <w:ind w:right="14"/>
              <w:rPr>
                <w:sz w:val="15"/>
              </w:rPr>
            </w:pPr>
            <w:r>
              <w:rPr>
                <w:sz w:val="15"/>
              </w:rPr>
              <w:t>(909.000)</w:t>
            </w:r>
          </w:p>
        </w:tc>
        <w:tc>
          <w:tcPr>
            <w:tcW w:w="362" w:type="dxa"/>
            <w:tcBorders>
              <w:top w:val="single" w:sz="4" w:space="0" w:color="D3D3D3"/>
              <w:left w:val="single" w:sz="4" w:space="0" w:color="A6A6A6"/>
              <w:right w:val="single" w:sz="4" w:space="0" w:color="A6A6A6"/>
            </w:tcBorders>
          </w:tcPr>
          <w:p>
            <w:pPr>
              <w:pStyle w:val="TableParagraph"/>
              <w:spacing w:before="47"/>
              <w:ind w:left="110" w:right="2"/>
              <w:jc w:val="center"/>
              <w:rPr>
                <w:sz w:val="12"/>
              </w:rPr>
            </w:pPr>
            <w:r>
              <w:rPr>
                <w:sz w:val="12"/>
              </w:rPr>
              <w:t>-1%</w:t>
            </w:r>
          </w:p>
        </w:tc>
        <w:tc>
          <w:tcPr>
            <w:tcW w:w="1086" w:type="dxa"/>
            <w:tcBorders>
              <w:top w:val="single" w:sz="4" w:space="0" w:color="D3D3D3"/>
              <w:left w:val="single" w:sz="4" w:space="0" w:color="A6A6A6"/>
            </w:tcBorders>
          </w:tcPr>
          <w:p>
            <w:pPr>
              <w:pStyle w:val="TableParagraph"/>
              <w:spacing w:before="21"/>
              <w:ind w:right="58"/>
              <w:rPr>
                <w:sz w:val="15"/>
              </w:rPr>
            </w:pPr>
            <w:r>
              <w:rPr>
                <w:sz w:val="15"/>
              </w:rPr>
              <w:t>3.514.027</w:t>
            </w:r>
          </w:p>
        </w:tc>
      </w:tr>
      <w:tr>
        <w:trPr>
          <w:trHeight w:val="206" w:hRule="exact"/>
        </w:trPr>
        <w:tc>
          <w:tcPr>
            <w:tcW w:w="1860" w:type="dxa"/>
            <w:tcBorders>
              <w:bottom w:val="nil"/>
              <w:right w:val="single" w:sz="4" w:space="0" w:color="A6A6A6"/>
            </w:tcBorders>
            <w:shd w:val="clear" w:color="auto" w:fill="F1F1F1"/>
          </w:tcPr>
          <w:p>
            <w:pPr>
              <w:pStyle w:val="TableParagraph"/>
              <w:spacing w:before="21"/>
              <w:ind w:left="20"/>
              <w:jc w:val="left"/>
              <w:rPr>
                <w:sz w:val="15"/>
              </w:rPr>
            </w:pPr>
            <w:r>
              <w:rPr>
                <w:sz w:val="15"/>
              </w:rPr>
              <w:t>Ebt</w:t>
            </w:r>
          </w:p>
        </w:tc>
        <w:tc>
          <w:tcPr>
            <w:tcW w:w="1437" w:type="dxa"/>
            <w:gridSpan w:val="2"/>
            <w:tcBorders>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246" w:val="left" w:leader="none"/>
              </w:tabs>
              <w:spacing w:before="0"/>
              <w:ind w:left="391"/>
              <w:jc w:val="left"/>
              <w:rPr>
                <w:sz w:val="12"/>
              </w:rPr>
            </w:pPr>
            <w:r>
              <w:rPr>
                <w:sz w:val="15"/>
              </w:rPr>
              <w:t>6.271.000</w:t>
              <w:tab/>
            </w:r>
            <w:r>
              <w:rPr>
                <w:spacing w:val="3"/>
                <w:sz w:val="12"/>
              </w:rPr>
              <w:t>3%</w:t>
            </w:r>
          </w:p>
        </w:tc>
        <w:tc>
          <w:tcPr>
            <w:tcW w:w="1387" w:type="dxa"/>
            <w:gridSpan w:val="2"/>
            <w:tcBorders>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spacing w:before="0"/>
              <w:ind w:left="321"/>
              <w:jc w:val="left"/>
              <w:rPr>
                <w:sz w:val="12"/>
              </w:rPr>
            </w:pPr>
            <w:r>
              <w:rPr>
                <w:sz w:val="15"/>
              </w:rPr>
              <w:t>69.750.000    </w:t>
            </w:r>
            <w:r>
              <w:rPr>
                <w:sz w:val="12"/>
              </w:rPr>
              <w:t>36%</w:t>
            </w:r>
          </w:p>
        </w:tc>
        <w:tc>
          <w:tcPr>
            <w:tcW w:w="1387" w:type="dxa"/>
            <w:gridSpan w:val="2"/>
            <w:tcBorders>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196" w:val="left" w:leader="none"/>
              </w:tabs>
              <w:spacing w:before="0"/>
              <w:ind w:left="392"/>
              <w:jc w:val="left"/>
              <w:rPr>
                <w:sz w:val="12"/>
              </w:rPr>
            </w:pPr>
            <w:r>
              <w:rPr>
                <w:sz w:val="15"/>
              </w:rPr>
              <w:t>7.055.000</w:t>
              <w:tab/>
            </w:r>
            <w:r>
              <w:rPr>
                <w:spacing w:val="3"/>
                <w:sz w:val="12"/>
              </w:rPr>
              <w:t>9%</w:t>
            </w:r>
          </w:p>
        </w:tc>
        <w:tc>
          <w:tcPr>
            <w:tcW w:w="1347" w:type="dxa"/>
            <w:gridSpan w:val="2"/>
            <w:tcBorders>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155" w:val="left" w:leader="none"/>
              </w:tabs>
              <w:spacing w:before="0"/>
              <w:ind w:left="391"/>
              <w:jc w:val="left"/>
              <w:rPr>
                <w:sz w:val="12"/>
              </w:rPr>
            </w:pPr>
            <w:r>
              <w:rPr>
                <w:sz w:val="15"/>
              </w:rPr>
              <w:t>5.331.000</w:t>
              <w:tab/>
            </w:r>
            <w:r>
              <w:rPr>
                <w:spacing w:val="3"/>
                <w:sz w:val="12"/>
              </w:rPr>
              <w:t>9%</w:t>
            </w:r>
          </w:p>
        </w:tc>
        <w:tc>
          <w:tcPr>
            <w:tcW w:w="1377" w:type="dxa"/>
            <w:gridSpan w:val="2"/>
            <w:tcBorders>
              <w:left w:val="single" w:sz="4" w:space="0" w:color="A6A6A6"/>
              <w:bottom w:val="nil"/>
              <w:right w:val="single" w:sz="4" w:space="0" w:color="A6A6A6"/>
            </w:tcBorders>
            <w:shd w:val="clear" w:color="auto" w:fill="F1F1F1"/>
          </w:tcPr>
          <w:p>
            <w:pPr>
              <w:pStyle w:val="TableParagraph"/>
              <w:spacing w:before="5"/>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spacing w:before="0"/>
              <w:ind w:left="452"/>
              <w:jc w:val="left"/>
              <w:rPr>
                <w:sz w:val="12"/>
              </w:rPr>
            </w:pPr>
            <w:r>
              <w:rPr>
                <w:sz w:val="15"/>
              </w:rPr>
              <w:t>(626.000)    </w:t>
            </w:r>
            <w:r>
              <w:rPr>
                <w:sz w:val="12"/>
              </w:rPr>
              <w:t>-1%</w:t>
            </w:r>
          </w:p>
        </w:tc>
        <w:tc>
          <w:tcPr>
            <w:tcW w:w="1086" w:type="dxa"/>
            <w:tcBorders>
              <w:left w:val="single" w:sz="4" w:space="0" w:color="A6A6A6"/>
              <w:bottom w:val="nil"/>
            </w:tcBorders>
            <w:shd w:val="clear" w:color="auto" w:fill="F1F1F1"/>
          </w:tcPr>
          <w:p>
            <w:pPr>
              <w:pStyle w:val="TableParagraph"/>
              <w:spacing w:before="21"/>
              <w:ind w:right="14"/>
              <w:rPr>
                <w:sz w:val="15"/>
              </w:rPr>
            </w:pPr>
            <w:r>
              <w:rPr>
                <w:sz w:val="15"/>
              </w:rPr>
              <w:t>(169.644.466)</w:t>
            </w:r>
          </w:p>
        </w:tc>
      </w:tr>
      <w:tr>
        <w:trPr>
          <w:trHeight w:val="196" w:hRule="exact"/>
        </w:trPr>
        <w:tc>
          <w:tcPr>
            <w:tcW w:w="1860" w:type="dxa"/>
            <w:tcBorders>
              <w:top w:val="nil"/>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42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7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7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32" w:type="dxa"/>
            <w:tcBorders>
              <w:top w:val="nil"/>
              <w:left w:val="single" w:sz="4" w:space="0" w:color="D3D3D3"/>
              <w:bottom w:val="single" w:sz="4" w:space="0" w:color="D3D3D3"/>
              <w:right w:val="single" w:sz="4" w:space="0" w:color="A6A6A6"/>
            </w:tcBorders>
          </w:tcPr>
          <w:p>
            <w:pPr/>
          </w:p>
        </w:tc>
        <w:tc>
          <w:tcPr>
            <w:tcW w:w="1015" w:type="dxa"/>
            <w:tcBorders>
              <w:top w:val="nil"/>
              <w:left w:val="single" w:sz="4" w:space="0" w:color="A6A6A6"/>
              <w:bottom w:val="single" w:sz="4" w:space="0" w:color="D3D3D3"/>
              <w:right w:val="single" w:sz="4" w:space="0" w:color="D3D3D3"/>
            </w:tcBorders>
          </w:tcPr>
          <w:p>
            <w:pPr/>
          </w:p>
        </w:tc>
        <w:tc>
          <w:tcPr>
            <w:tcW w:w="362" w:type="dxa"/>
            <w:tcBorders>
              <w:top w:val="nil"/>
              <w:left w:val="single" w:sz="4" w:space="0" w:color="D3D3D3"/>
              <w:bottom w:val="single" w:sz="4" w:space="0" w:color="D3D3D3"/>
              <w:right w:val="single" w:sz="4" w:space="0" w:color="A6A6A6"/>
            </w:tcBorders>
          </w:tcPr>
          <w:p>
            <w:pPr/>
          </w:p>
        </w:tc>
        <w:tc>
          <w:tcPr>
            <w:tcW w:w="1086" w:type="dxa"/>
            <w:tcBorders>
              <w:top w:val="nil"/>
              <w:left w:val="single" w:sz="4" w:space="0" w:color="A6A6A6"/>
              <w:bottom w:val="single" w:sz="4" w:space="0" w:color="D3D3D3"/>
            </w:tcBorders>
          </w:tcPr>
          <w:p>
            <w:pPr/>
          </w:p>
        </w:tc>
      </w:tr>
      <w:tr>
        <w:trPr>
          <w:trHeight w:val="201" w:hRule="exact"/>
        </w:trPr>
        <w:tc>
          <w:tcPr>
            <w:tcW w:w="1860" w:type="dxa"/>
            <w:tcBorders>
              <w:top w:val="single" w:sz="4" w:space="0" w:color="D3D3D3"/>
              <w:right w:val="single" w:sz="4" w:space="0" w:color="A6A6A6"/>
            </w:tcBorders>
          </w:tcPr>
          <w:p>
            <w:pPr>
              <w:pStyle w:val="TableParagraph"/>
              <w:spacing w:before="21"/>
              <w:ind w:left="20"/>
              <w:jc w:val="left"/>
              <w:rPr>
                <w:sz w:val="15"/>
              </w:rPr>
            </w:pPr>
            <w:r>
              <w:rPr>
                <w:sz w:val="15"/>
              </w:rPr>
              <w:t>Imposte</w:t>
            </w:r>
          </w:p>
        </w:tc>
        <w:tc>
          <w:tcPr>
            <w:tcW w:w="1015" w:type="dxa"/>
            <w:tcBorders>
              <w:top w:val="single" w:sz="4" w:space="0" w:color="D3D3D3"/>
              <w:left w:val="single" w:sz="4" w:space="0" w:color="A6A6A6"/>
              <w:right w:val="single" w:sz="4" w:space="0" w:color="A6A6A6"/>
            </w:tcBorders>
          </w:tcPr>
          <w:p>
            <w:pPr>
              <w:pStyle w:val="TableParagraph"/>
              <w:spacing w:before="21"/>
              <w:ind w:right="14"/>
              <w:rPr>
                <w:sz w:val="15"/>
              </w:rPr>
            </w:pPr>
            <w:r>
              <w:rPr>
                <w:sz w:val="15"/>
              </w:rPr>
              <w:t>(2.950.000)</w:t>
            </w:r>
          </w:p>
        </w:tc>
        <w:tc>
          <w:tcPr>
            <w:tcW w:w="422" w:type="dxa"/>
            <w:tcBorders>
              <w:top w:val="single" w:sz="4" w:space="0" w:color="D3D3D3"/>
              <w:left w:val="single" w:sz="4" w:space="0" w:color="A6A6A6"/>
              <w:right w:val="single" w:sz="4" w:space="0" w:color="A6A6A6"/>
            </w:tcBorders>
          </w:tcPr>
          <w:p>
            <w:pPr>
              <w:pStyle w:val="TableParagraph"/>
              <w:spacing w:before="47"/>
              <w:ind w:right="19"/>
              <w:rPr>
                <w:sz w:val="12"/>
              </w:rPr>
            </w:pPr>
            <w:r>
              <w:rPr>
                <w:sz w:val="12"/>
              </w:rPr>
              <w:t>-1%</w:t>
            </w:r>
          </w:p>
        </w:tc>
        <w:tc>
          <w:tcPr>
            <w:tcW w:w="1015" w:type="dxa"/>
            <w:tcBorders>
              <w:top w:val="single" w:sz="4" w:space="0" w:color="D3D3D3"/>
              <w:left w:val="single" w:sz="4" w:space="0" w:color="A6A6A6"/>
              <w:right w:val="single" w:sz="4" w:space="0" w:color="A6A6A6"/>
            </w:tcBorders>
          </w:tcPr>
          <w:p>
            <w:pPr>
              <w:pStyle w:val="TableParagraph"/>
              <w:spacing w:before="21"/>
              <w:ind w:right="14"/>
              <w:rPr>
                <w:sz w:val="15"/>
              </w:rPr>
            </w:pPr>
            <w:r>
              <w:rPr>
                <w:sz w:val="15"/>
              </w:rPr>
              <w:t>(25.671.000)</w:t>
            </w:r>
          </w:p>
        </w:tc>
        <w:tc>
          <w:tcPr>
            <w:tcW w:w="372" w:type="dxa"/>
            <w:tcBorders>
              <w:top w:val="single" w:sz="4" w:space="0" w:color="D3D3D3"/>
              <w:left w:val="single" w:sz="4" w:space="0" w:color="A6A6A6"/>
              <w:right w:val="single" w:sz="4" w:space="0" w:color="A6A6A6"/>
            </w:tcBorders>
          </w:tcPr>
          <w:p>
            <w:pPr>
              <w:pStyle w:val="TableParagraph"/>
              <w:spacing w:before="47"/>
              <w:ind w:right="19"/>
              <w:rPr>
                <w:sz w:val="12"/>
              </w:rPr>
            </w:pPr>
            <w:r>
              <w:rPr>
                <w:sz w:val="12"/>
              </w:rPr>
              <w:t>-13%</w:t>
            </w:r>
          </w:p>
        </w:tc>
        <w:tc>
          <w:tcPr>
            <w:tcW w:w="1015" w:type="dxa"/>
            <w:tcBorders>
              <w:top w:val="single" w:sz="4" w:space="0" w:color="D3D3D3"/>
              <w:left w:val="single" w:sz="4" w:space="0" w:color="A6A6A6"/>
              <w:right w:val="single" w:sz="4" w:space="0" w:color="A6A6A6"/>
            </w:tcBorders>
          </w:tcPr>
          <w:p>
            <w:pPr>
              <w:pStyle w:val="TableParagraph"/>
              <w:spacing w:before="21"/>
              <w:ind w:right="14"/>
              <w:rPr>
                <w:sz w:val="15"/>
              </w:rPr>
            </w:pPr>
            <w:r>
              <w:rPr>
                <w:sz w:val="15"/>
              </w:rPr>
              <w:t>(2.454.000)</w:t>
            </w:r>
          </w:p>
        </w:tc>
        <w:tc>
          <w:tcPr>
            <w:tcW w:w="372" w:type="dxa"/>
            <w:tcBorders>
              <w:top w:val="single" w:sz="4" w:space="0" w:color="D3D3D3"/>
              <w:left w:val="single" w:sz="4" w:space="0" w:color="A6A6A6"/>
              <w:right w:val="single" w:sz="4" w:space="0" w:color="A6A6A6"/>
            </w:tcBorders>
          </w:tcPr>
          <w:p>
            <w:pPr>
              <w:pStyle w:val="TableParagraph"/>
              <w:spacing w:before="47"/>
              <w:ind w:left="140"/>
              <w:jc w:val="left"/>
              <w:rPr>
                <w:sz w:val="12"/>
              </w:rPr>
            </w:pPr>
            <w:r>
              <w:rPr>
                <w:sz w:val="12"/>
              </w:rPr>
              <w:t>-3%</w:t>
            </w:r>
          </w:p>
        </w:tc>
        <w:tc>
          <w:tcPr>
            <w:tcW w:w="1015" w:type="dxa"/>
            <w:tcBorders>
              <w:top w:val="single" w:sz="4" w:space="0" w:color="D3D3D3"/>
              <w:left w:val="single" w:sz="4" w:space="0" w:color="A6A6A6"/>
              <w:right w:val="single" w:sz="4" w:space="0" w:color="A6A6A6"/>
            </w:tcBorders>
          </w:tcPr>
          <w:p>
            <w:pPr>
              <w:pStyle w:val="TableParagraph"/>
              <w:spacing w:before="21"/>
              <w:ind w:right="14"/>
              <w:rPr>
                <w:sz w:val="15"/>
              </w:rPr>
            </w:pPr>
            <w:r>
              <w:rPr>
                <w:sz w:val="15"/>
              </w:rPr>
              <w:t>(1.577.000)</w:t>
            </w:r>
          </w:p>
        </w:tc>
        <w:tc>
          <w:tcPr>
            <w:tcW w:w="332" w:type="dxa"/>
            <w:tcBorders>
              <w:top w:val="single" w:sz="4" w:space="0" w:color="D3D3D3"/>
              <w:left w:val="single" w:sz="4" w:space="0" w:color="A6A6A6"/>
              <w:right w:val="single" w:sz="4" w:space="0" w:color="A6A6A6"/>
            </w:tcBorders>
          </w:tcPr>
          <w:p>
            <w:pPr>
              <w:pStyle w:val="TableParagraph"/>
              <w:spacing w:before="47"/>
              <w:ind w:right="19"/>
              <w:rPr>
                <w:sz w:val="12"/>
              </w:rPr>
            </w:pPr>
            <w:r>
              <w:rPr>
                <w:sz w:val="12"/>
              </w:rPr>
              <w:t>-3%</w:t>
            </w:r>
          </w:p>
        </w:tc>
        <w:tc>
          <w:tcPr>
            <w:tcW w:w="1015" w:type="dxa"/>
            <w:tcBorders>
              <w:top w:val="single" w:sz="4" w:space="0" w:color="D3D3D3"/>
              <w:left w:val="single" w:sz="4" w:space="0" w:color="A6A6A6"/>
              <w:right w:val="single" w:sz="4" w:space="0" w:color="A6A6A6"/>
            </w:tcBorders>
          </w:tcPr>
          <w:p>
            <w:pPr>
              <w:pStyle w:val="TableParagraph"/>
              <w:spacing w:before="21"/>
              <w:ind w:right="58"/>
              <w:rPr>
                <w:sz w:val="15"/>
              </w:rPr>
            </w:pPr>
            <w:r>
              <w:rPr>
                <w:sz w:val="15"/>
              </w:rPr>
              <w:t>466.000</w:t>
            </w:r>
          </w:p>
        </w:tc>
        <w:tc>
          <w:tcPr>
            <w:tcW w:w="362" w:type="dxa"/>
            <w:tcBorders>
              <w:top w:val="single" w:sz="4" w:space="0" w:color="D3D3D3"/>
              <w:left w:val="single" w:sz="4" w:space="0" w:color="A6A6A6"/>
              <w:right w:val="single" w:sz="4" w:space="0" w:color="A6A6A6"/>
            </w:tcBorders>
          </w:tcPr>
          <w:p>
            <w:pPr>
              <w:pStyle w:val="TableParagraph"/>
              <w:spacing w:before="47"/>
              <w:ind w:left="154" w:right="2"/>
              <w:jc w:val="center"/>
              <w:rPr>
                <w:sz w:val="12"/>
              </w:rPr>
            </w:pPr>
            <w:r>
              <w:rPr>
                <w:sz w:val="12"/>
              </w:rPr>
              <w:t>0%</w:t>
            </w:r>
          </w:p>
        </w:tc>
        <w:tc>
          <w:tcPr>
            <w:tcW w:w="1086" w:type="dxa"/>
            <w:tcBorders>
              <w:top w:val="single" w:sz="4" w:space="0" w:color="D3D3D3"/>
              <w:left w:val="single" w:sz="4" w:space="0" w:color="A6A6A6"/>
            </w:tcBorders>
          </w:tcPr>
          <w:p>
            <w:pPr>
              <w:pStyle w:val="TableParagraph"/>
              <w:spacing w:before="21"/>
              <w:ind w:right="57"/>
              <w:rPr>
                <w:sz w:val="15"/>
              </w:rPr>
            </w:pPr>
            <w:r>
              <w:rPr>
                <w:sz w:val="15"/>
              </w:rPr>
              <w:t>70.998</w:t>
            </w:r>
          </w:p>
        </w:tc>
      </w:tr>
      <w:tr>
        <w:trPr>
          <w:trHeight w:val="201" w:hRule="exact"/>
        </w:trPr>
        <w:tc>
          <w:tcPr>
            <w:tcW w:w="1860" w:type="dxa"/>
            <w:tcBorders>
              <w:right w:val="single" w:sz="4" w:space="0" w:color="A6A6A6"/>
            </w:tcBorders>
            <w:shd w:val="clear" w:color="auto" w:fill="F1F1F1"/>
          </w:tcPr>
          <w:p>
            <w:pPr>
              <w:pStyle w:val="TableParagraph"/>
              <w:spacing w:before="21"/>
              <w:ind w:left="20"/>
              <w:jc w:val="left"/>
              <w:rPr>
                <w:b/>
                <w:sz w:val="15"/>
              </w:rPr>
            </w:pPr>
            <w:r>
              <w:rPr>
                <w:b/>
                <w:sz w:val="15"/>
              </w:rPr>
              <w:t>Risultato d'esercizio</w:t>
            </w:r>
          </w:p>
        </w:tc>
        <w:tc>
          <w:tcPr>
            <w:tcW w:w="1437" w:type="dxa"/>
            <w:gridSpan w:val="2"/>
            <w:tcBorders>
              <w:left w:val="single" w:sz="4" w:space="0" w:color="A6A6A6"/>
              <w:right w:val="single" w:sz="4" w:space="0" w:color="A6A6A6"/>
            </w:tcBorders>
            <w:shd w:val="clear" w:color="auto" w:fill="F1F1F1"/>
          </w:tcPr>
          <w:p>
            <w:pPr>
              <w:pStyle w:val="TableParagraph"/>
              <w:spacing w:before="6"/>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246" w:val="left" w:leader="none"/>
              </w:tabs>
              <w:spacing w:before="0"/>
              <w:ind w:left="371"/>
              <w:jc w:val="left"/>
              <w:rPr>
                <w:b/>
                <w:sz w:val="12"/>
              </w:rPr>
            </w:pPr>
            <w:r>
              <w:rPr>
                <w:b/>
                <w:sz w:val="15"/>
              </w:rPr>
              <w:t>3.321.000</w:t>
              <w:tab/>
            </w:r>
            <w:r>
              <w:rPr>
                <w:b/>
                <w:spacing w:val="3"/>
                <w:sz w:val="12"/>
              </w:rPr>
              <w:t>2%</w:t>
            </w:r>
          </w:p>
        </w:tc>
        <w:tc>
          <w:tcPr>
            <w:tcW w:w="1387" w:type="dxa"/>
            <w:gridSpan w:val="2"/>
            <w:tcBorders>
              <w:left w:val="single" w:sz="4" w:space="0" w:color="A6A6A6"/>
              <w:right w:val="single" w:sz="4" w:space="0" w:color="A6A6A6"/>
            </w:tcBorders>
            <w:shd w:val="clear" w:color="auto" w:fill="F1F1F1"/>
          </w:tcPr>
          <w:p>
            <w:pPr>
              <w:pStyle w:val="TableParagraph"/>
              <w:spacing w:before="6"/>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135" w:val="left" w:leader="none"/>
              </w:tabs>
              <w:spacing w:before="0"/>
              <w:ind w:left="291"/>
              <w:jc w:val="left"/>
              <w:rPr>
                <w:b/>
                <w:sz w:val="12"/>
              </w:rPr>
            </w:pPr>
            <w:r>
              <w:rPr>
                <w:b/>
                <w:sz w:val="15"/>
              </w:rPr>
              <w:t>44.079.000</w:t>
              <w:tab/>
            </w:r>
            <w:r>
              <w:rPr>
                <w:b/>
                <w:spacing w:val="3"/>
                <w:sz w:val="12"/>
              </w:rPr>
              <w:t>23%</w:t>
            </w:r>
          </w:p>
        </w:tc>
        <w:tc>
          <w:tcPr>
            <w:tcW w:w="1387" w:type="dxa"/>
            <w:gridSpan w:val="2"/>
            <w:tcBorders>
              <w:left w:val="single" w:sz="4" w:space="0" w:color="A6A6A6"/>
              <w:right w:val="single" w:sz="4" w:space="0" w:color="A6A6A6"/>
            </w:tcBorders>
            <w:shd w:val="clear" w:color="auto" w:fill="F1F1F1"/>
          </w:tcPr>
          <w:p>
            <w:pPr>
              <w:pStyle w:val="TableParagraph"/>
              <w:spacing w:before="6"/>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196" w:val="left" w:leader="none"/>
              </w:tabs>
              <w:spacing w:before="0"/>
              <w:ind w:left="371"/>
              <w:jc w:val="left"/>
              <w:rPr>
                <w:b/>
                <w:sz w:val="12"/>
              </w:rPr>
            </w:pPr>
            <w:r>
              <w:rPr>
                <w:b/>
                <w:sz w:val="15"/>
              </w:rPr>
              <w:t>4.601.000</w:t>
              <w:tab/>
            </w:r>
            <w:r>
              <w:rPr>
                <w:b/>
                <w:spacing w:val="3"/>
                <w:sz w:val="12"/>
              </w:rPr>
              <w:t>6%</w:t>
            </w:r>
          </w:p>
        </w:tc>
        <w:tc>
          <w:tcPr>
            <w:tcW w:w="1347" w:type="dxa"/>
            <w:gridSpan w:val="2"/>
            <w:tcBorders>
              <w:left w:val="single" w:sz="4" w:space="0" w:color="A6A6A6"/>
              <w:right w:val="single" w:sz="4" w:space="0" w:color="A6A6A6"/>
            </w:tcBorders>
            <w:shd w:val="clear" w:color="auto" w:fill="F1F1F1"/>
          </w:tcPr>
          <w:p>
            <w:pPr>
              <w:pStyle w:val="TableParagraph"/>
              <w:spacing w:before="6"/>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tabs>
                <w:tab w:pos="1155" w:val="left" w:leader="none"/>
              </w:tabs>
              <w:spacing w:before="0"/>
              <w:ind w:left="361"/>
              <w:jc w:val="left"/>
              <w:rPr>
                <w:b/>
                <w:sz w:val="12"/>
              </w:rPr>
            </w:pPr>
            <w:r>
              <w:rPr>
                <w:b/>
                <w:sz w:val="15"/>
              </w:rPr>
              <w:t>3.754.000</w:t>
              <w:tab/>
            </w:r>
            <w:r>
              <w:rPr>
                <w:b/>
                <w:spacing w:val="3"/>
                <w:sz w:val="12"/>
              </w:rPr>
              <w:t>7%</w:t>
            </w:r>
          </w:p>
        </w:tc>
        <w:tc>
          <w:tcPr>
            <w:tcW w:w="1377" w:type="dxa"/>
            <w:gridSpan w:val="2"/>
            <w:tcBorders>
              <w:left w:val="single" w:sz="4" w:space="0" w:color="A6A6A6"/>
              <w:right w:val="single" w:sz="4" w:space="0" w:color="A6A6A6"/>
            </w:tcBorders>
            <w:shd w:val="clear" w:color="auto" w:fill="F1F1F1"/>
          </w:tcPr>
          <w:p>
            <w:pPr>
              <w:pStyle w:val="TableParagraph"/>
              <w:spacing w:before="6"/>
              <w:jc w:val="left"/>
              <w:rPr>
                <w:sz w:val="3"/>
              </w:rPr>
            </w:pPr>
          </w:p>
          <w:p>
            <w:pPr>
              <w:pStyle w:val="TableParagraph"/>
              <w:spacing w:line="20" w:lineRule="exact" w:before="0"/>
              <w:ind w:left="1014"/>
              <w:jc w:val="left"/>
              <w:rPr>
                <w:sz w:val="2"/>
              </w:rPr>
            </w:pPr>
            <w:r>
              <w:rPr>
                <w:sz w:val="2"/>
              </w:rPr>
              <w:pict>
                <v:group style="width:.550pt;height:.550pt;mso-position-horizontal-relative:char;mso-position-vertical-relative:line" coordorigin="0,0" coordsize="11,11">
                  <v:line style="position:absolute" from="6,6" to="6,6" stroked="true" strokeweight=".501403pt" strokecolor="#008000">
                    <v:stroke dashstyle="solid"/>
                  </v:line>
                </v:group>
              </w:pict>
            </w:r>
            <w:r>
              <w:rPr>
                <w:sz w:val="2"/>
              </w:rPr>
            </w:r>
          </w:p>
          <w:p>
            <w:pPr>
              <w:pStyle w:val="TableParagraph"/>
              <w:spacing w:before="0"/>
              <w:ind w:left="432"/>
              <w:jc w:val="left"/>
              <w:rPr>
                <w:b/>
                <w:sz w:val="12"/>
              </w:rPr>
            </w:pPr>
            <w:r>
              <w:rPr>
                <w:b/>
                <w:sz w:val="15"/>
              </w:rPr>
              <w:t>(160.000)     </w:t>
            </w:r>
            <w:r>
              <w:rPr>
                <w:b/>
                <w:sz w:val="12"/>
              </w:rPr>
              <w:t>0%</w:t>
            </w:r>
          </w:p>
        </w:tc>
        <w:tc>
          <w:tcPr>
            <w:tcW w:w="1086" w:type="dxa"/>
            <w:tcBorders>
              <w:left w:val="single" w:sz="4" w:space="0" w:color="A6A6A6"/>
            </w:tcBorders>
            <w:shd w:val="clear" w:color="auto" w:fill="F1F1F1"/>
          </w:tcPr>
          <w:p>
            <w:pPr>
              <w:pStyle w:val="TableParagraph"/>
              <w:spacing w:before="21"/>
              <w:ind w:right="15"/>
              <w:rPr>
                <w:b/>
                <w:sz w:val="15"/>
              </w:rPr>
            </w:pPr>
            <w:r>
              <w:rPr>
                <w:b/>
                <w:sz w:val="15"/>
              </w:rPr>
              <w:t>(169.573.469)</w:t>
            </w:r>
          </w:p>
        </w:tc>
      </w:tr>
    </w:tbl>
    <w:p>
      <w:pPr>
        <w:pStyle w:val="BodyText"/>
      </w:pPr>
    </w:p>
    <w:p>
      <w:pPr>
        <w:spacing w:line="480" w:lineRule="auto" w:before="0"/>
        <w:ind w:left="1418" w:right="1415" w:firstLine="0"/>
        <w:jc w:val="both"/>
        <w:rPr>
          <w:sz w:val="24"/>
        </w:rPr>
      </w:pPr>
      <w:r>
        <w:rPr>
          <w:sz w:val="24"/>
        </w:rPr>
        <w:t>A livello di conto economico, l’andamento altalenante del valore della produzione appare da un lato fisiologicamente connesso alla attività caratteristica della Società che realizzava progetti ingegneristici su commessa e, dall’altro lato, alla rilevazione nell’esercizio 2013 di una rilevante plusvalenza derivante dalla “</w:t>
      </w:r>
      <w:r>
        <w:rPr>
          <w:i/>
          <w:sz w:val="24"/>
        </w:rPr>
        <w:t>vendita alla società collegata M&amp;G Corporation del “Proesa Pet Agreement”  </w:t>
      </w:r>
      <w:r>
        <w:rPr>
          <w:i/>
          <w:sz w:val="24"/>
        </w:rPr>
        <w:t>per US$ 141.960 migliaia</w:t>
      </w:r>
      <w:r>
        <w:rPr>
          <w:sz w:val="24"/>
        </w:rPr>
        <w:t>” (NI Bilancio 213, pag. 12,</w:t>
      </w:r>
      <w:r>
        <w:rPr>
          <w:spacing w:val="-12"/>
          <w:sz w:val="24"/>
        </w:rPr>
        <w:t> </w:t>
      </w:r>
      <w:r>
        <w:rPr>
          <w:sz w:val="24"/>
        </w:rPr>
        <w:t>56).</w:t>
      </w:r>
    </w:p>
    <w:p>
      <w:pPr>
        <w:pStyle w:val="BodyText"/>
        <w:spacing w:line="480" w:lineRule="auto"/>
        <w:ind w:left="1418" w:right="1409"/>
        <w:jc w:val="both"/>
      </w:pPr>
      <w:r>
        <w:rPr/>
        <w:t>Un aspetto di rilievo è anche dovuto al fatto che, nel corso degli esercizi in esame, il conseguimento di ricavi ed il sostenimento di costi deriva anche da operazioni </w:t>
      </w:r>
      <w:r>
        <w:rPr>
          <w:i/>
        </w:rPr>
        <w:t>intercompany </w:t>
      </w:r>
      <w:r>
        <w:rPr/>
        <w:t>(nel 2015 il 32% dei ricavi deriva da servizi resi alla parte correlata M&amp;G International Lux, NI, pagg. 62 e 75).</w:t>
      </w:r>
    </w:p>
    <w:p>
      <w:pPr>
        <w:pStyle w:val="BodyText"/>
        <w:spacing w:line="480" w:lineRule="auto"/>
        <w:ind w:left="1418" w:right="1414"/>
        <w:jc w:val="both"/>
      </w:pPr>
      <w:r>
        <w:rPr/>
        <w:t>Per quanto attiene, in particolare, ai rapporti con Chemtex International Inc. Usa si veda l’approfondimento condotto nel successivo paragrafo 2.3.3.</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In generale, comunque, la Società presenta costantemente e sino all’esercizio 2016 una  marginalità positiva a livello di EBITDA ed EBT (fatta eccezione per l’esercizio 2016), e nel solo esercizio 2016 presenta una modesta perdita</w:t>
      </w:r>
      <w:r>
        <w:rPr>
          <w:spacing w:val="-14"/>
        </w:rPr>
        <w:t> </w:t>
      </w:r>
      <w:r>
        <w:rPr/>
        <w:t>d’esercizio.</w:t>
      </w:r>
    </w:p>
    <w:p>
      <w:pPr>
        <w:pStyle w:val="BodyText"/>
        <w:spacing w:line="480" w:lineRule="auto"/>
        <w:ind w:left="1418" w:right="1416"/>
        <w:jc w:val="both"/>
      </w:pPr>
      <w:r>
        <w:rPr/>
        <w:t>La perdita dell’esercizio 2017 si correla alla presa d’atto della irrecuperabilità dell’investimento nell’impianto di Crescentino, con rilevazione della corrispondente rettifica di valore a conto economico.</w:t>
      </w:r>
    </w:p>
    <w:tbl>
      <w:tblPr>
        <w:tblW w:w="0" w:type="auto"/>
        <w:jc w:val="left"/>
        <w:tblInd w:w="141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0" w:type="dxa"/>
          <w:left w:w="0" w:type="dxa"/>
          <w:bottom w:w="0" w:type="dxa"/>
          <w:right w:w="0" w:type="dxa"/>
        </w:tblCellMar>
        <w:tblLook w:val="01E0"/>
      </w:tblPr>
      <w:tblGrid>
        <w:gridCol w:w="2151"/>
        <w:gridCol w:w="1065"/>
        <w:gridCol w:w="443"/>
        <w:gridCol w:w="1065"/>
        <w:gridCol w:w="390"/>
        <w:gridCol w:w="1065"/>
        <w:gridCol w:w="390"/>
        <w:gridCol w:w="1065"/>
        <w:gridCol w:w="348"/>
        <w:gridCol w:w="1065"/>
      </w:tblGrid>
      <w:tr>
        <w:trPr>
          <w:trHeight w:val="216" w:hRule="exact"/>
        </w:trPr>
        <w:tc>
          <w:tcPr>
            <w:tcW w:w="2151" w:type="dxa"/>
            <w:tcBorders>
              <w:bottom w:val="nil"/>
            </w:tcBorders>
            <w:shd w:val="clear" w:color="auto" w:fill="8496AF"/>
          </w:tcPr>
          <w:p>
            <w:pPr>
              <w:pStyle w:val="TableParagraph"/>
              <w:spacing w:before="20"/>
              <w:ind w:left="21"/>
              <w:jc w:val="left"/>
              <w:rPr>
                <w:sz w:val="16"/>
              </w:rPr>
            </w:pPr>
            <w:r>
              <w:rPr>
                <w:color w:val="FFFFFF"/>
                <w:sz w:val="16"/>
              </w:rPr>
              <w:t>BioChemtex srl</w:t>
            </w:r>
          </w:p>
        </w:tc>
        <w:tc>
          <w:tcPr>
            <w:tcW w:w="1065" w:type="dxa"/>
            <w:tcBorders>
              <w:bottom w:val="nil"/>
            </w:tcBorders>
            <w:shd w:val="clear" w:color="auto" w:fill="8496AF"/>
          </w:tcPr>
          <w:p>
            <w:pPr>
              <w:pStyle w:val="TableParagraph"/>
              <w:spacing w:before="20"/>
              <w:ind w:right="19"/>
              <w:rPr>
                <w:sz w:val="16"/>
              </w:rPr>
            </w:pPr>
            <w:r>
              <w:rPr>
                <w:color w:val="FFFFFF"/>
                <w:w w:val="95"/>
                <w:sz w:val="16"/>
              </w:rPr>
              <w:t>31/12/2012</w:t>
            </w:r>
          </w:p>
        </w:tc>
        <w:tc>
          <w:tcPr>
            <w:tcW w:w="443" w:type="dxa"/>
            <w:tcBorders>
              <w:bottom w:val="nil"/>
            </w:tcBorders>
            <w:shd w:val="clear" w:color="auto" w:fill="8496AF"/>
          </w:tcPr>
          <w:p>
            <w:pPr>
              <w:pStyle w:val="TableParagraph"/>
              <w:spacing w:before="20"/>
              <w:ind w:left="157"/>
              <w:jc w:val="left"/>
              <w:rPr>
                <w:sz w:val="16"/>
              </w:rPr>
            </w:pPr>
            <w:r>
              <w:rPr>
                <w:color w:val="FFFFFF"/>
                <w:w w:val="98"/>
                <w:sz w:val="16"/>
              </w:rPr>
              <w:t>%</w:t>
            </w:r>
          </w:p>
        </w:tc>
        <w:tc>
          <w:tcPr>
            <w:tcW w:w="1065" w:type="dxa"/>
            <w:tcBorders>
              <w:bottom w:val="nil"/>
            </w:tcBorders>
            <w:shd w:val="clear" w:color="auto" w:fill="8496AF"/>
          </w:tcPr>
          <w:p>
            <w:pPr>
              <w:pStyle w:val="TableParagraph"/>
              <w:spacing w:before="20"/>
              <w:ind w:right="19"/>
              <w:rPr>
                <w:sz w:val="16"/>
              </w:rPr>
            </w:pPr>
            <w:r>
              <w:rPr>
                <w:color w:val="FFFFFF"/>
                <w:w w:val="95"/>
                <w:sz w:val="16"/>
              </w:rPr>
              <w:t>31/12/2013</w:t>
            </w:r>
          </w:p>
        </w:tc>
        <w:tc>
          <w:tcPr>
            <w:tcW w:w="390" w:type="dxa"/>
            <w:tcBorders>
              <w:bottom w:val="nil"/>
            </w:tcBorders>
            <w:shd w:val="clear" w:color="auto" w:fill="8496AF"/>
          </w:tcPr>
          <w:p>
            <w:pPr>
              <w:pStyle w:val="TableParagraph"/>
              <w:spacing w:before="20"/>
              <w:ind w:left="126"/>
              <w:jc w:val="left"/>
              <w:rPr>
                <w:sz w:val="16"/>
              </w:rPr>
            </w:pPr>
            <w:r>
              <w:rPr>
                <w:color w:val="FFFFFF"/>
                <w:w w:val="98"/>
                <w:sz w:val="16"/>
              </w:rPr>
              <w:t>%</w:t>
            </w:r>
          </w:p>
        </w:tc>
        <w:tc>
          <w:tcPr>
            <w:tcW w:w="1455" w:type="dxa"/>
            <w:gridSpan w:val="2"/>
            <w:tcBorders>
              <w:bottom w:val="nil"/>
            </w:tcBorders>
            <w:shd w:val="clear" w:color="auto" w:fill="8496AF"/>
          </w:tcPr>
          <w:p>
            <w:pPr>
              <w:pStyle w:val="TableParagraph"/>
              <w:spacing w:before="20"/>
              <w:ind w:left="274"/>
              <w:jc w:val="left"/>
              <w:rPr>
                <w:sz w:val="16"/>
              </w:rPr>
            </w:pPr>
            <w:r>
              <w:rPr>
                <w:color w:val="FFFFFF"/>
                <w:sz w:val="16"/>
              </w:rPr>
              <w:t>31/12/2014   %</w:t>
            </w:r>
          </w:p>
        </w:tc>
        <w:tc>
          <w:tcPr>
            <w:tcW w:w="1065" w:type="dxa"/>
            <w:tcBorders>
              <w:bottom w:val="nil"/>
            </w:tcBorders>
            <w:shd w:val="clear" w:color="auto" w:fill="8496AF"/>
          </w:tcPr>
          <w:p>
            <w:pPr>
              <w:pStyle w:val="TableParagraph"/>
              <w:spacing w:before="20"/>
              <w:ind w:right="19"/>
              <w:rPr>
                <w:sz w:val="16"/>
              </w:rPr>
            </w:pPr>
            <w:r>
              <w:rPr>
                <w:color w:val="FFFFFF"/>
                <w:w w:val="95"/>
                <w:sz w:val="16"/>
              </w:rPr>
              <w:t>31/12/2015</w:t>
            </w:r>
          </w:p>
        </w:tc>
        <w:tc>
          <w:tcPr>
            <w:tcW w:w="348" w:type="dxa"/>
            <w:tcBorders>
              <w:bottom w:val="nil"/>
            </w:tcBorders>
            <w:shd w:val="clear" w:color="auto" w:fill="8496AF"/>
          </w:tcPr>
          <w:p>
            <w:pPr>
              <w:pStyle w:val="TableParagraph"/>
              <w:spacing w:before="20"/>
              <w:ind w:left="105"/>
              <w:jc w:val="left"/>
              <w:rPr>
                <w:sz w:val="16"/>
              </w:rPr>
            </w:pPr>
            <w:r>
              <w:rPr>
                <w:color w:val="FFFFFF"/>
                <w:w w:val="98"/>
                <w:sz w:val="16"/>
              </w:rPr>
              <w:t>%</w:t>
            </w:r>
          </w:p>
        </w:tc>
        <w:tc>
          <w:tcPr>
            <w:tcW w:w="1065" w:type="dxa"/>
            <w:tcBorders>
              <w:bottom w:val="nil"/>
            </w:tcBorders>
            <w:shd w:val="clear" w:color="auto" w:fill="8496AF"/>
          </w:tcPr>
          <w:p>
            <w:pPr>
              <w:pStyle w:val="TableParagraph"/>
              <w:spacing w:before="20"/>
              <w:ind w:right="19"/>
              <w:rPr>
                <w:sz w:val="16"/>
              </w:rPr>
            </w:pPr>
            <w:r>
              <w:rPr>
                <w:color w:val="FFFFFF"/>
                <w:w w:val="95"/>
                <w:sz w:val="16"/>
              </w:rPr>
              <w:t>31/12/2016</w:t>
            </w:r>
          </w:p>
        </w:tc>
      </w:tr>
      <w:tr>
        <w:trPr>
          <w:trHeight w:val="237" w:hRule="exact"/>
        </w:trPr>
        <w:tc>
          <w:tcPr>
            <w:tcW w:w="2151" w:type="dxa"/>
            <w:tcBorders>
              <w:top w:val="nil"/>
              <w:bottom w:val="double" w:sz="6" w:space="0" w:color="000000"/>
              <w:right w:val="single" w:sz="4" w:space="0" w:color="D3D3D3"/>
            </w:tcBorders>
          </w:tcPr>
          <w:p>
            <w:pPr>
              <w:pStyle w:val="TableParagraph"/>
              <w:spacing w:before="20"/>
              <w:ind w:left="21"/>
              <w:jc w:val="left"/>
              <w:rPr>
                <w:b/>
                <w:sz w:val="16"/>
              </w:rPr>
            </w:pPr>
            <w:r>
              <w:rPr>
                <w:b/>
                <w:w w:val="95"/>
                <w:sz w:val="16"/>
              </w:rPr>
              <w:t>Rendiconto  finanziario</w:t>
            </w:r>
          </w:p>
        </w:tc>
        <w:tc>
          <w:tcPr>
            <w:tcW w:w="1065" w:type="dxa"/>
            <w:tcBorders>
              <w:top w:val="nil"/>
              <w:left w:val="single" w:sz="4" w:space="0" w:color="D3D3D3"/>
              <w:bottom w:val="single" w:sz="4" w:space="0" w:color="000000"/>
              <w:right w:val="single" w:sz="4" w:space="0" w:color="D3D3D3"/>
            </w:tcBorders>
          </w:tcPr>
          <w:p>
            <w:pPr/>
          </w:p>
        </w:tc>
        <w:tc>
          <w:tcPr>
            <w:tcW w:w="443" w:type="dxa"/>
            <w:tcBorders>
              <w:top w:val="nil"/>
              <w:left w:val="single" w:sz="4" w:space="0" w:color="D3D3D3"/>
              <w:bottom w:val="single" w:sz="4" w:space="0" w:color="000000"/>
              <w:right w:val="single" w:sz="4" w:space="0" w:color="D3D3D3"/>
            </w:tcBorders>
          </w:tcPr>
          <w:p>
            <w:pPr/>
          </w:p>
        </w:tc>
        <w:tc>
          <w:tcPr>
            <w:tcW w:w="1065" w:type="dxa"/>
            <w:tcBorders>
              <w:top w:val="nil"/>
              <w:left w:val="single" w:sz="4" w:space="0" w:color="D3D3D3"/>
              <w:bottom w:val="single" w:sz="4" w:space="0" w:color="000000"/>
              <w:right w:val="single" w:sz="4" w:space="0" w:color="D3D3D3"/>
            </w:tcBorders>
          </w:tcPr>
          <w:p>
            <w:pPr/>
          </w:p>
        </w:tc>
        <w:tc>
          <w:tcPr>
            <w:tcW w:w="390"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90"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48" w:type="dxa"/>
            <w:tcBorders>
              <w:top w:val="nil"/>
              <w:left w:val="single" w:sz="4" w:space="0" w:color="D3D3D3"/>
              <w:bottom w:val="single" w:sz="4" w:space="0" w:color="000000"/>
            </w:tcBorders>
          </w:tcPr>
          <w:p>
            <w:pPr/>
          </w:p>
        </w:tc>
        <w:tc>
          <w:tcPr>
            <w:tcW w:w="1065" w:type="dxa"/>
            <w:tcBorders>
              <w:top w:val="nil"/>
              <w:bottom w:val="single" w:sz="4" w:space="0" w:color="000000"/>
            </w:tcBorders>
          </w:tcPr>
          <w:p>
            <w:pPr/>
          </w:p>
        </w:tc>
      </w:tr>
      <w:tr>
        <w:trPr>
          <w:trHeight w:val="216" w:hRule="exact"/>
        </w:trPr>
        <w:tc>
          <w:tcPr>
            <w:tcW w:w="2151" w:type="dxa"/>
            <w:tcBorders>
              <w:top w:val="double" w:sz="6" w:space="0" w:color="000000"/>
              <w:left w:val="single" w:sz="4" w:space="0" w:color="000000"/>
              <w:bottom w:val="nil"/>
            </w:tcBorders>
            <w:shd w:val="clear" w:color="auto" w:fill="F1F1F1"/>
          </w:tcPr>
          <w:p>
            <w:pPr>
              <w:pStyle w:val="TableParagraph"/>
              <w:spacing w:before="4"/>
              <w:ind w:left="21"/>
              <w:jc w:val="left"/>
              <w:rPr>
                <w:b/>
                <w:sz w:val="16"/>
              </w:rPr>
            </w:pPr>
            <w:r>
              <w:rPr>
                <w:b/>
                <w:sz w:val="16"/>
              </w:rPr>
              <w:t>Flusso di cassa ante variaz. CC</w:t>
            </w:r>
          </w:p>
        </w:tc>
        <w:tc>
          <w:tcPr>
            <w:tcW w:w="1508" w:type="dxa"/>
            <w:gridSpan w:val="2"/>
            <w:tcBorders>
              <w:top w:val="single" w:sz="4" w:space="0" w:color="000000"/>
              <w:bottom w:val="nil"/>
            </w:tcBorders>
            <w:shd w:val="clear" w:color="auto" w:fill="F1F1F1"/>
          </w:tcPr>
          <w:p>
            <w:pPr>
              <w:pStyle w:val="TableParagraph"/>
              <w:spacing w:before="20"/>
              <w:ind w:left="337"/>
              <w:jc w:val="left"/>
              <w:rPr>
                <w:sz w:val="16"/>
              </w:rPr>
            </w:pPr>
            <w:r>
              <w:rPr>
                <w:sz w:val="16"/>
              </w:rPr>
              <w:t>11.731.582</w:t>
            </w:r>
          </w:p>
        </w:tc>
        <w:tc>
          <w:tcPr>
            <w:tcW w:w="1455" w:type="dxa"/>
            <w:gridSpan w:val="2"/>
            <w:tcBorders>
              <w:top w:val="single" w:sz="4" w:space="0" w:color="000000"/>
              <w:bottom w:val="nil"/>
            </w:tcBorders>
            <w:shd w:val="clear" w:color="auto" w:fill="F1F1F1"/>
          </w:tcPr>
          <w:p>
            <w:pPr>
              <w:pStyle w:val="TableParagraph"/>
              <w:spacing w:before="20"/>
              <w:ind w:left="337"/>
              <w:jc w:val="left"/>
              <w:rPr>
                <w:sz w:val="16"/>
              </w:rPr>
            </w:pPr>
            <w:r>
              <w:rPr>
                <w:sz w:val="16"/>
              </w:rPr>
              <w:t>86.340.540</w:t>
            </w:r>
          </w:p>
        </w:tc>
        <w:tc>
          <w:tcPr>
            <w:tcW w:w="1455" w:type="dxa"/>
            <w:gridSpan w:val="2"/>
            <w:tcBorders>
              <w:top w:val="single" w:sz="4" w:space="0" w:color="000000"/>
              <w:bottom w:val="nil"/>
            </w:tcBorders>
            <w:shd w:val="clear" w:color="auto" w:fill="F1F1F1"/>
          </w:tcPr>
          <w:p>
            <w:pPr>
              <w:pStyle w:val="TableParagraph"/>
              <w:spacing w:before="20"/>
              <w:ind w:left="337"/>
              <w:jc w:val="left"/>
              <w:rPr>
                <w:sz w:val="16"/>
              </w:rPr>
            </w:pPr>
            <w:r>
              <w:rPr>
                <w:sz w:val="16"/>
              </w:rPr>
              <w:t>26.371.576</w:t>
            </w:r>
          </w:p>
        </w:tc>
        <w:tc>
          <w:tcPr>
            <w:tcW w:w="1413" w:type="dxa"/>
            <w:gridSpan w:val="2"/>
            <w:tcBorders>
              <w:top w:val="single" w:sz="4" w:space="0" w:color="000000"/>
              <w:bottom w:val="nil"/>
            </w:tcBorders>
            <w:shd w:val="clear" w:color="auto" w:fill="F1F1F1"/>
          </w:tcPr>
          <w:p>
            <w:pPr>
              <w:pStyle w:val="TableParagraph"/>
              <w:spacing w:before="20"/>
              <w:ind w:left="337"/>
              <w:jc w:val="left"/>
              <w:rPr>
                <w:sz w:val="16"/>
              </w:rPr>
            </w:pPr>
            <w:r>
              <w:rPr>
                <w:sz w:val="16"/>
              </w:rPr>
              <w:t>23.374.173</w:t>
            </w:r>
          </w:p>
        </w:tc>
        <w:tc>
          <w:tcPr>
            <w:tcW w:w="1065" w:type="dxa"/>
            <w:tcBorders>
              <w:top w:val="single" w:sz="4" w:space="0" w:color="000000"/>
              <w:bottom w:val="nil"/>
              <w:right w:val="nil"/>
            </w:tcBorders>
            <w:shd w:val="clear" w:color="auto" w:fill="F1F1F1"/>
          </w:tcPr>
          <w:p>
            <w:pPr>
              <w:pStyle w:val="TableParagraph"/>
              <w:spacing w:before="20"/>
              <w:ind w:right="66"/>
              <w:rPr>
                <w:sz w:val="16"/>
              </w:rPr>
            </w:pPr>
            <w:r>
              <w:rPr>
                <w:sz w:val="16"/>
              </w:rPr>
              <w:t>20.565.664</w:t>
            </w:r>
          </w:p>
        </w:tc>
      </w:tr>
      <w:tr>
        <w:trPr>
          <w:trHeight w:val="206" w:hRule="exact"/>
        </w:trPr>
        <w:tc>
          <w:tcPr>
            <w:tcW w:w="2151" w:type="dxa"/>
            <w:tcBorders>
              <w:top w:val="nil"/>
              <w:left w:val="single" w:sz="4" w:space="0" w:color="000000"/>
              <w:bottom w:val="single" w:sz="4" w:space="0" w:color="D3D3D3"/>
            </w:tcBorders>
          </w:tcPr>
          <w:p>
            <w:pPr>
              <w:pStyle w:val="TableParagraph"/>
              <w:spacing w:before="20"/>
              <w:ind w:left="21"/>
              <w:jc w:val="left"/>
              <w:rPr>
                <w:sz w:val="16"/>
              </w:rPr>
            </w:pPr>
            <w:r>
              <w:rPr>
                <w:sz w:val="16"/>
              </w:rPr>
              <w:t>Var. Rimanenze</w:t>
            </w:r>
          </w:p>
        </w:tc>
        <w:tc>
          <w:tcPr>
            <w:tcW w:w="1065" w:type="dxa"/>
            <w:tcBorders>
              <w:top w:val="nil"/>
              <w:bottom w:val="single" w:sz="4" w:space="0" w:color="D3D3D3"/>
            </w:tcBorders>
          </w:tcPr>
          <w:p>
            <w:pPr>
              <w:pStyle w:val="TableParagraph"/>
              <w:spacing w:before="20"/>
              <w:ind w:right="15"/>
              <w:rPr>
                <w:sz w:val="16"/>
              </w:rPr>
            </w:pPr>
            <w:r>
              <w:rPr>
                <w:w w:val="95"/>
                <w:sz w:val="16"/>
              </w:rPr>
              <w:t>(1.055.411)</w:t>
            </w:r>
          </w:p>
        </w:tc>
        <w:tc>
          <w:tcPr>
            <w:tcW w:w="443" w:type="dxa"/>
            <w:tcBorders>
              <w:top w:val="nil"/>
              <w:bottom w:val="single" w:sz="4" w:space="0" w:color="D3D3D3"/>
            </w:tcBorders>
          </w:tcPr>
          <w:p>
            <w:pPr/>
          </w:p>
        </w:tc>
        <w:tc>
          <w:tcPr>
            <w:tcW w:w="1065" w:type="dxa"/>
            <w:tcBorders>
              <w:top w:val="nil"/>
              <w:bottom w:val="single" w:sz="4" w:space="0" w:color="D3D3D3"/>
            </w:tcBorders>
          </w:tcPr>
          <w:p>
            <w:pPr>
              <w:pStyle w:val="TableParagraph"/>
              <w:spacing w:before="20"/>
              <w:ind w:right="61"/>
              <w:rPr>
                <w:sz w:val="16"/>
              </w:rPr>
            </w:pPr>
            <w:r>
              <w:rPr>
                <w:sz w:val="16"/>
              </w:rPr>
              <w:t>321.200</w:t>
            </w:r>
          </w:p>
        </w:tc>
        <w:tc>
          <w:tcPr>
            <w:tcW w:w="390" w:type="dxa"/>
            <w:tcBorders>
              <w:top w:val="nil"/>
              <w:bottom w:val="single" w:sz="4" w:space="0" w:color="D3D3D3"/>
            </w:tcBorders>
          </w:tcPr>
          <w:p>
            <w:pPr/>
          </w:p>
        </w:tc>
        <w:tc>
          <w:tcPr>
            <w:tcW w:w="1065" w:type="dxa"/>
            <w:tcBorders>
              <w:top w:val="nil"/>
              <w:bottom w:val="single" w:sz="4" w:space="0" w:color="D3D3D3"/>
            </w:tcBorders>
          </w:tcPr>
          <w:p>
            <w:pPr>
              <w:pStyle w:val="TableParagraph"/>
              <w:spacing w:before="20"/>
              <w:ind w:right="64"/>
              <w:rPr>
                <w:sz w:val="16"/>
              </w:rPr>
            </w:pPr>
            <w:r>
              <w:rPr>
                <w:w w:val="98"/>
                <w:sz w:val="16"/>
              </w:rPr>
              <w:t>-</w:t>
            </w:r>
          </w:p>
        </w:tc>
        <w:tc>
          <w:tcPr>
            <w:tcW w:w="390" w:type="dxa"/>
            <w:tcBorders>
              <w:top w:val="nil"/>
              <w:bottom w:val="single" w:sz="4" w:space="0" w:color="D3D3D3"/>
            </w:tcBorders>
          </w:tcPr>
          <w:p>
            <w:pPr/>
          </w:p>
        </w:tc>
        <w:tc>
          <w:tcPr>
            <w:tcW w:w="1065" w:type="dxa"/>
            <w:tcBorders>
              <w:top w:val="nil"/>
              <w:bottom w:val="single" w:sz="4" w:space="0" w:color="D3D3D3"/>
            </w:tcBorders>
          </w:tcPr>
          <w:p>
            <w:pPr/>
          </w:p>
        </w:tc>
        <w:tc>
          <w:tcPr>
            <w:tcW w:w="348" w:type="dxa"/>
            <w:tcBorders>
              <w:top w:val="nil"/>
              <w:bottom w:val="single" w:sz="4" w:space="0" w:color="D3D3D3"/>
            </w:tcBorders>
          </w:tcPr>
          <w:p>
            <w:pPr/>
          </w:p>
        </w:tc>
        <w:tc>
          <w:tcPr>
            <w:tcW w:w="1065" w:type="dxa"/>
            <w:tcBorders>
              <w:top w:val="nil"/>
              <w:bottom w:val="single" w:sz="4" w:space="0" w:color="D3D3D3"/>
            </w:tcBorders>
          </w:tcPr>
          <w:p>
            <w:pP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Crediti vs clienti</w:t>
            </w: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(70.741.859)</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48.347.154</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0"/>
              <w:rPr>
                <w:sz w:val="16"/>
              </w:rPr>
            </w:pPr>
            <w:r>
              <w:rPr>
                <w:w w:val="95"/>
                <w:sz w:val="16"/>
              </w:rPr>
              <w:t>6.128.918</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(454.481)</w:t>
            </w: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(22.403.576)</w:t>
            </w: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crediti non correnti</w:t>
            </w: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(180.556)</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(45.104)</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0"/>
              <w:rPr>
                <w:sz w:val="16"/>
              </w:rPr>
            </w:pPr>
            <w:r>
              <w:rPr>
                <w:sz w:val="16"/>
              </w:rPr>
              <w:t>432.385</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106.005</w:t>
            </w: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(4.199)</w:t>
            </w: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attività finanziarie corr.</w:t>
            </w: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(16.788.973)</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4"/>
              <w:rPr>
                <w:sz w:val="16"/>
              </w:rPr>
            </w:pPr>
            <w:r>
              <w:rPr>
                <w:w w:val="98"/>
                <w:sz w:val="16"/>
              </w:rPr>
              <w:t>-</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4"/>
              <w:rPr>
                <w:sz w:val="16"/>
              </w:rPr>
            </w:pPr>
            <w:r>
              <w:rPr>
                <w:w w:val="98"/>
                <w:sz w:val="16"/>
              </w:rPr>
              <w:t>-</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attività fin. Non corr.</w:t>
            </w:r>
          </w:p>
        </w:tc>
        <w:tc>
          <w:tcPr>
            <w:tcW w:w="1065" w:type="dxa"/>
            <w:tcBorders>
              <w:top w:val="single" w:sz="4" w:space="0" w:color="D3D3D3"/>
              <w:bottom w:val="single" w:sz="4" w:space="0" w:color="D3D3D3"/>
            </w:tcBorders>
          </w:tcPr>
          <w:p>
            <w:pPr>
              <w:pStyle w:val="TableParagraph"/>
              <w:spacing w:before="20"/>
              <w:ind w:right="61"/>
              <w:rPr>
                <w:sz w:val="16"/>
              </w:rPr>
            </w:pPr>
            <w:r>
              <w:rPr>
                <w:w w:val="95"/>
                <w:sz w:val="16"/>
              </w:rPr>
              <w:t>2.255.000</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4"/>
              <w:rPr>
                <w:sz w:val="16"/>
              </w:rPr>
            </w:pPr>
            <w:r>
              <w:rPr>
                <w:w w:val="98"/>
                <w:sz w:val="16"/>
              </w:rPr>
              <w:t>-</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4"/>
              <w:rPr>
                <w:sz w:val="16"/>
              </w:rPr>
            </w:pPr>
            <w:r>
              <w:rPr>
                <w:w w:val="98"/>
                <w:sz w:val="16"/>
              </w:rPr>
              <w:t>-</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Debiti vs fornitori</w:t>
            </w:r>
          </w:p>
        </w:tc>
        <w:tc>
          <w:tcPr>
            <w:tcW w:w="1065" w:type="dxa"/>
            <w:tcBorders>
              <w:top w:val="single" w:sz="4" w:space="0" w:color="D3D3D3"/>
              <w:bottom w:val="single" w:sz="4" w:space="0" w:color="D3D3D3"/>
            </w:tcBorders>
          </w:tcPr>
          <w:p>
            <w:pPr>
              <w:pStyle w:val="TableParagraph"/>
              <w:spacing w:before="20"/>
              <w:ind w:right="61"/>
              <w:rPr>
                <w:sz w:val="16"/>
              </w:rPr>
            </w:pPr>
            <w:r>
              <w:rPr>
                <w:sz w:val="16"/>
              </w:rPr>
              <w:t>33.994.078</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11.334.858</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(20.093.573)</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(12.454.561)</w:t>
            </w: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0"/>
              <w:rPr>
                <w:sz w:val="16"/>
              </w:rPr>
            </w:pPr>
            <w:r>
              <w:rPr>
                <w:w w:val="95"/>
                <w:sz w:val="16"/>
              </w:rPr>
              <w:t>5.981.332</w:t>
            </w: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Crediti/Debiti Anticipi</w:t>
            </w:r>
          </w:p>
        </w:tc>
        <w:tc>
          <w:tcPr>
            <w:tcW w:w="1065" w:type="dxa"/>
            <w:tcBorders>
              <w:top w:val="single" w:sz="4" w:space="0" w:color="D3D3D3"/>
              <w:bottom w:val="single" w:sz="4" w:space="0" w:color="D3D3D3"/>
            </w:tcBorders>
          </w:tcPr>
          <w:p>
            <w:pPr>
              <w:pStyle w:val="TableParagraph"/>
              <w:spacing w:before="20"/>
              <w:ind w:right="61"/>
              <w:rPr>
                <w:sz w:val="16"/>
              </w:rPr>
            </w:pPr>
            <w:r>
              <w:rPr>
                <w:sz w:val="16"/>
              </w:rPr>
              <w:t>26.663.318</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(33.851.198)</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(13.750.799)</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(3.698.365)</w:t>
            </w: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0"/>
              <w:rPr>
                <w:sz w:val="16"/>
              </w:rPr>
            </w:pPr>
            <w:r>
              <w:rPr>
                <w:w w:val="95"/>
                <w:sz w:val="16"/>
              </w:rPr>
              <w:t>5.659.462</w:t>
            </w: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Altre attività/passività fin</w:t>
            </w:r>
          </w:p>
        </w:tc>
        <w:tc>
          <w:tcPr>
            <w:tcW w:w="1065" w:type="dxa"/>
            <w:tcBorders>
              <w:top w:val="single" w:sz="4" w:space="0" w:color="D3D3D3"/>
              <w:bottom w:val="single" w:sz="4" w:space="0" w:color="D3D3D3"/>
            </w:tcBorders>
          </w:tcPr>
          <w:p>
            <w:pPr>
              <w:pStyle w:val="TableParagraph"/>
              <w:spacing w:before="20"/>
              <w:ind w:right="61"/>
              <w:rPr>
                <w:sz w:val="16"/>
              </w:rPr>
            </w:pPr>
            <w:r>
              <w:rPr>
                <w:sz w:val="16"/>
              </w:rPr>
              <w:t>11.695.605</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(22.572.179)</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(533.243)</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709.407</w:t>
            </w: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(137.250)</w:t>
            </w:r>
          </w:p>
        </w:tc>
      </w:tr>
      <w:tr>
        <w:trPr>
          <w:trHeight w:val="211" w:hRule="exact"/>
        </w:trPr>
        <w:tc>
          <w:tcPr>
            <w:tcW w:w="2151" w:type="dxa"/>
            <w:tcBorders>
              <w:top w:val="single" w:sz="4" w:space="0" w:color="D3D3D3"/>
              <w:left w:val="single" w:sz="4" w:space="0" w:color="000000"/>
              <w:bottom w:val="single" w:sz="4" w:space="0" w:color="D3D3D3"/>
            </w:tcBorders>
          </w:tcPr>
          <w:p>
            <w:pPr>
              <w:pStyle w:val="TableParagraph"/>
              <w:spacing w:before="20"/>
              <w:ind w:left="21"/>
              <w:jc w:val="left"/>
              <w:rPr>
                <w:sz w:val="16"/>
              </w:rPr>
            </w:pPr>
            <w:r>
              <w:rPr>
                <w:sz w:val="16"/>
              </w:rPr>
              <w:t>Var. Fondi e TFR</w:t>
            </w:r>
          </w:p>
        </w:tc>
        <w:tc>
          <w:tcPr>
            <w:tcW w:w="1065" w:type="dxa"/>
            <w:tcBorders>
              <w:top w:val="single" w:sz="4" w:space="0" w:color="D3D3D3"/>
              <w:bottom w:val="single" w:sz="4" w:space="0" w:color="D3D3D3"/>
            </w:tcBorders>
          </w:tcPr>
          <w:p>
            <w:pPr>
              <w:pStyle w:val="TableParagraph"/>
              <w:spacing w:before="20"/>
              <w:ind w:right="61"/>
              <w:rPr>
                <w:sz w:val="16"/>
              </w:rPr>
            </w:pPr>
            <w:r>
              <w:rPr>
                <w:sz w:val="16"/>
              </w:rPr>
              <w:t>184.103</w:t>
            </w:r>
          </w:p>
        </w:tc>
        <w:tc>
          <w:tcPr>
            <w:tcW w:w="443"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343.783</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0"/>
              <w:rPr>
                <w:sz w:val="16"/>
              </w:rPr>
            </w:pPr>
            <w:r>
              <w:rPr>
                <w:sz w:val="16"/>
              </w:rPr>
              <w:t>70.725</w:t>
            </w:r>
          </w:p>
        </w:tc>
        <w:tc>
          <w:tcPr>
            <w:tcW w:w="390"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(185.880)</w:t>
            </w:r>
          </w:p>
        </w:tc>
        <w:tc>
          <w:tcPr>
            <w:tcW w:w="348" w:type="dxa"/>
            <w:tcBorders>
              <w:top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(124.345)</w:t>
            </w:r>
          </w:p>
        </w:tc>
      </w:tr>
      <w:tr>
        <w:trPr>
          <w:trHeight w:val="211" w:hRule="exact"/>
        </w:trPr>
        <w:tc>
          <w:tcPr>
            <w:tcW w:w="2151" w:type="dxa"/>
            <w:tcBorders>
              <w:top w:val="single" w:sz="4" w:space="0" w:color="D3D3D3"/>
              <w:left w:val="single" w:sz="4" w:space="0" w:color="000000"/>
              <w:bottom w:val="single" w:sz="4" w:space="0" w:color="000000"/>
            </w:tcBorders>
          </w:tcPr>
          <w:p>
            <w:pPr>
              <w:pStyle w:val="TableParagraph"/>
              <w:spacing w:before="20"/>
              <w:ind w:left="21"/>
              <w:jc w:val="left"/>
              <w:rPr>
                <w:sz w:val="16"/>
              </w:rPr>
            </w:pPr>
            <w:r>
              <w:rPr>
                <w:sz w:val="16"/>
              </w:rPr>
              <w:t>Variazione CCN</w:t>
            </w:r>
          </w:p>
        </w:tc>
        <w:tc>
          <w:tcPr>
            <w:tcW w:w="1065" w:type="dxa"/>
            <w:tcBorders>
              <w:top w:val="single" w:sz="4" w:space="0" w:color="D3D3D3"/>
              <w:bottom w:val="single" w:sz="4" w:space="0" w:color="000000"/>
            </w:tcBorders>
          </w:tcPr>
          <w:p>
            <w:pPr>
              <w:pStyle w:val="TableParagraph"/>
              <w:spacing w:before="20"/>
              <w:ind w:right="15"/>
              <w:rPr>
                <w:sz w:val="16"/>
              </w:rPr>
            </w:pPr>
            <w:r>
              <w:rPr>
                <w:w w:val="95"/>
                <w:sz w:val="16"/>
              </w:rPr>
              <w:t>(13.974.695)</w:t>
            </w:r>
          </w:p>
        </w:tc>
        <w:tc>
          <w:tcPr>
            <w:tcW w:w="443" w:type="dxa"/>
            <w:tcBorders>
              <w:top w:val="single" w:sz="4" w:space="0" w:color="D3D3D3"/>
              <w:bottom w:val="single" w:sz="4" w:space="0" w:color="000000"/>
            </w:tcBorders>
          </w:tcPr>
          <w:p>
            <w:pPr/>
          </w:p>
        </w:tc>
        <w:tc>
          <w:tcPr>
            <w:tcW w:w="1065" w:type="dxa"/>
            <w:tcBorders>
              <w:top w:val="single" w:sz="4" w:space="0" w:color="D3D3D3"/>
              <w:bottom w:val="single" w:sz="4" w:space="0" w:color="000000"/>
            </w:tcBorders>
          </w:tcPr>
          <w:p>
            <w:pPr>
              <w:pStyle w:val="TableParagraph"/>
              <w:spacing w:before="20"/>
              <w:ind w:right="61"/>
              <w:rPr>
                <w:sz w:val="16"/>
              </w:rPr>
            </w:pPr>
            <w:r>
              <w:rPr>
                <w:w w:val="95"/>
                <w:sz w:val="16"/>
              </w:rPr>
              <w:t>3.878.514</w:t>
            </w:r>
          </w:p>
        </w:tc>
        <w:tc>
          <w:tcPr>
            <w:tcW w:w="390" w:type="dxa"/>
            <w:tcBorders>
              <w:top w:val="single" w:sz="4" w:space="0" w:color="D3D3D3"/>
              <w:bottom w:val="single" w:sz="4" w:space="0" w:color="000000"/>
            </w:tcBorders>
          </w:tcPr>
          <w:p>
            <w:pPr/>
          </w:p>
        </w:tc>
        <w:tc>
          <w:tcPr>
            <w:tcW w:w="1065" w:type="dxa"/>
            <w:tcBorders>
              <w:top w:val="single" w:sz="4" w:space="0" w:color="D3D3D3"/>
              <w:bottom w:val="single" w:sz="4" w:space="0" w:color="000000"/>
            </w:tcBorders>
          </w:tcPr>
          <w:p>
            <w:pPr>
              <w:pStyle w:val="TableParagraph"/>
              <w:spacing w:before="20"/>
              <w:ind w:right="15"/>
              <w:rPr>
                <w:sz w:val="16"/>
              </w:rPr>
            </w:pPr>
            <w:r>
              <w:rPr>
                <w:w w:val="95"/>
                <w:sz w:val="16"/>
              </w:rPr>
              <w:t>(27.745.587)</w:t>
            </w:r>
          </w:p>
        </w:tc>
        <w:tc>
          <w:tcPr>
            <w:tcW w:w="390" w:type="dxa"/>
            <w:tcBorders>
              <w:top w:val="single" w:sz="4" w:space="0" w:color="D3D3D3"/>
              <w:bottom w:val="single" w:sz="4" w:space="0" w:color="000000"/>
            </w:tcBorders>
          </w:tcPr>
          <w:p>
            <w:pPr/>
          </w:p>
        </w:tc>
        <w:tc>
          <w:tcPr>
            <w:tcW w:w="1065" w:type="dxa"/>
            <w:tcBorders>
              <w:top w:val="single" w:sz="4" w:space="0" w:color="D3D3D3"/>
              <w:bottom w:val="single" w:sz="4" w:space="0" w:color="000000"/>
            </w:tcBorders>
          </w:tcPr>
          <w:p>
            <w:pPr>
              <w:pStyle w:val="TableParagraph"/>
              <w:spacing w:before="20"/>
              <w:ind w:right="15"/>
              <w:rPr>
                <w:sz w:val="16"/>
              </w:rPr>
            </w:pPr>
            <w:r>
              <w:rPr>
                <w:w w:val="95"/>
                <w:sz w:val="16"/>
              </w:rPr>
              <w:t>(15.977.875)</w:t>
            </w:r>
          </w:p>
        </w:tc>
        <w:tc>
          <w:tcPr>
            <w:tcW w:w="348" w:type="dxa"/>
            <w:tcBorders>
              <w:top w:val="single" w:sz="4" w:space="0" w:color="D3D3D3"/>
              <w:bottom w:val="single" w:sz="4" w:space="0" w:color="000000"/>
            </w:tcBorders>
          </w:tcPr>
          <w:p>
            <w:pPr/>
          </w:p>
        </w:tc>
        <w:tc>
          <w:tcPr>
            <w:tcW w:w="1065" w:type="dxa"/>
            <w:tcBorders>
              <w:top w:val="single" w:sz="4" w:space="0" w:color="D3D3D3"/>
              <w:bottom w:val="single" w:sz="4" w:space="0" w:color="000000"/>
            </w:tcBorders>
          </w:tcPr>
          <w:p>
            <w:pPr>
              <w:pStyle w:val="TableParagraph"/>
              <w:spacing w:before="20"/>
              <w:ind w:right="15"/>
              <w:rPr>
                <w:sz w:val="16"/>
              </w:rPr>
            </w:pPr>
            <w:r>
              <w:rPr>
                <w:w w:val="95"/>
                <w:sz w:val="16"/>
              </w:rPr>
              <w:t>(11.028.576)</w:t>
            </w:r>
          </w:p>
        </w:tc>
      </w:tr>
      <w:tr>
        <w:trPr>
          <w:trHeight w:val="216" w:hRule="exact"/>
        </w:trPr>
        <w:tc>
          <w:tcPr>
            <w:tcW w:w="2151" w:type="dxa"/>
            <w:tcBorders>
              <w:top w:val="single" w:sz="4" w:space="0" w:color="000000"/>
              <w:bottom w:val="nil"/>
            </w:tcBorders>
            <w:shd w:val="clear" w:color="auto" w:fill="F1F1F1"/>
          </w:tcPr>
          <w:p>
            <w:pPr>
              <w:pStyle w:val="TableParagraph"/>
              <w:spacing w:before="20"/>
              <w:ind w:left="21"/>
              <w:jc w:val="left"/>
              <w:rPr>
                <w:b/>
                <w:sz w:val="16"/>
              </w:rPr>
            </w:pPr>
            <w:r>
              <w:rPr>
                <w:b/>
                <w:sz w:val="16"/>
              </w:rPr>
              <w:t>Flusso della gestione operativa</w:t>
            </w:r>
          </w:p>
        </w:tc>
        <w:tc>
          <w:tcPr>
            <w:tcW w:w="1508" w:type="dxa"/>
            <w:gridSpan w:val="2"/>
            <w:tcBorders>
              <w:top w:val="single" w:sz="4" w:space="0" w:color="000000"/>
              <w:bottom w:val="nil"/>
            </w:tcBorders>
            <w:shd w:val="clear" w:color="auto" w:fill="F1F1F1"/>
          </w:tcPr>
          <w:p>
            <w:pPr>
              <w:pStyle w:val="TableParagraph"/>
              <w:spacing w:before="20"/>
              <w:ind w:left="347"/>
              <w:jc w:val="left"/>
              <w:rPr>
                <w:b/>
                <w:sz w:val="16"/>
              </w:rPr>
            </w:pPr>
            <w:r>
              <w:rPr>
                <w:b/>
                <w:sz w:val="16"/>
              </w:rPr>
              <w:t>(2.243.113)</w:t>
            </w:r>
          </w:p>
        </w:tc>
        <w:tc>
          <w:tcPr>
            <w:tcW w:w="1455" w:type="dxa"/>
            <w:gridSpan w:val="2"/>
            <w:tcBorders>
              <w:top w:val="single" w:sz="4" w:space="0" w:color="000000"/>
              <w:bottom w:val="nil"/>
            </w:tcBorders>
            <w:shd w:val="clear" w:color="auto" w:fill="F1F1F1"/>
          </w:tcPr>
          <w:p>
            <w:pPr>
              <w:pStyle w:val="TableParagraph"/>
              <w:spacing w:before="20"/>
              <w:ind w:left="316"/>
              <w:jc w:val="left"/>
              <w:rPr>
                <w:b/>
                <w:sz w:val="16"/>
              </w:rPr>
            </w:pPr>
            <w:r>
              <w:rPr>
                <w:b/>
                <w:sz w:val="16"/>
              </w:rPr>
              <w:t>90.219.054</w:t>
            </w:r>
          </w:p>
        </w:tc>
        <w:tc>
          <w:tcPr>
            <w:tcW w:w="1455" w:type="dxa"/>
            <w:gridSpan w:val="2"/>
            <w:tcBorders>
              <w:top w:val="single" w:sz="4" w:space="0" w:color="000000"/>
              <w:bottom w:val="nil"/>
            </w:tcBorders>
            <w:shd w:val="clear" w:color="auto" w:fill="F1F1F1"/>
          </w:tcPr>
          <w:p>
            <w:pPr>
              <w:pStyle w:val="TableParagraph"/>
              <w:spacing w:before="20"/>
              <w:ind w:left="358"/>
              <w:jc w:val="left"/>
              <w:rPr>
                <w:b/>
                <w:sz w:val="16"/>
              </w:rPr>
            </w:pPr>
            <w:r>
              <w:rPr>
                <w:b/>
                <w:sz w:val="16"/>
              </w:rPr>
              <w:t>(1.374.011)</w:t>
            </w:r>
          </w:p>
        </w:tc>
        <w:tc>
          <w:tcPr>
            <w:tcW w:w="1413" w:type="dxa"/>
            <w:gridSpan w:val="2"/>
            <w:tcBorders>
              <w:top w:val="single" w:sz="4" w:space="0" w:color="000000"/>
              <w:bottom w:val="nil"/>
            </w:tcBorders>
            <w:shd w:val="clear" w:color="auto" w:fill="F1F1F1"/>
          </w:tcPr>
          <w:p>
            <w:pPr>
              <w:pStyle w:val="TableParagraph"/>
              <w:spacing w:before="20"/>
              <w:ind w:left="379"/>
              <w:jc w:val="left"/>
              <w:rPr>
                <w:b/>
                <w:sz w:val="16"/>
              </w:rPr>
            </w:pPr>
            <w:r>
              <w:rPr>
                <w:b/>
                <w:sz w:val="16"/>
              </w:rPr>
              <w:t>7.396.298</w:t>
            </w:r>
          </w:p>
        </w:tc>
        <w:tc>
          <w:tcPr>
            <w:tcW w:w="1065" w:type="dxa"/>
            <w:tcBorders>
              <w:top w:val="single" w:sz="4" w:space="0" w:color="000000"/>
              <w:bottom w:val="nil"/>
            </w:tcBorders>
            <w:shd w:val="clear" w:color="auto" w:fill="F1F1F1"/>
          </w:tcPr>
          <w:p>
            <w:pPr>
              <w:pStyle w:val="TableParagraph"/>
              <w:spacing w:before="20"/>
              <w:ind w:right="72"/>
              <w:rPr>
                <w:b/>
                <w:sz w:val="16"/>
              </w:rPr>
            </w:pPr>
            <w:r>
              <w:rPr>
                <w:b/>
                <w:w w:val="95"/>
                <w:sz w:val="16"/>
              </w:rPr>
              <w:t>9.537.088</w:t>
            </w:r>
          </w:p>
        </w:tc>
      </w:tr>
      <w:tr>
        <w:trPr>
          <w:trHeight w:val="206" w:hRule="exact"/>
        </w:trPr>
        <w:tc>
          <w:tcPr>
            <w:tcW w:w="2151" w:type="dxa"/>
            <w:tcBorders>
              <w:top w:val="nil"/>
              <w:bottom w:val="single" w:sz="4" w:space="0" w:color="D3D3D3"/>
            </w:tcBorders>
          </w:tcPr>
          <w:p>
            <w:pPr/>
          </w:p>
        </w:tc>
        <w:tc>
          <w:tcPr>
            <w:tcW w:w="1065" w:type="dxa"/>
            <w:tcBorders>
              <w:top w:val="nil"/>
              <w:bottom w:val="single" w:sz="4" w:space="0" w:color="D3D3D3"/>
              <w:right w:val="single" w:sz="4" w:space="0" w:color="D3D3D3"/>
            </w:tcBorders>
          </w:tcPr>
          <w:p>
            <w:pPr/>
          </w:p>
        </w:tc>
        <w:tc>
          <w:tcPr>
            <w:tcW w:w="443" w:type="dxa"/>
            <w:tcBorders>
              <w:top w:val="nil"/>
              <w:left w:val="single" w:sz="4" w:space="0" w:color="D3D3D3"/>
              <w:bottom w:val="single" w:sz="4" w:space="0" w:color="D3D3D3"/>
            </w:tcBorders>
          </w:tcPr>
          <w:p>
            <w:pPr/>
          </w:p>
        </w:tc>
        <w:tc>
          <w:tcPr>
            <w:tcW w:w="1065" w:type="dxa"/>
            <w:tcBorders>
              <w:top w:val="nil"/>
              <w:bottom w:val="single" w:sz="4" w:space="0" w:color="D3D3D3"/>
              <w:right w:val="single" w:sz="4" w:space="0" w:color="D3D3D3"/>
            </w:tcBorders>
          </w:tcPr>
          <w:p>
            <w:pPr/>
          </w:p>
        </w:tc>
        <w:tc>
          <w:tcPr>
            <w:tcW w:w="390" w:type="dxa"/>
            <w:tcBorders>
              <w:top w:val="nil"/>
              <w:left w:val="single" w:sz="4" w:space="0" w:color="D3D3D3"/>
              <w:bottom w:val="single" w:sz="4" w:space="0" w:color="D3D3D3"/>
            </w:tcBorders>
          </w:tcPr>
          <w:p>
            <w:pPr/>
          </w:p>
        </w:tc>
        <w:tc>
          <w:tcPr>
            <w:tcW w:w="1065" w:type="dxa"/>
            <w:tcBorders>
              <w:top w:val="nil"/>
              <w:bottom w:val="single" w:sz="4" w:space="0" w:color="D3D3D3"/>
              <w:right w:val="single" w:sz="4" w:space="0" w:color="D3D3D3"/>
            </w:tcBorders>
          </w:tcPr>
          <w:p>
            <w:pPr/>
          </w:p>
        </w:tc>
        <w:tc>
          <w:tcPr>
            <w:tcW w:w="390" w:type="dxa"/>
            <w:tcBorders>
              <w:top w:val="nil"/>
              <w:left w:val="single" w:sz="4" w:space="0" w:color="D3D3D3"/>
              <w:bottom w:val="single" w:sz="4" w:space="0" w:color="D3D3D3"/>
            </w:tcBorders>
          </w:tcPr>
          <w:p>
            <w:pPr/>
          </w:p>
        </w:tc>
        <w:tc>
          <w:tcPr>
            <w:tcW w:w="1065" w:type="dxa"/>
            <w:tcBorders>
              <w:top w:val="nil"/>
              <w:bottom w:val="single" w:sz="4" w:space="0" w:color="D3D3D3"/>
              <w:right w:val="single" w:sz="4" w:space="0" w:color="D3D3D3"/>
            </w:tcBorders>
          </w:tcPr>
          <w:p>
            <w:pPr/>
          </w:p>
        </w:tc>
        <w:tc>
          <w:tcPr>
            <w:tcW w:w="348" w:type="dxa"/>
            <w:tcBorders>
              <w:top w:val="nil"/>
              <w:left w:val="single" w:sz="4" w:space="0" w:color="D3D3D3"/>
              <w:bottom w:val="single" w:sz="4" w:space="0" w:color="D3D3D3"/>
            </w:tcBorders>
          </w:tcPr>
          <w:p>
            <w:pPr/>
          </w:p>
        </w:tc>
        <w:tc>
          <w:tcPr>
            <w:tcW w:w="1065" w:type="dxa"/>
            <w:tcBorders>
              <w:top w:val="nil"/>
              <w:bottom w:val="single" w:sz="4" w:space="0" w:color="D3D3D3"/>
            </w:tcBorders>
          </w:tcPr>
          <w:p>
            <w:pPr/>
          </w:p>
        </w:tc>
      </w:tr>
      <w:tr>
        <w:trPr>
          <w:trHeight w:val="211" w:hRule="exact"/>
        </w:trPr>
        <w:tc>
          <w:tcPr>
            <w:tcW w:w="2151" w:type="dxa"/>
            <w:tcBorders>
              <w:top w:val="single" w:sz="4" w:space="0" w:color="D3D3D3"/>
              <w:bottom w:val="single" w:sz="4" w:space="0" w:color="000000"/>
            </w:tcBorders>
          </w:tcPr>
          <w:p>
            <w:pPr>
              <w:pStyle w:val="TableParagraph"/>
              <w:spacing w:before="20"/>
              <w:ind w:left="21"/>
              <w:jc w:val="left"/>
              <w:rPr>
                <w:sz w:val="16"/>
              </w:rPr>
            </w:pPr>
            <w:r>
              <w:rPr>
                <w:sz w:val="16"/>
              </w:rPr>
              <w:t>Attività d'investimento</w:t>
            </w: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(42.473.124)</w:t>
            </w:r>
          </w:p>
        </w:tc>
        <w:tc>
          <w:tcPr>
            <w:tcW w:w="443"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(11.442.359)</w:t>
            </w:r>
          </w:p>
        </w:tc>
        <w:tc>
          <w:tcPr>
            <w:tcW w:w="390"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(4.668.717)</w:t>
            </w:r>
          </w:p>
        </w:tc>
        <w:tc>
          <w:tcPr>
            <w:tcW w:w="390"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(109.862.105)</w:t>
            </w:r>
          </w:p>
        </w:tc>
        <w:tc>
          <w:tcPr>
            <w:tcW w:w="348"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tcBorders>
          </w:tcPr>
          <w:p>
            <w:pPr>
              <w:pStyle w:val="TableParagraph"/>
              <w:spacing w:before="20"/>
              <w:ind w:right="15"/>
              <w:rPr>
                <w:sz w:val="16"/>
              </w:rPr>
            </w:pPr>
            <w:r>
              <w:rPr>
                <w:w w:val="95"/>
                <w:sz w:val="16"/>
              </w:rPr>
              <w:t>(22.274.490)</w:t>
            </w:r>
          </w:p>
        </w:tc>
      </w:tr>
      <w:tr>
        <w:trPr>
          <w:trHeight w:val="216" w:hRule="exact"/>
        </w:trPr>
        <w:tc>
          <w:tcPr>
            <w:tcW w:w="2151" w:type="dxa"/>
            <w:tcBorders>
              <w:top w:val="single" w:sz="4" w:space="0" w:color="000000"/>
              <w:bottom w:val="nil"/>
            </w:tcBorders>
            <w:shd w:val="clear" w:color="auto" w:fill="F1F1F1"/>
          </w:tcPr>
          <w:p>
            <w:pPr>
              <w:pStyle w:val="TableParagraph"/>
              <w:spacing w:before="20"/>
              <w:ind w:left="21"/>
              <w:jc w:val="left"/>
              <w:rPr>
                <w:b/>
                <w:sz w:val="16"/>
              </w:rPr>
            </w:pPr>
            <w:r>
              <w:rPr>
                <w:b/>
                <w:sz w:val="16"/>
              </w:rPr>
              <w:t>Flusso da investimento</w:t>
            </w:r>
          </w:p>
        </w:tc>
        <w:tc>
          <w:tcPr>
            <w:tcW w:w="1508" w:type="dxa"/>
            <w:gridSpan w:val="2"/>
            <w:tcBorders>
              <w:top w:val="single" w:sz="4" w:space="0" w:color="000000"/>
              <w:bottom w:val="nil"/>
            </w:tcBorders>
            <w:shd w:val="clear" w:color="auto" w:fill="F1F1F1"/>
          </w:tcPr>
          <w:p>
            <w:pPr>
              <w:pStyle w:val="TableParagraph"/>
              <w:spacing w:before="20"/>
              <w:ind w:left="263"/>
              <w:jc w:val="left"/>
              <w:rPr>
                <w:b/>
                <w:sz w:val="16"/>
              </w:rPr>
            </w:pPr>
            <w:r>
              <w:rPr>
                <w:b/>
                <w:sz w:val="16"/>
              </w:rPr>
              <w:t>(42.473.124)</w:t>
            </w:r>
          </w:p>
        </w:tc>
        <w:tc>
          <w:tcPr>
            <w:tcW w:w="1455" w:type="dxa"/>
            <w:gridSpan w:val="2"/>
            <w:tcBorders>
              <w:top w:val="single" w:sz="4" w:space="0" w:color="000000"/>
              <w:bottom w:val="nil"/>
            </w:tcBorders>
            <w:shd w:val="clear" w:color="auto" w:fill="F1F1F1"/>
          </w:tcPr>
          <w:p>
            <w:pPr>
              <w:pStyle w:val="TableParagraph"/>
              <w:spacing w:before="20"/>
              <w:ind w:left="274"/>
              <w:jc w:val="left"/>
              <w:rPr>
                <w:b/>
                <w:sz w:val="16"/>
              </w:rPr>
            </w:pPr>
            <w:r>
              <w:rPr>
                <w:b/>
                <w:sz w:val="16"/>
              </w:rPr>
              <w:t>(11.442.359)</w:t>
            </w:r>
          </w:p>
        </w:tc>
        <w:tc>
          <w:tcPr>
            <w:tcW w:w="1455" w:type="dxa"/>
            <w:gridSpan w:val="2"/>
            <w:tcBorders>
              <w:top w:val="single" w:sz="4" w:space="0" w:color="000000"/>
              <w:bottom w:val="nil"/>
            </w:tcBorders>
            <w:shd w:val="clear" w:color="auto" w:fill="F1F1F1"/>
          </w:tcPr>
          <w:p>
            <w:pPr>
              <w:pStyle w:val="TableParagraph"/>
              <w:spacing w:before="20"/>
              <w:ind w:left="337"/>
              <w:jc w:val="left"/>
              <w:rPr>
                <w:b/>
                <w:sz w:val="16"/>
              </w:rPr>
            </w:pPr>
            <w:r>
              <w:rPr>
                <w:b/>
                <w:sz w:val="16"/>
              </w:rPr>
              <w:t>(4.668.717)</w:t>
            </w:r>
          </w:p>
        </w:tc>
        <w:tc>
          <w:tcPr>
            <w:tcW w:w="1413" w:type="dxa"/>
            <w:gridSpan w:val="2"/>
            <w:tcBorders>
              <w:top w:val="single" w:sz="4" w:space="0" w:color="000000"/>
              <w:bottom w:val="nil"/>
            </w:tcBorders>
            <w:shd w:val="clear" w:color="auto" w:fill="F1F1F1"/>
          </w:tcPr>
          <w:p>
            <w:pPr>
              <w:pStyle w:val="TableParagraph"/>
              <w:spacing w:before="20"/>
              <w:ind w:left="200"/>
              <w:jc w:val="left"/>
              <w:rPr>
                <w:b/>
                <w:sz w:val="16"/>
              </w:rPr>
            </w:pPr>
            <w:r>
              <w:rPr>
                <w:b/>
                <w:sz w:val="16"/>
              </w:rPr>
              <w:t>(109.862.105)</w:t>
            </w:r>
          </w:p>
        </w:tc>
        <w:tc>
          <w:tcPr>
            <w:tcW w:w="1065" w:type="dxa"/>
            <w:tcBorders>
              <w:top w:val="single" w:sz="4" w:space="0" w:color="000000"/>
              <w:bottom w:val="nil"/>
            </w:tcBorders>
            <w:shd w:val="clear" w:color="auto" w:fill="F1F1F1"/>
          </w:tcPr>
          <w:p>
            <w:pPr>
              <w:pStyle w:val="TableParagraph"/>
              <w:spacing w:before="20"/>
              <w:ind w:right="16"/>
              <w:rPr>
                <w:b/>
                <w:sz w:val="16"/>
              </w:rPr>
            </w:pPr>
            <w:r>
              <w:rPr>
                <w:b/>
                <w:w w:val="95"/>
                <w:sz w:val="16"/>
              </w:rPr>
              <w:t>(22.274.490)</w:t>
            </w:r>
          </w:p>
        </w:tc>
      </w:tr>
      <w:tr>
        <w:trPr>
          <w:trHeight w:val="206" w:hRule="exact"/>
        </w:trPr>
        <w:tc>
          <w:tcPr>
            <w:tcW w:w="2151" w:type="dxa"/>
            <w:tcBorders>
              <w:top w:val="nil"/>
              <w:bottom w:val="single" w:sz="4" w:space="0" w:color="D3D3D3"/>
            </w:tcBorders>
          </w:tcPr>
          <w:p>
            <w:pPr/>
          </w:p>
        </w:tc>
        <w:tc>
          <w:tcPr>
            <w:tcW w:w="1065" w:type="dxa"/>
            <w:tcBorders>
              <w:top w:val="nil"/>
              <w:bottom w:val="single" w:sz="4" w:space="0" w:color="D3D3D3"/>
              <w:right w:val="single" w:sz="4" w:space="0" w:color="D3D3D3"/>
            </w:tcBorders>
          </w:tcPr>
          <w:p>
            <w:pPr/>
          </w:p>
        </w:tc>
        <w:tc>
          <w:tcPr>
            <w:tcW w:w="443" w:type="dxa"/>
            <w:tcBorders>
              <w:top w:val="nil"/>
              <w:left w:val="single" w:sz="4" w:space="0" w:color="D3D3D3"/>
              <w:bottom w:val="single" w:sz="4" w:space="0" w:color="D3D3D3"/>
            </w:tcBorders>
          </w:tcPr>
          <w:p>
            <w:pPr/>
          </w:p>
        </w:tc>
        <w:tc>
          <w:tcPr>
            <w:tcW w:w="1065" w:type="dxa"/>
            <w:tcBorders>
              <w:top w:val="nil"/>
              <w:bottom w:val="single" w:sz="4" w:space="0" w:color="D3D3D3"/>
              <w:right w:val="single" w:sz="4" w:space="0" w:color="D3D3D3"/>
            </w:tcBorders>
          </w:tcPr>
          <w:p>
            <w:pPr/>
          </w:p>
        </w:tc>
        <w:tc>
          <w:tcPr>
            <w:tcW w:w="390" w:type="dxa"/>
            <w:tcBorders>
              <w:top w:val="nil"/>
              <w:left w:val="single" w:sz="4" w:space="0" w:color="D3D3D3"/>
              <w:bottom w:val="single" w:sz="4" w:space="0" w:color="D3D3D3"/>
            </w:tcBorders>
          </w:tcPr>
          <w:p>
            <w:pPr/>
          </w:p>
        </w:tc>
        <w:tc>
          <w:tcPr>
            <w:tcW w:w="1065" w:type="dxa"/>
            <w:tcBorders>
              <w:top w:val="nil"/>
              <w:bottom w:val="single" w:sz="4" w:space="0" w:color="D3D3D3"/>
              <w:right w:val="single" w:sz="4" w:space="0" w:color="D3D3D3"/>
            </w:tcBorders>
          </w:tcPr>
          <w:p>
            <w:pPr/>
          </w:p>
        </w:tc>
        <w:tc>
          <w:tcPr>
            <w:tcW w:w="390" w:type="dxa"/>
            <w:tcBorders>
              <w:top w:val="nil"/>
              <w:left w:val="single" w:sz="4" w:space="0" w:color="D3D3D3"/>
              <w:bottom w:val="single" w:sz="4" w:space="0" w:color="D3D3D3"/>
            </w:tcBorders>
          </w:tcPr>
          <w:p>
            <w:pPr/>
          </w:p>
        </w:tc>
        <w:tc>
          <w:tcPr>
            <w:tcW w:w="1065" w:type="dxa"/>
            <w:tcBorders>
              <w:top w:val="nil"/>
              <w:bottom w:val="single" w:sz="4" w:space="0" w:color="D3D3D3"/>
              <w:right w:val="single" w:sz="4" w:space="0" w:color="D3D3D3"/>
            </w:tcBorders>
          </w:tcPr>
          <w:p>
            <w:pPr/>
          </w:p>
        </w:tc>
        <w:tc>
          <w:tcPr>
            <w:tcW w:w="348" w:type="dxa"/>
            <w:tcBorders>
              <w:top w:val="nil"/>
              <w:left w:val="single" w:sz="4" w:space="0" w:color="D3D3D3"/>
              <w:bottom w:val="single" w:sz="4" w:space="0" w:color="D3D3D3"/>
            </w:tcBorders>
          </w:tcPr>
          <w:p>
            <w:pPr/>
          </w:p>
        </w:tc>
        <w:tc>
          <w:tcPr>
            <w:tcW w:w="1065" w:type="dxa"/>
            <w:tcBorders>
              <w:top w:val="nil"/>
              <w:bottom w:val="single" w:sz="4" w:space="0" w:color="D3D3D3"/>
            </w:tcBorders>
          </w:tcPr>
          <w:p>
            <w:pPr/>
          </w:p>
        </w:tc>
      </w:tr>
      <w:tr>
        <w:trPr>
          <w:trHeight w:val="211" w:hRule="exact"/>
        </w:trPr>
        <w:tc>
          <w:tcPr>
            <w:tcW w:w="2151" w:type="dxa"/>
            <w:tcBorders>
              <w:top w:val="single" w:sz="4" w:space="0" w:color="D3D3D3"/>
              <w:bottom w:val="single" w:sz="4" w:space="0" w:color="D3D3D3"/>
            </w:tcBorders>
          </w:tcPr>
          <w:p>
            <w:pPr>
              <w:pStyle w:val="TableParagraph"/>
              <w:spacing w:before="20"/>
              <w:ind w:left="21"/>
              <w:jc w:val="left"/>
              <w:rPr>
                <w:sz w:val="16"/>
              </w:rPr>
            </w:pPr>
            <w:r>
              <w:rPr>
                <w:sz w:val="16"/>
              </w:rPr>
              <w:t>emissione di debito/finanziam</w:t>
            </w:r>
          </w:p>
        </w:tc>
        <w:tc>
          <w:tcPr>
            <w:tcW w:w="1065" w:type="dxa"/>
            <w:tcBorders>
              <w:top w:val="single" w:sz="4" w:space="0" w:color="D3D3D3"/>
              <w:bottom w:val="single" w:sz="4" w:space="0" w:color="D3D3D3"/>
              <w:right w:val="single" w:sz="4" w:space="0" w:color="D3D3D3"/>
            </w:tcBorders>
          </w:tcPr>
          <w:p>
            <w:pPr>
              <w:pStyle w:val="TableParagraph"/>
              <w:spacing w:before="20"/>
              <w:ind w:right="61"/>
              <w:rPr>
                <w:sz w:val="16"/>
              </w:rPr>
            </w:pPr>
            <w:r>
              <w:rPr>
                <w:sz w:val="16"/>
              </w:rPr>
              <w:t>42.761.878</w:t>
            </w:r>
          </w:p>
        </w:tc>
        <w:tc>
          <w:tcPr>
            <w:tcW w:w="443"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15"/>
              <w:rPr>
                <w:sz w:val="16"/>
              </w:rPr>
            </w:pPr>
            <w:r>
              <w:rPr>
                <w:w w:val="95"/>
                <w:sz w:val="16"/>
              </w:rPr>
              <w:t>(5.999.196)</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15"/>
              <w:rPr>
                <w:sz w:val="16"/>
              </w:rPr>
            </w:pPr>
            <w:r>
              <w:rPr>
                <w:w w:val="95"/>
                <w:sz w:val="16"/>
              </w:rPr>
              <w:t>(3.637.430)</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60"/>
              <w:rPr>
                <w:sz w:val="16"/>
              </w:rPr>
            </w:pPr>
            <w:r>
              <w:rPr>
                <w:sz w:val="16"/>
              </w:rPr>
              <w:t>31.292.636</w:t>
            </w:r>
          </w:p>
        </w:tc>
        <w:tc>
          <w:tcPr>
            <w:tcW w:w="348"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102.583</w:t>
            </w:r>
          </w:p>
        </w:tc>
      </w:tr>
      <w:tr>
        <w:trPr>
          <w:trHeight w:val="211" w:hRule="exact"/>
        </w:trPr>
        <w:tc>
          <w:tcPr>
            <w:tcW w:w="2151" w:type="dxa"/>
            <w:tcBorders>
              <w:top w:val="single" w:sz="4" w:space="0" w:color="D3D3D3"/>
              <w:bottom w:val="single" w:sz="4" w:space="0" w:color="D3D3D3"/>
            </w:tcBorders>
          </w:tcPr>
          <w:p>
            <w:pPr>
              <w:pStyle w:val="TableParagraph"/>
              <w:spacing w:before="20"/>
              <w:ind w:left="21"/>
              <w:jc w:val="left"/>
              <w:rPr>
                <w:sz w:val="16"/>
              </w:rPr>
            </w:pPr>
            <w:r>
              <w:rPr>
                <w:sz w:val="16"/>
              </w:rPr>
              <w:t>restituzione finanziamenti</w:t>
            </w:r>
          </w:p>
        </w:tc>
        <w:tc>
          <w:tcPr>
            <w:tcW w:w="1065" w:type="dxa"/>
            <w:tcBorders>
              <w:top w:val="single" w:sz="4" w:space="0" w:color="D3D3D3"/>
              <w:bottom w:val="single" w:sz="4" w:space="0" w:color="D3D3D3"/>
              <w:right w:val="single" w:sz="4" w:space="0" w:color="D3D3D3"/>
            </w:tcBorders>
          </w:tcPr>
          <w:p>
            <w:pPr>
              <w:pStyle w:val="TableParagraph"/>
              <w:spacing w:before="20"/>
              <w:ind w:right="15"/>
              <w:rPr>
                <w:sz w:val="16"/>
              </w:rPr>
            </w:pPr>
            <w:r>
              <w:rPr>
                <w:w w:val="95"/>
                <w:sz w:val="16"/>
              </w:rPr>
              <w:t>(1.000.000)</w:t>
            </w:r>
          </w:p>
        </w:tc>
        <w:tc>
          <w:tcPr>
            <w:tcW w:w="443"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61"/>
              <w:rPr>
                <w:sz w:val="16"/>
              </w:rPr>
            </w:pPr>
            <w:r>
              <w:rPr>
                <w:w w:val="95"/>
                <w:sz w:val="16"/>
              </w:rPr>
              <w:t>1.215.484</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60"/>
              <w:rPr>
                <w:sz w:val="16"/>
              </w:rPr>
            </w:pPr>
            <w:r>
              <w:rPr>
                <w:sz w:val="16"/>
              </w:rPr>
              <w:t>64.524.640</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15"/>
              <w:rPr>
                <w:sz w:val="16"/>
              </w:rPr>
            </w:pPr>
            <w:r>
              <w:rPr>
                <w:w w:val="95"/>
                <w:sz w:val="16"/>
              </w:rPr>
              <w:t>(5.972.401)</w:t>
            </w:r>
          </w:p>
        </w:tc>
        <w:tc>
          <w:tcPr>
            <w:tcW w:w="348"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15"/>
              <w:rPr>
                <w:sz w:val="16"/>
              </w:rPr>
            </w:pPr>
            <w:r>
              <w:rPr>
                <w:w w:val="95"/>
                <w:sz w:val="16"/>
              </w:rPr>
              <w:t>(12.002.616)</w:t>
            </w:r>
          </w:p>
        </w:tc>
      </w:tr>
      <w:tr>
        <w:trPr>
          <w:trHeight w:val="211" w:hRule="exact"/>
        </w:trPr>
        <w:tc>
          <w:tcPr>
            <w:tcW w:w="2151" w:type="dxa"/>
            <w:tcBorders>
              <w:top w:val="single" w:sz="4" w:space="0" w:color="D3D3D3"/>
              <w:bottom w:val="single" w:sz="4" w:space="0" w:color="D3D3D3"/>
            </w:tcBorders>
          </w:tcPr>
          <w:p>
            <w:pPr>
              <w:pStyle w:val="TableParagraph"/>
              <w:spacing w:before="20"/>
              <w:ind w:left="21"/>
              <w:jc w:val="left"/>
              <w:rPr>
                <w:sz w:val="16"/>
              </w:rPr>
            </w:pPr>
            <w:r>
              <w:rPr>
                <w:sz w:val="16"/>
              </w:rPr>
              <w:t>movimenti cash pooling</w:t>
            </w:r>
          </w:p>
        </w:tc>
        <w:tc>
          <w:tcPr>
            <w:tcW w:w="1065" w:type="dxa"/>
            <w:tcBorders>
              <w:top w:val="single" w:sz="4" w:space="0" w:color="D3D3D3"/>
              <w:bottom w:val="single" w:sz="4" w:space="0" w:color="D3D3D3"/>
              <w:right w:val="single" w:sz="4" w:space="0" w:color="D3D3D3"/>
            </w:tcBorders>
          </w:tcPr>
          <w:p>
            <w:pPr>
              <w:pStyle w:val="TableParagraph"/>
              <w:spacing w:before="20"/>
              <w:ind w:right="64"/>
              <w:rPr>
                <w:sz w:val="16"/>
              </w:rPr>
            </w:pPr>
            <w:r>
              <w:rPr>
                <w:w w:val="98"/>
                <w:sz w:val="16"/>
              </w:rPr>
              <w:t>-</w:t>
            </w:r>
          </w:p>
        </w:tc>
        <w:tc>
          <w:tcPr>
            <w:tcW w:w="443"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15"/>
              <w:rPr>
                <w:sz w:val="16"/>
              </w:rPr>
            </w:pPr>
            <w:r>
              <w:rPr>
                <w:w w:val="95"/>
                <w:sz w:val="16"/>
              </w:rPr>
              <w:t>(74.126.884)</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15"/>
              <w:rPr>
                <w:sz w:val="16"/>
              </w:rPr>
            </w:pPr>
            <w:r>
              <w:rPr>
                <w:w w:val="95"/>
                <w:sz w:val="16"/>
              </w:rPr>
              <w:t>(51.755.980)</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60"/>
              <w:rPr>
                <w:sz w:val="16"/>
              </w:rPr>
            </w:pPr>
            <w:r>
              <w:rPr>
                <w:sz w:val="16"/>
              </w:rPr>
              <w:t>81.039.805</w:t>
            </w:r>
          </w:p>
        </w:tc>
        <w:tc>
          <w:tcPr>
            <w:tcW w:w="348"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38.430.848</w:t>
            </w:r>
          </w:p>
        </w:tc>
      </w:tr>
      <w:tr>
        <w:trPr>
          <w:trHeight w:val="211" w:hRule="exact"/>
        </w:trPr>
        <w:tc>
          <w:tcPr>
            <w:tcW w:w="2151" w:type="dxa"/>
            <w:tcBorders>
              <w:top w:val="single" w:sz="4" w:space="0" w:color="D3D3D3"/>
              <w:bottom w:val="single" w:sz="4" w:space="0" w:color="D3D3D3"/>
            </w:tcBorders>
          </w:tcPr>
          <w:p>
            <w:pPr>
              <w:pStyle w:val="TableParagraph"/>
              <w:spacing w:before="20"/>
              <w:ind w:left="21"/>
              <w:jc w:val="left"/>
              <w:rPr>
                <w:sz w:val="16"/>
              </w:rPr>
            </w:pPr>
            <w:r>
              <w:rPr>
                <w:sz w:val="16"/>
              </w:rPr>
              <w:t>interessi attivi su finanziam.to</w:t>
            </w:r>
          </w:p>
        </w:tc>
        <w:tc>
          <w:tcPr>
            <w:tcW w:w="1065" w:type="dxa"/>
            <w:tcBorders>
              <w:top w:val="single" w:sz="4" w:space="0" w:color="D3D3D3"/>
              <w:bottom w:val="single" w:sz="4" w:space="0" w:color="D3D3D3"/>
              <w:right w:val="single" w:sz="4" w:space="0" w:color="D3D3D3"/>
            </w:tcBorders>
          </w:tcPr>
          <w:p>
            <w:pPr>
              <w:pStyle w:val="TableParagraph"/>
              <w:spacing w:before="20"/>
              <w:ind w:right="61"/>
              <w:rPr>
                <w:sz w:val="16"/>
              </w:rPr>
            </w:pPr>
            <w:r>
              <w:rPr>
                <w:sz w:val="16"/>
              </w:rPr>
              <w:t>24.948</w:t>
            </w:r>
          </w:p>
        </w:tc>
        <w:tc>
          <w:tcPr>
            <w:tcW w:w="443"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61"/>
              <w:rPr>
                <w:sz w:val="16"/>
              </w:rPr>
            </w:pPr>
            <w:r>
              <w:rPr>
                <w:sz w:val="16"/>
              </w:rPr>
              <w:t>27.848</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60"/>
              <w:rPr>
                <w:sz w:val="16"/>
              </w:rPr>
            </w:pPr>
            <w:r>
              <w:rPr>
                <w:sz w:val="16"/>
              </w:rPr>
              <w:t>819.245</w:t>
            </w:r>
          </w:p>
        </w:tc>
        <w:tc>
          <w:tcPr>
            <w:tcW w:w="390"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right w:val="single" w:sz="4" w:space="0" w:color="D3D3D3"/>
            </w:tcBorders>
          </w:tcPr>
          <w:p>
            <w:pPr>
              <w:pStyle w:val="TableParagraph"/>
              <w:spacing w:before="20"/>
              <w:ind w:right="60"/>
              <w:rPr>
                <w:sz w:val="16"/>
              </w:rPr>
            </w:pPr>
            <w:r>
              <w:rPr>
                <w:w w:val="95"/>
                <w:sz w:val="16"/>
              </w:rPr>
              <w:t>1.546.234</w:t>
            </w:r>
          </w:p>
        </w:tc>
        <w:tc>
          <w:tcPr>
            <w:tcW w:w="348" w:type="dxa"/>
            <w:tcBorders>
              <w:top w:val="single" w:sz="4" w:space="0" w:color="D3D3D3"/>
              <w:left w:val="single" w:sz="4" w:space="0" w:color="D3D3D3"/>
              <w:bottom w:val="single" w:sz="4" w:space="0" w:color="D3D3D3"/>
            </w:tcBorders>
          </w:tcPr>
          <w:p>
            <w:pPr/>
          </w:p>
        </w:tc>
        <w:tc>
          <w:tcPr>
            <w:tcW w:w="1065" w:type="dxa"/>
            <w:tcBorders>
              <w:top w:val="single" w:sz="4" w:space="0" w:color="D3D3D3"/>
              <w:bottom w:val="single" w:sz="4" w:space="0" w:color="D3D3D3"/>
            </w:tcBorders>
          </w:tcPr>
          <w:p>
            <w:pPr>
              <w:pStyle w:val="TableParagraph"/>
              <w:spacing w:before="20"/>
              <w:ind w:right="61"/>
              <w:rPr>
                <w:sz w:val="16"/>
              </w:rPr>
            </w:pPr>
            <w:r>
              <w:rPr>
                <w:sz w:val="16"/>
              </w:rPr>
              <w:t>718.417</w:t>
            </w:r>
          </w:p>
        </w:tc>
      </w:tr>
      <w:tr>
        <w:trPr>
          <w:trHeight w:val="211" w:hRule="exact"/>
        </w:trPr>
        <w:tc>
          <w:tcPr>
            <w:tcW w:w="2151" w:type="dxa"/>
            <w:tcBorders>
              <w:top w:val="single" w:sz="4" w:space="0" w:color="D3D3D3"/>
              <w:bottom w:val="single" w:sz="4" w:space="0" w:color="000000"/>
            </w:tcBorders>
          </w:tcPr>
          <w:p>
            <w:pPr>
              <w:pStyle w:val="TableParagraph"/>
              <w:spacing w:before="20"/>
              <w:ind w:left="21"/>
              <w:jc w:val="left"/>
              <w:rPr>
                <w:sz w:val="16"/>
              </w:rPr>
            </w:pPr>
            <w:r>
              <w:rPr>
                <w:sz w:val="16"/>
              </w:rPr>
              <w:t>interessi passivi su finanziam.to</w:t>
            </w: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(3.265.111)</w:t>
            </w:r>
          </w:p>
        </w:tc>
        <w:tc>
          <w:tcPr>
            <w:tcW w:w="443"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(5.088.635)</w:t>
            </w:r>
          </w:p>
        </w:tc>
        <w:tc>
          <w:tcPr>
            <w:tcW w:w="390"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(3.831.415)</w:t>
            </w:r>
          </w:p>
        </w:tc>
        <w:tc>
          <w:tcPr>
            <w:tcW w:w="390"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right w:val="single" w:sz="4" w:space="0" w:color="D3D3D3"/>
            </w:tcBorders>
          </w:tcPr>
          <w:p>
            <w:pPr>
              <w:pStyle w:val="TableParagraph"/>
              <w:spacing w:before="20"/>
              <w:ind w:right="15"/>
              <w:rPr>
                <w:sz w:val="16"/>
              </w:rPr>
            </w:pPr>
            <w:r>
              <w:rPr>
                <w:w w:val="95"/>
                <w:sz w:val="16"/>
              </w:rPr>
              <w:t>(7.049.182)</w:t>
            </w:r>
          </w:p>
        </w:tc>
        <w:tc>
          <w:tcPr>
            <w:tcW w:w="348" w:type="dxa"/>
            <w:tcBorders>
              <w:top w:val="single" w:sz="4" w:space="0" w:color="D3D3D3"/>
              <w:left w:val="single" w:sz="4" w:space="0" w:color="D3D3D3"/>
              <w:bottom w:val="single" w:sz="4" w:space="0" w:color="000000"/>
            </w:tcBorders>
          </w:tcPr>
          <w:p>
            <w:pPr/>
          </w:p>
        </w:tc>
        <w:tc>
          <w:tcPr>
            <w:tcW w:w="1065" w:type="dxa"/>
            <w:tcBorders>
              <w:top w:val="single" w:sz="4" w:space="0" w:color="D3D3D3"/>
              <w:bottom w:val="single" w:sz="4" w:space="0" w:color="000000"/>
            </w:tcBorders>
          </w:tcPr>
          <w:p>
            <w:pPr>
              <w:pStyle w:val="TableParagraph"/>
              <w:spacing w:before="20"/>
              <w:ind w:right="15"/>
              <w:rPr>
                <w:sz w:val="16"/>
              </w:rPr>
            </w:pPr>
            <w:r>
              <w:rPr>
                <w:w w:val="95"/>
                <w:sz w:val="16"/>
              </w:rPr>
              <w:t>(7.988.000)</w:t>
            </w:r>
          </w:p>
        </w:tc>
      </w:tr>
      <w:tr>
        <w:trPr>
          <w:trHeight w:val="216" w:hRule="exact"/>
        </w:trPr>
        <w:tc>
          <w:tcPr>
            <w:tcW w:w="2151" w:type="dxa"/>
            <w:tcBorders>
              <w:top w:val="single" w:sz="4" w:space="0" w:color="000000"/>
              <w:bottom w:val="nil"/>
            </w:tcBorders>
            <w:shd w:val="clear" w:color="auto" w:fill="F1F1F1"/>
          </w:tcPr>
          <w:p>
            <w:pPr>
              <w:pStyle w:val="TableParagraph"/>
              <w:spacing w:before="20"/>
              <w:ind w:left="21"/>
              <w:jc w:val="left"/>
              <w:rPr>
                <w:b/>
                <w:sz w:val="16"/>
              </w:rPr>
            </w:pPr>
            <w:r>
              <w:rPr>
                <w:b/>
                <w:sz w:val="16"/>
              </w:rPr>
              <w:t>Flusso da finanziamento</w:t>
            </w:r>
          </w:p>
        </w:tc>
        <w:tc>
          <w:tcPr>
            <w:tcW w:w="1508" w:type="dxa"/>
            <w:gridSpan w:val="2"/>
            <w:tcBorders>
              <w:top w:val="single" w:sz="4" w:space="0" w:color="000000"/>
              <w:bottom w:val="nil"/>
            </w:tcBorders>
            <w:shd w:val="clear" w:color="auto" w:fill="F1F1F1"/>
          </w:tcPr>
          <w:p>
            <w:pPr>
              <w:pStyle w:val="TableParagraph"/>
              <w:spacing w:before="20"/>
              <w:ind w:left="326"/>
              <w:jc w:val="left"/>
              <w:rPr>
                <w:b/>
                <w:sz w:val="16"/>
              </w:rPr>
            </w:pPr>
            <w:r>
              <w:rPr>
                <w:b/>
                <w:sz w:val="16"/>
              </w:rPr>
              <w:t>38.521.715</w:t>
            </w:r>
          </w:p>
        </w:tc>
        <w:tc>
          <w:tcPr>
            <w:tcW w:w="1455" w:type="dxa"/>
            <w:gridSpan w:val="2"/>
            <w:tcBorders>
              <w:top w:val="single" w:sz="4" w:space="0" w:color="000000"/>
              <w:bottom w:val="nil"/>
            </w:tcBorders>
            <w:shd w:val="clear" w:color="auto" w:fill="F1F1F1"/>
          </w:tcPr>
          <w:p>
            <w:pPr>
              <w:pStyle w:val="TableParagraph"/>
              <w:spacing w:before="20"/>
              <w:ind w:left="263"/>
              <w:jc w:val="left"/>
              <w:rPr>
                <w:b/>
                <w:sz w:val="16"/>
              </w:rPr>
            </w:pPr>
            <w:r>
              <w:rPr>
                <w:b/>
                <w:sz w:val="16"/>
              </w:rPr>
              <w:t>(83.971.383)</w:t>
            </w:r>
          </w:p>
        </w:tc>
        <w:tc>
          <w:tcPr>
            <w:tcW w:w="1455" w:type="dxa"/>
            <w:gridSpan w:val="2"/>
            <w:tcBorders>
              <w:top w:val="single" w:sz="4" w:space="0" w:color="000000"/>
              <w:bottom w:val="nil"/>
            </w:tcBorders>
            <w:shd w:val="clear" w:color="auto" w:fill="F1F1F1"/>
          </w:tcPr>
          <w:p>
            <w:pPr>
              <w:pStyle w:val="TableParagraph"/>
              <w:spacing w:before="20"/>
              <w:ind w:left="400"/>
              <w:jc w:val="left"/>
              <w:rPr>
                <w:b/>
                <w:sz w:val="16"/>
              </w:rPr>
            </w:pPr>
            <w:r>
              <w:rPr>
                <w:b/>
                <w:sz w:val="16"/>
              </w:rPr>
              <w:t>6.119.060</w:t>
            </w:r>
          </w:p>
        </w:tc>
        <w:tc>
          <w:tcPr>
            <w:tcW w:w="1413" w:type="dxa"/>
            <w:gridSpan w:val="2"/>
            <w:tcBorders>
              <w:top w:val="single" w:sz="4" w:space="0" w:color="000000"/>
              <w:bottom w:val="nil"/>
            </w:tcBorders>
            <w:shd w:val="clear" w:color="auto" w:fill="F1F1F1"/>
          </w:tcPr>
          <w:p>
            <w:pPr>
              <w:pStyle w:val="TableParagraph"/>
              <w:spacing w:before="20"/>
              <w:ind w:left="242"/>
              <w:jc w:val="left"/>
              <w:rPr>
                <w:b/>
                <w:sz w:val="16"/>
              </w:rPr>
            </w:pPr>
            <w:r>
              <w:rPr>
                <w:b/>
                <w:sz w:val="16"/>
              </w:rPr>
              <w:t>100.857.092</w:t>
            </w:r>
          </w:p>
        </w:tc>
        <w:tc>
          <w:tcPr>
            <w:tcW w:w="1065" w:type="dxa"/>
            <w:tcBorders>
              <w:top w:val="single" w:sz="4" w:space="0" w:color="000000"/>
              <w:bottom w:val="nil"/>
            </w:tcBorders>
            <w:shd w:val="clear" w:color="auto" w:fill="F1F1F1"/>
          </w:tcPr>
          <w:p>
            <w:pPr>
              <w:pStyle w:val="TableParagraph"/>
              <w:spacing w:before="20"/>
              <w:ind w:right="72"/>
              <w:rPr>
                <w:b/>
                <w:sz w:val="16"/>
              </w:rPr>
            </w:pPr>
            <w:r>
              <w:rPr>
                <w:b/>
                <w:w w:val="95"/>
                <w:sz w:val="16"/>
              </w:rPr>
              <w:t>19.261.232</w:t>
            </w:r>
          </w:p>
        </w:tc>
      </w:tr>
      <w:tr>
        <w:trPr>
          <w:trHeight w:val="206" w:hRule="exact"/>
        </w:trPr>
        <w:tc>
          <w:tcPr>
            <w:tcW w:w="2151" w:type="dxa"/>
            <w:tcBorders>
              <w:top w:val="nil"/>
              <w:bottom w:val="single" w:sz="4" w:space="0" w:color="000000"/>
            </w:tcBorders>
          </w:tcPr>
          <w:p>
            <w:pPr/>
          </w:p>
        </w:tc>
        <w:tc>
          <w:tcPr>
            <w:tcW w:w="1065" w:type="dxa"/>
            <w:tcBorders>
              <w:top w:val="nil"/>
              <w:bottom w:val="single" w:sz="4" w:space="0" w:color="000000"/>
              <w:right w:val="single" w:sz="4" w:space="0" w:color="D3D3D3"/>
            </w:tcBorders>
          </w:tcPr>
          <w:p>
            <w:pPr/>
          </w:p>
        </w:tc>
        <w:tc>
          <w:tcPr>
            <w:tcW w:w="443"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90"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90"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48" w:type="dxa"/>
            <w:tcBorders>
              <w:top w:val="nil"/>
              <w:left w:val="single" w:sz="4" w:space="0" w:color="D3D3D3"/>
              <w:bottom w:val="single" w:sz="4" w:space="0" w:color="000000"/>
            </w:tcBorders>
          </w:tcPr>
          <w:p>
            <w:pPr/>
          </w:p>
        </w:tc>
        <w:tc>
          <w:tcPr>
            <w:tcW w:w="1065" w:type="dxa"/>
            <w:tcBorders>
              <w:top w:val="nil"/>
              <w:bottom w:val="single" w:sz="4" w:space="0" w:color="000000"/>
            </w:tcBorders>
          </w:tcPr>
          <w:p>
            <w:pPr/>
          </w:p>
        </w:tc>
      </w:tr>
      <w:tr>
        <w:trPr>
          <w:trHeight w:val="216" w:hRule="exact"/>
        </w:trPr>
        <w:tc>
          <w:tcPr>
            <w:tcW w:w="2151" w:type="dxa"/>
            <w:tcBorders>
              <w:top w:val="single" w:sz="4" w:space="0" w:color="000000"/>
              <w:bottom w:val="nil"/>
            </w:tcBorders>
            <w:shd w:val="clear" w:color="auto" w:fill="F1F1F1"/>
          </w:tcPr>
          <w:p>
            <w:pPr>
              <w:pStyle w:val="TableParagraph"/>
              <w:spacing w:before="20"/>
              <w:ind w:left="21"/>
              <w:jc w:val="left"/>
              <w:rPr>
                <w:b/>
                <w:sz w:val="16"/>
              </w:rPr>
            </w:pPr>
            <w:r>
              <w:rPr>
                <w:b/>
                <w:sz w:val="16"/>
              </w:rPr>
              <w:t>Variazione disp. Liquide</w:t>
            </w:r>
          </w:p>
        </w:tc>
        <w:tc>
          <w:tcPr>
            <w:tcW w:w="1508" w:type="dxa"/>
            <w:gridSpan w:val="2"/>
            <w:tcBorders>
              <w:top w:val="single" w:sz="4" w:space="0" w:color="000000"/>
              <w:bottom w:val="nil"/>
            </w:tcBorders>
            <w:shd w:val="clear" w:color="auto" w:fill="F1F1F1"/>
          </w:tcPr>
          <w:p>
            <w:pPr>
              <w:pStyle w:val="TableParagraph"/>
              <w:spacing w:before="20"/>
              <w:ind w:left="337"/>
              <w:jc w:val="left"/>
              <w:rPr>
                <w:b/>
                <w:sz w:val="16"/>
              </w:rPr>
            </w:pPr>
            <w:r>
              <w:rPr>
                <w:b/>
                <w:sz w:val="16"/>
              </w:rPr>
              <w:t>(6.194.522)</w:t>
            </w:r>
          </w:p>
        </w:tc>
        <w:tc>
          <w:tcPr>
            <w:tcW w:w="1455" w:type="dxa"/>
            <w:gridSpan w:val="2"/>
            <w:tcBorders>
              <w:top w:val="single" w:sz="4" w:space="0" w:color="000000"/>
              <w:bottom w:val="nil"/>
            </w:tcBorders>
            <w:shd w:val="clear" w:color="auto" w:fill="F1F1F1"/>
          </w:tcPr>
          <w:p>
            <w:pPr>
              <w:pStyle w:val="TableParagraph"/>
              <w:spacing w:before="20"/>
              <w:ind w:left="337"/>
              <w:jc w:val="left"/>
              <w:rPr>
                <w:b/>
                <w:sz w:val="16"/>
              </w:rPr>
            </w:pPr>
            <w:r>
              <w:rPr>
                <w:b/>
                <w:sz w:val="16"/>
              </w:rPr>
              <w:t>(5.194.690)</w:t>
            </w:r>
          </w:p>
        </w:tc>
        <w:tc>
          <w:tcPr>
            <w:tcW w:w="1455" w:type="dxa"/>
            <w:gridSpan w:val="2"/>
            <w:tcBorders>
              <w:top w:val="single" w:sz="4" w:space="0" w:color="000000"/>
              <w:bottom w:val="nil"/>
            </w:tcBorders>
            <w:shd w:val="clear" w:color="auto" w:fill="F1F1F1"/>
          </w:tcPr>
          <w:p>
            <w:pPr>
              <w:pStyle w:val="TableParagraph"/>
              <w:spacing w:before="20"/>
              <w:ind w:left="569"/>
              <w:jc w:val="left"/>
              <w:rPr>
                <w:b/>
                <w:sz w:val="16"/>
              </w:rPr>
            </w:pPr>
            <w:r>
              <w:rPr>
                <w:b/>
                <w:sz w:val="16"/>
              </w:rPr>
              <w:t>76.332</w:t>
            </w:r>
          </w:p>
        </w:tc>
        <w:tc>
          <w:tcPr>
            <w:tcW w:w="1413" w:type="dxa"/>
            <w:gridSpan w:val="2"/>
            <w:tcBorders>
              <w:top w:val="single" w:sz="4" w:space="0" w:color="000000"/>
              <w:bottom w:val="nil"/>
            </w:tcBorders>
            <w:shd w:val="clear" w:color="auto" w:fill="F1F1F1"/>
          </w:tcPr>
          <w:p>
            <w:pPr>
              <w:pStyle w:val="TableParagraph"/>
              <w:spacing w:before="20"/>
              <w:ind w:left="347"/>
              <w:jc w:val="left"/>
              <w:rPr>
                <w:b/>
                <w:sz w:val="16"/>
              </w:rPr>
            </w:pPr>
            <w:r>
              <w:rPr>
                <w:b/>
                <w:sz w:val="16"/>
              </w:rPr>
              <w:t>(1.608.715)</w:t>
            </w:r>
          </w:p>
        </w:tc>
        <w:tc>
          <w:tcPr>
            <w:tcW w:w="1065" w:type="dxa"/>
            <w:tcBorders>
              <w:top w:val="single" w:sz="4" w:space="0" w:color="000000"/>
              <w:bottom w:val="nil"/>
            </w:tcBorders>
            <w:shd w:val="clear" w:color="auto" w:fill="F1F1F1"/>
          </w:tcPr>
          <w:p>
            <w:pPr>
              <w:pStyle w:val="TableParagraph"/>
              <w:spacing w:before="20"/>
              <w:ind w:right="72"/>
              <w:rPr>
                <w:b/>
                <w:sz w:val="16"/>
              </w:rPr>
            </w:pPr>
            <w:r>
              <w:rPr>
                <w:b/>
                <w:w w:val="95"/>
                <w:sz w:val="16"/>
              </w:rPr>
              <w:t>6.523.830</w:t>
            </w:r>
          </w:p>
        </w:tc>
      </w:tr>
      <w:tr>
        <w:trPr>
          <w:trHeight w:val="206" w:hRule="exact"/>
        </w:trPr>
        <w:tc>
          <w:tcPr>
            <w:tcW w:w="2151" w:type="dxa"/>
            <w:tcBorders>
              <w:top w:val="nil"/>
              <w:bottom w:val="single" w:sz="4" w:space="0" w:color="000000"/>
            </w:tcBorders>
          </w:tcPr>
          <w:p>
            <w:pPr/>
          </w:p>
        </w:tc>
        <w:tc>
          <w:tcPr>
            <w:tcW w:w="1065" w:type="dxa"/>
            <w:tcBorders>
              <w:top w:val="nil"/>
              <w:bottom w:val="single" w:sz="4" w:space="0" w:color="000000"/>
              <w:right w:val="single" w:sz="4" w:space="0" w:color="D3D3D3"/>
            </w:tcBorders>
          </w:tcPr>
          <w:p>
            <w:pPr/>
          </w:p>
        </w:tc>
        <w:tc>
          <w:tcPr>
            <w:tcW w:w="443"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90"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90" w:type="dxa"/>
            <w:tcBorders>
              <w:top w:val="nil"/>
              <w:left w:val="single" w:sz="4" w:space="0" w:color="D3D3D3"/>
              <w:bottom w:val="single" w:sz="4" w:space="0" w:color="000000"/>
            </w:tcBorders>
          </w:tcPr>
          <w:p>
            <w:pPr/>
          </w:p>
        </w:tc>
        <w:tc>
          <w:tcPr>
            <w:tcW w:w="1065" w:type="dxa"/>
            <w:tcBorders>
              <w:top w:val="nil"/>
              <w:bottom w:val="single" w:sz="4" w:space="0" w:color="000000"/>
              <w:right w:val="single" w:sz="4" w:space="0" w:color="D3D3D3"/>
            </w:tcBorders>
          </w:tcPr>
          <w:p>
            <w:pPr/>
          </w:p>
        </w:tc>
        <w:tc>
          <w:tcPr>
            <w:tcW w:w="348" w:type="dxa"/>
            <w:tcBorders>
              <w:top w:val="nil"/>
              <w:left w:val="single" w:sz="4" w:space="0" w:color="D3D3D3"/>
              <w:bottom w:val="single" w:sz="4" w:space="0" w:color="000000"/>
            </w:tcBorders>
          </w:tcPr>
          <w:p>
            <w:pPr/>
          </w:p>
        </w:tc>
        <w:tc>
          <w:tcPr>
            <w:tcW w:w="1065" w:type="dxa"/>
            <w:tcBorders>
              <w:top w:val="nil"/>
              <w:bottom w:val="single" w:sz="4" w:space="0" w:color="000000"/>
            </w:tcBorders>
          </w:tcPr>
          <w:p>
            <w:pPr/>
          </w:p>
        </w:tc>
      </w:tr>
      <w:tr>
        <w:trPr>
          <w:trHeight w:val="211" w:hRule="exact"/>
        </w:trPr>
        <w:tc>
          <w:tcPr>
            <w:tcW w:w="2151" w:type="dxa"/>
            <w:tcBorders>
              <w:top w:val="single" w:sz="4" w:space="0" w:color="000000"/>
              <w:bottom w:val="single" w:sz="4" w:space="0" w:color="000000"/>
            </w:tcBorders>
            <w:shd w:val="clear" w:color="auto" w:fill="F1F1F1"/>
          </w:tcPr>
          <w:p>
            <w:pPr>
              <w:pStyle w:val="TableParagraph"/>
              <w:spacing w:before="20"/>
              <w:ind w:left="21"/>
              <w:jc w:val="left"/>
              <w:rPr>
                <w:sz w:val="16"/>
              </w:rPr>
            </w:pPr>
            <w:r>
              <w:rPr>
                <w:sz w:val="16"/>
              </w:rPr>
              <w:t>Disponibilità liquide iniziali</w:t>
            </w:r>
          </w:p>
        </w:tc>
        <w:tc>
          <w:tcPr>
            <w:tcW w:w="1508" w:type="dxa"/>
            <w:gridSpan w:val="2"/>
            <w:tcBorders>
              <w:top w:val="single" w:sz="4" w:space="0" w:color="000000"/>
              <w:bottom w:val="single" w:sz="4" w:space="0" w:color="000000"/>
            </w:tcBorders>
            <w:shd w:val="clear" w:color="auto" w:fill="F1F1F1"/>
          </w:tcPr>
          <w:p>
            <w:pPr>
              <w:pStyle w:val="TableParagraph"/>
              <w:spacing w:before="20"/>
              <w:ind w:left="337"/>
              <w:jc w:val="left"/>
              <w:rPr>
                <w:sz w:val="16"/>
              </w:rPr>
            </w:pPr>
            <w:r>
              <w:rPr>
                <w:sz w:val="16"/>
              </w:rPr>
              <w:t>16.130.909</w:t>
            </w:r>
          </w:p>
        </w:tc>
        <w:tc>
          <w:tcPr>
            <w:tcW w:w="1455" w:type="dxa"/>
            <w:gridSpan w:val="2"/>
            <w:tcBorders>
              <w:top w:val="single" w:sz="4" w:space="0" w:color="000000"/>
              <w:bottom w:val="single" w:sz="4" w:space="0" w:color="000000"/>
            </w:tcBorders>
            <w:shd w:val="clear" w:color="auto" w:fill="F1F1F1"/>
          </w:tcPr>
          <w:p>
            <w:pPr>
              <w:pStyle w:val="TableParagraph"/>
              <w:spacing w:before="20"/>
              <w:ind w:left="411"/>
              <w:jc w:val="left"/>
              <w:rPr>
                <w:sz w:val="16"/>
              </w:rPr>
            </w:pPr>
            <w:r>
              <w:rPr>
                <w:sz w:val="16"/>
              </w:rPr>
              <w:t>9.936.387</w:t>
            </w:r>
          </w:p>
        </w:tc>
        <w:tc>
          <w:tcPr>
            <w:tcW w:w="1455" w:type="dxa"/>
            <w:gridSpan w:val="2"/>
            <w:tcBorders>
              <w:top w:val="single" w:sz="4" w:space="0" w:color="000000"/>
              <w:bottom w:val="single" w:sz="4" w:space="0" w:color="000000"/>
            </w:tcBorders>
            <w:shd w:val="clear" w:color="auto" w:fill="F1F1F1"/>
          </w:tcPr>
          <w:p>
            <w:pPr>
              <w:pStyle w:val="TableParagraph"/>
              <w:spacing w:before="20"/>
              <w:ind w:left="411"/>
              <w:jc w:val="left"/>
              <w:rPr>
                <w:sz w:val="16"/>
              </w:rPr>
            </w:pPr>
            <w:r>
              <w:rPr>
                <w:sz w:val="16"/>
              </w:rPr>
              <w:t>4.741.690</w:t>
            </w:r>
          </w:p>
        </w:tc>
        <w:tc>
          <w:tcPr>
            <w:tcW w:w="1413" w:type="dxa"/>
            <w:gridSpan w:val="2"/>
            <w:tcBorders>
              <w:top w:val="single" w:sz="4" w:space="0" w:color="000000"/>
              <w:bottom w:val="single" w:sz="4" w:space="0" w:color="000000"/>
            </w:tcBorders>
            <w:shd w:val="clear" w:color="auto" w:fill="F1F1F1"/>
          </w:tcPr>
          <w:p>
            <w:pPr>
              <w:pStyle w:val="TableParagraph"/>
              <w:spacing w:before="20"/>
              <w:ind w:left="411"/>
              <w:jc w:val="left"/>
              <w:rPr>
                <w:sz w:val="16"/>
              </w:rPr>
            </w:pPr>
            <w:r>
              <w:rPr>
                <w:sz w:val="16"/>
              </w:rPr>
              <w:t>4.818.022</w:t>
            </w:r>
          </w:p>
        </w:tc>
        <w:tc>
          <w:tcPr>
            <w:tcW w:w="1065" w:type="dxa"/>
            <w:tcBorders>
              <w:top w:val="single" w:sz="4" w:space="0" w:color="000000"/>
              <w:bottom w:val="single" w:sz="4" w:space="0" w:color="000000"/>
            </w:tcBorders>
            <w:shd w:val="clear" w:color="auto" w:fill="F1F1F1"/>
          </w:tcPr>
          <w:p>
            <w:pPr>
              <w:pStyle w:val="TableParagraph"/>
              <w:spacing w:before="20"/>
              <w:ind w:right="60"/>
              <w:rPr>
                <w:sz w:val="16"/>
              </w:rPr>
            </w:pPr>
            <w:r>
              <w:rPr>
                <w:w w:val="95"/>
                <w:sz w:val="16"/>
              </w:rPr>
              <w:t>3.209.307</w:t>
            </w:r>
          </w:p>
        </w:tc>
      </w:tr>
      <w:tr>
        <w:trPr>
          <w:trHeight w:val="211" w:hRule="exact"/>
        </w:trPr>
        <w:tc>
          <w:tcPr>
            <w:tcW w:w="2151" w:type="dxa"/>
            <w:tcBorders>
              <w:top w:val="single" w:sz="4" w:space="0" w:color="000000"/>
              <w:bottom w:val="single" w:sz="4" w:space="0" w:color="000000"/>
            </w:tcBorders>
          </w:tcPr>
          <w:p>
            <w:pPr>
              <w:pStyle w:val="TableParagraph"/>
              <w:spacing w:before="20"/>
              <w:ind w:left="21"/>
              <w:jc w:val="left"/>
              <w:rPr>
                <w:sz w:val="16"/>
              </w:rPr>
            </w:pPr>
            <w:r>
              <w:rPr>
                <w:sz w:val="16"/>
              </w:rPr>
              <w:t>Flusso di cassa netto</w:t>
            </w:r>
          </w:p>
        </w:tc>
        <w:tc>
          <w:tcPr>
            <w:tcW w:w="1065" w:type="dxa"/>
            <w:tcBorders>
              <w:top w:val="single" w:sz="4" w:space="0" w:color="000000"/>
              <w:bottom w:val="single" w:sz="4" w:space="0" w:color="000000"/>
              <w:right w:val="single" w:sz="4" w:space="0" w:color="D3D3D3"/>
            </w:tcBorders>
          </w:tcPr>
          <w:p>
            <w:pPr>
              <w:pStyle w:val="TableParagraph"/>
              <w:spacing w:before="20"/>
              <w:ind w:right="15"/>
              <w:rPr>
                <w:sz w:val="16"/>
              </w:rPr>
            </w:pPr>
            <w:r>
              <w:rPr>
                <w:w w:val="95"/>
                <w:sz w:val="16"/>
              </w:rPr>
              <w:t>(6.194.522)</w:t>
            </w:r>
          </w:p>
        </w:tc>
        <w:tc>
          <w:tcPr>
            <w:tcW w:w="443" w:type="dxa"/>
            <w:tcBorders>
              <w:top w:val="single" w:sz="4" w:space="0" w:color="000000"/>
              <w:left w:val="single" w:sz="4" w:space="0" w:color="D3D3D3"/>
              <w:bottom w:val="single" w:sz="4" w:space="0" w:color="000000"/>
            </w:tcBorders>
          </w:tcPr>
          <w:p>
            <w:pPr/>
          </w:p>
        </w:tc>
        <w:tc>
          <w:tcPr>
            <w:tcW w:w="1065" w:type="dxa"/>
            <w:tcBorders>
              <w:top w:val="single" w:sz="4" w:space="0" w:color="000000"/>
              <w:bottom w:val="single" w:sz="4" w:space="0" w:color="000000"/>
              <w:right w:val="single" w:sz="4" w:space="0" w:color="D3D3D3"/>
            </w:tcBorders>
          </w:tcPr>
          <w:p>
            <w:pPr>
              <w:pStyle w:val="TableParagraph"/>
              <w:spacing w:before="20"/>
              <w:ind w:right="15"/>
              <w:rPr>
                <w:sz w:val="16"/>
              </w:rPr>
            </w:pPr>
            <w:r>
              <w:rPr>
                <w:w w:val="95"/>
                <w:sz w:val="16"/>
              </w:rPr>
              <w:t>(5.194.690)</w:t>
            </w:r>
          </w:p>
        </w:tc>
        <w:tc>
          <w:tcPr>
            <w:tcW w:w="390" w:type="dxa"/>
            <w:tcBorders>
              <w:top w:val="single" w:sz="4" w:space="0" w:color="000000"/>
              <w:left w:val="single" w:sz="4" w:space="0" w:color="D3D3D3"/>
              <w:bottom w:val="single" w:sz="4" w:space="0" w:color="000000"/>
            </w:tcBorders>
          </w:tcPr>
          <w:p>
            <w:pPr/>
          </w:p>
        </w:tc>
        <w:tc>
          <w:tcPr>
            <w:tcW w:w="1065" w:type="dxa"/>
            <w:tcBorders>
              <w:top w:val="single" w:sz="4" w:space="0" w:color="000000"/>
              <w:bottom w:val="single" w:sz="4" w:space="0" w:color="000000"/>
              <w:right w:val="single" w:sz="4" w:space="0" w:color="D3D3D3"/>
            </w:tcBorders>
          </w:tcPr>
          <w:p>
            <w:pPr>
              <w:pStyle w:val="TableParagraph"/>
              <w:spacing w:before="20"/>
              <w:ind w:right="60"/>
              <w:rPr>
                <w:sz w:val="16"/>
              </w:rPr>
            </w:pPr>
            <w:r>
              <w:rPr>
                <w:sz w:val="16"/>
              </w:rPr>
              <w:t>76.332</w:t>
            </w:r>
          </w:p>
        </w:tc>
        <w:tc>
          <w:tcPr>
            <w:tcW w:w="390" w:type="dxa"/>
            <w:tcBorders>
              <w:top w:val="single" w:sz="4" w:space="0" w:color="000000"/>
              <w:left w:val="single" w:sz="4" w:space="0" w:color="D3D3D3"/>
              <w:bottom w:val="single" w:sz="4" w:space="0" w:color="000000"/>
            </w:tcBorders>
          </w:tcPr>
          <w:p>
            <w:pPr/>
          </w:p>
        </w:tc>
        <w:tc>
          <w:tcPr>
            <w:tcW w:w="1065" w:type="dxa"/>
            <w:tcBorders>
              <w:top w:val="single" w:sz="4" w:space="0" w:color="000000"/>
              <w:bottom w:val="single" w:sz="4" w:space="0" w:color="000000"/>
              <w:right w:val="single" w:sz="4" w:space="0" w:color="D3D3D3"/>
            </w:tcBorders>
          </w:tcPr>
          <w:p>
            <w:pPr>
              <w:pStyle w:val="TableParagraph"/>
              <w:spacing w:before="20"/>
              <w:ind w:right="15"/>
              <w:rPr>
                <w:sz w:val="16"/>
              </w:rPr>
            </w:pPr>
            <w:r>
              <w:rPr>
                <w:w w:val="95"/>
                <w:sz w:val="16"/>
              </w:rPr>
              <w:t>(1.608.715)</w:t>
            </w:r>
          </w:p>
        </w:tc>
        <w:tc>
          <w:tcPr>
            <w:tcW w:w="348" w:type="dxa"/>
            <w:tcBorders>
              <w:top w:val="single" w:sz="4" w:space="0" w:color="000000"/>
              <w:left w:val="single" w:sz="4" w:space="0" w:color="D3D3D3"/>
              <w:bottom w:val="single" w:sz="4" w:space="0" w:color="000000"/>
            </w:tcBorders>
          </w:tcPr>
          <w:p>
            <w:pPr/>
          </w:p>
        </w:tc>
        <w:tc>
          <w:tcPr>
            <w:tcW w:w="1065" w:type="dxa"/>
            <w:tcBorders>
              <w:top w:val="single" w:sz="4" w:space="0" w:color="000000"/>
              <w:bottom w:val="single" w:sz="4" w:space="0" w:color="000000"/>
            </w:tcBorders>
          </w:tcPr>
          <w:p>
            <w:pPr>
              <w:pStyle w:val="TableParagraph"/>
              <w:spacing w:before="20"/>
              <w:ind w:right="60"/>
              <w:rPr>
                <w:sz w:val="16"/>
              </w:rPr>
            </w:pPr>
            <w:r>
              <w:rPr>
                <w:w w:val="95"/>
                <w:sz w:val="16"/>
              </w:rPr>
              <w:t>6.523.830</w:t>
            </w:r>
          </w:p>
        </w:tc>
      </w:tr>
      <w:tr>
        <w:trPr>
          <w:trHeight w:val="216" w:hRule="exact"/>
        </w:trPr>
        <w:tc>
          <w:tcPr>
            <w:tcW w:w="2151" w:type="dxa"/>
            <w:tcBorders>
              <w:top w:val="single" w:sz="4" w:space="0" w:color="000000"/>
              <w:bottom w:val="single" w:sz="8" w:space="0" w:color="A6A6A6"/>
            </w:tcBorders>
            <w:shd w:val="clear" w:color="auto" w:fill="F1F1F1"/>
          </w:tcPr>
          <w:p>
            <w:pPr>
              <w:pStyle w:val="TableParagraph"/>
              <w:spacing w:before="20"/>
              <w:ind w:left="21"/>
              <w:jc w:val="left"/>
              <w:rPr>
                <w:sz w:val="16"/>
              </w:rPr>
            </w:pPr>
            <w:r>
              <w:rPr>
                <w:sz w:val="16"/>
              </w:rPr>
              <w:t>Disponibilità liquide finali</w:t>
            </w:r>
          </w:p>
        </w:tc>
        <w:tc>
          <w:tcPr>
            <w:tcW w:w="1508" w:type="dxa"/>
            <w:gridSpan w:val="2"/>
            <w:tcBorders>
              <w:top w:val="single" w:sz="4" w:space="0" w:color="000000"/>
              <w:bottom w:val="single" w:sz="8" w:space="0" w:color="A6A6A6"/>
            </w:tcBorders>
            <w:shd w:val="clear" w:color="auto" w:fill="F1F1F1"/>
          </w:tcPr>
          <w:p>
            <w:pPr>
              <w:pStyle w:val="TableParagraph"/>
              <w:spacing w:before="20"/>
              <w:ind w:left="411"/>
              <w:jc w:val="left"/>
              <w:rPr>
                <w:sz w:val="16"/>
              </w:rPr>
            </w:pPr>
            <w:r>
              <w:rPr>
                <w:sz w:val="16"/>
              </w:rPr>
              <w:t>9.936.387</w:t>
            </w:r>
          </w:p>
        </w:tc>
        <w:tc>
          <w:tcPr>
            <w:tcW w:w="1455" w:type="dxa"/>
            <w:gridSpan w:val="2"/>
            <w:tcBorders>
              <w:top w:val="single" w:sz="4" w:space="0" w:color="000000"/>
              <w:bottom w:val="single" w:sz="8" w:space="0" w:color="A6A6A6"/>
            </w:tcBorders>
            <w:shd w:val="clear" w:color="auto" w:fill="F1F1F1"/>
          </w:tcPr>
          <w:p>
            <w:pPr>
              <w:pStyle w:val="TableParagraph"/>
              <w:spacing w:before="20"/>
              <w:ind w:left="411"/>
              <w:jc w:val="left"/>
              <w:rPr>
                <w:sz w:val="16"/>
              </w:rPr>
            </w:pPr>
            <w:r>
              <w:rPr>
                <w:sz w:val="16"/>
              </w:rPr>
              <w:t>4.741.690</w:t>
            </w:r>
          </w:p>
        </w:tc>
        <w:tc>
          <w:tcPr>
            <w:tcW w:w="1455" w:type="dxa"/>
            <w:gridSpan w:val="2"/>
            <w:tcBorders>
              <w:top w:val="single" w:sz="4" w:space="0" w:color="000000"/>
              <w:bottom w:val="single" w:sz="8" w:space="0" w:color="A6A6A6"/>
            </w:tcBorders>
            <w:shd w:val="clear" w:color="auto" w:fill="F1F1F1"/>
          </w:tcPr>
          <w:p>
            <w:pPr>
              <w:pStyle w:val="TableParagraph"/>
              <w:spacing w:before="20"/>
              <w:ind w:left="411"/>
              <w:jc w:val="left"/>
              <w:rPr>
                <w:sz w:val="16"/>
              </w:rPr>
            </w:pPr>
            <w:r>
              <w:rPr>
                <w:sz w:val="16"/>
              </w:rPr>
              <w:t>4.818.022</w:t>
            </w:r>
          </w:p>
        </w:tc>
        <w:tc>
          <w:tcPr>
            <w:tcW w:w="1413" w:type="dxa"/>
            <w:gridSpan w:val="2"/>
            <w:tcBorders>
              <w:top w:val="single" w:sz="4" w:space="0" w:color="000000"/>
              <w:bottom w:val="single" w:sz="8" w:space="0" w:color="A6A6A6"/>
            </w:tcBorders>
            <w:shd w:val="clear" w:color="auto" w:fill="F1F1F1"/>
          </w:tcPr>
          <w:p>
            <w:pPr>
              <w:pStyle w:val="TableParagraph"/>
              <w:spacing w:before="20"/>
              <w:ind w:left="411"/>
              <w:jc w:val="left"/>
              <w:rPr>
                <w:sz w:val="16"/>
              </w:rPr>
            </w:pPr>
            <w:r>
              <w:rPr>
                <w:sz w:val="16"/>
              </w:rPr>
              <w:t>3.209.307</w:t>
            </w:r>
          </w:p>
        </w:tc>
        <w:tc>
          <w:tcPr>
            <w:tcW w:w="1065" w:type="dxa"/>
            <w:tcBorders>
              <w:top w:val="single" w:sz="4" w:space="0" w:color="000000"/>
              <w:bottom w:val="single" w:sz="8" w:space="0" w:color="A6A6A6"/>
            </w:tcBorders>
            <w:shd w:val="clear" w:color="auto" w:fill="F1F1F1"/>
          </w:tcPr>
          <w:p>
            <w:pPr>
              <w:pStyle w:val="TableParagraph"/>
              <w:spacing w:before="20"/>
              <w:ind w:right="60"/>
              <w:rPr>
                <w:sz w:val="16"/>
              </w:rPr>
            </w:pPr>
            <w:r>
              <w:rPr>
                <w:w w:val="95"/>
                <w:sz w:val="16"/>
              </w:rPr>
              <w:t>9.733.137</w:t>
            </w:r>
          </w:p>
        </w:tc>
      </w:tr>
    </w:tbl>
    <w:p>
      <w:pPr>
        <w:pStyle w:val="BodyText"/>
        <w:spacing w:before="2"/>
      </w:pPr>
    </w:p>
    <w:p>
      <w:pPr>
        <w:pStyle w:val="BodyText"/>
        <w:spacing w:line="480" w:lineRule="auto"/>
        <w:ind w:left="1418" w:right="1417"/>
        <w:jc w:val="both"/>
      </w:pPr>
      <w:r>
        <w:rPr/>
        <w:t>La Società mostra una capacità di generazione di cassa a livello di redditività operativa che viene assorbita dalle attività di investimento (a sua volta “finanziata” grazie alla movimentazione del  </w:t>
      </w:r>
      <w:r>
        <w:rPr>
          <w:i/>
        </w:rPr>
        <w:t>cash</w:t>
      </w:r>
      <w:r>
        <w:rPr>
          <w:i/>
          <w:spacing w:val="-5"/>
        </w:rPr>
        <w:t> </w:t>
      </w:r>
      <w:r>
        <w:rPr>
          <w:i/>
        </w:rPr>
        <w:t>pooling</w:t>
      </w:r>
      <w:r>
        <w:rPr/>
        <w:t>).</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1"/>
        <w:jc w:val="both"/>
      </w:pPr>
      <w:r>
        <w:rPr/>
        <w:t>In generale si assiste ad un progressivo indebolimento delle condizioni di solvibilità e liquidità aziendale, al punto che il quoziente di disponibilità e tesoreria (secondo la prassi aziendalistica valori degli indici prossimi all’unità indicano condizioni di equilibrio) assumono nel 2016 rispettivamente il valore di 0,77 e 0,75 (Relazione sulla gestione bilancio 2016, pag. 15).</w:t>
      </w:r>
    </w:p>
    <w:p>
      <w:pPr>
        <w:pStyle w:val="BodyText"/>
        <w:spacing w:line="480" w:lineRule="auto"/>
        <w:ind w:left="1418" w:right="1417"/>
        <w:jc w:val="both"/>
      </w:pPr>
      <w:r>
        <w:rPr/>
        <w:t>Dal bilancio 2013 (pag. 68 NI) risultano compensi all’organo amministrativo per un totale di euro 2,7 milioni. Dal bilancio 2014 (pag. 73 NI) risultano compensi all’organo amministrativo per un totale di euro 2,7 milioni. Dal bilancio 2015 (pag. 77 NI) risultano compensi all’organo amministrativo per un totale di euro 0,5 milioni.</w:t>
      </w:r>
    </w:p>
    <w:p>
      <w:pPr>
        <w:pStyle w:val="BodyText"/>
        <w:spacing w:line="480" w:lineRule="auto"/>
        <w:ind w:left="1418" w:right="1416"/>
        <w:jc w:val="both"/>
      </w:pPr>
      <w:r>
        <w:rPr/>
        <w:t>In definitiva, dal punto di vista gestionale, le cause della crisi appaiono ascrivibili agli ingenti investimenti nell’impianto di Crescentino dal quale non sono derivati i ritorni via via programmati e riflessi nei piani aziendali adottati dal management.</w:t>
      </w:r>
    </w:p>
    <w:p>
      <w:pPr>
        <w:pStyle w:val="BodyText"/>
        <w:spacing w:line="480" w:lineRule="auto"/>
        <w:ind w:left="1418" w:right="1415"/>
        <w:jc w:val="both"/>
      </w:pPr>
      <w:r>
        <w:rPr/>
        <w:t>La sostenibilità finanziaria di tali investimenti nel tempo avrebbe richiesto il continuo sostegno  del gruppo di appartenenza di Biochemtex, non essendo a tal fine sufficienti i risultati reddituali positivi ed i connessi flussi finanziari generati dalla attività caratteristica della</w:t>
      </w:r>
      <w:r>
        <w:rPr>
          <w:spacing w:val="-33"/>
        </w:rPr>
        <w:t> </w:t>
      </w:r>
      <w:r>
        <w:rPr/>
        <w:t>Società.</w:t>
      </w:r>
    </w:p>
    <w:p>
      <w:pPr>
        <w:pStyle w:val="BodyText"/>
        <w:spacing w:before="10"/>
        <w:rPr>
          <w:sz w:val="31"/>
        </w:rPr>
      </w:pPr>
    </w:p>
    <w:p>
      <w:pPr>
        <w:pStyle w:val="Heading2"/>
        <w:numPr>
          <w:ilvl w:val="1"/>
          <w:numId w:val="9"/>
        </w:numPr>
        <w:tabs>
          <w:tab w:pos="1847" w:val="left" w:leader="none"/>
        </w:tabs>
        <w:spacing w:line="480" w:lineRule="auto" w:before="1" w:after="0"/>
        <w:ind w:left="1846" w:right="1413" w:hanging="428"/>
        <w:jc w:val="both"/>
      </w:pPr>
      <w:bookmarkStart w:name="_bookmark13" w:id="27"/>
      <w:bookmarkEnd w:id="27"/>
      <w:r>
        <w:rPr>
          <w:b w:val="0"/>
        </w:rPr>
      </w:r>
      <w:bookmarkStart w:name="_bookmark13" w:id="28"/>
      <w:bookmarkEnd w:id="28"/>
      <w:r>
        <w:rPr/>
        <w:t>L</w:t>
      </w:r>
      <w:r>
        <w:rPr/>
        <w:t>’ANDAMENTO DELLA SOCIETÀ NELLA PROSPETTIVA DEGLI ORGANI SOCIALI DESUMIBILE DALLA ANALISI DEL LIBRO VERBALI CONSIGLIO DI AMMINISTRAZIONE E DEL COLLEGIO SINDACALE DI</w:t>
      </w:r>
      <w:r>
        <w:rPr>
          <w:spacing w:val="-24"/>
        </w:rPr>
        <w:t> </w:t>
      </w:r>
      <w:r>
        <w:rPr/>
        <w:t>BIOCHEMTEX</w:t>
      </w:r>
    </w:p>
    <w:p>
      <w:pPr>
        <w:pStyle w:val="BodyText"/>
        <w:spacing w:line="480" w:lineRule="auto" w:before="120"/>
        <w:ind w:left="1418" w:right="1412"/>
        <w:jc w:val="both"/>
      </w:pPr>
      <w:r>
        <w:rPr/>
        <w:t>Gli scriventi hanno preso visione dei verbali del Consiglio di Amministrazione e del Collegio Sindacale. Dall’analisi, condotta in ordine cronologico a partire dall’esercizio 2013 per il Consiglio di Amministrazione e per il Collegio Sindacale, emergono le seguenti risultanze di sintesi.</w:t>
      </w:r>
    </w:p>
    <w:p>
      <w:pPr>
        <w:pStyle w:val="BodyText"/>
        <w:spacing w:line="480" w:lineRule="auto"/>
        <w:ind w:left="1418" w:right="1417"/>
        <w:jc w:val="both"/>
      </w:pPr>
      <w:r>
        <w:rPr/>
        <w:t>Si segnala che il Collegio Sindacale risulta, con esclusione di alcune assenza giustificate, presente anche ai Consigli di Amministrazione e che il Rag. Straccamore partecipa sovente alle riunioni del</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Collegio sindacale al fine di fornire, quale responsabile amministrativo, informazioni in merito  alla gestione ed alle operazioni poste in essere dalla</w:t>
      </w:r>
      <w:r>
        <w:rPr>
          <w:spacing w:val="-21"/>
        </w:rPr>
        <w:t> </w:t>
      </w:r>
      <w:r>
        <w:rPr/>
        <w:t>Società.</w:t>
      </w:r>
    </w:p>
    <w:p>
      <w:pPr>
        <w:pStyle w:val="BodyText"/>
        <w:rPr>
          <w:sz w:val="26"/>
        </w:rPr>
      </w:pPr>
    </w:p>
    <w:p>
      <w:pPr>
        <w:pStyle w:val="BodyText"/>
        <w:spacing w:before="11"/>
        <w:rPr>
          <w:sz w:val="21"/>
        </w:rPr>
      </w:pPr>
    </w:p>
    <w:p>
      <w:pPr>
        <w:spacing w:before="0"/>
        <w:ind w:left="1418" w:right="0" w:firstLine="0"/>
        <w:jc w:val="left"/>
        <w:rPr>
          <w:i/>
          <w:sz w:val="24"/>
        </w:rPr>
      </w:pPr>
      <w:r>
        <w:rPr>
          <w:i/>
          <w:sz w:val="24"/>
          <w:u w:val="single"/>
        </w:rPr>
        <w:t>Anno 2013 (Cda Biochemtex)</w:t>
      </w:r>
    </w:p>
    <w:p>
      <w:pPr>
        <w:pStyle w:val="BodyText"/>
        <w:spacing w:before="10"/>
        <w:rPr>
          <w:i/>
          <w:sz w:val="23"/>
        </w:rPr>
      </w:pPr>
    </w:p>
    <w:p>
      <w:pPr>
        <w:pStyle w:val="ListParagraph"/>
        <w:numPr>
          <w:ilvl w:val="2"/>
          <w:numId w:val="9"/>
        </w:numPr>
        <w:tabs>
          <w:tab w:pos="2127" w:val="left" w:leader="none"/>
        </w:tabs>
        <w:spacing w:line="477" w:lineRule="auto" w:before="0" w:after="0"/>
        <w:ind w:left="2138" w:right="1411" w:hanging="360"/>
        <w:jc w:val="both"/>
        <w:rPr>
          <w:sz w:val="24"/>
        </w:rPr>
      </w:pPr>
      <w:r>
        <w:rPr>
          <w:sz w:val="24"/>
        </w:rPr>
        <w:t>Dal verbale del Cda riunitosi in data 14 gennaio 2013, emerge che gli amministratori deliberano in merito alla proposta di trasferimento alla M&amp;G Finanziaria del ramo d’azienda per la gestione delle commesse per la costruzione di impianti chimici. Gli amministratori ricordano che l’impegno profuso nell’attività di ricerca e sviluppo – in particolare per la produzione di bioetanolo di seconda generazione – ha contribuito “</w:t>
      </w:r>
      <w:r>
        <w:rPr>
          <w:i/>
          <w:sz w:val="24"/>
        </w:rPr>
        <w:t>alla </w:t>
      </w:r>
      <w:r>
        <w:rPr>
          <w:i/>
          <w:sz w:val="24"/>
        </w:rPr>
        <w:t>acquisizione di conoscenze oggetto di brevetto sotto la denominazione di “tecnologia PROESA”. Il ramo d’azienda avente per oggetto la commercializzazione della tecnologia in questione, alla fine del 2011, è stato conferito alla controllata Beta Renewables S.p.A. che curerà la valorizzazione commerciale della predetta tecnologia</w:t>
      </w:r>
      <w:r>
        <w:rPr>
          <w:sz w:val="24"/>
        </w:rPr>
        <w:t>”. Gli amministratori, ricordati gli accordi tra la Società ed il fondo USA di </w:t>
      </w:r>
      <w:r>
        <w:rPr>
          <w:i/>
          <w:sz w:val="24"/>
        </w:rPr>
        <w:t>private equity </w:t>
      </w:r>
      <w:r>
        <w:rPr>
          <w:sz w:val="24"/>
        </w:rPr>
        <w:t>TPG, sottolineano che “</w:t>
      </w:r>
      <w:r>
        <w:rPr>
          <w:i/>
          <w:sz w:val="24"/>
        </w:rPr>
        <w:t>anche la società danese Novozymes […] è entrata nella </w:t>
      </w:r>
      <w:r>
        <w:rPr>
          <w:i/>
          <w:sz w:val="24"/>
        </w:rPr>
        <w:t>compagine società della predetta Beta Renewables</w:t>
      </w:r>
      <w:r>
        <w:rPr>
          <w:sz w:val="24"/>
        </w:rPr>
        <w:t>”. L’ing. Bolcheni precisa che “</w:t>
      </w:r>
      <w:r>
        <w:rPr>
          <w:i/>
          <w:sz w:val="24"/>
        </w:rPr>
        <w:t>la controllante </w:t>
      </w:r>
      <w:r>
        <w:rPr>
          <w:i/>
          <w:sz w:val="24"/>
        </w:rPr>
        <w:t>M&amp;G Finanziaria nel quadro degli accordi intervenuti con la cinese Sinopec […] per la produzione congiunta PET e PTA per conto di una affiliata locale del Gruppo, ha manifestato l’interesse ad ottenere la disponibilità del ramo d’azienda avente per oggetto l’attività di gestione delle commesse in questione”. </w:t>
      </w:r>
      <w:r>
        <w:rPr>
          <w:sz w:val="24"/>
        </w:rPr>
        <w:t>Il Consiglio ha deliberato “</w:t>
      </w:r>
      <w:r>
        <w:rPr>
          <w:i/>
          <w:sz w:val="24"/>
        </w:rPr>
        <w:t>di conferire il più ampio mandato al Presidente ed Amministratore Delegato </w:t>
      </w:r>
      <w:r>
        <w:rPr>
          <w:i/>
          <w:sz w:val="24"/>
        </w:rPr>
        <w:t>Ing. Giovanni Bolcheni affinchè […] proceda ad identificare esattamente il perimetro </w:t>
      </w:r>
      <w:r>
        <w:rPr>
          <w:i/>
          <w:spacing w:val="2"/>
          <w:sz w:val="24"/>
        </w:rPr>
        <w:t>del </w:t>
      </w:r>
      <w:r>
        <w:rPr>
          <w:i/>
          <w:sz w:val="24"/>
        </w:rPr>
        <w:t>ramo d’azienda</w:t>
      </w:r>
      <w:r>
        <w:rPr>
          <w:sz w:val="24"/>
        </w:rPr>
        <w:t>” relativo all’intero settore e “</w:t>
      </w:r>
      <w:r>
        <w:rPr>
          <w:i/>
          <w:sz w:val="24"/>
        </w:rPr>
        <w:t>affinché negozi e definisca con la M&amp;G Finanziaria le </w:t>
      </w:r>
      <w:r>
        <w:rPr>
          <w:i/>
          <w:sz w:val="24"/>
        </w:rPr>
        <w:t>condizioni economiche tutte per il perfezionamento</w:t>
      </w:r>
      <w:r>
        <w:rPr>
          <w:i/>
          <w:spacing w:val="-10"/>
          <w:sz w:val="24"/>
        </w:rPr>
        <w:t> </w:t>
      </w:r>
      <w:r>
        <w:rPr>
          <w:i/>
          <w:sz w:val="24"/>
        </w:rPr>
        <w:t>dell’operazione</w:t>
      </w:r>
      <w:r>
        <w:rPr>
          <w:sz w:val="24"/>
        </w:rPr>
        <w:t>”.</w:t>
      </w:r>
    </w:p>
    <w:p>
      <w:pPr>
        <w:spacing w:after="0" w:line="477"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2138" w:right="1412" w:firstLine="0"/>
        <w:jc w:val="both"/>
        <w:rPr>
          <w:sz w:val="24"/>
        </w:rPr>
      </w:pPr>
      <w:r>
        <w:rPr>
          <w:sz w:val="24"/>
        </w:rPr>
        <w:t>Nel medesima riunione del Consiglio, l’Ing. Bolcheni informa “</w:t>
      </w:r>
      <w:r>
        <w:rPr>
          <w:i/>
          <w:sz w:val="24"/>
        </w:rPr>
        <w:t>che in data 13 novembre 2012 </w:t>
      </w:r>
      <w:r>
        <w:rPr>
          <w:i/>
          <w:sz w:val="24"/>
        </w:rPr>
        <w:t>la Regione Puglia ha dato la sua approvazione al progetto che prevede la realizzazione da parte di Chemtex Italia S.p.A. di un centro di ricerca […] per un investimento totale di circa Euro 45 milioni” </w:t>
      </w:r>
      <w:r>
        <w:rPr>
          <w:sz w:val="24"/>
        </w:rPr>
        <w:t>e che l’Ing. Guido Ghisolfi ha provveduto a costituire un pegno per Euro 2 milioni necessario per l’emissione di una fidejussione a nome della Chemtex Italia S.p.A. a favore della Regione</w:t>
      </w:r>
      <w:r>
        <w:rPr>
          <w:spacing w:val="-4"/>
          <w:sz w:val="24"/>
        </w:rPr>
        <w:t> </w:t>
      </w:r>
      <w:r>
        <w:rPr>
          <w:sz w:val="24"/>
        </w:rPr>
        <w:t>Puglia.</w:t>
      </w:r>
    </w:p>
    <w:p>
      <w:pPr>
        <w:pStyle w:val="ListParagraph"/>
        <w:numPr>
          <w:ilvl w:val="2"/>
          <w:numId w:val="9"/>
        </w:numPr>
        <w:tabs>
          <w:tab w:pos="2127" w:val="left" w:leader="none"/>
        </w:tabs>
        <w:spacing w:line="472" w:lineRule="auto" w:before="0" w:after="0"/>
        <w:ind w:left="2138" w:right="1419" w:hanging="360"/>
        <w:jc w:val="both"/>
        <w:rPr>
          <w:sz w:val="24"/>
        </w:rPr>
      </w:pPr>
      <w:r>
        <w:rPr>
          <w:sz w:val="24"/>
        </w:rPr>
        <w:t>Dal verbale del Cda riunitosi in data 1 marzo 2013, emerge che gli amministratori deliberano in merito all’attribuzione dei poteri e degli emolumenti agli amministratori e nella stessa data, in una seconda adunanza, si tratta in merito al Progetto Reliance per la costruzione di un impianto in India il quale comporta la sottoscrizione di garanzie a  carico di Chemtex Italia</w:t>
      </w:r>
      <w:r>
        <w:rPr>
          <w:spacing w:val="-9"/>
          <w:sz w:val="24"/>
        </w:rPr>
        <w:t> </w:t>
      </w:r>
      <w:r>
        <w:rPr>
          <w:sz w:val="24"/>
        </w:rPr>
        <w:t>SpA.</w:t>
      </w:r>
    </w:p>
    <w:p>
      <w:pPr>
        <w:pStyle w:val="ListParagraph"/>
        <w:numPr>
          <w:ilvl w:val="2"/>
          <w:numId w:val="9"/>
        </w:numPr>
        <w:tabs>
          <w:tab w:pos="2127" w:val="left" w:leader="none"/>
        </w:tabs>
        <w:spacing w:line="477" w:lineRule="auto" w:before="8" w:after="0"/>
        <w:ind w:left="2138" w:right="1410" w:hanging="360"/>
        <w:jc w:val="both"/>
        <w:rPr>
          <w:sz w:val="24"/>
        </w:rPr>
      </w:pPr>
      <w:r>
        <w:rPr>
          <w:sz w:val="24"/>
        </w:rPr>
        <w:t>Dal verbale del Cda riunitosi in data 22 marzo 2013, risulta che in occasione dello stesso il Consiglio di Amministrazione provvedeva ad approvare il progetto di bilancio dell’esercizio chiuso al 31.12.2012 e a convocare l’assemblea. Dal verbale del Consiglio emerge che “</w:t>
      </w:r>
      <w:r>
        <w:rPr>
          <w:i/>
          <w:sz w:val="24"/>
        </w:rPr>
        <w:t>nei primi mesi del 2013 l’attività della Società si è concentrata prevalentemente sullo </w:t>
      </w:r>
      <w:r>
        <w:rPr>
          <w:sz w:val="24"/>
        </w:rPr>
        <w:t>start-up </w:t>
      </w:r>
      <w:r>
        <w:rPr>
          <w:i/>
          <w:sz w:val="24"/>
        </w:rPr>
        <w:t>del progetto di Crescentino</w:t>
      </w:r>
      <w:r>
        <w:rPr>
          <w:sz w:val="24"/>
        </w:rPr>
        <w:t>” e che “</w:t>
      </w:r>
      <w:r>
        <w:rPr>
          <w:i/>
          <w:sz w:val="24"/>
        </w:rPr>
        <w:t>a seguito dell’avvio della produzione di bioetanolo, si </w:t>
      </w:r>
      <w:r>
        <w:rPr>
          <w:i/>
          <w:sz w:val="24"/>
        </w:rPr>
        <w:t>prevede che saranno acquisiti entro l’anno nuovi contratti su progetto di impianti analoghi”. </w:t>
      </w:r>
      <w:r>
        <w:rPr>
          <w:sz w:val="24"/>
        </w:rPr>
        <w:t>II Presidente comunica al Consiglio che “</w:t>
      </w:r>
      <w:r>
        <w:rPr>
          <w:i/>
          <w:sz w:val="24"/>
        </w:rPr>
        <w:t>a seguito dell’affitto a M&amp;G Finanziaria del ramo </w:t>
      </w:r>
      <w:r>
        <w:rPr>
          <w:i/>
          <w:sz w:val="24"/>
        </w:rPr>
        <w:t>d’azienda afferente la tradizionale attività di ingegneria […] la Società concentrerà principalmente la propria attività sui progetti afferenti alle nuove tecnologie legale alle biomasse”. </w:t>
      </w:r>
      <w:r>
        <w:rPr>
          <w:sz w:val="24"/>
        </w:rPr>
        <w:t>Come da terzo punto all’ordine del giorno il Consiglio esamina il “piano industriale relativo ai prossimi  </w:t>
      </w:r>
      <w:r>
        <w:rPr>
          <w:spacing w:val="56"/>
          <w:sz w:val="24"/>
        </w:rPr>
        <w:t> </w:t>
      </w:r>
      <w:r>
        <w:rPr>
          <w:sz w:val="24"/>
        </w:rPr>
        <w:t>cinque</w:t>
      </w:r>
    </w:p>
    <w:p>
      <w:pPr>
        <w:spacing w:line="480" w:lineRule="auto" w:before="2"/>
        <w:ind w:left="2138" w:right="1415" w:firstLine="0"/>
        <w:jc w:val="both"/>
        <w:rPr>
          <w:i/>
          <w:sz w:val="24"/>
        </w:rPr>
      </w:pPr>
      <w:r>
        <w:rPr>
          <w:sz w:val="24"/>
        </w:rPr>
        <w:t>anni” (2013-2018) il quale “</w:t>
      </w:r>
      <w:r>
        <w:rPr>
          <w:i/>
          <w:sz w:val="24"/>
        </w:rPr>
        <w:t>richiama quindi le previsioni sui potenziali contratti futuri relativi al </w:t>
      </w:r>
      <w:r>
        <w:rPr>
          <w:i/>
          <w:sz w:val="24"/>
        </w:rPr>
        <w:t>settore dei progetti di biomasse</w:t>
      </w:r>
      <w:r>
        <w:rPr>
          <w:sz w:val="24"/>
        </w:rPr>
        <w:t>”. In tal data emerge che “</w:t>
      </w:r>
      <w:r>
        <w:rPr>
          <w:i/>
          <w:sz w:val="24"/>
        </w:rPr>
        <w:t>il Presidente comunica quindi ai   presidenti</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2138" w:right="1413" w:firstLine="0"/>
        <w:jc w:val="left"/>
        <w:rPr>
          <w:sz w:val="24"/>
        </w:rPr>
      </w:pPr>
      <w:r>
        <w:rPr>
          <w:i/>
          <w:sz w:val="24"/>
        </w:rPr>
        <w:t>che a seguito dell’affitto a M&amp;G Finanziaria srl del ramo d’azienda afferente la tradizionale attività di </w:t>
      </w:r>
      <w:r>
        <w:rPr>
          <w:i/>
          <w:sz w:val="24"/>
        </w:rPr>
        <w:t>ingegneria e procurement per impianti chimici</w:t>
      </w:r>
      <w:r>
        <w:rPr>
          <w:sz w:val="24"/>
        </w:rPr>
        <w:t>”.</w:t>
      </w:r>
    </w:p>
    <w:p>
      <w:pPr>
        <w:pStyle w:val="ListParagraph"/>
        <w:numPr>
          <w:ilvl w:val="2"/>
          <w:numId w:val="9"/>
        </w:numPr>
        <w:tabs>
          <w:tab w:pos="2127" w:val="left" w:leader="none"/>
        </w:tabs>
        <w:spacing w:line="475" w:lineRule="auto" w:before="0" w:after="0"/>
        <w:ind w:left="2138" w:right="1411" w:hanging="360"/>
        <w:jc w:val="both"/>
        <w:rPr>
          <w:sz w:val="24"/>
        </w:rPr>
      </w:pPr>
      <w:r>
        <w:rPr>
          <w:sz w:val="24"/>
        </w:rPr>
        <w:t>Dal verbale del Cda riunitosi in data 27 maggio 2013, emerge che “</w:t>
      </w:r>
      <w:r>
        <w:rPr>
          <w:i/>
          <w:sz w:val="24"/>
        </w:rPr>
        <w:t>il Presidente informa i </w:t>
      </w:r>
      <w:r>
        <w:rPr>
          <w:i/>
          <w:sz w:val="24"/>
        </w:rPr>
        <w:t>presenti in merito alle trattative che la Società […] ha avviato con i due soggetti di diritto statunitense  LS Testamentary Trust e Schejola Partners in relazione ad un possibile finanziamento […] per un ammontare complessivo di $ 35 milioni principalmente allo scopo di consentire alla società di completare i pagamenti relativi alla costruzione dell’impianto di etanolo di seconda generazione per la sua affiliata Italian Bioproducts S.p.A.. </w:t>
      </w:r>
      <w:r>
        <w:rPr>
          <w:sz w:val="24"/>
        </w:rPr>
        <w:t>Il Consiglio delibera di approvare tale</w:t>
      </w:r>
      <w:r>
        <w:rPr>
          <w:spacing w:val="-33"/>
          <w:sz w:val="24"/>
        </w:rPr>
        <w:t> </w:t>
      </w:r>
      <w:r>
        <w:rPr>
          <w:sz w:val="24"/>
        </w:rPr>
        <w:t>operazione.</w:t>
      </w:r>
    </w:p>
    <w:p>
      <w:pPr>
        <w:pStyle w:val="ListParagraph"/>
        <w:numPr>
          <w:ilvl w:val="2"/>
          <w:numId w:val="9"/>
        </w:numPr>
        <w:tabs>
          <w:tab w:pos="2127" w:val="left" w:leader="none"/>
        </w:tabs>
        <w:spacing w:line="465" w:lineRule="auto" w:before="5" w:after="0"/>
        <w:ind w:left="2138" w:right="1415" w:hanging="360"/>
        <w:jc w:val="both"/>
        <w:rPr>
          <w:sz w:val="24"/>
        </w:rPr>
      </w:pPr>
      <w:r>
        <w:rPr>
          <w:sz w:val="24"/>
        </w:rPr>
        <w:t>Dal verbale del Cda riunitosi in data 7 ottobre 2013, emerge che “</w:t>
      </w:r>
      <w:r>
        <w:rPr>
          <w:i/>
          <w:sz w:val="24"/>
        </w:rPr>
        <w:t>si rende opportuno fare </w:t>
      </w:r>
      <w:r>
        <w:rPr>
          <w:i/>
          <w:sz w:val="24"/>
        </w:rPr>
        <w:t>aderire la società neocostituita IBP Energia Srl alla gestione accentrata di tesoreria attualmente facente capo alla</w:t>
      </w:r>
      <w:r>
        <w:rPr>
          <w:i/>
          <w:spacing w:val="1"/>
          <w:sz w:val="24"/>
        </w:rPr>
        <w:t> </w:t>
      </w:r>
      <w:r>
        <w:rPr>
          <w:i/>
          <w:sz w:val="24"/>
        </w:rPr>
        <w:t>Società</w:t>
      </w:r>
      <w:r>
        <w:rPr>
          <w:sz w:val="24"/>
        </w:rPr>
        <w:t>”.</w:t>
      </w:r>
    </w:p>
    <w:p>
      <w:pPr>
        <w:pStyle w:val="ListParagraph"/>
        <w:numPr>
          <w:ilvl w:val="2"/>
          <w:numId w:val="9"/>
        </w:numPr>
        <w:tabs>
          <w:tab w:pos="2127" w:val="left" w:leader="none"/>
        </w:tabs>
        <w:spacing w:line="475" w:lineRule="auto" w:before="15" w:after="0"/>
        <w:ind w:left="2138" w:right="1411" w:hanging="360"/>
        <w:jc w:val="both"/>
        <w:rPr>
          <w:sz w:val="24"/>
        </w:rPr>
      </w:pPr>
      <w:r>
        <w:rPr>
          <w:sz w:val="24"/>
        </w:rPr>
        <w:t>Dal verbale del Cda riunitosi in data 23 ottobre 2013, emerge che all’ordine del giorno vi è la trattazione dell’operazione di </w:t>
      </w:r>
      <w:r>
        <w:rPr>
          <w:i/>
          <w:sz w:val="24"/>
        </w:rPr>
        <w:t>sale and lease back </w:t>
      </w:r>
      <w:r>
        <w:rPr>
          <w:sz w:val="24"/>
        </w:rPr>
        <w:t>tra i IBP Energia s.r.l. e Unicredit Leasing S.p.A. Il Presidente </w:t>
      </w:r>
      <w:r>
        <w:rPr>
          <w:i/>
          <w:sz w:val="24"/>
        </w:rPr>
        <w:t>“spiega che UCL […] ha richiesto la sottoscrizione di un determinato </w:t>
      </w:r>
      <w:r>
        <w:rPr>
          <w:i/>
          <w:sz w:val="24"/>
        </w:rPr>
        <w:t>impegno e di determinati contratti da parte della Società, quale società appartenente al gruppo Mossa e Ghisolfi</w:t>
      </w:r>
      <w:r>
        <w:rPr>
          <w:sz w:val="24"/>
        </w:rPr>
        <w:t>”: il Consiglio delibera di approvare l’operazione “</w:t>
      </w:r>
      <w:r>
        <w:rPr>
          <w:i/>
          <w:sz w:val="24"/>
        </w:rPr>
        <w:t>limitatamente ai contratti da </w:t>
      </w:r>
      <w:r>
        <w:rPr>
          <w:i/>
          <w:sz w:val="24"/>
        </w:rPr>
        <w:t>sottoscrivere e all’impegno da assumere da parte della</w:t>
      </w:r>
      <w:r>
        <w:rPr>
          <w:i/>
          <w:spacing w:val="-13"/>
          <w:sz w:val="24"/>
        </w:rPr>
        <w:t> </w:t>
      </w:r>
      <w:r>
        <w:rPr>
          <w:i/>
          <w:sz w:val="24"/>
        </w:rPr>
        <w:t>Società</w:t>
      </w:r>
      <w:r>
        <w:rPr>
          <w:sz w:val="24"/>
        </w:rPr>
        <w:t>”.</w:t>
      </w:r>
    </w:p>
    <w:p>
      <w:pPr>
        <w:pStyle w:val="ListParagraph"/>
        <w:numPr>
          <w:ilvl w:val="2"/>
          <w:numId w:val="9"/>
        </w:numPr>
        <w:tabs>
          <w:tab w:pos="2127" w:val="left" w:leader="none"/>
        </w:tabs>
        <w:spacing w:line="470" w:lineRule="auto" w:before="4" w:after="0"/>
        <w:ind w:left="2138" w:right="1412" w:hanging="360"/>
        <w:jc w:val="both"/>
        <w:rPr>
          <w:sz w:val="24"/>
        </w:rPr>
      </w:pPr>
      <w:r>
        <w:rPr>
          <w:sz w:val="24"/>
        </w:rPr>
        <w:t>Dal verbale del Cda riunitosi in data 9 dicembre 2013 si evince che “</w:t>
      </w:r>
      <w:r>
        <w:rPr>
          <w:i/>
          <w:sz w:val="24"/>
        </w:rPr>
        <w:t>la società ha avviato </w:t>
      </w:r>
      <w:r>
        <w:rPr>
          <w:sz w:val="24"/>
        </w:rPr>
        <w:t>(trattative) </w:t>
      </w:r>
      <w:r>
        <w:rPr>
          <w:i/>
          <w:sz w:val="24"/>
        </w:rPr>
        <w:t>con Banca Europea per gli Investimenti, con sede in Lussemburgo, in relazione ad un </w:t>
      </w:r>
      <w:r>
        <w:rPr>
          <w:i/>
          <w:sz w:val="24"/>
        </w:rPr>
        <w:t>finanziamento a favore della Società. Per un ammontare in linea capitale complessivo di Euro 65.000.000,00</w:t>
      </w:r>
      <w:r>
        <w:rPr>
          <w:sz w:val="24"/>
        </w:rPr>
        <w:t>”.</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before="100"/>
        <w:ind w:left="1418" w:right="0" w:firstLine="0"/>
        <w:jc w:val="left"/>
        <w:rPr>
          <w:i/>
          <w:sz w:val="24"/>
        </w:rPr>
      </w:pPr>
      <w:r>
        <w:rPr>
          <w:i/>
          <w:sz w:val="24"/>
          <w:u w:val="single"/>
        </w:rPr>
        <w:t>Anno 2014 (Cda Biochemtex)</w:t>
      </w:r>
    </w:p>
    <w:p>
      <w:pPr>
        <w:pStyle w:val="BodyText"/>
        <w:spacing w:before="10"/>
        <w:rPr>
          <w:i/>
          <w:sz w:val="23"/>
        </w:rPr>
      </w:pPr>
    </w:p>
    <w:p>
      <w:pPr>
        <w:pStyle w:val="ListParagraph"/>
        <w:numPr>
          <w:ilvl w:val="2"/>
          <w:numId w:val="9"/>
        </w:numPr>
        <w:tabs>
          <w:tab w:pos="2127" w:val="left" w:leader="none"/>
        </w:tabs>
        <w:spacing w:line="477" w:lineRule="auto" w:before="0" w:after="0"/>
        <w:ind w:left="2138" w:right="1411" w:hanging="360"/>
        <w:jc w:val="both"/>
        <w:rPr>
          <w:sz w:val="24"/>
        </w:rPr>
      </w:pPr>
      <w:r>
        <w:rPr>
          <w:sz w:val="24"/>
        </w:rPr>
        <w:t>Dal verbale del 21 febbraio 2014 si rileva che il Consiglio di Amministrazione prende in esame il business plan 2013-208, già oggetto di trattazione ed approvazione nella precedente adunanza del 22 marzo 2013. Il presidente informa il consiglio “</w:t>
      </w:r>
      <w:r>
        <w:rPr>
          <w:i/>
          <w:sz w:val="24"/>
        </w:rPr>
        <w:t>sulla necessità di </w:t>
      </w:r>
      <w:r>
        <w:rPr>
          <w:i/>
          <w:sz w:val="24"/>
        </w:rPr>
        <w:t>apportare alcune modifiche al piano industriale approvato, sulla base delle trattative in corso con i potenziali clienti per progetti di impianti di bioetanolo</w:t>
      </w:r>
      <w:r>
        <w:rPr>
          <w:sz w:val="24"/>
        </w:rPr>
        <w:t>” e che “</w:t>
      </w:r>
      <w:r>
        <w:rPr>
          <w:i/>
          <w:sz w:val="24"/>
        </w:rPr>
        <w:t>è stato aggiornato il piano relativo </w:t>
      </w:r>
      <w:r>
        <w:rPr>
          <w:i/>
          <w:sz w:val="24"/>
        </w:rPr>
        <w:t>all’anno in corso e ai prossimi quattro anni</w:t>
      </w:r>
      <w:r>
        <w:rPr>
          <w:sz w:val="24"/>
        </w:rPr>
        <w:t>”. In tale occasione il presidente spiega che tali modifiche sono “</w:t>
      </w:r>
      <w:r>
        <w:rPr>
          <w:i/>
          <w:sz w:val="24"/>
        </w:rPr>
        <w:t>legate principalmente ad un fisiologico allungamento dei tempi di negoziazione di </w:t>
      </w:r>
      <w:r>
        <w:rPr>
          <w:i/>
          <w:sz w:val="24"/>
        </w:rPr>
        <w:t>alcuni contratti chiave</w:t>
      </w:r>
      <w:r>
        <w:rPr>
          <w:sz w:val="24"/>
        </w:rPr>
        <w:t>”. Il consiglio “</w:t>
      </w:r>
      <w:r>
        <w:rPr>
          <w:i/>
          <w:sz w:val="24"/>
        </w:rPr>
        <w:t>delibera di approvare il business plan per gli anni 2014-2018  </w:t>
      </w:r>
      <w:r>
        <w:rPr>
          <w:i/>
          <w:sz w:val="24"/>
        </w:rPr>
        <w:t>così come emendato in modo da sostituire la versione approvata nel corso della riunione del 22 marzo 2013</w:t>
      </w:r>
      <w:r>
        <w:rPr>
          <w:sz w:val="24"/>
        </w:rPr>
        <w:t>”.</w:t>
      </w:r>
    </w:p>
    <w:p>
      <w:pPr>
        <w:pStyle w:val="ListParagraph"/>
        <w:numPr>
          <w:ilvl w:val="2"/>
          <w:numId w:val="9"/>
        </w:numPr>
        <w:tabs>
          <w:tab w:pos="2127" w:val="left" w:leader="none"/>
        </w:tabs>
        <w:spacing w:line="475" w:lineRule="auto" w:before="2" w:after="0"/>
        <w:ind w:left="2138" w:right="1414" w:hanging="360"/>
        <w:jc w:val="both"/>
        <w:rPr>
          <w:sz w:val="24"/>
        </w:rPr>
      </w:pPr>
      <w:r>
        <w:rPr>
          <w:sz w:val="24"/>
        </w:rPr>
        <w:t>Dal verbale del Cda riunitosi in data 31 marzo 2014, si rileva che il Consiglio di Amministrazione ha approvato il progetto di bilancio dell’esercizio chiuso al 31.12.2014 (utile pari ad Euro 44.079.176) e a convocare l’assemblea degli azionisti per il 30 aprile 2014. Dal verbale del Consiglio emerge che “</w:t>
      </w:r>
      <w:r>
        <w:rPr>
          <w:i/>
          <w:sz w:val="24"/>
        </w:rPr>
        <w:t>nei primi mesi del 2013 l’attività della Società si è </w:t>
      </w:r>
      <w:r>
        <w:rPr>
          <w:i/>
          <w:sz w:val="24"/>
        </w:rPr>
        <w:t>concentrata prevalentemente sullo </w:t>
      </w:r>
      <w:r>
        <w:rPr>
          <w:sz w:val="24"/>
        </w:rPr>
        <w:t>start-up </w:t>
      </w:r>
      <w:r>
        <w:rPr>
          <w:i/>
          <w:sz w:val="24"/>
        </w:rPr>
        <w:t>del progetto di Crescentino</w:t>
      </w:r>
      <w:r>
        <w:rPr>
          <w:sz w:val="24"/>
        </w:rPr>
        <w:t>” e che “</w:t>
      </w:r>
      <w:r>
        <w:rPr>
          <w:i/>
          <w:sz w:val="24"/>
        </w:rPr>
        <w:t>a seguito dell’avvio della </w:t>
      </w:r>
      <w:r>
        <w:rPr>
          <w:i/>
          <w:sz w:val="24"/>
        </w:rPr>
        <w:t>produzione di bioetanolo, si prevede che saranno acquisiti entro l’anno nuovi contratti su progetto di impianti analoghi”. </w:t>
      </w:r>
      <w:r>
        <w:rPr>
          <w:sz w:val="24"/>
        </w:rPr>
        <w:t>Inoltre, in tale riunione, il consiglio discute in merito alla possibilità di acquisire il controllo totalitario della C5-6 Italy Srl (già detenuta al</w:t>
      </w:r>
      <w:r>
        <w:rPr>
          <w:spacing w:val="-18"/>
          <w:sz w:val="24"/>
        </w:rPr>
        <w:t> </w:t>
      </w:r>
      <w:r>
        <w:rPr>
          <w:sz w:val="24"/>
        </w:rPr>
        <w:t>25%).</w:t>
      </w:r>
    </w:p>
    <w:p>
      <w:pPr>
        <w:pStyle w:val="ListParagraph"/>
        <w:numPr>
          <w:ilvl w:val="2"/>
          <w:numId w:val="9"/>
        </w:numPr>
        <w:tabs>
          <w:tab w:pos="2127" w:val="left" w:leader="none"/>
        </w:tabs>
        <w:spacing w:line="465" w:lineRule="auto" w:before="4" w:after="0"/>
        <w:ind w:left="2138" w:right="1416" w:hanging="360"/>
        <w:jc w:val="both"/>
        <w:rPr>
          <w:sz w:val="24"/>
        </w:rPr>
      </w:pPr>
      <w:r>
        <w:rPr>
          <w:sz w:val="24"/>
        </w:rPr>
        <w:t>Dal verbale del Cda riunitosi in data 30 aprile 2014, emerge che il Consiglio delibera di nominare l’Ing. Guido Ghisolfi quale amministratore delegato oltre ad attribuire le cariche ed i poteri agli altri</w:t>
      </w:r>
      <w:r>
        <w:rPr>
          <w:spacing w:val="-14"/>
          <w:sz w:val="24"/>
        </w:rPr>
        <w:t> </w:t>
      </w:r>
      <w:r>
        <w:rPr>
          <w:sz w:val="24"/>
        </w:rPr>
        <w:t>Consiglieri.</w:t>
      </w:r>
    </w:p>
    <w:p>
      <w:pPr>
        <w:spacing w:after="0" w:line="465"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2"/>
          <w:numId w:val="9"/>
        </w:numPr>
        <w:tabs>
          <w:tab w:pos="2127" w:val="left" w:leader="none"/>
        </w:tabs>
        <w:spacing w:line="477" w:lineRule="auto" w:before="100" w:after="0"/>
        <w:ind w:left="2138" w:right="1412" w:hanging="360"/>
        <w:jc w:val="both"/>
        <w:rPr>
          <w:sz w:val="24"/>
        </w:rPr>
      </w:pPr>
      <w:r>
        <w:rPr>
          <w:sz w:val="24"/>
        </w:rPr>
        <w:t>Dal verbale del CdA riunitosi in dal 17 ottobre 2014 emerge la trattazione del consiglio in merito all’erogazione del finanziamento BEI per un ammontare in linea capitale complessivo di Euro 65.000.000,00. “</w:t>
      </w:r>
      <w:r>
        <w:rPr>
          <w:i/>
          <w:sz w:val="24"/>
        </w:rPr>
        <w:t>Tale operazione ha come scopo il finanziamento degli </w:t>
      </w:r>
      <w:r>
        <w:rPr>
          <w:i/>
          <w:sz w:val="24"/>
        </w:rPr>
        <w:t>investimenti in ricerca e sviluppo della Società relativi alla lavorazione della biomassa a fini energetici […]</w:t>
      </w:r>
      <w:r>
        <w:rPr>
          <w:sz w:val="24"/>
        </w:rPr>
        <w:t>”. In particolare si evince che “</w:t>
      </w:r>
      <w:r>
        <w:rPr>
          <w:i/>
          <w:sz w:val="24"/>
        </w:rPr>
        <w:t>la Società deve sottoscrivere ed eseguire una serie di atti al fine di </w:t>
      </w:r>
      <w:r>
        <w:rPr>
          <w:i/>
          <w:sz w:val="24"/>
        </w:rPr>
        <w:t>consentire la suddetta erogazione e ha richiesto alla Banca Nazionale del Lavoro SpA, Banca Popolare  di Milano Scarl, Intesa San Paolo Spa e SACE SpA l’emissione delle (seguenti) garanzie a prima richieste a favore di BEI a garanzia degli obblighi della Società</w:t>
      </w:r>
      <w:r>
        <w:rPr>
          <w:sz w:val="24"/>
        </w:rPr>
        <w:t>”. In tale operazione “</w:t>
      </w:r>
      <w:r>
        <w:rPr>
          <w:i/>
          <w:sz w:val="24"/>
        </w:rPr>
        <w:t>alla Società è </w:t>
      </w:r>
      <w:r>
        <w:rPr>
          <w:i/>
          <w:sz w:val="24"/>
        </w:rPr>
        <w:t>stato richiesto di sottoscrivere degli accordi con ciascuno dei garanti BEI</w:t>
      </w:r>
      <w:r>
        <w:rPr>
          <w:sz w:val="24"/>
        </w:rPr>
        <w:t>”. Il consiglio ha deliberato favorevolmente a tale operazione dando mandato all’Ing. Guido Ghisolfi ed ai consiglieri Giovanni Bolcheni e Dario Giordano per dare attuazione</w:t>
      </w:r>
      <w:r>
        <w:rPr>
          <w:spacing w:val="-10"/>
          <w:sz w:val="24"/>
        </w:rPr>
        <w:t> </w:t>
      </w:r>
      <w:r>
        <w:rPr>
          <w:sz w:val="24"/>
        </w:rPr>
        <w:t>all’operazione.</w:t>
      </w:r>
    </w:p>
    <w:p>
      <w:pPr>
        <w:pStyle w:val="ListParagraph"/>
        <w:numPr>
          <w:ilvl w:val="2"/>
          <w:numId w:val="9"/>
        </w:numPr>
        <w:tabs>
          <w:tab w:pos="2127" w:val="left" w:leader="none"/>
        </w:tabs>
        <w:spacing w:line="475" w:lineRule="auto" w:before="2" w:after="0"/>
        <w:ind w:left="2138" w:right="1412" w:hanging="360"/>
        <w:jc w:val="both"/>
        <w:rPr>
          <w:sz w:val="24"/>
        </w:rPr>
      </w:pPr>
      <w:r>
        <w:rPr>
          <w:sz w:val="24"/>
        </w:rPr>
        <w:t>Dal verbale del CdA riunitosi in dal 20 ottobre 2014 si evidenzia la trattazione sull’andamento della gestione. Con riguardo ai dati semestrali l’ing. Ghisolfi “</w:t>
      </w:r>
      <w:r>
        <w:rPr>
          <w:i/>
          <w:sz w:val="24"/>
        </w:rPr>
        <w:t>evidenzia come </w:t>
      </w:r>
      <w:r>
        <w:rPr>
          <w:i/>
          <w:sz w:val="24"/>
        </w:rPr>
        <w:t>i risultati economici al 30/06/2014 siano sostanzialmente positivi, sebbene leggermente inferiori rispetto al Budget” </w:t>
      </w:r>
      <w:r>
        <w:rPr>
          <w:sz w:val="24"/>
        </w:rPr>
        <w:t>e che </w:t>
      </w:r>
      <w:r>
        <w:rPr>
          <w:i/>
          <w:sz w:val="24"/>
        </w:rPr>
        <w:t>“L’attività sui progetti in portafoglio prosegue senza particolari problematiche”. </w:t>
      </w:r>
      <w:r>
        <w:rPr>
          <w:sz w:val="24"/>
        </w:rPr>
        <w:t>Inolte l’ing. Ghisolfi informa il Consiglio </w:t>
      </w:r>
      <w:r>
        <w:rPr>
          <w:i/>
          <w:sz w:val="24"/>
        </w:rPr>
        <w:t>“che in data 24 di settembre sono stati firmati 2 importanti </w:t>
      </w:r>
      <w:r>
        <w:rPr>
          <w:i/>
          <w:sz w:val="24"/>
        </w:rPr>
        <w:t>contratti con un cliente slovacco “Energochemica”” </w:t>
      </w:r>
      <w:r>
        <w:rPr>
          <w:sz w:val="24"/>
        </w:rPr>
        <w:t>del valore rispettivamente di Euro 23,2 milioni (oltre a royalties annuali pari a complessivi Euro 11,55 milioni) per la fornitura di Licenza Proesa e di Euro 5,5 milioni per i servizi di</w:t>
      </w:r>
      <w:r>
        <w:rPr>
          <w:spacing w:val="-18"/>
          <w:sz w:val="24"/>
        </w:rPr>
        <w:t> </w:t>
      </w:r>
      <w:r>
        <w:rPr>
          <w:sz w:val="24"/>
        </w:rPr>
        <w:t>assistenza.</w:t>
      </w:r>
    </w:p>
    <w:p>
      <w:pPr>
        <w:spacing w:after="0" w:line="475"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before="100"/>
        <w:ind w:left="1418" w:right="0" w:firstLine="0"/>
        <w:jc w:val="left"/>
        <w:rPr>
          <w:i/>
          <w:sz w:val="24"/>
        </w:rPr>
      </w:pPr>
      <w:r>
        <w:rPr>
          <w:i/>
          <w:sz w:val="24"/>
          <w:u w:val="single"/>
        </w:rPr>
        <w:t>Anno 2015 (Cda Biochemtex)</w:t>
      </w:r>
    </w:p>
    <w:p>
      <w:pPr>
        <w:pStyle w:val="BodyText"/>
        <w:rPr>
          <w:i/>
          <w:sz w:val="20"/>
        </w:rPr>
      </w:pPr>
    </w:p>
    <w:p>
      <w:pPr>
        <w:pStyle w:val="BodyText"/>
        <w:spacing w:before="9"/>
        <w:rPr>
          <w:i/>
          <w:sz w:val="21"/>
        </w:rPr>
      </w:pPr>
    </w:p>
    <w:p>
      <w:pPr>
        <w:pStyle w:val="ListParagraph"/>
        <w:numPr>
          <w:ilvl w:val="0"/>
          <w:numId w:val="11"/>
        </w:numPr>
        <w:tabs>
          <w:tab w:pos="1847" w:val="left" w:leader="none"/>
        </w:tabs>
        <w:spacing w:line="477" w:lineRule="auto" w:before="0" w:after="0"/>
        <w:ind w:left="1846" w:right="1412" w:hanging="428"/>
        <w:jc w:val="both"/>
        <w:rPr>
          <w:i/>
          <w:sz w:val="24"/>
        </w:rPr>
      </w:pPr>
      <w:r>
        <w:rPr>
          <w:sz w:val="24"/>
        </w:rPr>
        <w:t>Dal verbale del Cda riunitosi in data 30 marzo 2015, emerge che “</w:t>
      </w:r>
      <w:r>
        <w:rPr>
          <w:i/>
          <w:sz w:val="24"/>
        </w:rPr>
        <w:t>l’attività della Società si è </w:t>
      </w:r>
      <w:r>
        <w:rPr>
          <w:i/>
          <w:sz w:val="24"/>
        </w:rPr>
        <w:t>concentrata principalmente a sostegno della consorella Italian Bio Products SpA che ha realizzato un test-run sull’impianto di Crescentino monitorato dalla società di ingegneria indipendente nord-americana EAD, con  lo scopo di qualificare la tecnologia per il futuro impianto “Alpha</w:t>
      </w:r>
      <w:r>
        <w:rPr>
          <w:sz w:val="24"/>
        </w:rPr>
        <w:t>”. Inoltre il Consiglio prende “</w:t>
      </w:r>
      <w:r>
        <w:rPr>
          <w:i/>
          <w:sz w:val="24"/>
        </w:rPr>
        <w:t>in </w:t>
      </w:r>
      <w:r>
        <w:rPr>
          <w:i/>
          <w:sz w:val="24"/>
        </w:rPr>
        <w:t>esame il Business Plan 2013-2018</w:t>
      </w:r>
      <w:r>
        <w:rPr>
          <w:sz w:val="24"/>
        </w:rPr>
        <w:t>” e delibera di “</w:t>
      </w:r>
      <w:r>
        <w:rPr>
          <w:i/>
          <w:sz w:val="24"/>
        </w:rPr>
        <w:t>approvare il business plan della società per gli anni </w:t>
      </w:r>
      <w:r>
        <w:rPr>
          <w:i/>
          <w:sz w:val="24"/>
        </w:rPr>
        <w:t>2015-2018 così come presentato</w:t>
      </w:r>
      <w:r>
        <w:rPr>
          <w:sz w:val="24"/>
        </w:rPr>
        <w:t>”. Il presidente informa il Consiglio che “</w:t>
      </w:r>
      <w:r>
        <w:rPr>
          <w:i/>
          <w:sz w:val="24"/>
        </w:rPr>
        <w:t>nel quadro del piano di </w:t>
      </w:r>
      <w:r>
        <w:rPr>
          <w:i/>
          <w:sz w:val="24"/>
        </w:rPr>
        <w:t>riorganizzazione delle attività del Gruppo nel settore Bio sono stati avviati contatti con la Direzione del Gruppo volti alla costituzione di un settore BIO</w:t>
      </w:r>
      <w:r>
        <w:rPr>
          <w:sz w:val="24"/>
        </w:rPr>
        <w:t>”, e ricorda che “</w:t>
      </w:r>
      <w:r>
        <w:rPr>
          <w:i/>
          <w:sz w:val="24"/>
        </w:rPr>
        <w:t>al momento la sola Beta Renewables è </w:t>
      </w:r>
      <w:r>
        <w:rPr>
          <w:i/>
          <w:sz w:val="24"/>
        </w:rPr>
        <w:t>controllata dalla Società, mentre la IBP SpA, la IBP Energia Srl e la Biochemtex Agro Srl sono interamente</w:t>
      </w:r>
      <w:r>
        <w:rPr>
          <w:i/>
          <w:spacing w:val="39"/>
          <w:sz w:val="24"/>
        </w:rPr>
        <w:t> </w:t>
      </w:r>
      <w:r>
        <w:rPr>
          <w:i/>
          <w:sz w:val="24"/>
        </w:rPr>
        <w:t>possedute</w:t>
      </w:r>
      <w:r>
        <w:rPr>
          <w:i/>
          <w:spacing w:val="39"/>
          <w:sz w:val="24"/>
        </w:rPr>
        <w:t> </w:t>
      </w:r>
      <w:r>
        <w:rPr>
          <w:i/>
          <w:sz w:val="24"/>
        </w:rPr>
        <w:t>dalla</w:t>
      </w:r>
      <w:r>
        <w:rPr>
          <w:i/>
          <w:spacing w:val="41"/>
          <w:sz w:val="24"/>
        </w:rPr>
        <w:t> </w:t>
      </w:r>
      <w:r>
        <w:rPr>
          <w:i/>
          <w:sz w:val="24"/>
        </w:rPr>
        <w:t>controllante</w:t>
      </w:r>
      <w:r>
        <w:rPr>
          <w:i/>
          <w:spacing w:val="40"/>
          <w:sz w:val="24"/>
        </w:rPr>
        <w:t> </w:t>
      </w:r>
      <w:r>
        <w:rPr>
          <w:i/>
          <w:sz w:val="24"/>
        </w:rPr>
        <w:t>M&amp;G</w:t>
      </w:r>
      <w:r>
        <w:rPr>
          <w:i/>
          <w:spacing w:val="40"/>
          <w:sz w:val="24"/>
        </w:rPr>
        <w:t> </w:t>
      </w:r>
      <w:r>
        <w:rPr>
          <w:i/>
          <w:sz w:val="24"/>
        </w:rPr>
        <w:t>Finanziaria</w:t>
      </w:r>
      <w:r>
        <w:rPr>
          <w:i/>
          <w:spacing w:val="40"/>
          <w:sz w:val="24"/>
        </w:rPr>
        <w:t> </w:t>
      </w:r>
      <w:r>
        <w:rPr>
          <w:i/>
          <w:sz w:val="24"/>
        </w:rPr>
        <w:t>Srl</w:t>
      </w:r>
      <w:r>
        <w:rPr>
          <w:sz w:val="24"/>
        </w:rPr>
        <w:t>”.</w:t>
      </w:r>
      <w:r>
        <w:rPr>
          <w:spacing w:val="40"/>
          <w:sz w:val="24"/>
        </w:rPr>
        <w:t> </w:t>
      </w:r>
      <w:r>
        <w:rPr>
          <w:sz w:val="24"/>
        </w:rPr>
        <w:t>Il</w:t>
      </w:r>
      <w:r>
        <w:rPr>
          <w:spacing w:val="40"/>
          <w:sz w:val="24"/>
        </w:rPr>
        <w:t> </w:t>
      </w:r>
      <w:r>
        <w:rPr>
          <w:sz w:val="24"/>
        </w:rPr>
        <w:t>consiglio</w:t>
      </w:r>
      <w:r>
        <w:rPr>
          <w:spacing w:val="40"/>
          <w:sz w:val="24"/>
        </w:rPr>
        <w:t> </w:t>
      </w:r>
      <w:r>
        <w:rPr>
          <w:sz w:val="24"/>
        </w:rPr>
        <w:t>“</w:t>
      </w:r>
      <w:r>
        <w:rPr>
          <w:i/>
          <w:sz w:val="24"/>
        </w:rPr>
        <w:t>delibera</w:t>
      </w:r>
      <w:r>
        <w:rPr>
          <w:i/>
          <w:spacing w:val="40"/>
          <w:sz w:val="24"/>
        </w:rPr>
        <w:t> </w:t>
      </w:r>
      <w:r>
        <w:rPr>
          <w:i/>
          <w:sz w:val="24"/>
        </w:rPr>
        <w:t>di</w:t>
      </w:r>
      <w:r>
        <w:rPr>
          <w:i/>
          <w:spacing w:val="40"/>
          <w:sz w:val="24"/>
        </w:rPr>
        <w:t> </w:t>
      </w:r>
      <w:r>
        <w:rPr>
          <w:i/>
          <w:sz w:val="24"/>
        </w:rPr>
        <w:t>approvare</w:t>
      </w:r>
    </w:p>
    <w:p>
      <w:pPr>
        <w:spacing w:line="480" w:lineRule="auto" w:before="2"/>
        <w:ind w:left="1846" w:right="1415" w:firstLine="0"/>
        <w:jc w:val="both"/>
        <w:rPr>
          <w:i/>
          <w:sz w:val="24"/>
        </w:rPr>
      </w:pPr>
      <w:r>
        <w:rPr>
          <w:i/>
          <w:sz w:val="24"/>
        </w:rPr>
        <w:t>l’integrazione tra la Società, la IBP SpA, la IBP Energia Srl e la Biochemtex Agro Srl, al fine di creare un </w:t>
      </w:r>
      <w:r>
        <w:rPr>
          <w:i/>
          <w:sz w:val="24"/>
        </w:rPr>
        <w:t>polo BIO detenuto interamente dalla Società</w:t>
      </w:r>
      <w:r>
        <w:rPr>
          <w:sz w:val="24"/>
        </w:rPr>
        <w:t>” e di “</w:t>
      </w:r>
      <w:r>
        <w:rPr>
          <w:i/>
          <w:sz w:val="24"/>
        </w:rPr>
        <w:t>approvare la proposta di realizzazione del polo BIO </w:t>
      </w:r>
      <w:r>
        <w:rPr>
          <w:i/>
          <w:sz w:val="24"/>
        </w:rPr>
        <w:t>attraverso l’acquisto delle partecipazioni detenute da M&amp;G Finanziaria Srl in IBP SpA, IBP Energia Srl e Biochemtex Agro Srl sulla base delle risultanze dell’apposita perizia valutativa da affidare alla Deloitte”.</w:t>
      </w:r>
    </w:p>
    <w:p>
      <w:pPr>
        <w:pStyle w:val="ListParagraph"/>
        <w:numPr>
          <w:ilvl w:val="0"/>
          <w:numId w:val="11"/>
        </w:numPr>
        <w:tabs>
          <w:tab w:pos="1847" w:val="left" w:leader="none"/>
        </w:tabs>
        <w:spacing w:line="453" w:lineRule="auto" w:before="0" w:after="0"/>
        <w:ind w:left="1846" w:right="1416" w:hanging="428"/>
        <w:jc w:val="both"/>
        <w:rPr>
          <w:sz w:val="24"/>
        </w:rPr>
      </w:pPr>
      <w:r>
        <w:rPr>
          <w:sz w:val="24"/>
        </w:rPr>
        <w:t>Dal verbale del Cda riunitosi in data 30 luglio 2015, emerge che la Società delibera di procedere alla vendita della partecipazione detenuta in Carolina Biofuels Inc</w:t>
      </w:r>
      <w:r>
        <w:rPr>
          <w:spacing w:val="-31"/>
          <w:sz w:val="24"/>
        </w:rPr>
        <w:t> </w:t>
      </w:r>
      <w:r>
        <w:rPr>
          <w:sz w:val="24"/>
        </w:rPr>
        <w:t>Holding.</w:t>
      </w:r>
    </w:p>
    <w:p>
      <w:pPr>
        <w:pStyle w:val="ListParagraph"/>
        <w:numPr>
          <w:ilvl w:val="0"/>
          <w:numId w:val="11"/>
        </w:numPr>
        <w:tabs>
          <w:tab w:pos="1847" w:val="left" w:leader="none"/>
        </w:tabs>
        <w:spacing w:line="453" w:lineRule="auto" w:before="31" w:after="0"/>
        <w:ind w:left="1846" w:right="1417" w:hanging="428"/>
        <w:jc w:val="both"/>
        <w:rPr>
          <w:sz w:val="24"/>
        </w:rPr>
      </w:pPr>
      <w:r>
        <w:rPr>
          <w:sz w:val="24"/>
        </w:rPr>
        <w:t>Dal verbale del Cda riunitosi in data 1° settembre 2015, emerge che il Consiglio delibera in merito ai poteri e a alle deleghe conferite all’Ing. Giovanni</w:t>
      </w:r>
      <w:r>
        <w:rPr>
          <w:spacing w:val="-17"/>
          <w:sz w:val="24"/>
        </w:rPr>
        <w:t> </w:t>
      </w:r>
      <w:r>
        <w:rPr>
          <w:sz w:val="24"/>
        </w:rPr>
        <w:t>Bolcheni.</w:t>
      </w:r>
    </w:p>
    <w:p>
      <w:pPr>
        <w:pStyle w:val="ListParagraph"/>
        <w:numPr>
          <w:ilvl w:val="0"/>
          <w:numId w:val="11"/>
        </w:numPr>
        <w:tabs>
          <w:tab w:pos="1847" w:val="left" w:leader="none"/>
        </w:tabs>
        <w:spacing w:line="453" w:lineRule="auto" w:before="29" w:after="0"/>
        <w:ind w:left="1846" w:right="1413" w:hanging="428"/>
        <w:jc w:val="both"/>
        <w:rPr>
          <w:i/>
          <w:sz w:val="24"/>
        </w:rPr>
      </w:pPr>
      <w:r>
        <w:rPr>
          <w:sz w:val="24"/>
        </w:rPr>
        <w:t>Dal verbale del Cda riunitosi in data 26 ottobre 2015, emerge che “</w:t>
      </w:r>
      <w:r>
        <w:rPr>
          <w:i/>
          <w:sz w:val="24"/>
        </w:rPr>
        <w:t>a seguito dell’acquisto da parte </w:t>
      </w:r>
      <w:r>
        <w:rPr>
          <w:i/>
          <w:sz w:val="24"/>
        </w:rPr>
        <w:t>della</w:t>
      </w:r>
      <w:r>
        <w:rPr>
          <w:i/>
          <w:spacing w:val="12"/>
          <w:sz w:val="24"/>
        </w:rPr>
        <w:t> </w:t>
      </w:r>
      <w:r>
        <w:rPr>
          <w:i/>
          <w:sz w:val="24"/>
        </w:rPr>
        <w:t>Società</w:t>
      </w:r>
      <w:r>
        <w:rPr>
          <w:i/>
          <w:spacing w:val="12"/>
          <w:sz w:val="24"/>
        </w:rPr>
        <w:t> </w:t>
      </w:r>
      <w:r>
        <w:rPr>
          <w:i/>
          <w:sz w:val="24"/>
        </w:rPr>
        <w:t>delle</w:t>
      </w:r>
      <w:r>
        <w:rPr>
          <w:i/>
          <w:spacing w:val="11"/>
          <w:sz w:val="24"/>
        </w:rPr>
        <w:t> </w:t>
      </w:r>
      <w:r>
        <w:rPr>
          <w:i/>
          <w:sz w:val="24"/>
        </w:rPr>
        <w:t>partecipazioni</w:t>
      </w:r>
      <w:r>
        <w:rPr>
          <w:i/>
          <w:spacing w:val="12"/>
          <w:sz w:val="24"/>
        </w:rPr>
        <w:t> </w:t>
      </w:r>
      <w:r>
        <w:rPr>
          <w:i/>
          <w:sz w:val="24"/>
        </w:rPr>
        <w:t>totalitarie</w:t>
      </w:r>
      <w:r>
        <w:rPr>
          <w:i/>
          <w:spacing w:val="11"/>
          <w:sz w:val="24"/>
        </w:rPr>
        <w:t> </w:t>
      </w:r>
      <w:r>
        <w:rPr>
          <w:i/>
          <w:sz w:val="24"/>
        </w:rPr>
        <w:t>in</w:t>
      </w:r>
      <w:r>
        <w:rPr>
          <w:i/>
          <w:spacing w:val="12"/>
          <w:sz w:val="24"/>
        </w:rPr>
        <w:t> </w:t>
      </w:r>
      <w:r>
        <w:rPr>
          <w:i/>
          <w:sz w:val="24"/>
        </w:rPr>
        <w:t>IBP</w:t>
      </w:r>
      <w:r>
        <w:rPr>
          <w:i/>
          <w:spacing w:val="11"/>
          <w:sz w:val="24"/>
        </w:rPr>
        <w:t> </w:t>
      </w:r>
      <w:r>
        <w:rPr>
          <w:i/>
          <w:sz w:val="24"/>
        </w:rPr>
        <w:t>SpA,</w:t>
      </w:r>
      <w:r>
        <w:rPr>
          <w:i/>
          <w:spacing w:val="12"/>
          <w:sz w:val="24"/>
        </w:rPr>
        <w:t> </w:t>
      </w:r>
      <w:r>
        <w:rPr>
          <w:i/>
          <w:sz w:val="24"/>
        </w:rPr>
        <w:t>IBP</w:t>
      </w:r>
      <w:r>
        <w:rPr>
          <w:i/>
          <w:spacing w:val="11"/>
          <w:sz w:val="24"/>
        </w:rPr>
        <w:t> </w:t>
      </w:r>
      <w:r>
        <w:rPr>
          <w:i/>
          <w:sz w:val="24"/>
        </w:rPr>
        <w:t>Energia</w:t>
      </w:r>
      <w:r>
        <w:rPr>
          <w:i/>
          <w:spacing w:val="12"/>
          <w:sz w:val="24"/>
        </w:rPr>
        <w:t> </w:t>
      </w:r>
      <w:r>
        <w:rPr>
          <w:i/>
          <w:sz w:val="24"/>
        </w:rPr>
        <w:t>Srl</w:t>
      </w:r>
      <w:r>
        <w:rPr>
          <w:i/>
          <w:spacing w:val="11"/>
          <w:sz w:val="24"/>
        </w:rPr>
        <w:t> </w:t>
      </w:r>
      <w:r>
        <w:rPr>
          <w:i/>
          <w:sz w:val="24"/>
        </w:rPr>
        <w:t>e</w:t>
      </w:r>
      <w:r>
        <w:rPr>
          <w:i/>
          <w:spacing w:val="11"/>
          <w:sz w:val="24"/>
        </w:rPr>
        <w:t> </w:t>
      </w:r>
      <w:r>
        <w:rPr>
          <w:i/>
          <w:sz w:val="24"/>
        </w:rPr>
        <w:t>Biochemtex</w:t>
      </w:r>
      <w:r>
        <w:rPr>
          <w:i/>
          <w:spacing w:val="13"/>
          <w:sz w:val="24"/>
        </w:rPr>
        <w:t> </w:t>
      </w:r>
      <w:r>
        <w:rPr>
          <w:i/>
          <w:sz w:val="24"/>
        </w:rPr>
        <w:t>Agro</w:t>
      </w:r>
      <w:r>
        <w:rPr>
          <w:i/>
          <w:spacing w:val="11"/>
          <w:sz w:val="24"/>
        </w:rPr>
        <w:t> </w:t>
      </w:r>
      <w:r>
        <w:rPr>
          <w:i/>
          <w:sz w:val="24"/>
        </w:rPr>
        <w:t>Srl,</w:t>
      </w:r>
      <w:r>
        <w:rPr>
          <w:i/>
          <w:spacing w:val="12"/>
          <w:sz w:val="24"/>
        </w:rPr>
        <w:t> </w:t>
      </w:r>
      <w:r>
        <w:rPr>
          <w:i/>
          <w:sz w:val="24"/>
        </w:rPr>
        <w:t>è</w:t>
      </w:r>
      <w:r>
        <w:rPr>
          <w:i/>
          <w:spacing w:val="11"/>
          <w:sz w:val="24"/>
        </w:rPr>
        <w:t> </w:t>
      </w:r>
      <w:r>
        <w:rPr>
          <w:i/>
          <w:sz w:val="24"/>
        </w:rPr>
        <w:t>stato</w:t>
      </w:r>
    </w:p>
    <w:p>
      <w:pPr>
        <w:spacing w:after="0" w:line="453"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846" w:right="1413" w:firstLine="0"/>
        <w:jc w:val="left"/>
        <w:rPr>
          <w:i/>
          <w:sz w:val="24"/>
        </w:rPr>
      </w:pPr>
      <w:r>
        <w:rPr>
          <w:i/>
          <w:sz w:val="24"/>
        </w:rPr>
        <w:t>creato un polo BIO che unitamente alla partecipazione di controllo in Beta Renewables include tutte le società </w:t>
      </w:r>
      <w:r>
        <w:rPr>
          <w:i/>
          <w:sz w:val="24"/>
        </w:rPr>
        <w:t>del Gruppo operanti in questo settore”.</w:t>
      </w:r>
    </w:p>
    <w:p>
      <w:pPr>
        <w:pStyle w:val="BodyText"/>
        <w:rPr>
          <w:i/>
          <w:sz w:val="26"/>
        </w:rPr>
      </w:pPr>
    </w:p>
    <w:p>
      <w:pPr>
        <w:pStyle w:val="BodyText"/>
        <w:spacing w:before="3"/>
        <w:rPr>
          <w:i/>
          <w:sz w:val="36"/>
        </w:rPr>
      </w:pPr>
    </w:p>
    <w:p>
      <w:pPr>
        <w:spacing w:before="0"/>
        <w:ind w:left="1418" w:right="0" w:firstLine="0"/>
        <w:jc w:val="left"/>
        <w:rPr>
          <w:i/>
          <w:sz w:val="24"/>
        </w:rPr>
      </w:pPr>
      <w:r>
        <w:rPr>
          <w:i/>
          <w:sz w:val="24"/>
          <w:u w:val="single"/>
        </w:rPr>
        <w:t>Anno 2016 (Cda Biochemtex)</w:t>
      </w:r>
    </w:p>
    <w:p>
      <w:pPr>
        <w:pStyle w:val="BodyText"/>
        <w:rPr>
          <w:i/>
          <w:sz w:val="20"/>
        </w:rPr>
      </w:pPr>
    </w:p>
    <w:p>
      <w:pPr>
        <w:pStyle w:val="BodyText"/>
        <w:spacing w:before="7"/>
        <w:rPr>
          <w:i/>
          <w:sz w:val="21"/>
        </w:rPr>
      </w:pPr>
    </w:p>
    <w:p>
      <w:pPr>
        <w:pStyle w:val="ListParagraph"/>
        <w:numPr>
          <w:ilvl w:val="0"/>
          <w:numId w:val="11"/>
        </w:numPr>
        <w:tabs>
          <w:tab w:pos="1847" w:val="left" w:leader="none"/>
        </w:tabs>
        <w:spacing w:line="475" w:lineRule="auto" w:before="0" w:after="0"/>
        <w:ind w:left="1846" w:right="1412" w:hanging="428"/>
        <w:jc w:val="both"/>
        <w:rPr>
          <w:sz w:val="24"/>
        </w:rPr>
      </w:pPr>
      <w:r>
        <w:rPr>
          <w:sz w:val="24"/>
        </w:rPr>
        <w:t>Dal verbale del Cda riunitosi in data 30 marzo 2016, emerge che “</w:t>
      </w:r>
      <w:r>
        <w:rPr>
          <w:i/>
          <w:sz w:val="24"/>
        </w:rPr>
        <w:t>l’attività della Società si è </w:t>
      </w:r>
      <w:r>
        <w:rPr>
          <w:i/>
          <w:sz w:val="24"/>
        </w:rPr>
        <w:t>concentrata principalmente a sostegno della consorella Italian Bio Products SpA nel realizzare gli  investimenti previsti entro il primo semestre 2016</w:t>
      </w:r>
      <w:r>
        <w:rPr>
          <w:sz w:val="24"/>
        </w:rPr>
        <w:t>”. Inoltre il Consiglio prende in esame ed approva, oltre al Business Plan della Società (Biochemtex n.d.r.) “</w:t>
      </w:r>
      <w:r>
        <w:rPr>
          <w:i/>
          <w:sz w:val="24"/>
        </w:rPr>
        <w:t>il Business Plan 2016-2045 dell’impianto </w:t>
      </w:r>
      <w:r>
        <w:rPr>
          <w:i/>
          <w:sz w:val="24"/>
        </w:rPr>
        <w:t>di Crescentino che assume il superamento del performance test entro il 31 dicembre 2016 ed il graduale raggiungimento degli obiettivi di rendimento</w:t>
      </w:r>
      <w:r>
        <w:rPr>
          <w:i/>
          <w:spacing w:val="-8"/>
          <w:sz w:val="24"/>
        </w:rPr>
        <w:t> </w:t>
      </w:r>
      <w:r>
        <w:rPr>
          <w:i/>
          <w:sz w:val="24"/>
        </w:rPr>
        <w:t>dell’impianto</w:t>
      </w:r>
      <w:r>
        <w:rPr>
          <w:sz w:val="24"/>
        </w:rPr>
        <w:t>”.</w:t>
      </w:r>
    </w:p>
    <w:p>
      <w:pPr>
        <w:pStyle w:val="ListParagraph"/>
        <w:numPr>
          <w:ilvl w:val="0"/>
          <w:numId w:val="11"/>
        </w:numPr>
        <w:tabs>
          <w:tab w:pos="1847" w:val="left" w:leader="none"/>
        </w:tabs>
        <w:spacing w:line="472" w:lineRule="auto" w:before="4" w:after="0"/>
        <w:ind w:left="1846" w:right="1412" w:hanging="428"/>
        <w:jc w:val="both"/>
        <w:rPr>
          <w:sz w:val="24"/>
        </w:rPr>
      </w:pPr>
      <w:r>
        <w:rPr>
          <w:sz w:val="24"/>
        </w:rPr>
        <w:t>Dal verbale del Cda riunitosi in data 14 dicembre 2016, emerge che Biochemtex, avuto notizia della concessione a IBP dei finanziamenti previsti per il progetto SETHA, e delle necessarie ricapitalizzazioni e/o finanziamenti, ha deliberato in tale data di “</w:t>
      </w:r>
      <w:r>
        <w:rPr>
          <w:i/>
          <w:sz w:val="24"/>
        </w:rPr>
        <w:t>effettuare un primo </w:t>
      </w:r>
      <w:r>
        <w:rPr>
          <w:i/>
          <w:sz w:val="24"/>
        </w:rPr>
        <w:t>versamento di euro 6.500.000 in favore della controllata Italia Bio Products Srl, quale versamento in conto capitale</w:t>
      </w:r>
      <w:r>
        <w:rPr>
          <w:sz w:val="24"/>
        </w:rPr>
        <w:t>”.</w:t>
      </w:r>
    </w:p>
    <w:p>
      <w:pPr>
        <w:pStyle w:val="ListParagraph"/>
        <w:numPr>
          <w:ilvl w:val="0"/>
          <w:numId w:val="11"/>
        </w:numPr>
        <w:tabs>
          <w:tab w:pos="1847" w:val="left" w:leader="none"/>
        </w:tabs>
        <w:spacing w:line="472" w:lineRule="auto" w:before="7" w:after="0"/>
        <w:ind w:left="1846" w:right="1414" w:hanging="428"/>
        <w:jc w:val="both"/>
        <w:rPr>
          <w:sz w:val="24"/>
        </w:rPr>
      </w:pPr>
      <w:r>
        <w:rPr>
          <w:sz w:val="24"/>
        </w:rPr>
        <w:t>Dal verbale del Cda riunitosi in data 21 dicembre 2016, emerge che, per far fronte agli investimenti eseguiti nell’impianto di Crescentino viene deliberato di “</w:t>
      </w:r>
      <w:r>
        <w:rPr>
          <w:i/>
          <w:sz w:val="24"/>
        </w:rPr>
        <w:t>procedere al versamento in </w:t>
      </w:r>
      <w:r>
        <w:rPr>
          <w:i/>
          <w:sz w:val="24"/>
        </w:rPr>
        <w:t>conto copertura perdite per l’importo di euro 20.000.000 liberato mediante compensazione del credito di corrispondente valore vantato da Biochemtex Spa nei confronti della Italian Bio Products Srl, ai sensi dell’accordo di </w:t>
      </w:r>
      <w:r>
        <w:rPr>
          <w:sz w:val="24"/>
        </w:rPr>
        <w:t>cash pooling</w:t>
      </w:r>
      <w:r>
        <w:rPr>
          <w:i/>
          <w:sz w:val="24"/>
        </w:rPr>
        <w:t>, da iscrivere in un’apposita riserva di capitale “riserva copertura</w:t>
      </w:r>
      <w:r>
        <w:rPr>
          <w:i/>
          <w:spacing w:val="-25"/>
          <w:sz w:val="24"/>
        </w:rPr>
        <w:t> </w:t>
      </w:r>
      <w:r>
        <w:rPr>
          <w:i/>
          <w:sz w:val="24"/>
        </w:rPr>
        <w:t>perdite</w:t>
      </w:r>
      <w:r>
        <w:rPr>
          <w:sz w:val="24"/>
        </w:rPr>
        <w:t>”.</w:t>
      </w:r>
    </w:p>
    <w:p>
      <w:pPr>
        <w:spacing w:after="0" w:line="472"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before="100"/>
        <w:ind w:left="1418" w:right="0" w:firstLine="0"/>
        <w:jc w:val="left"/>
        <w:rPr>
          <w:i/>
          <w:sz w:val="24"/>
        </w:rPr>
      </w:pPr>
      <w:r>
        <w:rPr>
          <w:i/>
          <w:sz w:val="24"/>
          <w:u w:val="single"/>
        </w:rPr>
        <w:t>Anno 2017 (Cda Biochemtex)</w:t>
      </w:r>
    </w:p>
    <w:p>
      <w:pPr>
        <w:pStyle w:val="BodyText"/>
        <w:rPr>
          <w:i/>
          <w:sz w:val="20"/>
        </w:rPr>
      </w:pPr>
    </w:p>
    <w:p>
      <w:pPr>
        <w:pStyle w:val="BodyText"/>
        <w:spacing w:before="9"/>
        <w:rPr>
          <w:i/>
          <w:sz w:val="21"/>
        </w:rPr>
      </w:pPr>
    </w:p>
    <w:p>
      <w:pPr>
        <w:pStyle w:val="ListParagraph"/>
        <w:numPr>
          <w:ilvl w:val="0"/>
          <w:numId w:val="11"/>
        </w:numPr>
        <w:tabs>
          <w:tab w:pos="1847" w:val="left" w:leader="none"/>
        </w:tabs>
        <w:spacing w:line="477" w:lineRule="auto" w:before="0" w:after="0"/>
        <w:ind w:left="1846" w:right="1411" w:hanging="428"/>
        <w:jc w:val="both"/>
        <w:rPr>
          <w:sz w:val="24"/>
        </w:rPr>
      </w:pPr>
      <w:r>
        <w:rPr>
          <w:sz w:val="24"/>
        </w:rPr>
        <w:t>Nel verbale del Cda riunitosi in data 29 marzo 2017, il Consiglio delibera di approvare il progetto di bilancio al 31 dicembre 2016 (perdita di Euro 159.274) e di convocare  l’assemblea degli azionisti per il giorno 28 aprile 2017. Il Presidente informa i presenti che  “</w:t>
      </w:r>
      <w:r>
        <w:rPr>
          <w:i/>
          <w:sz w:val="24"/>
        </w:rPr>
        <w:t>nei primi mesi del 2017 l’attività della Società si è concentrata principalmente a sostegno della consorella </w:t>
      </w:r>
      <w:r>
        <w:rPr>
          <w:i/>
          <w:sz w:val="24"/>
        </w:rPr>
        <w:t>Italian Bio Products s.r.l</w:t>
      </w:r>
      <w:r>
        <w:rPr>
          <w:sz w:val="24"/>
        </w:rPr>
        <w:t>” e che “</w:t>
      </w:r>
      <w:r>
        <w:rPr>
          <w:i/>
          <w:sz w:val="24"/>
        </w:rPr>
        <w:t>il test produttivo eseguito sull’impianto nel periodo novembre-dicembre </w:t>
      </w:r>
      <w:r>
        <w:rPr>
          <w:i/>
          <w:sz w:val="24"/>
        </w:rPr>
        <w:t>2016 ha dato buoni risultati in termini di rese e quantità produttiva. L’andamento dei primi mesi del 2017 è in linea con il test eseguito alla fine del 2016 […] l’attività della centrale elettrica di proprietà della IBP Energia s.r.l. produce regolarmente energia elettrica</w:t>
      </w:r>
      <w:r>
        <w:rPr>
          <w:sz w:val="24"/>
        </w:rPr>
        <w:t>”. “</w:t>
      </w:r>
      <w:r>
        <w:rPr>
          <w:i/>
          <w:sz w:val="24"/>
        </w:rPr>
        <w:t>La Società continua a lavorare sia su progetti bio </w:t>
      </w:r>
      <w:r>
        <w:rPr>
          <w:i/>
          <w:sz w:val="24"/>
        </w:rPr>
        <w:t>legati alla tecnologia proesa sia su progetti di tecnologia tradizionale. Lo slittamento nell’arrivo </w:t>
      </w:r>
      <w:r>
        <w:rPr>
          <w:i/>
          <w:spacing w:val="4"/>
          <w:sz w:val="24"/>
        </w:rPr>
        <w:t>di </w:t>
      </w:r>
      <w:r>
        <w:rPr>
          <w:i/>
          <w:sz w:val="24"/>
        </w:rPr>
        <w:t>progetti nel campo</w:t>
      </w:r>
      <w:r>
        <w:rPr>
          <w:i/>
          <w:spacing w:val="18"/>
          <w:sz w:val="24"/>
        </w:rPr>
        <w:t> </w:t>
      </w:r>
      <w:r>
        <w:rPr>
          <w:i/>
          <w:sz w:val="24"/>
        </w:rPr>
        <w:t>della</w:t>
      </w:r>
      <w:r>
        <w:rPr>
          <w:i/>
          <w:spacing w:val="19"/>
          <w:sz w:val="24"/>
        </w:rPr>
        <w:t> </w:t>
      </w:r>
      <w:r>
        <w:rPr>
          <w:i/>
          <w:sz w:val="24"/>
        </w:rPr>
        <w:t>tecnologia</w:t>
      </w:r>
      <w:r>
        <w:rPr>
          <w:i/>
          <w:spacing w:val="19"/>
          <w:sz w:val="24"/>
        </w:rPr>
        <w:t> </w:t>
      </w:r>
      <w:r>
        <w:rPr>
          <w:i/>
          <w:sz w:val="24"/>
        </w:rPr>
        <w:t>proesa</w:t>
      </w:r>
      <w:r>
        <w:rPr>
          <w:i/>
          <w:spacing w:val="20"/>
          <w:sz w:val="24"/>
        </w:rPr>
        <w:t> </w:t>
      </w:r>
      <w:r>
        <w:rPr>
          <w:i/>
          <w:sz w:val="24"/>
        </w:rPr>
        <w:t>è</w:t>
      </w:r>
      <w:r>
        <w:rPr>
          <w:i/>
          <w:spacing w:val="19"/>
          <w:sz w:val="24"/>
        </w:rPr>
        <w:t> </w:t>
      </w:r>
      <w:r>
        <w:rPr>
          <w:i/>
          <w:sz w:val="24"/>
        </w:rPr>
        <w:t>stato</w:t>
      </w:r>
      <w:r>
        <w:rPr>
          <w:i/>
          <w:spacing w:val="18"/>
          <w:sz w:val="24"/>
        </w:rPr>
        <w:t> </w:t>
      </w:r>
      <w:r>
        <w:rPr>
          <w:i/>
          <w:sz w:val="24"/>
        </w:rPr>
        <w:t>compensato</w:t>
      </w:r>
      <w:r>
        <w:rPr>
          <w:i/>
          <w:spacing w:val="18"/>
          <w:sz w:val="24"/>
        </w:rPr>
        <w:t> </w:t>
      </w:r>
      <w:r>
        <w:rPr>
          <w:i/>
          <w:sz w:val="24"/>
        </w:rPr>
        <w:t>con</w:t>
      </w:r>
      <w:r>
        <w:rPr>
          <w:i/>
          <w:spacing w:val="20"/>
          <w:sz w:val="24"/>
        </w:rPr>
        <w:t> </w:t>
      </w:r>
      <w:r>
        <w:rPr>
          <w:i/>
          <w:sz w:val="24"/>
        </w:rPr>
        <w:t>il</w:t>
      </w:r>
      <w:r>
        <w:rPr>
          <w:i/>
          <w:spacing w:val="22"/>
          <w:sz w:val="24"/>
        </w:rPr>
        <w:t> </w:t>
      </w:r>
      <w:r>
        <w:rPr>
          <w:i/>
          <w:sz w:val="24"/>
        </w:rPr>
        <w:t>mantenimento</w:t>
      </w:r>
      <w:r>
        <w:rPr>
          <w:i/>
          <w:spacing w:val="18"/>
          <w:sz w:val="24"/>
        </w:rPr>
        <w:t> </w:t>
      </w:r>
      <w:r>
        <w:rPr>
          <w:i/>
          <w:sz w:val="24"/>
        </w:rPr>
        <w:t>del</w:t>
      </w:r>
      <w:r>
        <w:rPr>
          <w:i/>
          <w:spacing w:val="19"/>
          <w:sz w:val="24"/>
        </w:rPr>
        <w:t> </w:t>
      </w:r>
      <w:r>
        <w:rPr>
          <w:i/>
          <w:sz w:val="24"/>
        </w:rPr>
        <w:t>business</w:t>
      </w:r>
      <w:r>
        <w:rPr>
          <w:i/>
          <w:spacing w:val="19"/>
          <w:sz w:val="24"/>
        </w:rPr>
        <w:t> </w:t>
      </w:r>
      <w:r>
        <w:rPr>
          <w:i/>
          <w:sz w:val="24"/>
        </w:rPr>
        <w:t>sulle</w:t>
      </w:r>
      <w:r>
        <w:rPr>
          <w:i/>
          <w:spacing w:val="19"/>
          <w:sz w:val="24"/>
        </w:rPr>
        <w:t> </w:t>
      </w:r>
      <w:r>
        <w:rPr>
          <w:i/>
          <w:sz w:val="24"/>
        </w:rPr>
        <w:t>vecchie</w:t>
      </w:r>
      <w:r>
        <w:rPr>
          <w:i/>
          <w:spacing w:val="19"/>
          <w:sz w:val="24"/>
        </w:rPr>
        <w:t> </w:t>
      </w:r>
      <w:r>
        <w:rPr>
          <w:i/>
          <w:sz w:val="24"/>
        </w:rPr>
        <w:t>tecnologie</w:t>
      </w:r>
      <w:r>
        <w:rPr>
          <w:sz w:val="24"/>
        </w:rPr>
        <w:t>”.</w:t>
      </w:r>
    </w:p>
    <w:p>
      <w:pPr>
        <w:spacing w:line="480" w:lineRule="auto" w:before="2"/>
        <w:ind w:left="1846" w:right="1409" w:firstLine="0"/>
        <w:jc w:val="both"/>
        <w:rPr>
          <w:sz w:val="24"/>
        </w:rPr>
      </w:pPr>
      <w:r>
        <w:rPr>
          <w:sz w:val="24"/>
        </w:rPr>
        <w:t>Da ultimo”, viene preso in esame il </w:t>
      </w:r>
      <w:r>
        <w:rPr>
          <w:i/>
          <w:sz w:val="24"/>
        </w:rPr>
        <w:t>business plan </w:t>
      </w:r>
      <w:r>
        <w:rPr>
          <w:sz w:val="24"/>
        </w:rPr>
        <w:t>2017-2021” ed il Presidente “</w:t>
      </w:r>
      <w:r>
        <w:rPr>
          <w:i/>
          <w:sz w:val="24"/>
        </w:rPr>
        <w:t>presenta il </w:t>
      </w:r>
      <w:r>
        <w:rPr>
          <w:i/>
          <w:sz w:val="24"/>
        </w:rPr>
        <w:t>business plan 2017-2047 dell’impianto di Crescentino che assume i risultati del test-run di novembre- dicembre 2016 i quali proiettati lungo il periodo di durata del piano consentono il raggiungimento degli obiettivi di rendimento dell’impianto”. </w:t>
      </w:r>
      <w:r>
        <w:rPr>
          <w:sz w:val="24"/>
        </w:rPr>
        <w:t>Il Consiglio delibera di “</w:t>
      </w:r>
      <w:r>
        <w:rPr>
          <w:i/>
          <w:sz w:val="24"/>
        </w:rPr>
        <w:t>approvare il </w:t>
      </w:r>
      <w:r>
        <w:rPr>
          <w:sz w:val="24"/>
        </w:rPr>
        <w:t>business plan </w:t>
      </w:r>
      <w:r>
        <w:rPr>
          <w:i/>
          <w:sz w:val="24"/>
        </w:rPr>
        <w:t>della Società </w:t>
      </w:r>
      <w:r>
        <w:rPr>
          <w:i/>
          <w:sz w:val="24"/>
        </w:rPr>
        <w:t>per gli anni 2017-2021 ed il business plan dell’impianto di Crescentino per il periodo</w:t>
      </w:r>
      <w:r>
        <w:rPr>
          <w:i/>
          <w:spacing w:val="-29"/>
          <w:sz w:val="24"/>
        </w:rPr>
        <w:t> </w:t>
      </w:r>
      <w:r>
        <w:rPr>
          <w:i/>
          <w:sz w:val="24"/>
        </w:rPr>
        <w:t>2017-2047</w:t>
      </w:r>
      <w:r>
        <w:rPr>
          <w:sz w:val="24"/>
        </w:rPr>
        <w:t>”.</w:t>
      </w:r>
    </w:p>
    <w:p>
      <w:pPr>
        <w:pStyle w:val="ListParagraph"/>
        <w:numPr>
          <w:ilvl w:val="0"/>
          <w:numId w:val="11"/>
        </w:numPr>
        <w:tabs>
          <w:tab w:pos="1846" w:val="left" w:leader="none"/>
          <w:tab w:pos="1847" w:val="left" w:leader="none"/>
        </w:tabs>
        <w:spacing w:line="304" w:lineRule="exact" w:before="0" w:after="0"/>
        <w:ind w:left="1846" w:right="0" w:hanging="428"/>
        <w:jc w:val="left"/>
        <w:rPr>
          <w:sz w:val="24"/>
        </w:rPr>
      </w:pPr>
      <w:r>
        <w:rPr>
          <w:sz w:val="24"/>
        </w:rPr>
        <w:t>Dal</w:t>
      </w:r>
      <w:r>
        <w:rPr>
          <w:spacing w:val="28"/>
          <w:sz w:val="24"/>
        </w:rPr>
        <w:t> </w:t>
      </w:r>
      <w:r>
        <w:rPr>
          <w:sz w:val="24"/>
        </w:rPr>
        <w:t>verbale</w:t>
      </w:r>
      <w:r>
        <w:rPr>
          <w:spacing w:val="28"/>
          <w:sz w:val="24"/>
        </w:rPr>
        <w:t> </w:t>
      </w:r>
      <w:r>
        <w:rPr>
          <w:sz w:val="24"/>
        </w:rPr>
        <w:t>del</w:t>
      </w:r>
      <w:r>
        <w:rPr>
          <w:spacing w:val="26"/>
          <w:sz w:val="24"/>
        </w:rPr>
        <w:t> </w:t>
      </w:r>
      <w:r>
        <w:rPr>
          <w:sz w:val="24"/>
        </w:rPr>
        <w:t>Cda</w:t>
      </w:r>
      <w:r>
        <w:rPr>
          <w:spacing w:val="28"/>
          <w:sz w:val="24"/>
        </w:rPr>
        <w:t> </w:t>
      </w:r>
      <w:r>
        <w:rPr>
          <w:sz w:val="24"/>
        </w:rPr>
        <w:t>riunitosi</w:t>
      </w:r>
      <w:r>
        <w:rPr>
          <w:spacing w:val="28"/>
          <w:sz w:val="24"/>
        </w:rPr>
        <w:t> </w:t>
      </w:r>
      <w:r>
        <w:rPr>
          <w:sz w:val="24"/>
        </w:rPr>
        <w:t>in</w:t>
      </w:r>
      <w:r>
        <w:rPr>
          <w:spacing w:val="28"/>
          <w:sz w:val="24"/>
        </w:rPr>
        <w:t> </w:t>
      </w:r>
      <w:r>
        <w:rPr>
          <w:sz w:val="24"/>
        </w:rPr>
        <w:t>data</w:t>
      </w:r>
      <w:r>
        <w:rPr>
          <w:spacing w:val="32"/>
          <w:sz w:val="24"/>
        </w:rPr>
        <w:t> </w:t>
      </w:r>
      <w:r>
        <w:rPr>
          <w:sz w:val="24"/>
        </w:rPr>
        <w:t>28</w:t>
      </w:r>
      <w:r>
        <w:rPr>
          <w:spacing w:val="26"/>
          <w:sz w:val="24"/>
        </w:rPr>
        <w:t> </w:t>
      </w:r>
      <w:r>
        <w:rPr>
          <w:sz w:val="24"/>
        </w:rPr>
        <w:t>aprile</w:t>
      </w:r>
      <w:r>
        <w:rPr>
          <w:spacing w:val="26"/>
          <w:sz w:val="24"/>
        </w:rPr>
        <w:t> </w:t>
      </w:r>
      <w:r>
        <w:rPr>
          <w:sz w:val="24"/>
        </w:rPr>
        <w:t>2017,</w:t>
      </w:r>
      <w:r>
        <w:rPr>
          <w:spacing w:val="28"/>
          <w:sz w:val="24"/>
        </w:rPr>
        <w:t> </w:t>
      </w:r>
      <w:r>
        <w:rPr>
          <w:sz w:val="24"/>
        </w:rPr>
        <w:t>risulta</w:t>
      </w:r>
      <w:r>
        <w:rPr>
          <w:spacing w:val="28"/>
          <w:sz w:val="24"/>
        </w:rPr>
        <w:t> </w:t>
      </w:r>
      <w:r>
        <w:rPr>
          <w:sz w:val="24"/>
        </w:rPr>
        <w:t>la</w:t>
      </w:r>
      <w:r>
        <w:rPr>
          <w:spacing w:val="28"/>
          <w:sz w:val="24"/>
        </w:rPr>
        <w:t> </w:t>
      </w:r>
      <w:r>
        <w:rPr>
          <w:sz w:val="24"/>
        </w:rPr>
        <w:t>delibera</w:t>
      </w:r>
      <w:r>
        <w:rPr>
          <w:spacing w:val="25"/>
          <w:sz w:val="24"/>
        </w:rPr>
        <w:t> </w:t>
      </w:r>
      <w:r>
        <w:rPr>
          <w:sz w:val="24"/>
        </w:rPr>
        <w:t>di</w:t>
      </w:r>
      <w:r>
        <w:rPr>
          <w:spacing w:val="28"/>
          <w:sz w:val="24"/>
        </w:rPr>
        <w:t> </w:t>
      </w:r>
      <w:r>
        <w:rPr>
          <w:sz w:val="24"/>
        </w:rPr>
        <w:t>nomina</w:t>
      </w:r>
      <w:r>
        <w:rPr>
          <w:spacing w:val="28"/>
          <w:sz w:val="24"/>
        </w:rPr>
        <w:t> </w:t>
      </w:r>
      <w:r>
        <w:rPr>
          <w:sz w:val="24"/>
        </w:rPr>
        <w:t>dell’Ing.</w:t>
      </w:r>
    </w:p>
    <w:p>
      <w:pPr>
        <w:pStyle w:val="BodyText"/>
        <w:spacing w:before="1"/>
      </w:pPr>
    </w:p>
    <w:p>
      <w:pPr>
        <w:pStyle w:val="BodyText"/>
        <w:ind w:left="1846"/>
        <w:jc w:val="both"/>
      </w:pPr>
      <w:r>
        <w:rPr/>
        <w:t>Bolcheni quale amministratore delegato e di conferire deleghe e poteri all’intero consiglio.</w:t>
      </w:r>
    </w:p>
    <w:p>
      <w:pPr>
        <w:pStyle w:val="BodyText"/>
        <w:spacing w:before="10"/>
        <w:rPr>
          <w:sz w:val="23"/>
        </w:rPr>
      </w:pPr>
    </w:p>
    <w:p>
      <w:pPr>
        <w:pStyle w:val="ListParagraph"/>
        <w:numPr>
          <w:ilvl w:val="0"/>
          <w:numId w:val="11"/>
        </w:numPr>
        <w:tabs>
          <w:tab w:pos="1846" w:val="left" w:leader="none"/>
          <w:tab w:pos="1847" w:val="left" w:leader="none"/>
        </w:tabs>
        <w:spacing w:line="240" w:lineRule="auto" w:before="0" w:after="0"/>
        <w:ind w:left="1846" w:right="0" w:hanging="428"/>
        <w:jc w:val="left"/>
        <w:rPr>
          <w:sz w:val="24"/>
        </w:rPr>
      </w:pPr>
      <w:r>
        <w:rPr>
          <w:sz w:val="24"/>
        </w:rPr>
        <w:t>Dal</w:t>
      </w:r>
      <w:r>
        <w:rPr>
          <w:spacing w:val="49"/>
          <w:sz w:val="24"/>
        </w:rPr>
        <w:t> </w:t>
      </w:r>
      <w:r>
        <w:rPr>
          <w:sz w:val="24"/>
        </w:rPr>
        <w:t>verbale</w:t>
      </w:r>
      <w:r>
        <w:rPr>
          <w:spacing w:val="50"/>
          <w:sz w:val="24"/>
        </w:rPr>
        <w:t> </w:t>
      </w:r>
      <w:r>
        <w:rPr>
          <w:sz w:val="24"/>
        </w:rPr>
        <w:t>del</w:t>
      </w:r>
      <w:r>
        <w:rPr>
          <w:spacing w:val="50"/>
          <w:sz w:val="24"/>
        </w:rPr>
        <w:t> </w:t>
      </w:r>
      <w:r>
        <w:rPr>
          <w:sz w:val="24"/>
        </w:rPr>
        <w:t>Cda</w:t>
      </w:r>
      <w:r>
        <w:rPr>
          <w:spacing w:val="51"/>
          <w:sz w:val="24"/>
        </w:rPr>
        <w:t> </w:t>
      </w:r>
      <w:r>
        <w:rPr>
          <w:sz w:val="24"/>
        </w:rPr>
        <w:t>riunitosi</w:t>
      </w:r>
      <w:r>
        <w:rPr>
          <w:spacing w:val="49"/>
          <w:sz w:val="24"/>
        </w:rPr>
        <w:t> </w:t>
      </w:r>
      <w:r>
        <w:rPr>
          <w:sz w:val="24"/>
        </w:rPr>
        <w:t>in</w:t>
      </w:r>
      <w:r>
        <w:rPr>
          <w:spacing w:val="49"/>
          <w:sz w:val="24"/>
        </w:rPr>
        <w:t> </w:t>
      </w:r>
      <w:r>
        <w:rPr>
          <w:sz w:val="24"/>
        </w:rPr>
        <w:t>data</w:t>
      </w:r>
      <w:r>
        <w:rPr>
          <w:spacing w:val="49"/>
          <w:sz w:val="24"/>
        </w:rPr>
        <w:t> </w:t>
      </w:r>
      <w:r>
        <w:rPr>
          <w:sz w:val="24"/>
        </w:rPr>
        <w:t>10</w:t>
      </w:r>
      <w:r>
        <w:rPr>
          <w:spacing w:val="52"/>
          <w:sz w:val="24"/>
        </w:rPr>
        <w:t> </w:t>
      </w:r>
      <w:r>
        <w:rPr>
          <w:sz w:val="24"/>
        </w:rPr>
        <w:t>settembre</w:t>
      </w:r>
      <w:r>
        <w:rPr>
          <w:spacing w:val="49"/>
          <w:sz w:val="24"/>
        </w:rPr>
        <w:t> </w:t>
      </w:r>
      <w:r>
        <w:rPr>
          <w:sz w:val="24"/>
        </w:rPr>
        <w:t>2017,</w:t>
      </w:r>
      <w:r>
        <w:rPr>
          <w:spacing w:val="49"/>
          <w:sz w:val="24"/>
        </w:rPr>
        <w:t> </w:t>
      </w:r>
      <w:r>
        <w:rPr>
          <w:sz w:val="24"/>
        </w:rPr>
        <w:t>emerge</w:t>
      </w:r>
      <w:r>
        <w:rPr>
          <w:spacing w:val="49"/>
          <w:sz w:val="24"/>
        </w:rPr>
        <w:t> </w:t>
      </w:r>
      <w:r>
        <w:rPr>
          <w:sz w:val="24"/>
        </w:rPr>
        <w:t>quanto</w:t>
      </w:r>
      <w:r>
        <w:rPr>
          <w:spacing w:val="48"/>
          <w:sz w:val="24"/>
        </w:rPr>
        <w:t> </w:t>
      </w:r>
      <w:r>
        <w:rPr>
          <w:sz w:val="24"/>
        </w:rPr>
        <w:t>segue:</w:t>
      </w:r>
      <w:r>
        <w:rPr>
          <w:spacing w:val="49"/>
          <w:sz w:val="24"/>
        </w:rPr>
        <w:t> </w:t>
      </w:r>
      <w:r>
        <w:rPr>
          <w:sz w:val="24"/>
        </w:rPr>
        <w:t>l’Amm.</w:t>
      </w:r>
    </w:p>
    <w:p>
      <w:pPr>
        <w:pStyle w:val="BodyText"/>
        <w:spacing w:before="2"/>
      </w:pPr>
    </w:p>
    <w:p>
      <w:pPr>
        <w:pStyle w:val="BodyText"/>
        <w:spacing w:line="480" w:lineRule="auto"/>
        <w:ind w:left="1846" w:right="1414"/>
        <w:jc w:val="both"/>
      </w:pPr>
      <w:r>
        <w:rPr/>
        <w:t>Delegato, Giovanni Bolcheni, rappresenta al Consiglio di essere stato informato dall’amministratore delegato di IBP Arch. Ciparelli, in ordine alla interruzione della fornitura di  gas  e  dell’immediata  sospensione  dell’attività  di  produzione  di  Bioetanolo.  In    </w:t>
      </w:r>
      <w:r>
        <w:rPr>
          <w:spacing w:val="59"/>
        </w:rPr>
        <w:t> </w:t>
      </w:r>
      <w:r>
        <w:rPr/>
        <w:t>tale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846" w:right="1411" w:firstLine="0"/>
        <w:jc w:val="both"/>
        <w:rPr>
          <w:sz w:val="24"/>
        </w:rPr>
      </w:pPr>
      <w:r>
        <w:rPr>
          <w:sz w:val="24"/>
        </w:rPr>
        <w:t>occasione l’Ing. Bolcheni riporta che “</w:t>
      </w:r>
      <w:r>
        <w:rPr>
          <w:i/>
          <w:sz w:val="24"/>
        </w:rPr>
        <w:t>il mancato pagamento della fornitura del gas è purtroppo </w:t>
      </w:r>
      <w:r>
        <w:rPr>
          <w:i/>
          <w:sz w:val="24"/>
        </w:rPr>
        <w:t>conseguenza del blocco dei flussi di cassa dalle società controllanti, tra cui la stessa Biochemtex, che – nel tempo - hanno sempre sostenuto finanziariamente la IBP”</w:t>
      </w:r>
      <w:r>
        <w:rPr>
          <w:sz w:val="24"/>
        </w:rPr>
        <w:t>. L’ing. Bolcheni, per quanto attiene alla Biochemtex, sottolinea che “</w:t>
      </w:r>
      <w:r>
        <w:rPr>
          <w:i/>
          <w:sz w:val="24"/>
        </w:rPr>
        <w:t>vanno segnalati due imprevedibili eventi che hanno determinato una </w:t>
      </w:r>
      <w:r>
        <w:rPr>
          <w:i/>
          <w:sz w:val="24"/>
        </w:rPr>
        <w:t>temporanea carenza di liquidità</w:t>
      </w:r>
      <w:r>
        <w:rPr>
          <w:sz w:val="24"/>
        </w:rPr>
        <w:t>” tra cui “</w:t>
      </w:r>
      <w:r>
        <w:rPr>
          <w:i/>
          <w:sz w:val="24"/>
        </w:rPr>
        <w:t>l’avvenuta escussione da parte di Unicredit S.p.A. della contro- </w:t>
      </w:r>
      <w:r>
        <w:rPr>
          <w:i/>
          <w:sz w:val="24"/>
        </w:rPr>
        <w:t>garanzia rilasciata da Biochemtex per l’importo di Euro 4.017.918,15 in relazione al performance bond emesso a favore di Entsorga Westvirginia</w:t>
      </w:r>
      <w:r>
        <w:rPr>
          <w:sz w:val="24"/>
        </w:rPr>
        <w:t>”. L’amm. Delegato informa il consiglio, che, a seguito dell’andamento negativo di IBP e del risultato negativo del Patrimonio Netto di quest’ultima, la Biochemtex è intervenuta definendo un accordo di conversione a riserva per coperture perdite di una quota del credito finanziario (per Euro 6,5 mln) e del credito commerciale (per Euro 3,5 mln). Il Presidente del Collegio sindacale, Dott. Dante Davio, ricorda che “</w:t>
      </w:r>
      <w:r>
        <w:rPr>
          <w:i/>
          <w:sz w:val="24"/>
        </w:rPr>
        <w:t>gli asset </w:t>
      </w:r>
      <w:r>
        <w:rPr>
          <w:i/>
          <w:sz w:val="24"/>
        </w:rPr>
        <w:t>principali della Società (BioChemtex) […] sono costituiti dalle partecipazioni operanti nel settore Bio […] concorda quindi sulla parziale copertura delle perdite conseguite sino al 30 giugno da IBP Srl […] ma  ritiene che al momento la suddetta rinuncia debba essere iscritta come svalutazione a Conto Economico</w:t>
      </w:r>
      <w:r>
        <w:rPr>
          <w:sz w:val="24"/>
        </w:rPr>
        <w:t>”. Lo stesso ricorda che “</w:t>
      </w:r>
      <w:r>
        <w:rPr>
          <w:i/>
          <w:sz w:val="24"/>
        </w:rPr>
        <w:t>dalle informazioni assunte in questi ultimi giorni la Società (BioChemtex) ha una </w:t>
      </w:r>
      <w:r>
        <w:rPr>
          <w:i/>
          <w:sz w:val="24"/>
        </w:rPr>
        <w:t>posizione di scaduto nei confronti dei fornitori pari a circa 8 milioni di Euro e debiti verso le banche pari a circa 112 milioni di</w:t>
      </w:r>
      <w:r>
        <w:rPr>
          <w:i/>
          <w:spacing w:val="-3"/>
          <w:sz w:val="24"/>
        </w:rPr>
        <w:t> </w:t>
      </w:r>
      <w:r>
        <w:rPr>
          <w:i/>
          <w:sz w:val="24"/>
        </w:rPr>
        <w:t>Euro</w:t>
      </w:r>
      <w:r>
        <w:rPr>
          <w:sz w:val="24"/>
        </w:rPr>
        <w:t>”.</w:t>
      </w:r>
    </w:p>
    <w:p>
      <w:pPr>
        <w:spacing w:line="480" w:lineRule="auto" w:before="0"/>
        <w:ind w:left="1846" w:right="1413" w:firstLine="0"/>
        <w:jc w:val="both"/>
        <w:rPr>
          <w:sz w:val="24"/>
        </w:rPr>
      </w:pPr>
      <w:r>
        <w:rPr>
          <w:sz w:val="24"/>
        </w:rPr>
        <w:t>Da tale verbale emerge che gli imprevedibili eventi di cui sopra, unitamente al complessivo indebitamento della Società “</w:t>
      </w:r>
      <w:r>
        <w:rPr>
          <w:i/>
          <w:sz w:val="24"/>
        </w:rPr>
        <w:t>hanno indotto il Consigliere Delegato di rivolgersi allo Studio Legale </w:t>
      </w:r>
      <w:r>
        <w:rPr>
          <w:i/>
          <w:sz w:val="24"/>
        </w:rPr>
        <w:t>Gianni Origoni Grippo Cappelli &amp; Partners ed allo Studio Associato Chiaruttini per esaminare la situazione della Società insieme a quella del Gruppo M&amp;G</w:t>
      </w:r>
      <w:r>
        <w:rPr>
          <w:sz w:val="24"/>
        </w:rPr>
        <w:t>”.</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0"/>
          <w:numId w:val="11"/>
        </w:numPr>
        <w:tabs>
          <w:tab w:pos="1847" w:val="left" w:leader="none"/>
        </w:tabs>
        <w:spacing w:line="465" w:lineRule="auto" w:before="100" w:after="0"/>
        <w:ind w:left="1846" w:right="1413" w:hanging="428"/>
        <w:jc w:val="both"/>
        <w:rPr>
          <w:sz w:val="24"/>
        </w:rPr>
      </w:pPr>
      <w:r>
        <w:rPr>
          <w:sz w:val="24"/>
        </w:rPr>
        <w:t>Dal verbale del Cda riunitosi in data 13 ottobre 2017, risulta che il Consiglio di Amministrazione delibera all’unanimità di presentare la domanda per l’ammissione alla procedura di concordato preventivo prevista dagli artt. 160 e ss. della</w:t>
      </w:r>
      <w:r>
        <w:rPr>
          <w:spacing w:val="-34"/>
          <w:sz w:val="24"/>
        </w:rPr>
        <w:t> </w:t>
      </w:r>
      <w:r>
        <w:rPr>
          <w:sz w:val="24"/>
        </w:rPr>
        <w:t>L.F.</w:t>
      </w:r>
    </w:p>
    <w:p>
      <w:pPr>
        <w:pStyle w:val="BodyText"/>
        <w:rPr>
          <w:sz w:val="26"/>
        </w:rPr>
      </w:pPr>
    </w:p>
    <w:p>
      <w:pPr>
        <w:pStyle w:val="BodyText"/>
        <w:spacing w:before="6"/>
        <w:rPr>
          <w:sz w:val="37"/>
        </w:rPr>
      </w:pPr>
    </w:p>
    <w:p>
      <w:pPr>
        <w:spacing w:before="0"/>
        <w:ind w:left="2138" w:right="0" w:firstLine="0"/>
        <w:jc w:val="left"/>
        <w:rPr>
          <w:i/>
          <w:sz w:val="24"/>
        </w:rPr>
      </w:pPr>
      <w:r>
        <w:rPr>
          <w:i/>
          <w:sz w:val="24"/>
          <w:u w:val="single"/>
        </w:rPr>
        <w:t>Anno 2013 (Collegio sindacale Biochemtex)</w:t>
      </w:r>
    </w:p>
    <w:p>
      <w:pPr>
        <w:pStyle w:val="BodyText"/>
        <w:spacing w:before="10"/>
        <w:rPr>
          <w:i/>
          <w:sz w:val="23"/>
        </w:rPr>
      </w:pPr>
    </w:p>
    <w:p>
      <w:pPr>
        <w:pStyle w:val="ListParagraph"/>
        <w:numPr>
          <w:ilvl w:val="0"/>
          <w:numId w:val="11"/>
        </w:numPr>
        <w:tabs>
          <w:tab w:pos="1847" w:val="left" w:leader="none"/>
        </w:tabs>
        <w:spacing w:line="465" w:lineRule="auto" w:before="0" w:after="0"/>
        <w:ind w:left="1846" w:right="1413" w:hanging="428"/>
        <w:jc w:val="both"/>
        <w:rPr>
          <w:sz w:val="24"/>
        </w:rPr>
      </w:pPr>
      <w:r>
        <w:rPr>
          <w:sz w:val="24"/>
        </w:rPr>
        <w:t>Dal verbale del Collegio sindacale riunitosi in data 22 febbraio 2013, il Collegio rileva, tra l’altro, la stipula di un contratto di affitto di ramo azienda con M&amp;G Finanziaria s.r.l. al canone annuo di Euro</w:t>
      </w:r>
      <w:r>
        <w:rPr>
          <w:spacing w:val="-9"/>
          <w:sz w:val="24"/>
        </w:rPr>
        <w:t> </w:t>
      </w:r>
      <w:r>
        <w:rPr>
          <w:sz w:val="24"/>
        </w:rPr>
        <w:t>2.400.000.</w:t>
      </w:r>
    </w:p>
    <w:p>
      <w:pPr>
        <w:pStyle w:val="ListParagraph"/>
        <w:numPr>
          <w:ilvl w:val="0"/>
          <w:numId w:val="11"/>
        </w:numPr>
        <w:tabs>
          <w:tab w:pos="1847" w:val="left" w:leader="none"/>
        </w:tabs>
        <w:spacing w:line="465" w:lineRule="auto" w:before="15" w:after="0"/>
        <w:ind w:left="1846" w:right="1412" w:hanging="428"/>
        <w:jc w:val="both"/>
        <w:rPr>
          <w:sz w:val="24"/>
        </w:rPr>
      </w:pPr>
      <w:r>
        <w:rPr>
          <w:sz w:val="24"/>
        </w:rPr>
        <w:t>Dal verbale del Collegio sindacale riunitosi in data 8 aprile 2013, prende atto dell’approvazione del progetto di bilancio al 31.12.2012 da parte del Consiglio di Amministrazione ed invita l’assemblea a approvare lo</w:t>
      </w:r>
      <w:r>
        <w:rPr>
          <w:spacing w:val="-14"/>
          <w:sz w:val="24"/>
        </w:rPr>
        <w:t> </w:t>
      </w:r>
      <w:r>
        <w:rPr>
          <w:sz w:val="24"/>
        </w:rPr>
        <w:t>stesso.</w:t>
      </w:r>
    </w:p>
    <w:p>
      <w:pPr>
        <w:pStyle w:val="ListParagraph"/>
        <w:numPr>
          <w:ilvl w:val="0"/>
          <w:numId w:val="11"/>
        </w:numPr>
        <w:tabs>
          <w:tab w:pos="1847" w:val="left" w:leader="none"/>
        </w:tabs>
        <w:spacing w:line="470" w:lineRule="auto" w:before="15" w:after="0"/>
        <w:ind w:left="1846" w:right="1412" w:hanging="428"/>
        <w:jc w:val="both"/>
        <w:rPr>
          <w:sz w:val="24"/>
        </w:rPr>
      </w:pPr>
      <w:r>
        <w:rPr>
          <w:sz w:val="24"/>
        </w:rPr>
        <w:t>Dal verbale del Collegio sindacale riunitosi in data 23 maggio 2013, risulta che il Collegio ha rilevato che i saldi del </w:t>
      </w:r>
      <w:r>
        <w:rPr>
          <w:i/>
          <w:sz w:val="24"/>
        </w:rPr>
        <w:t>cash pooling </w:t>
      </w:r>
      <w:r>
        <w:rPr>
          <w:sz w:val="24"/>
        </w:rPr>
        <w:t>risultano nei limiti degli affidamenti concessi e che l’esecuzione del progetto MOGHI comporterà un investimento stimato di circa 45 milioni di Euro.</w:t>
      </w:r>
    </w:p>
    <w:p>
      <w:pPr>
        <w:pStyle w:val="ListParagraph"/>
        <w:numPr>
          <w:ilvl w:val="0"/>
          <w:numId w:val="11"/>
        </w:numPr>
        <w:tabs>
          <w:tab w:pos="1847" w:val="left" w:leader="none"/>
        </w:tabs>
        <w:spacing w:line="470" w:lineRule="auto" w:before="9" w:after="0"/>
        <w:ind w:left="1846" w:right="1414" w:hanging="428"/>
        <w:jc w:val="both"/>
        <w:rPr>
          <w:sz w:val="24"/>
        </w:rPr>
      </w:pPr>
      <w:r>
        <w:rPr>
          <w:sz w:val="24"/>
        </w:rPr>
        <w:t>Dal verbale del Collegio sindacale riunitosi in data 13 settembre 2013, emerge che il Collegio ha rilevato che l’assemblea straordinaria degli azionisti ha deliberato il mutamento della denominazione sociale in Biochemtex S.p.A. Il Collegio, inoltre, richiede l’informativa al rag. Straccamore sui rapporti </w:t>
      </w:r>
      <w:r>
        <w:rPr>
          <w:i/>
          <w:sz w:val="24"/>
        </w:rPr>
        <w:t>intercompany </w:t>
      </w:r>
      <w:r>
        <w:rPr>
          <w:sz w:val="24"/>
        </w:rPr>
        <w:t>ed in particolare sull’impianto pilota di</w:t>
      </w:r>
      <w:r>
        <w:rPr>
          <w:spacing w:val="-21"/>
          <w:sz w:val="24"/>
        </w:rPr>
        <w:t> </w:t>
      </w:r>
      <w:r>
        <w:rPr>
          <w:sz w:val="24"/>
        </w:rPr>
        <w:t>Crescentino.</w:t>
      </w:r>
    </w:p>
    <w:p>
      <w:pPr>
        <w:pStyle w:val="ListParagraph"/>
        <w:numPr>
          <w:ilvl w:val="0"/>
          <w:numId w:val="11"/>
        </w:numPr>
        <w:tabs>
          <w:tab w:pos="1847" w:val="left" w:leader="none"/>
        </w:tabs>
        <w:spacing w:line="465" w:lineRule="auto" w:before="9" w:after="0"/>
        <w:ind w:left="1846" w:right="1414" w:hanging="428"/>
        <w:jc w:val="both"/>
        <w:rPr>
          <w:i/>
          <w:sz w:val="24"/>
        </w:rPr>
      </w:pPr>
      <w:r>
        <w:rPr>
          <w:sz w:val="24"/>
        </w:rPr>
        <w:t>Dal verbale del Collegio sindacale riunitosi in data 25 settembre 2013, emerge che il Collegio prende in esame in particolare “</w:t>
      </w:r>
      <w:r>
        <w:rPr>
          <w:i/>
          <w:sz w:val="24"/>
        </w:rPr>
        <w:t>lo stato dell’arte nella richiesta di finanziamenti avanzata alla Banca </w:t>
      </w:r>
      <w:r>
        <w:rPr>
          <w:i/>
          <w:sz w:val="24"/>
        </w:rPr>
        <w:t>Europea per gli</w:t>
      </w:r>
      <w:r>
        <w:rPr>
          <w:i/>
          <w:spacing w:val="-5"/>
          <w:sz w:val="24"/>
        </w:rPr>
        <w:t> </w:t>
      </w:r>
      <w:r>
        <w:rPr>
          <w:i/>
          <w:sz w:val="24"/>
        </w:rPr>
        <w:t>investimenti”.</w:t>
      </w:r>
    </w:p>
    <w:p>
      <w:pPr>
        <w:spacing w:after="0" w:line="465"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before="100"/>
        <w:ind w:left="2138" w:right="0" w:firstLine="0"/>
        <w:jc w:val="left"/>
        <w:rPr>
          <w:i/>
          <w:sz w:val="24"/>
        </w:rPr>
      </w:pPr>
      <w:r>
        <w:rPr>
          <w:i/>
          <w:sz w:val="24"/>
          <w:u w:val="single"/>
        </w:rPr>
        <w:t>Anno 2014 (Collegio sindacale Biochemtex)</w:t>
      </w:r>
    </w:p>
    <w:p>
      <w:pPr>
        <w:pStyle w:val="BodyText"/>
        <w:spacing w:before="10"/>
        <w:rPr>
          <w:i/>
          <w:sz w:val="23"/>
        </w:rPr>
      </w:pPr>
    </w:p>
    <w:p>
      <w:pPr>
        <w:pStyle w:val="ListParagraph"/>
        <w:numPr>
          <w:ilvl w:val="0"/>
          <w:numId w:val="11"/>
        </w:numPr>
        <w:tabs>
          <w:tab w:pos="1847" w:val="left" w:leader="none"/>
        </w:tabs>
        <w:spacing w:line="465" w:lineRule="auto" w:before="0" w:after="0"/>
        <w:ind w:left="1846" w:right="1413" w:hanging="428"/>
        <w:jc w:val="both"/>
        <w:rPr>
          <w:sz w:val="24"/>
        </w:rPr>
      </w:pPr>
      <w:r>
        <w:rPr>
          <w:sz w:val="24"/>
        </w:rPr>
        <w:t>Dal verbale del Collegio sindacale riunitosi in data 18 aprile 2014, emerge che il Collegio predispone la propria relazione all’assemblea per il bilancio dell’esercizio chiuso al 31 dicembre 2013.</w:t>
      </w:r>
    </w:p>
    <w:p>
      <w:pPr>
        <w:pStyle w:val="ListParagraph"/>
        <w:numPr>
          <w:ilvl w:val="0"/>
          <w:numId w:val="11"/>
        </w:numPr>
        <w:tabs>
          <w:tab w:pos="1847" w:val="left" w:leader="none"/>
        </w:tabs>
        <w:spacing w:line="465" w:lineRule="auto" w:before="15" w:after="0"/>
        <w:ind w:left="1846" w:right="1411" w:hanging="428"/>
        <w:jc w:val="both"/>
        <w:rPr>
          <w:sz w:val="24"/>
        </w:rPr>
      </w:pPr>
      <w:r>
        <w:rPr>
          <w:sz w:val="24"/>
        </w:rPr>
        <w:t>Dal verbale del Collegio sindacale riunitosi in data 13 giugno 2014, il Collegio sindacale – come da verbale – incontra “</w:t>
      </w:r>
      <w:r>
        <w:rPr>
          <w:i/>
          <w:sz w:val="24"/>
        </w:rPr>
        <w:t>i revisori al fine di scambiarsi informazioni e dati in merito all’attività di </w:t>
      </w:r>
      <w:r>
        <w:rPr>
          <w:i/>
          <w:sz w:val="24"/>
        </w:rPr>
        <w:t>controllo da ciascuno di essi</w:t>
      </w:r>
      <w:r>
        <w:rPr>
          <w:i/>
          <w:spacing w:val="-8"/>
          <w:sz w:val="24"/>
        </w:rPr>
        <w:t> </w:t>
      </w:r>
      <w:r>
        <w:rPr>
          <w:i/>
          <w:sz w:val="24"/>
        </w:rPr>
        <w:t>effettuata</w:t>
      </w:r>
      <w:r>
        <w:rPr>
          <w:sz w:val="24"/>
        </w:rPr>
        <w:t>”.</w:t>
      </w:r>
    </w:p>
    <w:p>
      <w:pPr>
        <w:pStyle w:val="ListParagraph"/>
        <w:numPr>
          <w:ilvl w:val="0"/>
          <w:numId w:val="11"/>
        </w:numPr>
        <w:tabs>
          <w:tab w:pos="1847" w:val="left" w:leader="none"/>
        </w:tabs>
        <w:spacing w:line="465" w:lineRule="auto" w:before="15" w:after="0"/>
        <w:ind w:left="1846" w:right="1411" w:hanging="428"/>
        <w:jc w:val="both"/>
        <w:rPr>
          <w:sz w:val="24"/>
        </w:rPr>
      </w:pPr>
      <w:r>
        <w:rPr>
          <w:sz w:val="24"/>
        </w:rPr>
        <w:t>Dal verbale del 10 ottobre 2014, emerge che il Collegio ha analizzato i contratti stipulati con la società slovacca EnergoChemica Tradica del valore rispettivamente di Euro 23,2 milioni per la fornitura di licenza Proesa e di Euro 5,5 milioni per i servizi di</w:t>
      </w:r>
      <w:r>
        <w:rPr>
          <w:spacing w:val="-24"/>
          <w:sz w:val="24"/>
        </w:rPr>
        <w:t> </w:t>
      </w:r>
      <w:r>
        <w:rPr>
          <w:sz w:val="24"/>
        </w:rPr>
        <w:t>assistenza.</w:t>
      </w:r>
    </w:p>
    <w:p>
      <w:pPr>
        <w:spacing w:before="16"/>
        <w:ind w:left="2138" w:right="0" w:firstLine="0"/>
        <w:jc w:val="left"/>
        <w:rPr>
          <w:i/>
          <w:sz w:val="24"/>
        </w:rPr>
      </w:pPr>
      <w:r>
        <w:rPr>
          <w:i/>
          <w:sz w:val="24"/>
          <w:u w:val="single"/>
        </w:rPr>
        <w:t>Anno 2015 (Collegio sindacale Biochemtex)</w:t>
      </w:r>
    </w:p>
    <w:p>
      <w:pPr>
        <w:pStyle w:val="BodyText"/>
        <w:rPr>
          <w:i/>
          <w:sz w:val="20"/>
        </w:rPr>
      </w:pPr>
    </w:p>
    <w:p>
      <w:pPr>
        <w:pStyle w:val="BodyText"/>
        <w:spacing w:before="9"/>
        <w:rPr>
          <w:i/>
          <w:sz w:val="21"/>
        </w:rPr>
      </w:pPr>
    </w:p>
    <w:p>
      <w:pPr>
        <w:pStyle w:val="ListParagraph"/>
        <w:numPr>
          <w:ilvl w:val="0"/>
          <w:numId w:val="11"/>
        </w:numPr>
        <w:tabs>
          <w:tab w:pos="1847" w:val="left" w:leader="none"/>
        </w:tabs>
        <w:spacing w:line="475" w:lineRule="auto" w:before="1" w:after="0"/>
        <w:ind w:left="1846" w:right="1411" w:hanging="428"/>
        <w:jc w:val="both"/>
        <w:rPr>
          <w:sz w:val="24"/>
        </w:rPr>
      </w:pPr>
      <w:r>
        <w:rPr>
          <w:sz w:val="24"/>
        </w:rPr>
        <w:t>Dal verbale del Collegio sindacale riunitosi in data 26 marzo 2015, emerge che il Collegio prende in esame “</w:t>
      </w:r>
      <w:r>
        <w:rPr>
          <w:i/>
          <w:sz w:val="24"/>
        </w:rPr>
        <w:t>la situazione economico-patrimoniale della Società alla data del 31.12.2014 ove </w:t>
      </w:r>
      <w:r>
        <w:rPr>
          <w:i/>
          <w:sz w:val="24"/>
        </w:rPr>
        <w:t>trovano evidenza i rapporti intragruppo, che evidenzia un risultato negativo ante-imposte di Euro 7.055.372</w:t>
      </w:r>
      <w:r>
        <w:rPr>
          <w:sz w:val="24"/>
        </w:rPr>
        <w:t>” e il </w:t>
      </w:r>
      <w:r>
        <w:rPr>
          <w:i/>
          <w:sz w:val="24"/>
        </w:rPr>
        <w:t>cashpooling </w:t>
      </w:r>
      <w:r>
        <w:rPr>
          <w:sz w:val="24"/>
        </w:rPr>
        <w:t>evidenzia un </w:t>
      </w:r>
      <w:r>
        <w:rPr>
          <w:i/>
          <w:sz w:val="24"/>
        </w:rPr>
        <w:t>“saldo complessivo positivo pari ad Euro 160.383.737”. </w:t>
      </w:r>
      <w:r>
        <w:rPr>
          <w:sz w:val="24"/>
        </w:rPr>
        <w:t>In merito alla situazione debitoria verso gli istituti bancari il Collegio rileva che “</w:t>
      </w:r>
      <w:r>
        <w:rPr>
          <w:i/>
          <w:sz w:val="24"/>
        </w:rPr>
        <w:t>l’ammontare  </w:t>
      </w:r>
      <w:r>
        <w:rPr>
          <w:i/>
          <w:sz w:val="24"/>
        </w:rPr>
        <w:t>totale dei debiti a medio-lungo termine al 31 dicembre 2014 è pari ad Euro 65.740.124</w:t>
      </w:r>
      <w:r>
        <w:rPr>
          <w:sz w:val="24"/>
        </w:rPr>
        <w:t>” e che i debiti a breve-termine verso gli istituti bancari sono pari ad Euro</w:t>
      </w:r>
      <w:r>
        <w:rPr>
          <w:spacing w:val="-22"/>
          <w:sz w:val="24"/>
        </w:rPr>
        <w:t> </w:t>
      </w:r>
      <w:r>
        <w:rPr>
          <w:sz w:val="24"/>
        </w:rPr>
        <w:t>40.010.922.</w:t>
      </w:r>
    </w:p>
    <w:p>
      <w:pPr>
        <w:pStyle w:val="ListParagraph"/>
        <w:numPr>
          <w:ilvl w:val="0"/>
          <w:numId w:val="11"/>
        </w:numPr>
        <w:tabs>
          <w:tab w:pos="1847" w:val="left" w:leader="none"/>
        </w:tabs>
        <w:spacing w:line="453" w:lineRule="auto" w:before="4" w:after="0"/>
        <w:ind w:left="1846" w:right="1415" w:hanging="428"/>
        <w:jc w:val="both"/>
        <w:rPr>
          <w:sz w:val="24"/>
        </w:rPr>
      </w:pPr>
      <w:r>
        <w:rPr>
          <w:sz w:val="24"/>
        </w:rPr>
        <w:t>Dal verbale del Collegio sindacale riunitosi in data 28 aprile 2015, emerge l’approvazione della relazione del Collegio per l’assemblea relativa al bilancio</w:t>
      </w:r>
      <w:r>
        <w:rPr>
          <w:spacing w:val="-9"/>
          <w:sz w:val="24"/>
        </w:rPr>
        <w:t> </w:t>
      </w:r>
      <w:r>
        <w:rPr>
          <w:sz w:val="24"/>
        </w:rPr>
        <w:t>2014.</w:t>
      </w:r>
    </w:p>
    <w:p>
      <w:pPr>
        <w:spacing w:after="0" w:line="453"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0"/>
          <w:numId w:val="11"/>
        </w:numPr>
        <w:tabs>
          <w:tab w:pos="1847" w:val="left" w:leader="none"/>
        </w:tabs>
        <w:spacing w:line="465" w:lineRule="auto" w:before="100" w:after="0"/>
        <w:ind w:left="1846" w:right="1411" w:hanging="428"/>
        <w:jc w:val="both"/>
        <w:rPr>
          <w:sz w:val="24"/>
        </w:rPr>
      </w:pPr>
      <w:r>
        <w:rPr>
          <w:sz w:val="24"/>
        </w:rPr>
        <w:t>Dal verbale del Collegio sindacale riunitosi in data 22 maggio 2015, il Collegio sindacale – come da verbale – incontra “</w:t>
      </w:r>
      <w:r>
        <w:rPr>
          <w:i/>
          <w:sz w:val="24"/>
        </w:rPr>
        <w:t>i revisori al fine di scambiarsi informazioni e dati in merito all’attività di </w:t>
      </w:r>
      <w:r>
        <w:rPr>
          <w:i/>
          <w:sz w:val="24"/>
        </w:rPr>
        <w:t>controllo da ciascuno di essi</w:t>
      </w:r>
      <w:r>
        <w:rPr>
          <w:i/>
          <w:spacing w:val="-8"/>
          <w:sz w:val="24"/>
        </w:rPr>
        <w:t> </w:t>
      </w:r>
      <w:r>
        <w:rPr>
          <w:i/>
          <w:sz w:val="24"/>
        </w:rPr>
        <w:t>effettuata</w:t>
      </w:r>
      <w:r>
        <w:rPr>
          <w:sz w:val="24"/>
        </w:rPr>
        <w:t>”.</w:t>
      </w:r>
    </w:p>
    <w:p>
      <w:pPr>
        <w:pStyle w:val="ListParagraph"/>
        <w:numPr>
          <w:ilvl w:val="0"/>
          <w:numId w:val="11"/>
        </w:numPr>
        <w:tabs>
          <w:tab w:pos="1847" w:val="left" w:leader="none"/>
        </w:tabs>
        <w:spacing w:line="475" w:lineRule="auto" w:before="15" w:after="0"/>
        <w:ind w:left="1846" w:right="1411" w:hanging="428"/>
        <w:jc w:val="both"/>
        <w:rPr>
          <w:sz w:val="24"/>
        </w:rPr>
      </w:pPr>
      <w:r>
        <w:rPr>
          <w:sz w:val="24"/>
        </w:rPr>
        <w:t>Dalla verifica sindacale del 30 giugno 2015 emerge che il </w:t>
      </w:r>
      <w:r>
        <w:rPr>
          <w:i/>
          <w:sz w:val="24"/>
        </w:rPr>
        <w:t>cashpooling </w:t>
      </w:r>
      <w:r>
        <w:rPr>
          <w:sz w:val="24"/>
        </w:rPr>
        <w:t>alla data del 31 marzo 2015 presenta un saldo complessivo positivo pari ad Euro 168.447.433. Con riferimento alla situazione debitoria verso gli istituti bancari “</w:t>
      </w:r>
      <w:r>
        <w:rPr>
          <w:i/>
          <w:sz w:val="24"/>
        </w:rPr>
        <w:t>l’ammontare totale dei debiti a medio-lungo termine al </w:t>
      </w:r>
      <w:r>
        <w:rPr>
          <w:i/>
          <w:sz w:val="24"/>
        </w:rPr>
        <w:t>31.03.2015 è pari ad Euro 65.622.475</w:t>
      </w:r>
      <w:r>
        <w:rPr>
          <w:sz w:val="24"/>
        </w:rPr>
        <w:t>” e che “</w:t>
      </w:r>
      <w:r>
        <w:rPr>
          <w:i/>
          <w:sz w:val="24"/>
        </w:rPr>
        <w:t>i debiti a breve termine verso gli istituti bancari sono pari </w:t>
      </w:r>
      <w:r>
        <w:rPr>
          <w:i/>
          <w:sz w:val="24"/>
        </w:rPr>
        <w:t>ad Euro 40.380.929</w:t>
      </w:r>
      <w:r>
        <w:rPr>
          <w:sz w:val="24"/>
        </w:rPr>
        <w:t>”; da ultimo, il Collegio riceve dal rag. Straccamore copia di un accordo sottoscritto in data 16 giugno 2015 tra la Biochemtex S.p.A. e la M&amp;G s.r.l. in relazione alla cessione totalitaria delle partecipazioni detenute da quest’ultima nelle seguenti</w:t>
      </w:r>
      <w:r>
        <w:rPr>
          <w:spacing w:val="-20"/>
          <w:sz w:val="24"/>
        </w:rPr>
        <w:t> </w:t>
      </w:r>
      <w:r>
        <w:rPr>
          <w:sz w:val="24"/>
        </w:rPr>
        <w:t>società:</w:t>
      </w:r>
    </w:p>
    <w:p>
      <w:pPr>
        <w:pStyle w:val="ListParagraph"/>
        <w:numPr>
          <w:ilvl w:val="1"/>
          <w:numId w:val="11"/>
        </w:numPr>
        <w:tabs>
          <w:tab w:pos="2126" w:val="left" w:leader="none"/>
          <w:tab w:pos="2127" w:val="left" w:leader="none"/>
        </w:tabs>
        <w:spacing w:line="240" w:lineRule="auto" w:before="5" w:after="0"/>
        <w:ind w:left="2126" w:right="0" w:hanging="348"/>
        <w:jc w:val="left"/>
        <w:rPr>
          <w:sz w:val="24"/>
        </w:rPr>
      </w:pPr>
      <w:r>
        <w:rPr>
          <w:sz w:val="24"/>
        </w:rPr>
        <w:t>IBP S.p.A., prezzo di cessione Euro</w:t>
      </w:r>
      <w:r>
        <w:rPr>
          <w:spacing w:val="-14"/>
          <w:sz w:val="24"/>
        </w:rPr>
        <w:t> </w:t>
      </w:r>
      <w:r>
        <w:rPr>
          <w:sz w:val="24"/>
        </w:rPr>
        <w:t>63.970.608;</w:t>
      </w:r>
    </w:p>
    <w:p>
      <w:pPr>
        <w:pStyle w:val="BodyText"/>
      </w:pPr>
    </w:p>
    <w:p>
      <w:pPr>
        <w:pStyle w:val="ListParagraph"/>
        <w:numPr>
          <w:ilvl w:val="1"/>
          <w:numId w:val="11"/>
        </w:numPr>
        <w:tabs>
          <w:tab w:pos="2126" w:val="left" w:leader="none"/>
          <w:tab w:pos="2127" w:val="left" w:leader="none"/>
        </w:tabs>
        <w:spacing w:line="240" w:lineRule="auto" w:before="0" w:after="0"/>
        <w:ind w:left="2126" w:right="0" w:hanging="348"/>
        <w:jc w:val="left"/>
        <w:rPr>
          <w:sz w:val="24"/>
        </w:rPr>
      </w:pPr>
      <w:r>
        <w:rPr>
          <w:sz w:val="24"/>
        </w:rPr>
        <w:t>IBP Energia s.r.l., prezzo di cessione Euro</w:t>
      </w:r>
      <w:r>
        <w:rPr>
          <w:spacing w:val="-19"/>
          <w:sz w:val="24"/>
        </w:rPr>
        <w:t> </w:t>
      </w:r>
      <w:r>
        <w:rPr>
          <w:sz w:val="24"/>
        </w:rPr>
        <w:t>19.208.532;</w:t>
      </w:r>
    </w:p>
    <w:p>
      <w:pPr>
        <w:pStyle w:val="BodyText"/>
        <w:spacing w:before="11"/>
        <w:rPr>
          <w:sz w:val="23"/>
        </w:rPr>
      </w:pPr>
    </w:p>
    <w:p>
      <w:pPr>
        <w:pStyle w:val="ListParagraph"/>
        <w:numPr>
          <w:ilvl w:val="1"/>
          <w:numId w:val="11"/>
        </w:numPr>
        <w:tabs>
          <w:tab w:pos="2126" w:val="left" w:leader="none"/>
          <w:tab w:pos="2127" w:val="left" w:leader="none"/>
        </w:tabs>
        <w:spacing w:line="240" w:lineRule="auto" w:before="0" w:after="0"/>
        <w:ind w:left="2126" w:right="0" w:hanging="348"/>
        <w:jc w:val="left"/>
        <w:rPr>
          <w:sz w:val="24"/>
        </w:rPr>
      </w:pPr>
      <w:r>
        <w:rPr>
          <w:sz w:val="24"/>
        </w:rPr>
        <w:t>Biochemtex Agro s.r.l., prezzo di cessione Euro</w:t>
      </w:r>
      <w:r>
        <w:rPr>
          <w:spacing w:val="-16"/>
          <w:sz w:val="24"/>
        </w:rPr>
        <w:t> </w:t>
      </w:r>
      <w:r>
        <w:rPr>
          <w:sz w:val="24"/>
        </w:rPr>
        <w:t>1.573.860.</w:t>
      </w:r>
    </w:p>
    <w:p>
      <w:pPr>
        <w:pStyle w:val="BodyText"/>
        <w:spacing w:before="11"/>
        <w:rPr>
          <w:sz w:val="23"/>
        </w:rPr>
      </w:pPr>
    </w:p>
    <w:p>
      <w:pPr>
        <w:spacing w:line="480" w:lineRule="auto" w:before="0"/>
        <w:ind w:left="1778" w:right="1518" w:firstLine="0"/>
        <w:jc w:val="left"/>
        <w:rPr>
          <w:sz w:val="24"/>
        </w:rPr>
      </w:pPr>
      <w:r>
        <w:rPr>
          <w:sz w:val="24"/>
        </w:rPr>
        <w:t>Tale futura acquisizione </w:t>
      </w:r>
      <w:r>
        <w:rPr>
          <w:i/>
          <w:sz w:val="24"/>
        </w:rPr>
        <w:t>“[…] ha come obiettivo quello di integrare e accorpare sotto la direzione della </w:t>
      </w:r>
      <w:r>
        <w:rPr>
          <w:i/>
          <w:sz w:val="24"/>
        </w:rPr>
        <w:t>Biochemtex S.p.A. il settore del bio</w:t>
      </w:r>
      <w:r>
        <w:rPr>
          <w:sz w:val="24"/>
        </w:rPr>
        <w:t>”.</w:t>
      </w:r>
    </w:p>
    <w:p>
      <w:pPr>
        <w:pStyle w:val="ListParagraph"/>
        <w:numPr>
          <w:ilvl w:val="0"/>
          <w:numId w:val="11"/>
        </w:numPr>
        <w:tabs>
          <w:tab w:pos="1847" w:val="left" w:leader="none"/>
        </w:tabs>
        <w:spacing w:line="470" w:lineRule="auto" w:before="0" w:after="0"/>
        <w:ind w:left="1846" w:right="1412" w:hanging="428"/>
        <w:jc w:val="both"/>
        <w:rPr>
          <w:sz w:val="24"/>
        </w:rPr>
      </w:pPr>
      <w:r>
        <w:rPr>
          <w:sz w:val="24"/>
        </w:rPr>
        <w:t>Dal verbale del giorno 14 settembre 2015 il Collegio “</w:t>
      </w:r>
      <w:r>
        <w:rPr>
          <w:i/>
          <w:sz w:val="24"/>
        </w:rPr>
        <w:t>rende noto che la Società ha perfezionato in </w:t>
      </w:r>
      <w:r>
        <w:rPr>
          <w:i/>
          <w:sz w:val="24"/>
        </w:rPr>
        <w:t>data 30.06.2015 con tre atti notarili separati l’acquisto di altrettanti partecipazioni totalitarie detenute   dalla M&amp;G Finanziaria s.r.l. […] tale acquisizione ha come obiettivo di accorpare ed integrare sotto </w:t>
      </w:r>
      <w:r>
        <w:rPr>
          <w:i/>
          <w:spacing w:val="5"/>
          <w:sz w:val="24"/>
        </w:rPr>
        <w:t>la </w:t>
      </w:r>
      <w:r>
        <w:rPr>
          <w:i/>
          <w:sz w:val="24"/>
        </w:rPr>
        <w:t>direzione della società il settore del</w:t>
      </w:r>
      <w:r>
        <w:rPr>
          <w:i/>
          <w:spacing w:val="-9"/>
          <w:sz w:val="24"/>
        </w:rPr>
        <w:t> </w:t>
      </w:r>
      <w:r>
        <w:rPr>
          <w:i/>
          <w:sz w:val="24"/>
        </w:rPr>
        <w:t>bio</w:t>
      </w:r>
      <w:r>
        <w:rPr>
          <w:sz w:val="24"/>
        </w:rPr>
        <w:t>”.</w:t>
      </w:r>
    </w:p>
    <w:p>
      <w:pPr>
        <w:pStyle w:val="ListParagraph"/>
        <w:numPr>
          <w:ilvl w:val="0"/>
          <w:numId w:val="11"/>
        </w:numPr>
        <w:tabs>
          <w:tab w:pos="1847" w:val="left" w:leader="none"/>
        </w:tabs>
        <w:spacing w:line="465" w:lineRule="auto" w:before="11" w:after="0"/>
        <w:ind w:left="1846" w:right="1411" w:hanging="428"/>
        <w:jc w:val="both"/>
        <w:rPr>
          <w:i/>
          <w:sz w:val="24"/>
        </w:rPr>
      </w:pPr>
      <w:r>
        <w:rPr>
          <w:sz w:val="24"/>
        </w:rPr>
        <w:t>Dalla verifica sindacale del 16 dicembre 2015 emerge che il </w:t>
      </w:r>
      <w:r>
        <w:rPr>
          <w:i/>
          <w:sz w:val="24"/>
        </w:rPr>
        <w:t>cashpooling </w:t>
      </w:r>
      <w:r>
        <w:rPr>
          <w:sz w:val="24"/>
        </w:rPr>
        <w:t>alla data del 30 settembre 2015 presenta un “</w:t>
      </w:r>
      <w:r>
        <w:rPr>
          <w:i/>
          <w:sz w:val="24"/>
        </w:rPr>
        <w:t>saldo complessivo positivo pari ad Euro 79.513.732”</w:t>
      </w:r>
      <w:r>
        <w:rPr>
          <w:sz w:val="24"/>
        </w:rPr>
        <w:t>. Con riferimento alla situazione debitoria verso gli istituti bancari “</w:t>
      </w:r>
      <w:r>
        <w:rPr>
          <w:i/>
          <w:sz w:val="24"/>
        </w:rPr>
        <w:t>l’ammontare totale dei debiti a medio-lungo</w:t>
      </w:r>
      <w:r>
        <w:rPr>
          <w:i/>
          <w:spacing w:val="11"/>
          <w:sz w:val="24"/>
        </w:rPr>
        <w:t> </w:t>
      </w:r>
      <w:r>
        <w:rPr>
          <w:i/>
          <w:sz w:val="24"/>
        </w:rPr>
        <w:t>termine</w:t>
      </w:r>
    </w:p>
    <w:p>
      <w:pPr>
        <w:spacing w:after="0" w:line="465"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77" w:lineRule="auto" w:before="100"/>
        <w:ind w:left="1846" w:right="1518" w:firstLine="0"/>
        <w:jc w:val="left"/>
        <w:rPr>
          <w:sz w:val="24"/>
        </w:rPr>
      </w:pPr>
      <w:r>
        <w:rPr>
          <w:i/>
          <w:sz w:val="24"/>
        </w:rPr>
        <w:t>al 30.09.2015 è pari ad Euro 67.368.887</w:t>
      </w:r>
      <w:r>
        <w:rPr>
          <w:sz w:val="24"/>
        </w:rPr>
        <w:t>” e che “</w:t>
      </w:r>
      <w:r>
        <w:rPr>
          <w:i/>
          <w:sz w:val="24"/>
        </w:rPr>
        <w:t>i debiti a breve termine verso gli istituti bancari sono </w:t>
      </w:r>
      <w:r>
        <w:rPr>
          <w:i/>
          <w:sz w:val="24"/>
        </w:rPr>
        <w:t>pari ad Euro 58.659.684</w:t>
      </w:r>
      <w:r>
        <w:rPr>
          <w:sz w:val="24"/>
        </w:rPr>
        <w:t>”.</w:t>
      </w:r>
    </w:p>
    <w:p>
      <w:pPr>
        <w:spacing w:before="165"/>
        <w:ind w:left="2138" w:right="0" w:firstLine="0"/>
        <w:jc w:val="left"/>
        <w:rPr>
          <w:i/>
          <w:sz w:val="24"/>
        </w:rPr>
      </w:pPr>
      <w:r>
        <w:rPr>
          <w:i/>
          <w:sz w:val="24"/>
          <w:u w:val="single"/>
        </w:rPr>
        <w:t>Anno 2016 (Collegio sindacale Biochemtex)</w:t>
      </w:r>
    </w:p>
    <w:p>
      <w:pPr>
        <w:pStyle w:val="BodyText"/>
        <w:rPr>
          <w:i/>
          <w:sz w:val="20"/>
        </w:rPr>
      </w:pPr>
    </w:p>
    <w:p>
      <w:pPr>
        <w:pStyle w:val="BodyText"/>
        <w:spacing w:before="6"/>
        <w:rPr>
          <w:i/>
          <w:sz w:val="21"/>
        </w:rPr>
      </w:pPr>
    </w:p>
    <w:p>
      <w:pPr>
        <w:pStyle w:val="ListParagraph"/>
        <w:numPr>
          <w:ilvl w:val="0"/>
          <w:numId w:val="11"/>
        </w:numPr>
        <w:tabs>
          <w:tab w:pos="1847" w:val="left" w:leader="none"/>
        </w:tabs>
        <w:spacing w:line="475" w:lineRule="auto" w:before="0" w:after="0"/>
        <w:ind w:left="1846" w:right="1412" w:hanging="428"/>
        <w:jc w:val="both"/>
        <w:rPr>
          <w:sz w:val="24"/>
        </w:rPr>
      </w:pPr>
      <w:r>
        <w:rPr>
          <w:sz w:val="24"/>
        </w:rPr>
        <w:t>Dal verbale del Collegio sindacale riunitosi in data 16 marzo 2016, emerge che il saldo complessivo del </w:t>
      </w:r>
      <w:r>
        <w:rPr>
          <w:i/>
          <w:sz w:val="24"/>
        </w:rPr>
        <w:t>cashpooling </w:t>
      </w:r>
      <w:r>
        <w:rPr>
          <w:sz w:val="24"/>
        </w:rPr>
        <w:t>al 31 dicembre 2015 è pari ad Euro 79.513.732. Il Collegio rileva altresì che “</w:t>
      </w:r>
      <w:r>
        <w:rPr>
          <w:i/>
          <w:sz w:val="24"/>
        </w:rPr>
        <w:t>l’ammontare totale dei debiti al 31 dicembre 2015 verso gli istituti bancari è pari ad Euro </w:t>
      </w:r>
      <w:r>
        <w:rPr>
          <w:i/>
          <w:sz w:val="24"/>
        </w:rPr>
        <w:t>131.071.282</w:t>
      </w:r>
      <w:r>
        <w:rPr>
          <w:sz w:val="24"/>
        </w:rPr>
        <w:t>”. Da tale verbale emerge che il Collegio richiede informazioni circa i contratti di maggiore rilievo stipulati od eventualmente modificati o risolti nel periodo oggetto di  verifica.</w:t>
      </w:r>
    </w:p>
    <w:p>
      <w:pPr>
        <w:pStyle w:val="ListParagraph"/>
        <w:numPr>
          <w:ilvl w:val="0"/>
          <w:numId w:val="11"/>
        </w:numPr>
        <w:tabs>
          <w:tab w:pos="1847" w:val="left" w:leader="none"/>
        </w:tabs>
        <w:spacing w:line="453" w:lineRule="auto" w:before="4" w:after="0"/>
        <w:ind w:left="1846" w:right="1413" w:hanging="428"/>
        <w:jc w:val="both"/>
        <w:rPr>
          <w:sz w:val="24"/>
        </w:rPr>
      </w:pPr>
      <w:r>
        <w:rPr>
          <w:sz w:val="24"/>
        </w:rPr>
        <w:t>Dal verbale del Collegio sindacale riunitosi in data 14 aprile 2016, emerge che il Collegio approva la relazione di propria competenza per l’assemblea per il bilancio</w:t>
      </w:r>
      <w:r>
        <w:rPr>
          <w:spacing w:val="-17"/>
          <w:sz w:val="24"/>
        </w:rPr>
        <w:t> </w:t>
      </w:r>
      <w:r>
        <w:rPr>
          <w:sz w:val="24"/>
        </w:rPr>
        <w:t>2015.</w:t>
      </w:r>
    </w:p>
    <w:p>
      <w:pPr>
        <w:pStyle w:val="ListParagraph"/>
        <w:numPr>
          <w:ilvl w:val="0"/>
          <w:numId w:val="11"/>
        </w:numPr>
        <w:tabs>
          <w:tab w:pos="1847" w:val="left" w:leader="none"/>
        </w:tabs>
        <w:spacing w:line="472" w:lineRule="auto" w:before="29" w:after="0"/>
        <w:ind w:left="1846" w:right="1412" w:hanging="428"/>
        <w:jc w:val="both"/>
        <w:rPr>
          <w:sz w:val="24"/>
        </w:rPr>
      </w:pPr>
      <w:r>
        <w:rPr>
          <w:sz w:val="24"/>
        </w:rPr>
        <w:t>Dalla verifica sindacale del 20 luglio 2016 emerge che il </w:t>
      </w:r>
      <w:r>
        <w:rPr>
          <w:i/>
          <w:sz w:val="24"/>
        </w:rPr>
        <w:t>cashpooling </w:t>
      </w:r>
      <w:r>
        <w:rPr>
          <w:sz w:val="24"/>
        </w:rPr>
        <w:t>alla data del 30 giugno  2016 presenta un “</w:t>
      </w:r>
      <w:r>
        <w:rPr>
          <w:i/>
          <w:sz w:val="24"/>
        </w:rPr>
        <w:t>saldo complessivo positivo pari ad Euro 88.481.356”</w:t>
      </w:r>
      <w:r>
        <w:rPr>
          <w:sz w:val="24"/>
        </w:rPr>
        <w:t>. Con riferimento alla situazione debitoria verso gli istituti bancari “</w:t>
      </w:r>
      <w:r>
        <w:rPr>
          <w:i/>
          <w:sz w:val="24"/>
        </w:rPr>
        <w:t>l’ammontare totale dei debiti a medio-lungo termine al </w:t>
      </w:r>
      <w:r>
        <w:rPr>
          <w:i/>
          <w:sz w:val="24"/>
        </w:rPr>
        <w:t>30.06.2016 è pari ad Euro 54.439.534</w:t>
      </w:r>
      <w:r>
        <w:rPr>
          <w:sz w:val="24"/>
        </w:rPr>
        <w:t>” e che “</w:t>
      </w:r>
      <w:r>
        <w:rPr>
          <w:i/>
          <w:sz w:val="24"/>
        </w:rPr>
        <w:t>i debiti a breve termine verso gli istituti bancari sono pari </w:t>
      </w:r>
      <w:r>
        <w:rPr>
          <w:i/>
          <w:sz w:val="24"/>
        </w:rPr>
        <w:t>ad Euro</w:t>
      </w:r>
      <w:r>
        <w:rPr>
          <w:i/>
          <w:spacing w:val="-3"/>
          <w:sz w:val="24"/>
        </w:rPr>
        <w:t> </w:t>
      </w:r>
      <w:r>
        <w:rPr>
          <w:i/>
          <w:sz w:val="24"/>
        </w:rPr>
        <w:t>69.267.456</w:t>
      </w:r>
      <w:r>
        <w:rPr>
          <w:sz w:val="24"/>
        </w:rPr>
        <w:t>”.</w:t>
      </w:r>
    </w:p>
    <w:p>
      <w:pPr>
        <w:pStyle w:val="ListParagraph"/>
        <w:numPr>
          <w:ilvl w:val="0"/>
          <w:numId w:val="11"/>
        </w:numPr>
        <w:tabs>
          <w:tab w:pos="1847" w:val="left" w:leader="none"/>
        </w:tabs>
        <w:spacing w:line="472" w:lineRule="auto" w:before="7" w:after="0"/>
        <w:ind w:left="1846" w:right="1413" w:hanging="428"/>
        <w:jc w:val="both"/>
        <w:rPr>
          <w:i/>
          <w:sz w:val="24"/>
        </w:rPr>
      </w:pPr>
      <w:r>
        <w:rPr>
          <w:sz w:val="24"/>
        </w:rPr>
        <w:t>Dalla verifica sindacale del 23 settembre 2016 emerge che il </w:t>
      </w:r>
      <w:r>
        <w:rPr>
          <w:i/>
          <w:sz w:val="24"/>
        </w:rPr>
        <w:t>cashpooling </w:t>
      </w:r>
      <w:r>
        <w:rPr>
          <w:sz w:val="24"/>
        </w:rPr>
        <w:t>alla data del 31 agosto 2016 presenta un “</w:t>
      </w:r>
      <w:r>
        <w:rPr>
          <w:i/>
          <w:sz w:val="24"/>
        </w:rPr>
        <w:t>saldo complessivo positivo pari ad Euro 86.140.480”</w:t>
      </w:r>
      <w:r>
        <w:rPr>
          <w:sz w:val="24"/>
        </w:rPr>
        <w:t>. In pari data “il Collegio sindacale rileva crediti commerciali pari ad Euro 36.091.970 e debiti commerciali sempre verso le società del gruppo per Euro 32.255.422” Con riferimento alla situazione debitoria verso</w:t>
      </w:r>
      <w:r>
        <w:rPr>
          <w:spacing w:val="13"/>
          <w:sz w:val="24"/>
        </w:rPr>
        <w:t> </w:t>
      </w:r>
      <w:r>
        <w:rPr>
          <w:sz w:val="24"/>
        </w:rPr>
        <w:t>gli</w:t>
      </w:r>
      <w:r>
        <w:rPr>
          <w:spacing w:val="13"/>
          <w:sz w:val="24"/>
        </w:rPr>
        <w:t> </w:t>
      </w:r>
      <w:r>
        <w:rPr>
          <w:sz w:val="24"/>
        </w:rPr>
        <w:t>istituti</w:t>
      </w:r>
      <w:r>
        <w:rPr>
          <w:spacing w:val="15"/>
          <w:sz w:val="24"/>
        </w:rPr>
        <w:t> </w:t>
      </w:r>
      <w:r>
        <w:rPr>
          <w:sz w:val="24"/>
        </w:rPr>
        <w:t>bancari</w:t>
      </w:r>
      <w:r>
        <w:rPr>
          <w:spacing w:val="12"/>
          <w:sz w:val="24"/>
        </w:rPr>
        <w:t> </w:t>
      </w:r>
      <w:r>
        <w:rPr>
          <w:sz w:val="24"/>
        </w:rPr>
        <w:t>“</w:t>
      </w:r>
      <w:r>
        <w:rPr>
          <w:i/>
          <w:sz w:val="24"/>
        </w:rPr>
        <w:t>l’ammontare</w:t>
      </w:r>
      <w:r>
        <w:rPr>
          <w:i/>
          <w:spacing w:val="12"/>
          <w:sz w:val="24"/>
        </w:rPr>
        <w:t> </w:t>
      </w:r>
      <w:r>
        <w:rPr>
          <w:i/>
          <w:sz w:val="24"/>
        </w:rPr>
        <w:t>totale</w:t>
      </w:r>
      <w:r>
        <w:rPr>
          <w:i/>
          <w:spacing w:val="12"/>
          <w:sz w:val="24"/>
        </w:rPr>
        <w:t> </w:t>
      </w:r>
      <w:r>
        <w:rPr>
          <w:i/>
          <w:sz w:val="24"/>
        </w:rPr>
        <w:t>dei</w:t>
      </w:r>
      <w:r>
        <w:rPr>
          <w:i/>
          <w:spacing w:val="12"/>
          <w:sz w:val="24"/>
        </w:rPr>
        <w:t> </w:t>
      </w:r>
      <w:r>
        <w:rPr>
          <w:i/>
          <w:sz w:val="24"/>
        </w:rPr>
        <w:t>debiti</w:t>
      </w:r>
      <w:r>
        <w:rPr>
          <w:i/>
          <w:spacing w:val="13"/>
          <w:sz w:val="24"/>
        </w:rPr>
        <w:t> </w:t>
      </w:r>
      <w:r>
        <w:rPr>
          <w:i/>
          <w:sz w:val="24"/>
        </w:rPr>
        <w:t>a</w:t>
      </w:r>
      <w:r>
        <w:rPr>
          <w:i/>
          <w:spacing w:val="13"/>
          <w:sz w:val="24"/>
        </w:rPr>
        <w:t> </w:t>
      </w:r>
      <w:r>
        <w:rPr>
          <w:i/>
          <w:sz w:val="24"/>
        </w:rPr>
        <w:t>medio-lungo</w:t>
      </w:r>
      <w:r>
        <w:rPr>
          <w:i/>
          <w:spacing w:val="12"/>
          <w:sz w:val="24"/>
        </w:rPr>
        <w:t> </w:t>
      </w:r>
      <w:r>
        <w:rPr>
          <w:i/>
          <w:sz w:val="24"/>
        </w:rPr>
        <w:t>termine</w:t>
      </w:r>
      <w:r>
        <w:rPr>
          <w:i/>
          <w:spacing w:val="12"/>
          <w:sz w:val="24"/>
        </w:rPr>
        <w:t> </w:t>
      </w:r>
      <w:r>
        <w:rPr>
          <w:i/>
          <w:sz w:val="24"/>
        </w:rPr>
        <w:t>al</w:t>
      </w:r>
      <w:r>
        <w:rPr>
          <w:i/>
          <w:spacing w:val="15"/>
          <w:sz w:val="24"/>
        </w:rPr>
        <w:t> </w:t>
      </w:r>
      <w:r>
        <w:rPr>
          <w:i/>
          <w:sz w:val="24"/>
        </w:rPr>
        <w:t>31.08.2016</w:t>
      </w:r>
      <w:r>
        <w:rPr>
          <w:i/>
          <w:spacing w:val="14"/>
          <w:sz w:val="24"/>
        </w:rPr>
        <w:t> </w:t>
      </w:r>
      <w:r>
        <w:rPr>
          <w:i/>
          <w:sz w:val="24"/>
        </w:rPr>
        <w:t>è</w:t>
      </w:r>
      <w:r>
        <w:rPr>
          <w:i/>
          <w:spacing w:val="12"/>
          <w:sz w:val="24"/>
        </w:rPr>
        <w:t> </w:t>
      </w:r>
      <w:r>
        <w:rPr>
          <w:i/>
          <w:sz w:val="24"/>
        </w:rPr>
        <w:t>pari</w:t>
      </w:r>
      <w:r>
        <w:rPr>
          <w:i/>
          <w:spacing w:val="12"/>
          <w:sz w:val="24"/>
        </w:rPr>
        <w:t> </w:t>
      </w:r>
      <w:r>
        <w:rPr>
          <w:i/>
          <w:sz w:val="24"/>
        </w:rPr>
        <w:t>ad</w:t>
      </w:r>
    </w:p>
    <w:p>
      <w:pPr>
        <w:spacing w:after="0" w:line="472"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846" w:right="1518" w:firstLine="0"/>
        <w:jc w:val="left"/>
        <w:rPr>
          <w:sz w:val="24"/>
        </w:rPr>
      </w:pPr>
      <w:r>
        <w:rPr>
          <w:i/>
          <w:sz w:val="24"/>
        </w:rPr>
        <w:t>Euro 53.799.124</w:t>
      </w:r>
      <w:r>
        <w:rPr>
          <w:sz w:val="24"/>
        </w:rPr>
        <w:t>” e che “</w:t>
      </w:r>
      <w:r>
        <w:rPr>
          <w:i/>
          <w:sz w:val="24"/>
        </w:rPr>
        <w:t>i debiti a breve termine verso gli istituti bancari sono pari ad Euro </w:t>
      </w:r>
      <w:r>
        <w:rPr>
          <w:i/>
          <w:sz w:val="24"/>
        </w:rPr>
        <w:t>73.486.772</w:t>
      </w:r>
      <w:r>
        <w:rPr>
          <w:sz w:val="24"/>
        </w:rPr>
        <w:t>”.</w:t>
      </w:r>
    </w:p>
    <w:p>
      <w:pPr>
        <w:pStyle w:val="ListParagraph"/>
        <w:numPr>
          <w:ilvl w:val="0"/>
          <w:numId w:val="11"/>
        </w:numPr>
        <w:tabs>
          <w:tab w:pos="1847" w:val="left" w:leader="none"/>
        </w:tabs>
        <w:spacing w:line="472" w:lineRule="auto" w:before="0" w:after="0"/>
        <w:ind w:left="1846" w:right="1411" w:hanging="428"/>
        <w:jc w:val="both"/>
        <w:rPr>
          <w:sz w:val="24"/>
        </w:rPr>
      </w:pPr>
      <w:r>
        <w:rPr>
          <w:sz w:val="24"/>
        </w:rPr>
        <w:t>Dalla verifica sindacale del 12 dicembre 2016 emerge che il </w:t>
      </w:r>
      <w:r>
        <w:rPr>
          <w:i/>
          <w:sz w:val="24"/>
        </w:rPr>
        <w:t>cashpooling </w:t>
      </w:r>
      <w:r>
        <w:rPr>
          <w:sz w:val="24"/>
        </w:rPr>
        <w:t>alla data del 30 settembre 2016 presenta un “</w:t>
      </w:r>
      <w:r>
        <w:rPr>
          <w:i/>
          <w:sz w:val="24"/>
        </w:rPr>
        <w:t>saldo complessivo positivo pari ad Euro 88.451.777”</w:t>
      </w:r>
      <w:r>
        <w:rPr>
          <w:sz w:val="24"/>
        </w:rPr>
        <w:t>. Con riferimento alla situazione debitoria verso gli istituti bancari “</w:t>
      </w:r>
      <w:r>
        <w:rPr>
          <w:i/>
          <w:sz w:val="24"/>
        </w:rPr>
        <w:t>l’ammontare totale dei debiti a medio-lungo termine </w:t>
      </w:r>
      <w:r>
        <w:rPr>
          <w:i/>
          <w:sz w:val="24"/>
        </w:rPr>
        <w:t>al 31.09.2016 è pari ad Euro 53.687.788</w:t>
      </w:r>
      <w:r>
        <w:rPr>
          <w:sz w:val="24"/>
        </w:rPr>
        <w:t>” e che “</w:t>
      </w:r>
      <w:r>
        <w:rPr>
          <w:i/>
          <w:sz w:val="24"/>
        </w:rPr>
        <w:t>i debiti a breve termine verso gli istituti bancari sono </w:t>
      </w:r>
      <w:r>
        <w:rPr>
          <w:i/>
          <w:sz w:val="24"/>
        </w:rPr>
        <w:t>pari ad Euro</w:t>
      </w:r>
      <w:r>
        <w:rPr>
          <w:i/>
          <w:spacing w:val="-7"/>
          <w:sz w:val="24"/>
        </w:rPr>
        <w:t> </w:t>
      </w:r>
      <w:r>
        <w:rPr>
          <w:i/>
          <w:sz w:val="24"/>
        </w:rPr>
        <w:t>72.494.054</w:t>
      </w:r>
      <w:r>
        <w:rPr>
          <w:sz w:val="24"/>
        </w:rPr>
        <w:t>”.</w:t>
      </w:r>
    </w:p>
    <w:p>
      <w:pPr>
        <w:spacing w:before="170"/>
        <w:ind w:left="2138" w:right="0" w:firstLine="0"/>
        <w:jc w:val="left"/>
        <w:rPr>
          <w:i/>
          <w:sz w:val="24"/>
        </w:rPr>
      </w:pPr>
      <w:r>
        <w:rPr>
          <w:i/>
          <w:sz w:val="24"/>
          <w:u w:val="single"/>
        </w:rPr>
        <w:t>Anno 2017 (Collegio sindacale Biochemtex)</w:t>
      </w:r>
    </w:p>
    <w:p>
      <w:pPr>
        <w:pStyle w:val="BodyText"/>
        <w:rPr>
          <w:i/>
          <w:sz w:val="20"/>
        </w:rPr>
      </w:pPr>
    </w:p>
    <w:p>
      <w:pPr>
        <w:pStyle w:val="BodyText"/>
        <w:spacing w:before="9"/>
        <w:rPr>
          <w:i/>
          <w:sz w:val="21"/>
        </w:rPr>
      </w:pPr>
    </w:p>
    <w:p>
      <w:pPr>
        <w:pStyle w:val="ListParagraph"/>
        <w:numPr>
          <w:ilvl w:val="0"/>
          <w:numId w:val="11"/>
        </w:numPr>
        <w:tabs>
          <w:tab w:pos="1847" w:val="left" w:leader="none"/>
        </w:tabs>
        <w:spacing w:line="477" w:lineRule="auto" w:before="0" w:after="0"/>
        <w:ind w:left="1846" w:right="1412" w:hanging="428"/>
        <w:jc w:val="both"/>
        <w:rPr>
          <w:sz w:val="24"/>
        </w:rPr>
      </w:pPr>
      <w:r>
        <w:rPr>
          <w:sz w:val="24"/>
        </w:rPr>
        <w:t>Dal verbale del Collegio sindacale riunitosi in data 24 marzo 2016, si evidenzia la trattazione da parte del Collegio del c.d. “Progetto SETHA” che coinvolge la controllata IBP Srl, a seguito del quale “</w:t>
      </w:r>
      <w:r>
        <w:rPr>
          <w:i/>
          <w:sz w:val="24"/>
        </w:rPr>
        <w:t>il Consiglio di Amministrazione ha deliberato di procedere con la capitalizzazione </w:t>
      </w:r>
      <w:r>
        <w:rPr>
          <w:i/>
          <w:sz w:val="24"/>
        </w:rPr>
        <w:t>effettuando un primo versamento pari ad Euro 6.500.000 in conto capitale e di procedere con ulteriori versamenti sempre in conto capitale fino alla concorrenza dell’importo complessivo pari ad Euro 18.000.000</w:t>
      </w:r>
      <w:r>
        <w:rPr>
          <w:sz w:val="24"/>
        </w:rPr>
        <w:t>”. Il Collegio prende inoltre atto che “</w:t>
      </w:r>
      <w:r>
        <w:rPr>
          <w:i/>
          <w:sz w:val="24"/>
        </w:rPr>
        <w:t>per far fronte agli investimenti effettuati </w:t>
      </w:r>
      <w:r>
        <w:rPr>
          <w:i/>
          <w:sz w:val="24"/>
        </w:rPr>
        <w:t>nell’impianto di Crescentino di Italian Bio Products Srl, nonché a coperura delle perdite registrate da parte della controllata</w:t>
      </w:r>
      <w:r>
        <w:rPr>
          <w:sz w:val="24"/>
        </w:rPr>
        <w:t>” il consiglio di Amministrazione ha deliberato di “</w:t>
      </w:r>
      <w:r>
        <w:rPr>
          <w:i/>
          <w:sz w:val="24"/>
        </w:rPr>
        <w:t>procedere al versamento in conto </w:t>
      </w:r>
      <w:r>
        <w:rPr>
          <w:i/>
          <w:sz w:val="24"/>
        </w:rPr>
        <w:t>copertura di euro 20.000.000, effettuato mediante compensazione del credito di corrispondente valore vantato dalla</w:t>
      </w:r>
      <w:r>
        <w:rPr>
          <w:i/>
          <w:spacing w:val="30"/>
          <w:sz w:val="24"/>
        </w:rPr>
        <w:t> </w:t>
      </w:r>
      <w:r>
        <w:rPr>
          <w:i/>
          <w:sz w:val="24"/>
        </w:rPr>
        <w:t>Biochemtex</w:t>
      </w:r>
      <w:r>
        <w:rPr>
          <w:i/>
          <w:spacing w:val="28"/>
          <w:sz w:val="24"/>
        </w:rPr>
        <w:t> </w:t>
      </w:r>
      <w:r>
        <w:rPr>
          <w:i/>
          <w:sz w:val="24"/>
        </w:rPr>
        <w:t>S.p.A.</w:t>
      </w:r>
      <w:r>
        <w:rPr>
          <w:i/>
          <w:spacing w:val="29"/>
          <w:sz w:val="24"/>
        </w:rPr>
        <w:t> </w:t>
      </w:r>
      <w:r>
        <w:rPr>
          <w:i/>
          <w:sz w:val="24"/>
        </w:rPr>
        <w:t>nei</w:t>
      </w:r>
      <w:r>
        <w:rPr>
          <w:i/>
          <w:spacing w:val="27"/>
          <w:sz w:val="24"/>
        </w:rPr>
        <w:t> </w:t>
      </w:r>
      <w:r>
        <w:rPr>
          <w:i/>
          <w:sz w:val="24"/>
        </w:rPr>
        <w:t>confronti</w:t>
      </w:r>
      <w:r>
        <w:rPr>
          <w:i/>
          <w:spacing w:val="29"/>
          <w:sz w:val="24"/>
        </w:rPr>
        <w:t> </w:t>
      </w:r>
      <w:r>
        <w:rPr>
          <w:i/>
          <w:sz w:val="24"/>
        </w:rPr>
        <w:t>della</w:t>
      </w:r>
      <w:r>
        <w:rPr>
          <w:i/>
          <w:spacing w:val="29"/>
          <w:sz w:val="24"/>
        </w:rPr>
        <w:t> </w:t>
      </w:r>
      <w:r>
        <w:rPr>
          <w:i/>
          <w:sz w:val="24"/>
        </w:rPr>
        <w:t>Italia</w:t>
      </w:r>
      <w:r>
        <w:rPr>
          <w:i/>
          <w:spacing w:val="29"/>
          <w:sz w:val="24"/>
        </w:rPr>
        <w:t> </w:t>
      </w:r>
      <w:r>
        <w:rPr>
          <w:i/>
          <w:sz w:val="24"/>
        </w:rPr>
        <w:t>Bio</w:t>
      </w:r>
      <w:r>
        <w:rPr>
          <w:i/>
          <w:spacing w:val="28"/>
          <w:sz w:val="24"/>
        </w:rPr>
        <w:t> </w:t>
      </w:r>
      <w:r>
        <w:rPr>
          <w:i/>
          <w:sz w:val="24"/>
        </w:rPr>
        <w:t>Products</w:t>
      </w:r>
      <w:r>
        <w:rPr>
          <w:i/>
          <w:spacing w:val="29"/>
          <w:sz w:val="24"/>
        </w:rPr>
        <w:t> </w:t>
      </w:r>
      <w:r>
        <w:rPr>
          <w:i/>
          <w:sz w:val="24"/>
        </w:rPr>
        <w:t>Srl</w:t>
      </w:r>
      <w:r>
        <w:rPr>
          <w:sz w:val="24"/>
        </w:rPr>
        <w:t>”.</w:t>
      </w:r>
      <w:r>
        <w:rPr>
          <w:spacing w:val="29"/>
          <w:sz w:val="24"/>
        </w:rPr>
        <w:t> </w:t>
      </w:r>
      <w:r>
        <w:rPr>
          <w:sz w:val="24"/>
        </w:rPr>
        <w:t>Il</w:t>
      </w:r>
      <w:r>
        <w:rPr>
          <w:spacing w:val="29"/>
          <w:sz w:val="24"/>
        </w:rPr>
        <w:t> </w:t>
      </w:r>
      <w:r>
        <w:rPr>
          <w:sz w:val="24"/>
        </w:rPr>
        <w:t>Collegio</w:t>
      </w:r>
      <w:r>
        <w:rPr>
          <w:spacing w:val="29"/>
          <w:sz w:val="24"/>
        </w:rPr>
        <w:t> </w:t>
      </w:r>
      <w:r>
        <w:rPr>
          <w:sz w:val="24"/>
        </w:rPr>
        <w:t>rileva</w:t>
      </w:r>
      <w:r>
        <w:rPr>
          <w:spacing w:val="32"/>
          <w:sz w:val="24"/>
        </w:rPr>
        <w:t> </w:t>
      </w:r>
      <w:r>
        <w:rPr>
          <w:sz w:val="24"/>
        </w:rPr>
        <w:t>che</w:t>
      </w:r>
      <w:r>
        <w:rPr>
          <w:spacing w:val="30"/>
          <w:sz w:val="24"/>
        </w:rPr>
        <w:t> </w:t>
      </w:r>
      <w:r>
        <w:rPr>
          <w:sz w:val="24"/>
        </w:rPr>
        <w:t>il</w:t>
      </w:r>
      <w:r>
        <w:rPr>
          <w:spacing w:val="29"/>
          <w:sz w:val="24"/>
        </w:rPr>
        <w:t> </w:t>
      </w:r>
      <w:r>
        <w:rPr>
          <w:sz w:val="24"/>
        </w:rPr>
        <w:t>saldo</w:t>
      </w:r>
    </w:p>
    <w:p>
      <w:pPr>
        <w:spacing w:line="480" w:lineRule="auto" w:before="2"/>
        <w:ind w:left="1846" w:right="1412" w:firstLine="0"/>
        <w:jc w:val="both"/>
        <w:rPr>
          <w:sz w:val="24"/>
        </w:rPr>
      </w:pPr>
      <w:r>
        <w:rPr>
          <w:sz w:val="24"/>
        </w:rPr>
        <w:t>complessivo del </w:t>
      </w:r>
      <w:r>
        <w:rPr>
          <w:i/>
          <w:sz w:val="24"/>
        </w:rPr>
        <w:t>cashpooling </w:t>
      </w:r>
      <w:r>
        <w:rPr>
          <w:sz w:val="24"/>
        </w:rPr>
        <w:t>al 31 dicembre 2016 è pari ad Euro 41.180.076. Il Collegio rileva altresì che “</w:t>
      </w:r>
      <w:r>
        <w:rPr>
          <w:i/>
          <w:sz w:val="24"/>
        </w:rPr>
        <w:t>l’ammontare totale dei debiti al 31 dicembre 2016 verso gli istituti bancari è pari ad Euro </w:t>
      </w:r>
      <w:r>
        <w:rPr>
          <w:i/>
          <w:sz w:val="24"/>
        </w:rPr>
        <w:t>119.171.249</w:t>
      </w:r>
      <w:r>
        <w:rPr>
          <w:sz w:val="24"/>
        </w:rPr>
        <w:t>”.  Da  tale  verbale  emerge  infine  che il  Collegio  richiede  informazioni circa i</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846" w:right="1518"/>
      </w:pPr>
      <w:r>
        <w:rPr/>
        <w:t>contratti di maggiore rilievo nel periodo oggetto di verifica e procede alla verifiche di natura tributaria.</w:t>
      </w:r>
    </w:p>
    <w:p>
      <w:pPr>
        <w:pStyle w:val="ListParagraph"/>
        <w:numPr>
          <w:ilvl w:val="0"/>
          <w:numId w:val="11"/>
        </w:numPr>
        <w:tabs>
          <w:tab w:pos="1847" w:val="left" w:leader="none"/>
        </w:tabs>
        <w:spacing w:line="472" w:lineRule="auto" w:before="0" w:after="0"/>
        <w:ind w:left="1846" w:right="1413" w:hanging="428"/>
        <w:jc w:val="both"/>
        <w:rPr>
          <w:sz w:val="24"/>
        </w:rPr>
      </w:pPr>
      <w:r>
        <w:rPr>
          <w:sz w:val="24"/>
        </w:rPr>
        <w:t>Dal verbale del Collegio sindacale riunitosi in data 5 aprile 2017 emerge che il Collegio sindacale abbia incontrato i revisori legali </w:t>
      </w:r>
      <w:r>
        <w:rPr>
          <w:i/>
          <w:sz w:val="24"/>
        </w:rPr>
        <w:t>”al fine di scambiarsi informazioni e dati in merito </w:t>
      </w:r>
      <w:r>
        <w:rPr>
          <w:i/>
          <w:sz w:val="24"/>
        </w:rPr>
        <w:t>all’attività di controllo da ciascuno di essi effettuata</w:t>
      </w:r>
      <w:r>
        <w:rPr>
          <w:sz w:val="24"/>
        </w:rPr>
        <w:t>”, “</w:t>
      </w:r>
      <w:r>
        <w:rPr>
          <w:i/>
          <w:sz w:val="24"/>
        </w:rPr>
        <w:t>dandosi reciprocamente atto di non aver riscontrato, </w:t>
      </w:r>
      <w:r>
        <w:rPr>
          <w:i/>
          <w:sz w:val="24"/>
        </w:rPr>
        <w:t>nel corso delle verifiche effettuate e nello svolgimento dei rispettivi compiti, irregolarità o fatti che debbano  essere oggetto di segnalazione ai competenti</w:t>
      </w:r>
      <w:r>
        <w:rPr>
          <w:i/>
          <w:spacing w:val="-15"/>
          <w:sz w:val="24"/>
        </w:rPr>
        <w:t> </w:t>
      </w:r>
      <w:r>
        <w:rPr>
          <w:i/>
          <w:sz w:val="24"/>
        </w:rPr>
        <w:t>organismi</w:t>
      </w:r>
      <w:r>
        <w:rPr>
          <w:sz w:val="24"/>
        </w:rPr>
        <w:t>”.</w:t>
      </w:r>
    </w:p>
    <w:p>
      <w:pPr>
        <w:pStyle w:val="ListParagraph"/>
        <w:numPr>
          <w:ilvl w:val="0"/>
          <w:numId w:val="11"/>
        </w:numPr>
        <w:tabs>
          <w:tab w:pos="1847" w:val="left" w:leader="none"/>
        </w:tabs>
        <w:spacing w:line="453" w:lineRule="auto" w:before="8" w:after="0"/>
        <w:ind w:left="1846" w:right="1413" w:hanging="428"/>
        <w:jc w:val="both"/>
        <w:rPr>
          <w:sz w:val="24"/>
        </w:rPr>
      </w:pPr>
      <w:r>
        <w:rPr>
          <w:sz w:val="24"/>
        </w:rPr>
        <w:t>Dal verbale del Collegio sindacale riunitosi in data 6 aprile 2017, emerge che il Collegio approva la relazione di propria competenza per l’assemblea per il bilancio</w:t>
      </w:r>
      <w:r>
        <w:rPr>
          <w:spacing w:val="-10"/>
          <w:sz w:val="24"/>
        </w:rPr>
        <w:t> </w:t>
      </w:r>
      <w:r>
        <w:rPr>
          <w:sz w:val="24"/>
        </w:rPr>
        <w:t>2016.</w:t>
      </w:r>
    </w:p>
    <w:p>
      <w:pPr>
        <w:pStyle w:val="ListParagraph"/>
        <w:numPr>
          <w:ilvl w:val="0"/>
          <w:numId w:val="11"/>
        </w:numPr>
        <w:tabs>
          <w:tab w:pos="1847" w:val="left" w:leader="none"/>
        </w:tabs>
        <w:spacing w:line="472" w:lineRule="auto" w:before="28" w:after="0"/>
        <w:ind w:left="1846" w:right="1412" w:hanging="428"/>
        <w:jc w:val="both"/>
        <w:rPr>
          <w:sz w:val="24"/>
        </w:rPr>
      </w:pPr>
      <w:r>
        <w:rPr>
          <w:sz w:val="24"/>
        </w:rPr>
        <w:t>Dalla verifica sindacale del 22 giugno 2017 emerge che il </w:t>
      </w:r>
      <w:r>
        <w:rPr>
          <w:i/>
          <w:sz w:val="24"/>
        </w:rPr>
        <w:t>cashpooling </w:t>
      </w:r>
      <w:r>
        <w:rPr>
          <w:sz w:val="24"/>
        </w:rPr>
        <w:t>alla data del 31.03.2017 presenta un “</w:t>
      </w:r>
      <w:r>
        <w:rPr>
          <w:i/>
          <w:sz w:val="24"/>
        </w:rPr>
        <w:t>saldo complessivo positivo </w:t>
      </w:r>
      <w:r>
        <w:rPr>
          <w:sz w:val="24"/>
        </w:rPr>
        <w:t>(è) </w:t>
      </w:r>
      <w:r>
        <w:rPr>
          <w:i/>
          <w:sz w:val="24"/>
        </w:rPr>
        <w:t>pari ad Euro 46.871.944”</w:t>
      </w:r>
      <w:r>
        <w:rPr>
          <w:sz w:val="24"/>
        </w:rPr>
        <w:t>. Con riferimento alla situazione debitoria verso gli istituti bancari “</w:t>
      </w:r>
      <w:r>
        <w:rPr>
          <w:i/>
          <w:sz w:val="24"/>
        </w:rPr>
        <w:t>l’ammontare totale dei debiti a medio-lungo termine al </w:t>
      </w:r>
      <w:r>
        <w:rPr>
          <w:i/>
          <w:sz w:val="24"/>
        </w:rPr>
        <w:t>31.03.2017 è pari ad Euro 47.817.421</w:t>
      </w:r>
      <w:r>
        <w:rPr>
          <w:sz w:val="24"/>
        </w:rPr>
        <w:t>” e che “</w:t>
      </w:r>
      <w:r>
        <w:rPr>
          <w:i/>
          <w:sz w:val="24"/>
        </w:rPr>
        <w:t>i debiti a breve termine verso gli istituti bancari sono pari </w:t>
      </w:r>
      <w:r>
        <w:rPr>
          <w:i/>
          <w:sz w:val="24"/>
        </w:rPr>
        <w:t>ad Euro 6</w:t>
      </w:r>
      <w:r>
        <w:rPr>
          <w:sz w:val="24"/>
        </w:rPr>
        <w:t>7</w:t>
      </w:r>
      <w:r>
        <w:rPr>
          <w:i/>
          <w:sz w:val="24"/>
        </w:rPr>
        <w:t>.820.308</w:t>
      </w:r>
      <w:r>
        <w:rPr>
          <w:sz w:val="24"/>
        </w:rPr>
        <w:t>” per un saldo complessivo negativo verso le banche di Euro</w:t>
      </w:r>
      <w:r>
        <w:rPr>
          <w:spacing w:val="-30"/>
          <w:sz w:val="24"/>
        </w:rPr>
        <w:t> </w:t>
      </w:r>
      <w:r>
        <w:rPr>
          <w:sz w:val="24"/>
        </w:rPr>
        <w:t>115.637.729.</w:t>
      </w:r>
    </w:p>
    <w:p>
      <w:pPr>
        <w:pStyle w:val="ListParagraph"/>
        <w:numPr>
          <w:ilvl w:val="0"/>
          <w:numId w:val="11"/>
        </w:numPr>
        <w:tabs>
          <w:tab w:pos="1847" w:val="left" w:leader="none"/>
        </w:tabs>
        <w:spacing w:line="475" w:lineRule="auto" w:before="6" w:after="0"/>
        <w:ind w:left="1846" w:right="1411" w:hanging="428"/>
        <w:jc w:val="both"/>
        <w:rPr>
          <w:sz w:val="24"/>
        </w:rPr>
      </w:pPr>
      <w:r>
        <w:rPr>
          <w:sz w:val="24"/>
        </w:rPr>
        <w:t>Dalla verifica sindacale del 5 agosto 2017 emerge che “l’ammontare totale de</w:t>
      </w:r>
      <w:r>
        <w:rPr>
          <w:i/>
          <w:sz w:val="24"/>
        </w:rPr>
        <w:t>i debiti verso gli </w:t>
      </w:r>
      <w:r>
        <w:rPr>
          <w:i/>
          <w:sz w:val="24"/>
        </w:rPr>
        <w:t>istituti bancari è pari ad Euro 113.162.827</w:t>
      </w:r>
      <w:r>
        <w:rPr>
          <w:sz w:val="24"/>
        </w:rPr>
        <w:t>”. Il Dott. Gianelli, informa i Colleghi in merito alle informazioni raccolte negli incontri del 10 luglio e 1 agosto presso gli uffici della M&amp;G Finanziaria con il Dott. Toselli, il Rag. Bonzani e la Dott..ssa Milani dove ha appreso che </w:t>
      </w:r>
      <w:r>
        <w:rPr>
          <w:i/>
          <w:sz w:val="24"/>
        </w:rPr>
        <w:t>“vi  </w:t>
      </w:r>
      <w:r>
        <w:rPr>
          <w:i/>
          <w:sz w:val="24"/>
        </w:rPr>
        <w:t>è un interessamento da parte di una controparte cinese per lo sviluppo di un importante progetto per </w:t>
      </w:r>
      <w:r>
        <w:rPr>
          <w:i/>
          <w:spacing w:val="5"/>
          <w:sz w:val="24"/>
        </w:rPr>
        <w:t>la </w:t>
      </w:r>
      <w:r>
        <w:rPr>
          <w:i/>
          <w:sz w:val="24"/>
        </w:rPr>
        <w:t>creazione di impianti in Cina che verrebbero realizzati con la tecnologia Proesa, un potenziale interessamento di Sell per la predetta tecnologia e sono in corso trattative per la vendita di una licenza Proesa ad una società tunisina</w:t>
      </w:r>
      <w:r>
        <w:rPr>
          <w:sz w:val="24"/>
        </w:rPr>
        <w:t>”.</w:t>
      </w:r>
    </w:p>
    <w:p>
      <w:pPr>
        <w:spacing w:after="0" w:line="475"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846" w:right="1415" w:firstLine="0"/>
        <w:jc w:val="both"/>
        <w:rPr>
          <w:sz w:val="24"/>
        </w:rPr>
      </w:pPr>
      <w:r>
        <w:rPr>
          <w:sz w:val="24"/>
        </w:rPr>
        <w:t>Inoltre il Dott. Gianelli riporta che la situazione finanziaria del Gruppo Mossi &amp; Ghisolfi dovrebbe migliorare “</w:t>
      </w:r>
      <w:r>
        <w:rPr>
          <w:i/>
          <w:sz w:val="24"/>
        </w:rPr>
        <w:t>a seguito dell’ottenimento del finanziamento Black Rock ovvero della realizzazione </w:t>
      </w:r>
      <w:r>
        <w:rPr>
          <w:i/>
          <w:sz w:val="24"/>
        </w:rPr>
        <w:t>di uno o più dei progetti sopra sintetizzati</w:t>
      </w:r>
      <w:r>
        <w:rPr>
          <w:sz w:val="24"/>
        </w:rPr>
        <w:t>”.</w:t>
      </w:r>
    </w:p>
    <w:p>
      <w:pPr>
        <w:pStyle w:val="BodyText"/>
        <w:spacing w:line="480" w:lineRule="auto"/>
        <w:ind w:left="1846" w:right="1420"/>
        <w:jc w:val="both"/>
      </w:pPr>
      <w:r>
        <w:rPr/>
        <w:t>Dal verbale emerge inoltre che il Collegio riprende quanto emerso sulla stampa nazionale in data 3 agosto 2017 in cui si riporta l’interessamento di Eni, attraverso la propria controllata Versalis, per la creazione di un polo della chimica.</w:t>
      </w:r>
    </w:p>
    <w:p>
      <w:pPr>
        <w:pStyle w:val="ListParagraph"/>
        <w:numPr>
          <w:ilvl w:val="0"/>
          <w:numId w:val="11"/>
        </w:numPr>
        <w:tabs>
          <w:tab w:pos="1847" w:val="left" w:leader="none"/>
        </w:tabs>
        <w:spacing w:line="475" w:lineRule="auto" w:before="0" w:after="0"/>
        <w:ind w:left="1846" w:right="1410" w:hanging="428"/>
        <w:jc w:val="both"/>
        <w:rPr>
          <w:sz w:val="24"/>
        </w:rPr>
      </w:pPr>
      <w:r>
        <w:rPr>
          <w:sz w:val="24"/>
        </w:rPr>
        <w:t>Dalla verifica sindacale del 3 settembre 2017 emerge che il Collegio ha richiesto, prima dell’adunanza, informazioni in merito alla situazione economico patrimoniale, ed ai rapporti intercompany, di tutte le società del Gruppo Mossi &amp; Ghisolfi. Il collegio, come emerge dal verbale, ha partecipato anche all’incontro del giorno precedente del Consiglio di Amministrazione della controllante M&amp;G Finanziaria SpA. dove </w:t>
      </w:r>
      <w:r>
        <w:rPr>
          <w:spacing w:val="2"/>
          <w:sz w:val="24"/>
        </w:rPr>
        <w:t>“</w:t>
      </w:r>
      <w:r>
        <w:rPr>
          <w:i/>
          <w:spacing w:val="2"/>
          <w:sz w:val="24"/>
        </w:rPr>
        <w:t>è </w:t>
      </w:r>
      <w:r>
        <w:rPr>
          <w:i/>
          <w:sz w:val="24"/>
        </w:rPr>
        <w:t>stato informato dall’ Amm. </w:t>
      </w:r>
      <w:r>
        <w:rPr>
          <w:i/>
          <w:sz w:val="24"/>
        </w:rPr>
        <w:t>Delegato Dott. Marco Ghisolfi che a seguito della mancata erogazione di nuova finanza da parte del fondo Black Rock l’intero gruppo si trova in una difficile situazione finanziaria che potrebbe portare alla richiesta di una procedura di Chapter 11 in America da parte di MG Chemicals</w:t>
      </w:r>
      <w:r>
        <w:rPr>
          <w:i/>
          <w:spacing w:val="-18"/>
          <w:sz w:val="24"/>
        </w:rPr>
        <w:t> </w:t>
      </w:r>
      <w:r>
        <w:rPr>
          <w:i/>
          <w:sz w:val="24"/>
        </w:rPr>
        <w:t>SA</w:t>
      </w:r>
      <w:r>
        <w:rPr>
          <w:sz w:val="24"/>
        </w:rPr>
        <w:t>”.</w:t>
      </w:r>
    </w:p>
    <w:p>
      <w:pPr>
        <w:spacing w:line="480" w:lineRule="auto" w:before="6"/>
        <w:ind w:left="1846" w:right="1412" w:firstLine="0"/>
        <w:jc w:val="both"/>
        <w:rPr>
          <w:sz w:val="24"/>
        </w:rPr>
      </w:pPr>
      <w:r>
        <w:rPr>
          <w:sz w:val="24"/>
        </w:rPr>
        <w:t>Il Collegio, secondo quanto nel verbale, è stato informato che “</w:t>
      </w:r>
      <w:r>
        <w:rPr>
          <w:i/>
          <w:sz w:val="24"/>
        </w:rPr>
        <w:t>per la ristrutturazione del debito </w:t>
      </w:r>
      <w:r>
        <w:rPr>
          <w:i/>
          <w:sz w:val="24"/>
        </w:rPr>
        <w:t>facente capo alle società italiane è stato al momento incaricato lo Studio legale Gianni, Orrigoni, Grippo, Cappelli &amp; Partners – GOP di Milano che verrà affiancato da Rotchild Italia, laddove non in conflitto di interessi, ovvero da altro consulente</w:t>
      </w:r>
      <w:r>
        <w:rPr>
          <w:sz w:val="24"/>
        </w:rPr>
        <w:t>” ed anche “</w:t>
      </w:r>
      <w:r>
        <w:rPr>
          <w:i/>
          <w:sz w:val="24"/>
        </w:rPr>
        <w:t>in merito ai possibili sviluppo relativi alle società facenti </w:t>
      </w:r>
      <w:r>
        <w:rPr>
          <w:i/>
          <w:sz w:val="24"/>
        </w:rPr>
        <w:t>parte del settore BIO tra cui appunto Biochemtex SpA con le proprie controllanti […], sviluppi che potrebbero anche prevedere una eventuale cessione delle partecipazioni della società Italian Bio Products Srl ed IBP Energia Srl ad un terzo operatore che tuttavia assumerebbe l’impegno di far visionare l’impianto di Crescentino ai potenziali acquirenti interessati alla tecnologia Proesa</w:t>
      </w:r>
      <w:r>
        <w:rPr>
          <w:sz w:val="24"/>
        </w:rPr>
        <w:t>”. Infine il Collegio conviene di prendere contatti con la società di revisione per uno scambio di informazioni.</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0"/>
          <w:numId w:val="11"/>
        </w:numPr>
        <w:tabs>
          <w:tab w:pos="1847" w:val="left" w:leader="none"/>
        </w:tabs>
        <w:spacing w:line="472" w:lineRule="auto" w:before="100" w:after="0"/>
        <w:ind w:left="1846" w:right="1412" w:hanging="428"/>
        <w:jc w:val="both"/>
        <w:rPr>
          <w:sz w:val="24"/>
        </w:rPr>
      </w:pPr>
      <w:r>
        <w:rPr>
          <w:sz w:val="24"/>
        </w:rPr>
        <w:t>Dal verbale del giorno 6 settembre 2017 risulta l’incontro tra il Collegio Sindacale e la società di revisione nelle persone del Dott. Fabio Mischi e la Dott.ssa Umberta Russo, rispettivamente partner e senior manager della società di revisione Reconta Ernst &amp; Young S.p.A., deputata al controllo legale dei conti della Società e delle principali società italiane del Gruppo Mossi &amp; Ghisolfi, nonche il manager Dott. Matteo</w:t>
      </w:r>
      <w:r>
        <w:rPr>
          <w:spacing w:val="-23"/>
          <w:sz w:val="24"/>
        </w:rPr>
        <w:t> </w:t>
      </w:r>
      <w:r>
        <w:rPr>
          <w:sz w:val="24"/>
        </w:rPr>
        <w:t>Guglielmini.</w:t>
      </w:r>
    </w:p>
    <w:p>
      <w:pPr>
        <w:spacing w:before="8"/>
        <w:ind w:left="1846" w:right="0" w:firstLine="0"/>
        <w:jc w:val="left"/>
        <w:rPr>
          <w:i/>
          <w:sz w:val="24"/>
        </w:rPr>
      </w:pPr>
      <w:r>
        <w:rPr>
          <w:i/>
          <w:sz w:val="24"/>
        </w:rPr>
        <w:t>“Il Collegio riferisce altresì che:</w:t>
      </w:r>
    </w:p>
    <w:p>
      <w:pPr>
        <w:pStyle w:val="BodyText"/>
        <w:spacing w:before="10"/>
        <w:rPr>
          <w:i/>
          <w:sz w:val="23"/>
        </w:rPr>
      </w:pPr>
    </w:p>
    <w:p>
      <w:pPr>
        <w:spacing w:line="480" w:lineRule="auto" w:before="1"/>
        <w:ind w:left="1846" w:right="1412" w:hanging="360"/>
        <w:jc w:val="both"/>
        <w:rPr>
          <w:i/>
          <w:sz w:val="24"/>
        </w:rPr>
      </w:pPr>
      <w:r>
        <w:rPr>
          <w:sz w:val="24"/>
        </w:rPr>
        <w:t>-  </w:t>
      </w:r>
      <w:r>
        <w:rPr>
          <w:i/>
          <w:sz w:val="24"/>
        </w:rPr>
        <w:t>il Dr. Marco Ghisolfi e attualmente a New York per un  incontro con  i principali creditori del Gruppo  </w:t>
      </w:r>
      <w:r>
        <w:rPr>
          <w:i/>
          <w:sz w:val="24"/>
        </w:rPr>
        <w:t>M&amp;G (DAK, Imbursa ed il fonda TPG) per cercare di trovare una soluzione condivisa, </w:t>
      </w:r>
      <w:r>
        <w:rPr>
          <w:i/>
          <w:spacing w:val="4"/>
          <w:sz w:val="24"/>
        </w:rPr>
        <w:t>al </w:t>
      </w:r>
      <w:r>
        <w:rPr>
          <w:i/>
          <w:sz w:val="24"/>
        </w:rPr>
        <w:t>di fuori del Chapter 11, per risolvere la situazione e trovare i fondi necessari per riportare la situazione produttiva alia normalita e completare l'investimento di Corpus</w:t>
      </w:r>
      <w:r>
        <w:rPr>
          <w:i/>
          <w:spacing w:val="-15"/>
          <w:sz w:val="24"/>
        </w:rPr>
        <w:t> </w:t>
      </w:r>
      <w:r>
        <w:rPr>
          <w:i/>
          <w:sz w:val="24"/>
        </w:rPr>
        <w:t>Christi;</w:t>
      </w:r>
    </w:p>
    <w:p>
      <w:pPr>
        <w:pStyle w:val="ListParagraph"/>
        <w:numPr>
          <w:ilvl w:val="0"/>
          <w:numId w:val="10"/>
        </w:numPr>
        <w:tabs>
          <w:tab w:pos="1847" w:val="left" w:leader="none"/>
        </w:tabs>
        <w:spacing w:line="480" w:lineRule="auto" w:before="0" w:after="0"/>
        <w:ind w:left="1846" w:right="1413" w:hanging="428"/>
        <w:jc w:val="both"/>
        <w:rPr>
          <w:i/>
          <w:sz w:val="24"/>
        </w:rPr>
      </w:pPr>
      <w:r>
        <w:rPr>
          <w:i/>
          <w:sz w:val="24"/>
        </w:rPr>
        <w:t>i consiglieri di MG Chemicals S.A. a nomina del fondo TPG si sono dimessi dal consiglio di </w:t>
      </w:r>
      <w:r>
        <w:rPr>
          <w:i/>
          <w:sz w:val="24"/>
        </w:rPr>
        <w:t>amministrazione della predetta società a seguito di disaccordi con il Dott. Marco</w:t>
      </w:r>
      <w:r>
        <w:rPr>
          <w:i/>
          <w:spacing w:val="-26"/>
          <w:sz w:val="24"/>
        </w:rPr>
        <w:t> </w:t>
      </w:r>
      <w:r>
        <w:rPr>
          <w:i/>
          <w:sz w:val="24"/>
        </w:rPr>
        <w:t>Ghisolfi;</w:t>
      </w:r>
    </w:p>
    <w:p>
      <w:pPr>
        <w:pStyle w:val="ListParagraph"/>
        <w:numPr>
          <w:ilvl w:val="0"/>
          <w:numId w:val="10"/>
        </w:numPr>
        <w:tabs>
          <w:tab w:pos="1847" w:val="left" w:leader="none"/>
        </w:tabs>
        <w:spacing w:line="480" w:lineRule="auto" w:before="0" w:after="0"/>
        <w:ind w:left="1846" w:right="1411" w:hanging="428"/>
        <w:jc w:val="both"/>
        <w:rPr>
          <w:i/>
          <w:sz w:val="24"/>
        </w:rPr>
      </w:pPr>
      <w:r>
        <w:rPr>
          <w:i/>
          <w:sz w:val="24"/>
        </w:rPr>
        <w:t>il Presidente del Consiglio di Amministrazione della Controllante M&amp;G Finanziaria SpA Cav. Vittorio </w:t>
      </w:r>
      <w:r>
        <w:rPr>
          <w:i/>
          <w:sz w:val="24"/>
        </w:rPr>
        <w:t>Ghisolfi, affiancato dal Consigliere Ing. Giovanni Bolcheni (nonché Presidente del Consiglio di amministrazione di Biochemtex S.p.a.), in settimana avrà un incontro in Mediobanca al fine di verificare l'effettiva fattibilità del progetto di aggregazione commentato dal Sole 24 Ore dello scorso 3</w:t>
      </w:r>
      <w:r>
        <w:rPr>
          <w:i/>
          <w:spacing w:val="-29"/>
          <w:sz w:val="24"/>
        </w:rPr>
        <w:t> </w:t>
      </w:r>
      <w:r>
        <w:rPr>
          <w:i/>
          <w:sz w:val="24"/>
        </w:rPr>
        <w:t>agosto;</w:t>
      </w:r>
    </w:p>
    <w:p>
      <w:pPr>
        <w:pStyle w:val="ListParagraph"/>
        <w:numPr>
          <w:ilvl w:val="0"/>
          <w:numId w:val="10"/>
        </w:numPr>
        <w:tabs>
          <w:tab w:pos="1847" w:val="left" w:leader="none"/>
        </w:tabs>
        <w:spacing w:line="480" w:lineRule="auto" w:before="0" w:after="0"/>
        <w:ind w:left="1846" w:right="1412" w:hanging="360"/>
        <w:jc w:val="both"/>
        <w:rPr>
          <w:i/>
          <w:sz w:val="24"/>
        </w:rPr>
      </w:pPr>
      <w:r>
        <w:rPr>
          <w:i/>
          <w:sz w:val="24"/>
        </w:rPr>
        <w:t>i consulenti di Alvarez &amp; Marsal e Rothschild insieme ai legali di Jones Day seguiranno la ristrutturazione </w:t>
      </w:r>
      <w:r>
        <w:rPr>
          <w:i/>
          <w:sz w:val="24"/>
        </w:rPr>
        <w:t>del debito delle società facenti capo a MG Chemical S.A. mentre per la ristrutturazione del debito facente capo alle società italiane e stato al memento incaricato lo Studio Legale Gianni, Origoni, Grippo, Cappelli  &amp; Partners - GOP di Milano che verrà affiancato da Rothschild Italia, laddove non in conflitto di interessi, ovvero da altro</w:t>
      </w:r>
      <w:r>
        <w:rPr>
          <w:i/>
          <w:spacing w:val="-10"/>
          <w:sz w:val="24"/>
        </w:rPr>
        <w:t> </w:t>
      </w:r>
      <w:r>
        <w:rPr>
          <w:i/>
          <w:sz w:val="24"/>
        </w:rPr>
        <w:t>consulente;</w:t>
      </w:r>
    </w:p>
    <w:p>
      <w:pPr>
        <w:pStyle w:val="ListParagraph"/>
        <w:numPr>
          <w:ilvl w:val="0"/>
          <w:numId w:val="10"/>
        </w:numPr>
        <w:tabs>
          <w:tab w:pos="1847" w:val="left" w:leader="none"/>
        </w:tabs>
        <w:spacing w:line="480" w:lineRule="auto" w:before="0" w:after="0"/>
        <w:ind w:left="1846" w:right="1412" w:hanging="428"/>
        <w:jc w:val="both"/>
        <w:rPr>
          <w:i/>
          <w:sz w:val="24"/>
        </w:rPr>
      </w:pPr>
      <w:r>
        <w:rPr>
          <w:i/>
          <w:sz w:val="24"/>
        </w:rPr>
        <w:t>i possibili sviluppi della Biochemtex S.p.a. facente parte del settore BIO, insieme alle controllate Italian Bio </w:t>
      </w:r>
      <w:r>
        <w:rPr>
          <w:i/>
          <w:sz w:val="24"/>
        </w:rPr>
        <w:t>Products</w:t>
      </w:r>
      <w:r>
        <w:rPr>
          <w:i/>
          <w:spacing w:val="37"/>
          <w:sz w:val="24"/>
        </w:rPr>
        <w:t> </w:t>
      </w:r>
      <w:r>
        <w:rPr>
          <w:i/>
          <w:sz w:val="24"/>
        </w:rPr>
        <w:t>S.r.l.,</w:t>
      </w:r>
      <w:r>
        <w:rPr>
          <w:i/>
          <w:spacing w:val="38"/>
          <w:sz w:val="24"/>
        </w:rPr>
        <w:t> </w:t>
      </w:r>
      <w:r>
        <w:rPr>
          <w:i/>
          <w:sz w:val="24"/>
        </w:rPr>
        <w:t>IBP</w:t>
      </w:r>
      <w:r>
        <w:rPr>
          <w:i/>
          <w:spacing w:val="37"/>
          <w:sz w:val="24"/>
        </w:rPr>
        <w:t> </w:t>
      </w:r>
      <w:r>
        <w:rPr>
          <w:i/>
          <w:sz w:val="24"/>
        </w:rPr>
        <w:t>Energia</w:t>
      </w:r>
      <w:r>
        <w:rPr>
          <w:i/>
          <w:spacing w:val="38"/>
          <w:sz w:val="24"/>
        </w:rPr>
        <w:t> </w:t>
      </w:r>
      <w:r>
        <w:rPr>
          <w:i/>
          <w:sz w:val="24"/>
        </w:rPr>
        <w:t>S.r.l.</w:t>
      </w:r>
      <w:r>
        <w:rPr>
          <w:i/>
          <w:spacing w:val="38"/>
          <w:sz w:val="24"/>
        </w:rPr>
        <w:t> </w:t>
      </w:r>
      <w:r>
        <w:rPr>
          <w:i/>
          <w:sz w:val="24"/>
        </w:rPr>
        <w:t>e</w:t>
      </w:r>
      <w:r>
        <w:rPr>
          <w:i/>
          <w:spacing w:val="37"/>
          <w:sz w:val="24"/>
        </w:rPr>
        <w:t> </w:t>
      </w:r>
      <w:r>
        <w:rPr>
          <w:i/>
          <w:sz w:val="24"/>
        </w:rPr>
        <w:t>Beta</w:t>
      </w:r>
      <w:r>
        <w:rPr>
          <w:i/>
          <w:spacing w:val="37"/>
          <w:sz w:val="24"/>
        </w:rPr>
        <w:t> </w:t>
      </w:r>
      <w:r>
        <w:rPr>
          <w:i/>
          <w:sz w:val="24"/>
        </w:rPr>
        <w:t>Renewables</w:t>
      </w:r>
      <w:r>
        <w:rPr>
          <w:i/>
          <w:spacing w:val="37"/>
          <w:sz w:val="24"/>
        </w:rPr>
        <w:t> </w:t>
      </w:r>
      <w:r>
        <w:rPr>
          <w:i/>
          <w:sz w:val="24"/>
        </w:rPr>
        <w:t>S.p.a.,</w:t>
      </w:r>
      <w:r>
        <w:rPr>
          <w:i/>
          <w:spacing w:val="38"/>
          <w:sz w:val="24"/>
        </w:rPr>
        <w:t> </w:t>
      </w:r>
      <w:r>
        <w:rPr>
          <w:i/>
          <w:sz w:val="24"/>
        </w:rPr>
        <w:t>potrebbero</w:t>
      </w:r>
      <w:r>
        <w:rPr>
          <w:i/>
          <w:spacing w:val="36"/>
          <w:sz w:val="24"/>
        </w:rPr>
        <w:t> </w:t>
      </w:r>
      <w:r>
        <w:rPr>
          <w:i/>
          <w:sz w:val="24"/>
        </w:rPr>
        <w:t>anche</w:t>
      </w:r>
      <w:r>
        <w:rPr>
          <w:i/>
          <w:spacing w:val="37"/>
          <w:sz w:val="24"/>
        </w:rPr>
        <w:t> </w:t>
      </w:r>
      <w:r>
        <w:rPr>
          <w:i/>
          <w:sz w:val="24"/>
        </w:rPr>
        <w:t>prevedere</w:t>
      </w:r>
      <w:r>
        <w:rPr>
          <w:i/>
          <w:spacing w:val="37"/>
          <w:sz w:val="24"/>
        </w:rPr>
        <w:t> </w:t>
      </w:r>
      <w:r>
        <w:rPr>
          <w:i/>
          <w:sz w:val="24"/>
        </w:rPr>
        <w:t>una</w:t>
      </w:r>
      <w:r>
        <w:rPr>
          <w:i/>
          <w:spacing w:val="38"/>
          <w:sz w:val="24"/>
        </w:rPr>
        <w:t> </w:t>
      </w:r>
      <w:r>
        <w:rPr>
          <w:i/>
          <w:sz w:val="24"/>
        </w:rPr>
        <w:t>eventuale</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846" w:right="1414" w:firstLine="0"/>
        <w:jc w:val="both"/>
        <w:rPr>
          <w:i/>
          <w:sz w:val="24"/>
        </w:rPr>
      </w:pPr>
      <w:r>
        <w:rPr>
          <w:i/>
          <w:sz w:val="24"/>
        </w:rPr>
        <w:t>cessione delle partecipazioni Italian Bio Products S.r.l. ed IBP Energia S.r.l. ad un terzo operatore che </w:t>
      </w:r>
      <w:r>
        <w:rPr>
          <w:i/>
          <w:sz w:val="24"/>
        </w:rPr>
        <w:t>tuttavia assumerebbe l'impegno di far visionare l'impianto di Crescentino ai potenziali acquirenti interessati alia tecnologia Proesa;</w:t>
      </w:r>
    </w:p>
    <w:p>
      <w:pPr>
        <w:pStyle w:val="ListParagraph"/>
        <w:numPr>
          <w:ilvl w:val="0"/>
          <w:numId w:val="10"/>
        </w:numPr>
        <w:tabs>
          <w:tab w:pos="1847" w:val="left" w:leader="none"/>
        </w:tabs>
        <w:spacing w:line="480" w:lineRule="auto" w:before="0" w:after="0"/>
        <w:ind w:left="1846" w:right="1412" w:hanging="428"/>
        <w:jc w:val="both"/>
        <w:rPr>
          <w:i/>
          <w:sz w:val="24"/>
        </w:rPr>
      </w:pPr>
      <w:r>
        <w:rPr>
          <w:i/>
          <w:sz w:val="24"/>
        </w:rPr>
        <w:t>in data 5 settembre i sottoscritti hanno avuto uno scambio di informazioni con l' Avv. Alberto Nanni dello </w:t>
      </w:r>
      <w:r>
        <w:rPr>
          <w:i/>
          <w:sz w:val="24"/>
        </w:rPr>
        <w:t>Studio Legale Gianni, Origoni, Grippo, Cappelli &amp; Partners- GOP di</w:t>
      </w:r>
      <w:r>
        <w:rPr>
          <w:i/>
          <w:spacing w:val="-29"/>
          <w:sz w:val="24"/>
        </w:rPr>
        <w:t> </w:t>
      </w:r>
      <w:r>
        <w:rPr>
          <w:i/>
          <w:sz w:val="24"/>
        </w:rPr>
        <w:t>Milano;</w:t>
      </w:r>
    </w:p>
    <w:p>
      <w:pPr>
        <w:pStyle w:val="ListParagraph"/>
        <w:numPr>
          <w:ilvl w:val="0"/>
          <w:numId w:val="10"/>
        </w:numPr>
        <w:tabs>
          <w:tab w:pos="1847" w:val="left" w:leader="none"/>
        </w:tabs>
        <w:spacing w:line="480" w:lineRule="auto" w:before="0" w:after="0"/>
        <w:ind w:left="1846" w:right="1414" w:hanging="428"/>
        <w:jc w:val="both"/>
        <w:rPr>
          <w:i/>
          <w:sz w:val="24"/>
        </w:rPr>
      </w:pPr>
      <w:r>
        <w:rPr>
          <w:i/>
          <w:sz w:val="24"/>
        </w:rPr>
        <w:t>in data odierna il sottoscritto Dott. Roberto Gianelli si e recato presso gli uffici dello Studio Legale Gianni, </w:t>
      </w:r>
      <w:r>
        <w:rPr>
          <w:i/>
          <w:sz w:val="24"/>
        </w:rPr>
        <w:t>Origoni, Grippo, Cappelli &amp; Partners - GOP di Milano per un ulteriore scambio di informazioni con l'Avv. Alberto</w:t>
      </w:r>
      <w:r>
        <w:rPr>
          <w:i/>
          <w:spacing w:val="-3"/>
          <w:sz w:val="24"/>
        </w:rPr>
        <w:t> </w:t>
      </w:r>
      <w:r>
        <w:rPr>
          <w:i/>
          <w:sz w:val="24"/>
        </w:rPr>
        <w:t>Nanni”.</w:t>
      </w:r>
    </w:p>
    <w:p>
      <w:pPr>
        <w:spacing w:line="480" w:lineRule="auto" w:before="0"/>
        <w:ind w:left="1846" w:right="1411" w:firstLine="0"/>
        <w:jc w:val="both"/>
        <w:rPr>
          <w:i/>
          <w:sz w:val="24"/>
        </w:rPr>
      </w:pPr>
      <w:r>
        <w:rPr>
          <w:sz w:val="24"/>
        </w:rPr>
        <w:t>Il collegio </w:t>
      </w:r>
      <w:r>
        <w:rPr>
          <w:i/>
          <w:sz w:val="24"/>
        </w:rPr>
        <w:t>“comunica infine di aver richiesto di convocare al più presto i consigli di amministrazione della </w:t>
      </w:r>
      <w:r>
        <w:rPr>
          <w:i/>
          <w:sz w:val="24"/>
        </w:rPr>
        <w:t>societa Massi &amp; Ghisolfi S.p.A., M&amp;G Finanziaria S.p.A, Biochemtex S.p.A. e IBP s.r.l., consigli che dovrebbero tenersi entro la fme della corrente settimana” </w:t>
      </w:r>
      <w:r>
        <w:rPr>
          <w:sz w:val="24"/>
        </w:rPr>
        <w:t>e </w:t>
      </w:r>
      <w:r>
        <w:rPr>
          <w:i/>
          <w:sz w:val="24"/>
        </w:rPr>
        <w:t>“si riserva di informare i revisori di Reconta </w:t>
      </w:r>
      <w:r>
        <w:rPr>
          <w:i/>
          <w:sz w:val="24"/>
        </w:rPr>
        <w:t>Ernest &amp; Young S.p.A. non appena avrà ricevuto informazioni dal Dott. Marco Ghisolfi in merito all'esito dei colloqui attualmente in corso con i principali creditori del Gruppo Mossi &amp; Ghisolfi (DAK, Imbursa e TPG). Il Collegio Sindacale ed i revisori di Reconta Ernst &amp; Young si riservano di valutare congiuntamente la situazione patrimoniale ed economica delle società italiane del Gruppo Mossi &amp; Ghisolfi non appena i consulenti incaricati avranno terminate di esaminare la complessa situazione finanziaria attualmente attraversata dall' intero Gruppo, situazione che peraltro interessa svariate giurisdizioni. Ciò al fine di avere un quadro chiaro in merito alla verifica del presupposto della continuità aziendale ovvero in merito ad eventuali riduzioni del patrimonio netto delle società italiane del Gruppo che dovessero necessitare dell'adozione dei provvedimenti di</w:t>
      </w:r>
      <w:r>
        <w:rPr>
          <w:i/>
          <w:spacing w:val="-12"/>
          <w:sz w:val="24"/>
        </w:rPr>
        <w:t> </w:t>
      </w:r>
      <w:r>
        <w:rPr>
          <w:i/>
          <w:sz w:val="24"/>
        </w:rPr>
        <w:t>legge”.</w:t>
      </w:r>
    </w:p>
    <w:p>
      <w:pPr>
        <w:pStyle w:val="ListParagraph"/>
        <w:numPr>
          <w:ilvl w:val="0"/>
          <w:numId w:val="11"/>
        </w:numPr>
        <w:tabs>
          <w:tab w:pos="1847" w:val="left" w:leader="none"/>
        </w:tabs>
        <w:spacing w:line="465" w:lineRule="auto" w:before="0" w:after="0"/>
        <w:ind w:left="1846" w:right="1416" w:hanging="428"/>
        <w:jc w:val="both"/>
        <w:rPr>
          <w:i/>
          <w:sz w:val="24"/>
        </w:rPr>
      </w:pPr>
      <w:r>
        <w:rPr>
          <w:sz w:val="24"/>
        </w:rPr>
        <w:t>Dal verbale del giorno 10 settembre 2017 risulta che “</w:t>
      </w:r>
      <w:r>
        <w:rPr>
          <w:i/>
          <w:sz w:val="24"/>
        </w:rPr>
        <w:t>La presente riunione e stata effettuata a </w:t>
      </w:r>
      <w:r>
        <w:rPr>
          <w:i/>
          <w:sz w:val="24"/>
        </w:rPr>
        <w:t>seguito di quanto comunicato dal Dott. Marco Ghisolfi, Amministratore delegato della controllante M&amp;G Finanziaria S.p.a., con email inviata lo scorso 7 settembre 2017 nonchè delle informazioni apprese nel</w:t>
      </w:r>
      <w:r>
        <w:rPr>
          <w:i/>
          <w:spacing w:val="49"/>
          <w:sz w:val="24"/>
        </w:rPr>
        <w:t> </w:t>
      </w:r>
      <w:r>
        <w:rPr>
          <w:i/>
          <w:sz w:val="24"/>
        </w:rPr>
        <w:t>corso</w:t>
      </w:r>
    </w:p>
    <w:p>
      <w:pPr>
        <w:spacing w:after="0" w:line="465"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846" w:right="1415" w:firstLine="0"/>
        <w:jc w:val="both"/>
        <w:rPr>
          <w:sz w:val="24"/>
        </w:rPr>
      </w:pPr>
      <w:r>
        <w:rPr>
          <w:i/>
          <w:sz w:val="24"/>
        </w:rPr>
        <w:t>del Consiglio di amministrazione della Societa e delle controllanti Mossi &amp; Ghisolfi S.p.a. ed M&amp;G </w:t>
      </w:r>
      <w:r>
        <w:rPr>
          <w:i/>
          <w:sz w:val="24"/>
        </w:rPr>
        <w:t>Finanziaria S.p.a. in relazione al fatto che Black Rock non avrebbe fornito alcun supporto finanziario al Gruppo e che gli incontri con TPG/DAK/Imbursa non hanno prodotto i risultati sperati</w:t>
      </w:r>
      <w:r>
        <w:rPr>
          <w:sz w:val="24"/>
        </w:rPr>
        <w:t>”.</w:t>
      </w:r>
    </w:p>
    <w:p>
      <w:pPr>
        <w:spacing w:line="480" w:lineRule="auto" w:before="0"/>
        <w:ind w:left="1846" w:right="1412" w:firstLine="0"/>
        <w:jc w:val="both"/>
        <w:rPr>
          <w:i/>
          <w:sz w:val="24"/>
        </w:rPr>
      </w:pPr>
      <w:r>
        <w:rPr>
          <w:sz w:val="24"/>
        </w:rPr>
        <w:t>Inoltre, a seguito delle problematiche sorte in capo alla controllata IBP Srl, “</w:t>
      </w:r>
      <w:r>
        <w:rPr>
          <w:i/>
          <w:sz w:val="24"/>
        </w:rPr>
        <w:t>l'Ing. Bolcheni </w:t>
      </w:r>
      <w:r>
        <w:rPr>
          <w:i/>
          <w:sz w:val="24"/>
        </w:rPr>
        <w:t>informa infine che ha provveduto ad intervenire comunque a sostegno della controllata Italian Bio Products</w:t>
      </w:r>
    </w:p>
    <w:p>
      <w:pPr>
        <w:spacing w:before="0"/>
        <w:ind w:left="1846" w:right="0" w:firstLine="0"/>
        <w:jc w:val="both"/>
        <w:rPr>
          <w:i/>
          <w:sz w:val="24"/>
        </w:rPr>
      </w:pPr>
      <w:r>
        <w:rPr>
          <w:i/>
          <w:sz w:val="24"/>
        </w:rPr>
        <w:t>S.r.l.  con  lo  scopo  di  coprire  le  perdite  rilevate  dalla  stessa  controllata  al  30.06.2017  pari  ad euro</w:t>
      </w:r>
    </w:p>
    <w:p>
      <w:pPr>
        <w:pStyle w:val="BodyText"/>
        <w:spacing w:before="10"/>
        <w:rPr>
          <w:i/>
          <w:sz w:val="23"/>
        </w:rPr>
      </w:pPr>
    </w:p>
    <w:p>
      <w:pPr>
        <w:spacing w:line="480" w:lineRule="auto" w:before="0"/>
        <w:ind w:left="1846" w:right="1410" w:firstLine="0"/>
        <w:jc w:val="both"/>
        <w:rPr>
          <w:sz w:val="24"/>
        </w:rPr>
      </w:pPr>
      <w:r>
        <w:rPr>
          <w:i/>
          <w:sz w:val="24"/>
        </w:rPr>
        <w:t>17.693.378 che hanno portato il patrimonio netto ad un risultato negativo. Tale intervento si e realizzato </w:t>
      </w:r>
      <w:r>
        <w:rPr>
          <w:i/>
          <w:sz w:val="24"/>
        </w:rPr>
        <w:t>tramite un accordo di conversione a riserva copertura perdite di una quota pari ad euro 6.500.000 del maggior credito finanziario e di una quota pari ad euro 3.500.000 del maggior credito commerciale vantati dalla Società nei confronti della controllata</w:t>
      </w:r>
      <w:r>
        <w:rPr>
          <w:sz w:val="24"/>
        </w:rPr>
        <w:t>”. Il Collegio “</w:t>
      </w:r>
      <w:r>
        <w:rPr>
          <w:i/>
          <w:sz w:val="24"/>
        </w:rPr>
        <w:t>ha pertanto sollecitato l'intero Consiglio di </w:t>
      </w:r>
      <w:r>
        <w:rPr>
          <w:i/>
          <w:sz w:val="24"/>
        </w:rPr>
        <w:t>Amministrazione a presentare al più presto, avvalendosi dell'aiuto dei consulenti </w:t>
      </w:r>
      <w:r>
        <w:rPr>
          <w:sz w:val="24"/>
        </w:rPr>
        <w:t>(sopra indicati), </w:t>
      </w:r>
      <w:r>
        <w:rPr>
          <w:i/>
          <w:sz w:val="24"/>
        </w:rPr>
        <w:t>una </w:t>
      </w:r>
      <w:r>
        <w:rPr>
          <w:i/>
          <w:sz w:val="24"/>
        </w:rPr>
        <w:t>domanda ai sensi dell'art. 161 L.F. (cd. "concordato in bianco”) in modo da beneficiare degli effetti protettivi sul patrimonio, a tutela di tutti i creditori, che la suddetta procedura concede e di avere il tempo necessario a redigere il complesso piano (in continuità ovvero liquidatorio), che dovrà essere predisposto per far fronte alla crisi finanziaria in cui versa la Società e le società controllate sopra menzionate operanti nel settore</w:t>
      </w:r>
      <w:r>
        <w:rPr>
          <w:i/>
          <w:spacing w:val="-27"/>
          <w:sz w:val="24"/>
        </w:rPr>
        <w:t> </w:t>
      </w:r>
      <w:r>
        <w:rPr>
          <w:i/>
          <w:sz w:val="24"/>
        </w:rPr>
        <w:t>BIO</w:t>
      </w:r>
      <w:r>
        <w:rPr>
          <w:sz w:val="24"/>
        </w:rPr>
        <w:t>”.</w:t>
      </w:r>
    </w:p>
    <w:p>
      <w:pPr>
        <w:pStyle w:val="ListParagraph"/>
        <w:numPr>
          <w:ilvl w:val="0"/>
          <w:numId w:val="11"/>
        </w:numPr>
        <w:tabs>
          <w:tab w:pos="1847" w:val="left" w:leader="none"/>
        </w:tabs>
        <w:spacing w:line="475" w:lineRule="auto" w:before="0" w:after="0"/>
        <w:ind w:left="1846" w:right="1412" w:hanging="428"/>
        <w:jc w:val="both"/>
        <w:rPr>
          <w:i/>
          <w:sz w:val="24"/>
        </w:rPr>
      </w:pPr>
      <w:r>
        <w:rPr>
          <w:sz w:val="24"/>
        </w:rPr>
        <w:t>Dal verbale del giorno 11 settembre 2017 emerge che il Collegio, anche in presenza (audioconferenza) della società di revisione “</w:t>
      </w:r>
      <w:r>
        <w:rPr>
          <w:i/>
          <w:sz w:val="24"/>
        </w:rPr>
        <w:t>ha pertanto sollecitato l'intero Consiglio di </w:t>
      </w:r>
      <w:r>
        <w:rPr>
          <w:i/>
          <w:sz w:val="24"/>
        </w:rPr>
        <w:t>Amministrazione a presentare al più presto, avvalendosi dell'aiuto dei consulenti finanziari e legali sopra indicati, una domanda ai sensi dell'art. 161 L.F. (cd. "concordato in bianco") in modo da beneficiare degli effetti protettivi sui patrimonio, a tutela di tutti i creditori, che la suddetta procedura concede e di avere il  tempo necessario a redigere il complesso piano (in continuità ovvero liquidatorio), che dovrà essere predisposto per far fronte alia crisi  finanziaria in cui versa la Società e le società controllate sopra menzionate operanti  nel</w:t>
      </w:r>
      <w:r>
        <w:rPr>
          <w:i/>
          <w:spacing w:val="20"/>
          <w:sz w:val="24"/>
        </w:rPr>
        <w:t> </w:t>
      </w:r>
      <w:r>
        <w:rPr>
          <w:i/>
          <w:sz w:val="24"/>
        </w:rPr>
        <w:t>settore</w:t>
      </w:r>
      <w:r>
        <w:rPr>
          <w:i/>
          <w:spacing w:val="18"/>
          <w:sz w:val="24"/>
        </w:rPr>
        <w:t> </w:t>
      </w:r>
      <w:r>
        <w:rPr>
          <w:i/>
          <w:sz w:val="24"/>
        </w:rPr>
        <w:t>BIO.</w:t>
      </w:r>
      <w:r>
        <w:rPr>
          <w:i/>
          <w:spacing w:val="19"/>
          <w:sz w:val="24"/>
        </w:rPr>
        <w:t> </w:t>
      </w:r>
      <w:r>
        <w:rPr>
          <w:i/>
          <w:sz w:val="24"/>
        </w:rPr>
        <w:t>II</w:t>
      </w:r>
      <w:r>
        <w:rPr>
          <w:i/>
          <w:spacing w:val="17"/>
          <w:sz w:val="24"/>
        </w:rPr>
        <w:t> </w:t>
      </w:r>
      <w:r>
        <w:rPr>
          <w:i/>
          <w:sz w:val="24"/>
        </w:rPr>
        <w:t>Collegio</w:t>
      </w:r>
      <w:r>
        <w:rPr>
          <w:i/>
          <w:spacing w:val="18"/>
          <w:sz w:val="24"/>
        </w:rPr>
        <w:t> </w:t>
      </w:r>
      <w:r>
        <w:rPr>
          <w:i/>
          <w:sz w:val="24"/>
        </w:rPr>
        <w:t>ha</w:t>
      </w:r>
      <w:r>
        <w:rPr>
          <w:i/>
          <w:spacing w:val="20"/>
          <w:sz w:val="24"/>
        </w:rPr>
        <w:t> </w:t>
      </w:r>
      <w:r>
        <w:rPr>
          <w:i/>
          <w:sz w:val="24"/>
        </w:rPr>
        <w:t>chiesto</w:t>
      </w:r>
      <w:r>
        <w:rPr>
          <w:i/>
          <w:spacing w:val="18"/>
          <w:sz w:val="24"/>
        </w:rPr>
        <w:t> </w:t>
      </w:r>
      <w:r>
        <w:rPr>
          <w:i/>
          <w:sz w:val="24"/>
        </w:rPr>
        <w:t>infine</w:t>
      </w:r>
      <w:r>
        <w:rPr>
          <w:i/>
          <w:spacing w:val="19"/>
          <w:sz w:val="24"/>
        </w:rPr>
        <w:t> </w:t>
      </w:r>
      <w:r>
        <w:rPr>
          <w:i/>
          <w:sz w:val="24"/>
        </w:rPr>
        <w:t>di</w:t>
      </w:r>
      <w:r>
        <w:rPr>
          <w:i/>
          <w:spacing w:val="17"/>
          <w:sz w:val="24"/>
        </w:rPr>
        <w:t> </w:t>
      </w:r>
      <w:r>
        <w:rPr>
          <w:i/>
          <w:sz w:val="24"/>
        </w:rPr>
        <w:t>essere</w:t>
      </w:r>
      <w:r>
        <w:rPr>
          <w:i/>
          <w:spacing w:val="18"/>
          <w:sz w:val="24"/>
        </w:rPr>
        <w:t> </w:t>
      </w:r>
      <w:r>
        <w:rPr>
          <w:i/>
          <w:sz w:val="24"/>
        </w:rPr>
        <w:t>tempestivamente</w:t>
      </w:r>
      <w:r>
        <w:rPr>
          <w:i/>
          <w:spacing w:val="18"/>
          <w:sz w:val="24"/>
        </w:rPr>
        <w:t> </w:t>
      </w:r>
      <w:r>
        <w:rPr>
          <w:i/>
          <w:sz w:val="24"/>
        </w:rPr>
        <w:t>informato</w:t>
      </w:r>
      <w:r>
        <w:rPr>
          <w:i/>
          <w:spacing w:val="18"/>
          <w:sz w:val="24"/>
        </w:rPr>
        <w:t> </w:t>
      </w:r>
      <w:r>
        <w:rPr>
          <w:i/>
          <w:sz w:val="24"/>
        </w:rPr>
        <w:t>sulle</w:t>
      </w:r>
      <w:r>
        <w:rPr>
          <w:i/>
          <w:spacing w:val="19"/>
          <w:sz w:val="24"/>
        </w:rPr>
        <w:t> </w:t>
      </w:r>
      <w:r>
        <w:rPr>
          <w:i/>
          <w:sz w:val="24"/>
        </w:rPr>
        <w:t>azioni</w:t>
      </w:r>
      <w:r>
        <w:rPr>
          <w:i/>
          <w:spacing w:val="20"/>
          <w:sz w:val="24"/>
        </w:rPr>
        <w:t> </w:t>
      </w:r>
      <w:r>
        <w:rPr>
          <w:i/>
          <w:sz w:val="24"/>
        </w:rPr>
        <w:t>che</w:t>
      </w:r>
      <w:r>
        <w:rPr>
          <w:i/>
          <w:spacing w:val="19"/>
          <w:sz w:val="24"/>
        </w:rPr>
        <w:t> </w:t>
      </w:r>
      <w:r>
        <w:rPr>
          <w:i/>
          <w:sz w:val="24"/>
        </w:rPr>
        <w:t>verranno</w:t>
      </w:r>
    </w:p>
    <w:p>
      <w:pPr>
        <w:spacing w:after="0" w:line="475"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846" w:right="1414" w:firstLine="0"/>
        <w:jc w:val="both"/>
        <w:rPr>
          <w:sz w:val="24"/>
        </w:rPr>
      </w:pPr>
      <w:r>
        <w:rPr>
          <w:i/>
          <w:sz w:val="24"/>
        </w:rPr>
        <w:t>intraprese dai Consiglieri nei prossimi giorni (con comunicazione anche delle iniziative che verranno assunte </w:t>
      </w:r>
      <w:r>
        <w:rPr>
          <w:i/>
          <w:sz w:val="24"/>
        </w:rPr>
        <w:t>dalle società controllate) e si e riservato ogni propria valutazione, anche con il revisore legale dei conti EY S.p.A., in merito al mantenimento dei requisiti patrimoniali di legge. Tali linee guida del Collegio Sindacale sono state pienamente condivise dall'ing. Bolcheni</w:t>
      </w:r>
      <w:r>
        <w:rPr>
          <w:sz w:val="24"/>
        </w:rPr>
        <w:t>”.</w:t>
      </w:r>
    </w:p>
    <w:p>
      <w:pPr>
        <w:pStyle w:val="ListParagraph"/>
        <w:numPr>
          <w:ilvl w:val="0"/>
          <w:numId w:val="11"/>
        </w:numPr>
        <w:tabs>
          <w:tab w:pos="1847" w:val="left" w:leader="none"/>
        </w:tabs>
        <w:spacing w:line="468" w:lineRule="auto" w:before="0" w:after="0"/>
        <w:ind w:left="1846" w:right="1413" w:hanging="428"/>
        <w:jc w:val="both"/>
        <w:rPr>
          <w:sz w:val="24"/>
        </w:rPr>
      </w:pPr>
      <w:r>
        <w:rPr>
          <w:sz w:val="24"/>
        </w:rPr>
        <w:t>Dal verbale del giorno o 20 settembre 2017 emerge che il Collegio, oltre all’ordinaria attività di vigilanza, richiede informazioni in merito allo stato di predisposizione delle domande di concordato ex art. 161</w:t>
      </w:r>
      <w:r>
        <w:rPr>
          <w:spacing w:val="-8"/>
          <w:sz w:val="24"/>
        </w:rPr>
        <w:t> </w:t>
      </w:r>
      <w:r>
        <w:rPr>
          <w:sz w:val="24"/>
        </w:rPr>
        <w:t>l.f.</w:t>
      </w:r>
    </w:p>
    <w:p>
      <w:pPr>
        <w:pStyle w:val="ListParagraph"/>
        <w:numPr>
          <w:ilvl w:val="0"/>
          <w:numId w:val="11"/>
        </w:numPr>
        <w:tabs>
          <w:tab w:pos="1847" w:val="left" w:leader="none"/>
        </w:tabs>
        <w:spacing w:line="465" w:lineRule="auto" w:before="13" w:after="0"/>
        <w:ind w:left="1846" w:right="1419" w:hanging="428"/>
        <w:jc w:val="both"/>
        <w:rPr>
          <w:sz w:val="24"/>
        </w:rPr>
      </w:pPr>
      <w:r>
        <w:rPr>
          <w:sz w:val="24"/>
        </w:rPr>
        <w:t>Dal verbale del giorno 3 ottobre 2017, relativo alla riunione del Collegio Sindacale presso lo studio legale GOP, si ha evidenza che il collegio viene informato in merito allo stato di predisposizione delle istanza di concordato ex art. 161</w:t>
      </w:r>
      <w:r>
        <w:rPr>
          <w:spacing w:val="-26"/>
          <w:sz w:val="24"/>
        </w:rPr>
        <w:t> </w:t>
      </w:r>
      <w:r>
        <w:rPr>
          <w:sz w:val="24"/>
        </w:rPr>
        <w:t>l.f.</w:t>
      </w:r>
    </w:p>
    <w:p>
      <w:pPr>
        <w:pStyle w:val="ListParagraph"/>
        <w:numPr>
          <w:ilvl w:val="0"/>
          <w:numId w:val="11"/>
        </w:numPr>
        <w:tabs>
          <w:tab w:pos="1847" w:val="left" w:leader="none"/>
        </w:tabs>
        <w:spacing w:line="475" w:lineRule="auto" w:before="14" w:after="0"/>
        <w:ind w:left="1846" w:right="1410" w:hanging="428"/>
        <w:jc w:val="both"/>
        <w:rPr>
          <w:sz w:val="24"/>
        </w:rPr>
      </w:pPr>
      <w:r>
        <w:rPr>
          <w:sz w:val="24"/>
        </w:rPr>
        <w:t>Dal verbale del giorno 24 novembre 2017 si evince che “</w:t>
      </w:r>
      <w:r>
        <w:rPr>
          <w:i/>
          <w:sz w:val="24"/>
        </w:rPr>
        <w:t>la presente riunione è stata effettuata al </w:t>
      </w:r>
      <w:r>
        <w:rPr>
          <w:i/>
          <w:sz w:val="24"/>
        </w:rPr>
        <w:t>fine di condividere le informazioni raccolte dal Collegio Sindacale, nel corso del predetto periodo, dopo aver appreso, per la prima volta in data 2 settembre 2017, della crisi finanziaria in cui versa l'intero Gruppo Mossi &amp; Ghisolfi</w:t>
      </w:r>
      <w:r>
        <w:rPr>
          <w:sz w:val="24"/>
        </w:rPr>
        <w:t>”. Il Collegio “</w:t>
      </w:r>
      <w:r>
        <w:rPr>
          <w:i/>
          <w:sz w:val="24"/>
        </w:rPr>
        <w:t>rileva che, a seguito del Consiglio di amministrazione del 13 ottobre  </w:t>
      </w:r>
      <w:r>
        <w:rPr>
          <w:i/>
          <w:sz w:val="24"/>
        </w:rPr>
        <w:t>2017 sopra citato, in data 16 ottobre 2017 la Società, tramite l'Avv. Nanni della studio GOP, ha depositato presso il Tribunale di Alessandria il ricorso per l'ammissione alia procedura di concordato preventive ex art. 161, comma 6 Legge</w:t>
      </w:r>
      <w:r>
        <w:rPr>
          <w:i/>
          <w:spacing w:val="-15"/>
          <w:sz w:val="24"/>
        </w:rPr>
        <w:t> </w:t>
      </w:r>
      <w:r>
        <w:rPr>
          <w:i/>
          <w:sz w:val="24"/>
        </w:rPr>
        <w:t>Fallimentare</w:t>
      </w:r>
      <w:r>
        <w:rPr>
          <w:sz w:val="24"/>
        </w:rPr>
        <w:t>”.</w:t>
      </w:r>
    </w:p>
    <w:p>
      <w:pPr>
        <w:pStyle w:val="BodyText"/>
        <w:spacing w:before="5"/>
        <w:rPr>
          <w:sz w:val="32"/>
        </w:rPr>
      </w:pPr>
    </w:p>
    <w:p>
      <w:pPr>
        <w:pStyle w:val="Heading2"/>
        <w:tabs>
          <w:tab w:pos="2126" w:val="left" w:leader="none"/>
          <w:tab w:pos="4966" w:val="left" w:leader="none"/>
          <w:tab w:pos="7364" w:val="left" w:leader="none"/>
          <w:tab w:pos="9100" w:val="left" w:leader="none"/>
        </w:tabs>
        <w:spacing w:line="480" w:lineRule="auto"/>
        <w:ind w:left="2126" w:right="1413" w:hanging="708"/>
      </w:pPr>
      <w:bookmarkStart w:name="_bookmark14" w:id="29"/>
      <w:bookmarkEnd w:id="29"/>
      <w:r>
        <w:rPr>
          <w:b w:val="0"/>
        </w:rPr>
      </w:r>
      <w:r>
        <w:rPr/>
        <w:t>2.2.1</w:t>
        <w:tab/>
        <w:t>INFORMAZIONI</w:t>
        <w:tab/>
        <w:t>DESUMIBILI</w:t>
        <w:tab/>
        <w:t>DALLE</w:t>
        <w:tab/>
        <w:t>RELAZIONI ACCOMPAGNATORIE AL BILANCIO DI</w:t>
      </w:r>
      <w:r>
        <w:rPr>
          <w:spacing w:val="-7"/>
        </w:rPr>
        <w:t> </w:t>
      </w:r>
      <w:r>
        <w:rPr/>
        <w:t>BIOCHEMTEX</w:t>
      </w:r>
    </w:p>
    <w:p>
      <w:pPr>
        <w:pStyle w:val="BodyText"/>
        <w:spacing w:line="480" w:lineRule="auto" w:before="119"/>
        <w:ind w:left="1418" w:right="1409"/>
        <w:jc w:val="both"/>
      </w:pPr>
      <w:r>
        <w:rPr/>
        <w:t>Dall’esame della relazione sulla gestione e della relazione al bilancio del collegio sindacale (che contiene a sua volta le citazioni alla relazione del revisore) svolto a partire dall’esercizio 2013 risulta quanto segue.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before="100"/>
        <w:ind w:left="1418" w:right="0" w:firstLine="0"/>
        <w:jc w:val="both"/>
        <w:rPr>
          <w:i/>
          <w:sz w:val="24"/>
        </w:rPr>
      </w:pPr>
      <w:r>
        <w:rPr>
          <w:i/>
          <w:sz w:val="24"/>
          <w:u w:val="single"/>
        </w:rPr>
        <w:t>Esercizio 2013</w:t>
      </w:r>
    </w:p>
    <w:p>
      <w:pPr>
        <w:pStyle w:val="BodyText"/>
        <w:spacing w:before="4"/>
        <w:rPr>
          <w:i/>
          <w:sz w:val="21"/>
        </w:rPr>
      </w:pPr>
    </w:p>
    <w:p>
      <w:pPr>
        <w:pStyle w:val="BodyText"/>
        <w:spacing w:line="480" w:lineRule="auto" w:before="1"/>
        <w:ind w:left="1418" w:right="1412"/>
        <w:jc w:val="both"/>
      </w:pPr>
      <w:r>
        <w:rPr/>
        <w:t>Gli Amministratori, nella Relazione sulla gestione al bilancio 2013, danno evidenza di come il risultato d’esercizio sia risultato in lieve calo rispetto all’esercizio precedente.</w:t>
      </w:r>
    </w:p>
    <w:p>
      <w:pPr>
        <w:pStyle w:val="BodyText"/>
        <w:spacing w:line="480" w:lineRule="auto" w:before="199"/>
        <w:ind w:left="1418" w:right="1417"/>
        <w:jc w:val="both"/>
      </w:pPr>
      <w:r>
        <w:rPr/>
        <w:t>Tale risultato risulta formato – per oltre il 56% - dalla plusvalenza realizzata sulla cessione del Know How alla consociata americana, mentre le vendite si sono ridotte da Euro 195 mln ad  Euro 81</w:t>
      </w:r>
      <w:r>
        <w:rPr>
          <w:spacing w:val="-2"/>
        </w:rPr>
        <w:t> </w:t>
      </w:r>
      <w:r>
        <w:rPr/>
        <w:t>mln.</w:t>
      </w:r>
    </w:p>
    <w:p>
      <w:pPr>
        <w:spacing w:line="480" w:lineRule="auto" w:before="201"/>
        <w:ind w:left="1418" w:right="1413" w:firstLine="0"/>
        <w:jc w:val="both"/>
        <w:rPr>
          <w:sz w:val="24"/>
        </w:rPr>
      </w:pPr>
      <w:r>
        <w:rPr>
          <w:sz w:val="24"/>
        </w:rPr>
        <w:t>Trattando la “continuità aziendale” gli amministratori ricordano che “</w:t>
      </w:r>
      <w:r>
        <w:rPr>
          <w:i/>
          <w:sz w:val="24"/>
        </w:rPr>
        <w:t>la capogruppo pertanto, tramite </w:t>
      </w:r>
      <w:r>
        <w:rPr>
          <w:i/>
          <w:sz w:val="24"/>
        </w:rPr>
        <w:t>il rapporto di cash pooling garantisce il necessario sostegno finanziario alla Società</w:t>
      </w:r>
      <w:r>
        <w:rPr>
          <w:sz w:val="24"/>
        </w:rPr>
        <w:t>” e che “</w:t>
      </w:r>
      <w:r>
        <w:rPr>
          <w:i/>
          <w:sz w:val="24"/>
        </w:rPr>
        <w:t>nel 2012 la Società  </w:t>
      </w:r>
      <w:r>
        <w:rPr>
          <w:i/>
          <w:sz w:val="24"/>
        </w:rPr>
        <w:t>ha conseguito un risultato di un utile di 3,321 milioni di Euro, mentre nel presente esercizio il risultato economico è stato di un utile pari ad Euro 44,079</w:t>
      </w:r>
      <w:r>
        <w:rPr>
          <w:i/>
          <w:spacing w:val="-8"/>
          <w:sz w:val="24"/>
        </w:rPr>
        <w:t> </w:t>
      </w:r>
      <w:r>
        <w:rPr>
          <w:i/>
          <w:sz w:val="24"/>
        </w:rPr>
        <w:t>milioni</w:t>
      </w:r>
      <w:r>
        <w:rPr>
          <w:sz w:val="24"/>
        </w:rPr>
        <w:t>”.</w:t>
      </w:r>
    </w:p>
    <w:p>
      <w:pPr>
        <w:spacing w:line="480" w:lineRule="auto" w:before="199"/>
        <w:ind w:left="1418" w:right="1412" w:firstLine="0"/>
        <w:jc w:val="both"/>
        <w:rPr>
          <w:sz w:val="24"/>
        </w:rPr>
      </w:pPr>
      <w:r>
        <w:rPr>
          <w:sz w:val="24"/>
        </w:rPr>
        <w:t>Gli amministratori inoltre sottolineano che “</w:t>
      </w:r>
      <w:r>
        <w:rPr>
          <w:i/>
          <w:sz w:val="24"/>
        </w:rPr>
        <w:t>hanno predisposto un business plan per il periodo 2014/18 </w:t>
      </w:r>
      <w:r>
        <w:rPr>
          <w:i/>
          <w:sz w:val="24"/>
        </w:rPr>
        <w:t>che si basa sullo sfruttamento della tecnologia Proesa </w:t>
      </w:r>
      <w:r>
        <w:rPr>
          <w:sz w:val="24"/>
        </w:rPr>
        <w:t>(ndr.: la tecnologia Proesa PET è stata oggetto di cessione alla consociata americana, mentre BioChemtex ha mantenuto la tecnologia applicata al ramo Bio)</w:t>
      </w:r>
      <w:r>
        <w:rPr>
          <w:i/>
          <w:sz w:val="24"/>
        </w:rPr>
        <w:t>. In particolare gli amministratori prevedono che la completa messa a punto dell’impianto avvenga entro </w:t>
      </w:r>
      <w:r>
        <w:rPr>
          <w:i/>
          <w:sz w:val="24"/>
        </w:rPr>
        <w:t>il primo semestre del 2014 e conseguentemente finalizzare le trattative in corso con potenziali clienti per la vendita delle licenze e dei contratti per la fornitura di Engineering e Procurement</w:t>
      </w:r>
      <w:r>
        <w:rPr>
          <w:sz w:val="24"/>
        </w:rPr>
        <w:t>”.</w:t>
      </w:r>
    </w:p>
    <w:p>
      <w:pPr>
        <w:spacing w:line="480" w:lineRule="auto" w:before="199"/>
        <w:ind w:left="1418" w:right="1410" w:firstLine="0"/>
        <w:jc w:val="both"/>
        <w:rPr>
          <w:i/>
          <w:sz w:val="24"/>
        </w:rPr>
      </w:pPr>
      <w:r>
        <w:rPr>
          <w:sz w:val="24"/>
        </w:rPr>
        <w:t>Gli stessi amministratori prevedono che “</w:t>
      </w:r>
      <w:r>
        <w:rPr>
          <w:i/>
          <w:sz w:val="24"/>
        </w:rPr>
        <w:t>lo sfruttamento della tecnologia Proesa avverrà fornendo attività  </w:t>
      </w:r>
      <w:r>
        <w:rPr>
          <w:i/>
          <w:sz w:val="24"/>
        </w:rPr>
        <w:t>di ingegneria e fornitura di Key equipement ai clienti che acquisiranno la tecnologia in licenza dalla controllata  Beta Renewables S.p.A. Nel corso del 2012 è stato firmato con la società brasiliana Graal il primo contratto per la fornitura di un impianto per la produzione del bioetanolo della capacità di 65.000 tonnellate. La tecnologia è stata validata dall’avvio dell’impianto dimostrativo di Crescentino nel corso del 2013. All fine del primo </w:t>
      </w:r>
      <w:r>
        <w:rPr>
          <w:i/>
          <w:spacing w:val="51"/>
          <w:sz w:val="24"/>
        </w:rPr>
        <w:t> </w:t>
      </w:r>
      <w:r>
        <w:rPr>
          <w:i/>
          <w:sz w:val="24"/>
        </w:rPr>
        <w:t>semestre</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22" w:firstLine="0"/>
        <w:jc w:val="both"/>
        <w:rPr>
          <w:sz w:val="24"/>
        </w:rPr>
      </w:pPr>
      <w:r>
        <w:rPr>
          <w:i/>
          <w:sz w:val="24"/>
        </w:rPr>
        <w:t>2014 è prevista la messa a punto dell’impianto di Bioetanolo di Crescentivo (VC) e, di conseguenza, si prevede di </w:t>
      </w:r>
      <w:r>
        <w:rPr>
          <w:i/>
          <w:sz w:val="24"/>
        </w:rPr>
        <w:t>acquisire nel corso del 2014 contratti sulla base di avviate negoziazioni con futuri potenziali clienti</w:t>
      </w:r>
      <w:r>
        <w:rPr>
          <w:sz w:val="24"/>
        </w:rPr>
        <w:t>.”</w:t>
      </w:r>
    </w:p>
    <w:p>
      <w:pPr>
        <w:spacing w:line="480" w:lineRule="auto" w:before="201"/>
        <w:ind w:left="1418" w:right="1414" w:firstLine="0"/>
        <w:jc w:val="both"/>
        <w:rPr>
          <w:sz w:val="24"/>
        </w:rPr>
      </w:pPr>
      <w:r>
        <w:rPr>
          <w:sz w:val="24"/>
        </w:rPr>
        <w:t>Con riguardo a detta tecnologia gli amministratori evidenziano che, con riferimento ai rapporti con le parti correlate, nel corso del 2013 si sono registrati “</w:t>
      </w:r>
      <w:r>
        <w:rPr>
          <w:i/>
          <w:sz w:val="24"/>
        </w:rPr>
        <w:t>proventi riconosciuti alla Società da parte </w:t>
      </w:r>
      <w:r>
        <w:rPr>
          <w:i/>
          <w:sz w:val="24"/>
        </w:rPr>
        <w:t>della controllata (ndr. Beta Renewables) in relazione ad attività di ricerca e sviluppo “Tecnologia Proesa” per  Euro</w:t>
      </w:r>
      <w:r>
        <w:rPr>
          <w:i/>
          <w:spacing w:val="-2"/>
          <w:sz w:val="24"/>
        </w:rPr>
        <w:t> </w:t>
      </w:r>
      <w:r>
        <w:rPr>
          <w:i/>
          <w:sz w:val="24"/>
        </w:rPr>
        <w:t>6.000.000</w:t>
      </w:r>
      <w:r>
        <w:rPr>
          <w:sz w:val="24"/>
        </w:rPr>
        <w:t>”.</w:t>
      </w:r>
    </w:p>
    <w:p>
      <w:pPr>
        <w:spacing w:line="480" w:lineRule="auto" w:before="198"/>
        <w:ind w:left="1418" w:right="1413" w:firstLine="0"/>
        <w:jc w:val="both"/>
        <w:rPr>
          <w:sz w:val="24"/>
        </w:rPr>
      </w:pPr>
      <w:r>
        <w:rPr>
          <w:sz w:val="24"/>
        </w:rPr>
        <w:t>Il Collegio Sindacale, nella propria Relazione, dà atto che la società di Revisione, incaricata del controllo contabile, Reconta Ernst &amp; Young S.p.A. “</w:t>
      </w:r>
      <w:r>
        <w:rPr>
          <w:i/>
          <w:sz w:val="24"/>
        </w:rPr>
        <w:t>ha espresso un giudizio favorevole senza rilievi sul </w:t>
      </w:r>
      <w:r>
        <w:rPr>
          <w:i/>
          <w:sz w:val="24"/>
        </w:rPr>
        <w:t>bilancio d’esercizio e di coerenza della relazione sulla gestione con il bilancio d’esercizio”. </w:t>
      </w:r>
      <w:r>
        <w:rPr>
          <w:sz w:val="24"/>
        </w:rPr>
        <w:t>Il collegio riporta anche che “</w:t>
      </w:r>
      <w:r>
        <w:rPr>
          <w:i/>
          <w:sz w:val="24"/>
        </w:rPr>
        <w:t>la società di revisione, a titolo di richiamo d’informativa, segnala che il risultato dell’esercizio chiuso  </w:t>
      </w:r>
      <w:r>
        <w:rPr>
          <w:i/>
          <w:sz w:val="24"/>
        </w:rPr>
        <w:t>al 31 dicembre 2013 risulta significativamente influenzato da una plusvalenza con una parte correlata, così come riportato nell’informativa di bilancio</w:t>
      </w:r>
      <w:r>
        <w:rPr>
          <w:sz w:val="24"/>
        </w:rPr>
        <w:t>”. Con riferimento alla relazione sulla gestione ed al bilancio i sindaci ricordano che “</w:t>
      </w:r>
      <w:r>
        <w:rPr>
          <w:i/>
          <w:sz w:val="24"/>
        </w:rPr>
        <w:t>vengono descritte le operazioni con le altre società del Gruppo e viene dato atto che tali </w:t>
      </w:r>
      <w:r>
        <w:rPr>
          <w:i/>
          <w:sz w:val="24"/>
        </w:rPr>
        <w:t>operazioni avvengono a condizioni di</w:t>
      </w:r>
      <w:r>
        <w:rPr>
          <w:i/>
          <w:spacing w:val="-10"/>
          <w:sz w:val="24"/>
        </w:rPr>
        <w:t> </w:t>
      </w:r>
      <w:r>
        <w:rPr>
          <w:i/>
          <w:sz w:val="24"/>
        </w:rPr>
        <w:t>mercato</w:t>
      </w:r>
      <w:r>
        <w:rPr>
          <w:sz w:val="24"/>
        </w:rPr>
        <w:t>”.</w:t>
      </w:r>
    </w:p>
    <w:p>
      <w:pPr>
        <w:spacing w:line="480" w:lineRule="auto" w:before="198"/>
        <w:ind w:left="1418" w:right="1411" w:firstLine="60"/>
        <w:jc w:val="both"/>
        <w:rPr>
          <w:sz w:val="24"/>
        </w:rPr>
      </w:pPr>
      <w:r>
        <w:rPr>
          <w:sz w:val="24"/>
        </w:rPr>
        <w:t>Il collegio, “</w:t>
      </w:r>
      <w:r>
        <w:rPr>
          <w:i/>
          <w:sz w:val="24"/>
        </w:rPr>
        <w:t>considerando anche le risultanze dell’attività svolta dal soggetto incaricato della revisione legale dei </w:t>
      </w:r>
      <w:r>
        <w:rPr>
          <w:i/>
          <w:sz w:val="24"/>
        </w:rPr>
        <w:t>conti contenute nella relazione di revisione del bilancio, […] propone all’Assemblea di approvare il bilancio d’esercizio chiuso al 31.12.2013, così come redatto dall’Organo Amministrativo e la invita a deliberare in merito alla destinazione dell’utile d’esercizio</w:t>
      </w:r>
      <w:r>
        <w:rPr>
          <w:sz w:val="24"/>
        </w:rPr>
        <w:t>”.</w:t>
      </w:r>
    </w:p>
    <w:p>
      <w:pPr>
        <w:pStyle w:val="BodyText"/>
        <w:ind w:left="1402"/>
        <w:rPr>
          <w:sz w:val="20"/>
        </w:rPr>
      </w:pPr>
      <w:r>
        <w:rPr>
          <w:sz w:val="20"/>
        </w:rPr>
        <w:pict>
          <v:group style="width:425.25pt;height:99pt;mso-position-horizontal-relative:char;mso-position-vertical-relative:line" coordorigin="0,0" coordsize="8505,1980">
            <v:line style="position:absolute" from="8,1972" to="8498,7" stroked="true" strokeweight=".75pt" strokecolor="#000000">
              <v:stroke dashstyle="solid"/>
            </v:line>
          </v:group>
        </w:pict>
      </w:r>
      <w:r>
        <w:rPr>
          <w:sz w:val="20"/>
        </w:rPr>
      </w:r>
    </w:p>
    <w:p>
      <w:pPr>
        <w:spacing w:after="0"/>
        <w:rPr>
          <w:sz w:val="20"/>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before="100"/>
        <w:ind w:left="1418" w:right="0" w:firstLine="0"/>
        <w:jc w:val="both"/>
        <w:rPr>
          <w:i/>
          <w:sz w:val="24"/>
        </w:rPr>
      </w:pPr>
      <w:r>
        <w:rPr>
          <w:i/>
          <w:sz w:val="24"/>
          <w:u w:val="single"/>
        </w:rPr>
        <w:t>Esercizio 2014</w:t>
      </w:r>
    </w:p>
    <w:p>
      <w:pPr>
        <w:pStyle w:val="BodyText"/>
        <w:spacing w:before="4"/>
        <w:rPr>
          <w:i/>
          <w:sz w:val="21"/>
        </w:rPr>
      </w:pPr>
    </w:p>
    <w:p>
      <w:pPr>
        <w:spacing w:line="480" w:lineRule="auto" w:before="1"/>
        <w:ind w:left="1418" w:right="1414" w:firstLine="0"/>
        <w:jc w:val="both"/>
        <w:rPr>
          <w:sz w:val="24"/>
        </w:rPr>
      </w:pPr>
      <w:r>
        <w:rPr>
          <w:sz w:val="24"/>
        </w:rPr>
        <w:t>Gli Amministratori, nella Relazione sulla gestione al bilancio 2014, danno evidenza di come il risultato d’esercizio sia positivo per Euro 4,6 mln ed il risultato operativo positivo per Euro 10,6 mln, pur se il risultato sia in lieve calo rispetto all’esercizio precedente poiché il risultato 2013 “</w:t>
      </w:r>
      <w:r>
        <w:rPr>
          <w:i/>
          <w:sz w:val="24"/>
        </w:rPr>
        <w:t>includeva una significativa plusvalenza, relativa alla cessione di brevetti e tecnologie con la parte correlata M&amp;G </w:t>
      </w:r>
      <w:r>
        <w:rPr>
          <w:i/>
          <w:sz w:val="24"/>
        </w:rPr>
        <w:t>USA Corporation</w:t>
      </w:r>
      <w:r>
        <w:rPr>
          <w:sz w:val="24"/>
        </w:rPr>
        <w:t>”. Gli amministratori inoltre segnalano che il risultato ha significativamente beneficiato, anche in termini di marginalità, dei risultati di una fase della commessa acquisita dalla controllante M&amp;G Finanziaria Srl.</w:t>
      </w:r>
    </w:p>
    <w:p>
      <w:pPr>
        <w:spacing w:line="480" w:lineRule="auto" w:before="199"/>
        <w:ind w:left="1418" w:right="1410" w:firstLine="0"/>
        <w:jc w:val="both"/>
        <w:rPr>
          <w:sz w:val="24"/>
        </w:rPr>
      </w:pPr>
      <w:r>
        <w:rPr>
          <w:sz w:val="24"/>
        </w:rPr>
        <w:t>Gli amministratori, in relazione all’ammontare dei crediti verso la controllante nell’ambito del </w:t>
      </w:r>
      <w:r>
        <w:rPr>
          <w:i/>
          <w:sz w:val="24"/>
        </w:rPr>
        <w:t>cash </w:t>
      </w:r>
      <w:r>
        <w:rPr>
          <w:i/>
          <w:sz w:val="24"/>
        </w:rPr>
        <w:t>pooling </w:t>
      </w:r>
      <w:r>
        <w:rPr>
          <w:sz w:val="24"/>
        </w:rPr>
        <w:t>informano che “</w:t>
      </w:r>
      <w:r>
        <w:rPr>
          <w:i/>
          <w:sz w:val="24"/>
        </w:rPr>
        <w:t>tale disponibilità del cash pooling si prevede verrà impiegata per l’acquisto delle </w:t>
      </w:r>
      <w:r>
        <w:rPr>
          <w:i/>
          <w:sz w:val="24"/>
        </w:rPr>
        <w:t>partecipazioni del settore BIO attualmente detenute dalla controllante M&amp;G Finanziaria Srl</w:t>
      </w:r>
      <w:r>
        <w:rPr>
          <w:sz w:val="24"/>
        </w:rPr>
        <w:t>”. In relazione alla gestione finanziaria inoltre gli amministratori segnalano che “</w:t>
      </w:r>
      <w:r>
        <w:rPr>
          <w:i/>
          <w:sz w:val="24"/>
        </w:rPr>
        <w:t>la gestione operativa risulta in </w:t>
      </w:r>
      <w:r>
        <w:rPr>
          <w:i/>
          <w:sz w:val="24"/>
        </w:rPr>
        <w:t>sostanziale pareggio; i flussi di cassa delle attività di investimento hanno assorbito cassa per circa 53 milioni di Euro a seguito prevalentemente della variazione dei saldi dei rapporti infragruppo che hanno trovato bilanciamento nei flussi di cassa positivi generati dalla gestione finanziaria conseguenti all’ottenimento del finanziamento</w:t>
      </w:r>
      <w:r>
        <w:rPr>
          <w:i/>
          <w:spacing w:val="-19"/>
          <w:sz w:val="24"/>
        </w:rPr>
        <w:t> </w:t>
      </w:r>
      <w:r>
        <w:rPr>
          <w:i/>
          <w:sz w:val="24"/>
        </w:rPr>
        <w:t>BEI</w:t>
      </w:r>
      <w:r>
        <w:rPr>
          <w:sz w:val="24"/>
        </w:rPr>
        <w:t>”.</w:t>
      </w:r>
    </w:p>
    <w:p>
      <w:pPr>
        <w:spacing w:line="480" w:lineRule="auto" w:before="201"/>
        <w:ind w:left="1418" w:right="1415" w:firstLine="0"/>
        <w:jc w:val="both"/>
        <w:rPr>
          <w:sz w:val="24"/>
        </w:rPr>
      </w:pPr>
      <w:r>
        <w:rPr>
          <w:sz w:val="24"/>
        </w:rPr>
        <w:t>In relazione a detto finanziamento gli amministratori riportano che già “</w:t>
      </w:r>
      <w:r>
        <w:rPr>
          <w:i/>
          <w:sz w:val="24"/>
        </w:rPr>
        <w:t>nel dicembre 2013 la Società </w:t>
      </w:r>
      <w:r>
        <w:rPr>
          <w:i/>
          <w:sz w:val="24"/>
        </w:rPr>
        <w:t>aveva stipulato un contratto di finanziamento con la Banca Europea per gli Invesimenti (BEI) a supporto dei investimenti per la ricerca e sviluppo per gli anni 2013-2016 […] Il fabbisogno finanziario complessivo del progetto valutato dalla BEI ai fini della concessione del finanziamento è di Euro 133 milioni circa, di cui 65 sono stati finanziati dalla BEI</w:t>
      </w:r>
      <w:r>
        <w:rPr>
          <w:sz w:val="24"/>
        </w:rPr>
        <w:t>”. Tale finanziamento è stato poi erogato nel Novembre 2014.</w:t>
      </w:r>
    </w:p>
    <w:p>
      <w:pPr>
        <w:spacing w:line="480" w:lineRule="auto" w:before="199"/>
        <w:ind w:left="1418" w:right="1411" w:firstLine="0"/>
        <w:jc w:val="both"/>
        <w:rPr>
          <w:i/>
          <w:sz w:val="24"/>
        </w:rPr>
      </w:pPr>
      <w:r>
        <w:rPr>
          <w:sz w:val="24"/>
        </w:rPr>
        <w:t>Con riferimento al tema della “continuità aziendale” gli amministratori ricordano che  “</w:t>
      </w:r>
      <w:r>
        <w:rPr>
          <w:i/>
          <w:sz w:val="24"/>
        </w:rPr>
        <w:t>sono </w:t>
      </w:r>
      <w:r>
        <w:rPr>
          <w:i/>
          <w:sz w:val="24"/>
        </w:rPr>
        <w:t>operativi due cash pooling</w:t>
      </w:r>
      <w:r>
        <w:rPr>
          <w:sz w:val="24"/>
        </w:rPr>
        <w:t>” e che “</w:t>
      </w:r>
      <w:r>
        <w:rPr>
          <w:i/>
          <w:sz w:val="24"/>
        </w:rPr>
        <w:t>la capogruppo pertanto, tramite il rapporto di cash pooling garantisce il</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3" w:firstLine="0"/>
        <w:jc w:val="both"/>
        <w:rPr>
          <w:sz w:val="24"/>
        </w:rPr>
      </w:pPr>
      <w:r>
        <w:rPr>
          <w:i/>
          <w:sz w:val="24"/>
        </w:rPr>
        <w:t>necessario sostegno finanziario alla Società</w:t>
      </w:r>
      <w:r>
        <w:rPr>
          <w:sz w:val="24"/>
        </w:rPr>
        <w:t>”. Pertanto “</w:t>
      </w:r>
      <w:r>
        <w:rPr>
          <w:i/>
          <w:sz w:val="24"/>
        </w:rPr>
        <w:t>tramite il cash pooling la società partecipa alla gestione </w:t>
      </w:r>
      <w:r>
        <w:rPr>
          <w:i/>
          <w:sz w:val="24"/>
        </w:rPr>
        <w:t>accentrata della tesoreria di gruppo su cui conta al fine di disporre delle risorse finanziarie che si possono rendere necessarie per la prosecuzione dei progetti di ricerca e sviluppo finanziati dalla BEI</w:t>
      </w:r>
      <w:r>
        <w:rPr>
          <w:sz w:val="24"/>
        </w:rPr>
        <w:t>”. Infine gli amministratori danno evidenza che “</w:t>
      </w:r>
      <w:r>
        <w:rPr>
          <w:i/>
          <w:sz w:val="24"/>
        </w:rPr>
        <w:t>alla data del 31.12.2014 il saldo di cash pooling nei confronti della controllante M&amp;G </w:t>
      </w:r>
      <w:r>
        <w:rPr>
          <w:i/>
          <w:sz w:val="24"/>
        </w:rPr>
        <w:t>Finanziaria ammonta a circa 137 milioni di Euro. L’incremento […] è da attribuire ad un importante generazione di cassa della Società avvenuta durante l’ultimo trimestre del 2014. Infatti i flussi dell’incasso BEI,  ed altre positive operazioni finanziarie sono confluite sul cash</w:t>
      </w:r>
      <w:r>
        <w:rPr>
          <w:i/>
          <w:spacing w:val="-24"/>
          <w:sz w:val="24"/>
        </w:rPr>
        <w:t> </w:t>
      </w:r>
      <w:r>
        <w:rPr>
          <w:i/>
          <w:sz w:val="24"/>
        </w:rPr>
        <w:t>pooling</w:t>
      </w:r>
      <w:r>
        <w:rPr>
          <w:sz w:val="24"/>
        </w:rPr>
        <w:t>”.</w:t>
      </w:r>
    </w:p>
    <w:p>
      <w:pPr>
        <w:spacing w:line="480" w:lineRule="auto" w:before="201"/>
        <w:ind w:left="1418" w:right="1413" w:firstLine="0"/>
        <w:jc w:val="both"/>
        <w:rPr>
          <w:sz w:val="24"/>
        </w:rPr>
      </w:pPr>
      <w:r>
        <w:rPr>
          <w:sz w:val="24"/>
        </w:rPr>
        <w:t>Gli amministratori anticipano che “</w:t>
      </w:r>
      <w:r>
        <w:rPr>
          <w:i/>
          <w:sz w:val="24"/>
        </w:rPr>
        <w:t>si prevede che una componente significativa del credito verrà rimborsata </w:t>
      </w:r>
      <w:r>
        <w:rPr>
          <w:i/>
          <w:sz w:val="24"/>
        </w:rPr>
        <w:t>tramite un progetto di riorganizzazione del Gruppo “BIO” recentemente avviato</w:t>
      </w:r>
      <w:r>
        <w:rPr>
          <w:sz w:val="24"/>
        </w:rPr>
        <w:t>” e che tale progetto “</w:t>
      </w:r>
      <w:r>
        <w:rPr>
          <w:i/>
          <w:sz w:val="24"/>
        </w:rPr>
        <w:t>prevede </w:t>
      </w:r>
      <w:r>
        <w:rPr>
          <w:i/>
          <w:sz w:val="24"/>
        </w:rPr>
        <w:t>che le partecipazioni delle società del gruppo “BIO” sino al 31.12.2014 detenute direttamente dalla M&amp;G Finanziaria Srl, passino sotto il controllo diretto della Biochemtex S.p.A.</w:t>
      </w:r>
      <w:r>
        <w:rPr>
          <w:sz w:val="24"/>
        </w:rPr>
        <w:t>”. Secondo gli amministratori “</w:t>
      </w:r>
      <w:r>
        <w:rPr>
          <w:i/>
          <w:sz w:val="24"/>
        </w:rPr>
        <w:t>l’operazione è prevista concludersi nel corso del 2015 ed è soggetta al consenso della banca finanziatrice (BEI)</w:t>
      </w:r>
      <w:r>
        <w:rPr>
          <w:sz w:val="24"/>
        </w:rPr>
        <w:t>”.</w:t>
      </w:r>
    </w:p>
    <w:p>
      <w:pPr>
        <w:spacing w:line="480" w:lineRule="auto" w:before="198"/>
        <w:ind w:left="1418" w:right="1417" w:firstLine="0"/>
        <w:jc w:val="both"/>
        <w:rPr>
          <w:i/>
          <w:sz w:val="24"/>
        </w:rPr>
      </w:pPr>
      <w:r>
        <w:rPr>
          <w:sz w:val="24"/>
        </w:rPr>
        <w:t>Viene inoltre segnalato che “</w:t>
      </w:r>
      <w:r>
        <w:rPr>
          <w:i/>
          <w:sz w:val="24"/>
        </w:rPr>
        <w:t>in considerazione dello slittamento temporale rispetto alla previsioni nella messa  </w:t>
      </w:r>
      <w:r>
        <w:rPr>
          <w:i/>
          <w:sz w:val="24"/>
        </w:rPr>
        <w:t>a punto dell’impianto di bioetanolo della consorella IBP S.p.A. e del conseguente inizio dello sfruttamento della tecnologia “Proesa”, hanno predisposto un nuovo business plan per il periodo 2015/18 che si basa sullo sfruttamento della tecnologia “Proesa” le cui assunzioni sono le</w:t>
      </w:r>
      <w:r>
        <w:rPr>
          <w:i/>
          <w:spacing w:val="-14"/>
          <w:sz w:val="24"/>
        </w:rPr>
        <w:t> </w:t>
      </w:r>
      <w:r>
        <w:rPr>
          <w:i/>
          <w:sz w:val="24"/>
        </w:rPr>
        <w:t>seguenti:</w:t>
      </w:r>
    </w:p>
    <w:p>
      <w:pPr>
        <w:pStyle w:val="ListParagraph"/>
        <w:numPr>
          <w:ilvl w:val="0"/>
          <w:numId w:val="12"/>
        </w:numPr>
        <w:tabs>
          <w:tab w:pos="2126" w:val="left" w:leader="none"/>
          <w:tab w:pos="2127" w:val="left" w:leader="none"/>
        </w:tabs>
        <w:spacing w:line="240" w:lineRule="auto" w:before="197" w:after="0"/>
        <w:ind w:left="2138" w:right="0" w:hanging="360"/>
        <w:jc w:val="left"/>
        <w:rPr>
          <w:i/>
          <w:sz w:val="24"/>
        </w:rPr>
      </w:pPr>
      <w:r>
        <w:rPr>
          <w:i/>
          <w:sz w:val="24"/>
        </w:rPr>
        <w:t>Completamento della messa a punto dell’impianto di Crescentino entro la fine del primo semestre</w:t>
      </w:r>
      <w:r>
        <w:rPr>
          <w:i/>
          <w:spacing w:val="-25"/>
          <w:sz w:val="24"/>
        </w:rPr>
        <w:t> </w:t>
      </w:r>
      <w:r>
        <w:rPr>
          <w:i/>
          <w:sz w:val="24"/>
        </w:rPr>
        <w:t>2015</w:t>
      </w:r>
    </w:p>
    <w:p>
      <w:pPr>
        <w:pStyle w:val="BodyText"/>
        <w:spacing w:before="9"/>
        <w:rPr>
          <w:i/>
          <w:sz w:val="41"/>
        </w:rPr>
      </w:pPr>
    </w:p>
    <w:p>
      <w:pPr>
        <w:pStyle w:val="ListParagraph"/>
        <w:numPr>
          <w:ilvl w:val="0"/>
          <w:numId w:val="12"/>
        </w:numPr>
        <w:tabs>
          <w:tab w:pos="2127" w:val="left" w:leader="none"/>
        </w:tabs>
        <w:spacing w:line="465" w:lineRule="auto" w:before="0" w:after="0"/>
        <w:ind w:left="2138" w:right="1413" w:hanging="360"/>
        <w:jc w:val="both"/>
        <w:rPr>
          <w:i/>
          <w:sz w:val="24"/>
        </w:rPr>
      </w:pPr>
      <w:r>
        <w:rPr>
          <w:i/>
          <w:sz w:val="24"/>
        </w:rPr>
        <w:t>Finalizzazione a partire dal secondo semestre 2015 di importanti contratti commerciali per la fornitura  </w:t>
      </w:r>
      <w:r>
        <w:rPr>
          <w:i/>
          <w:sz w:val="24"/>
        </w:rPr>
        <w:t>di Engineering e Procurement da parte di Biochemtex S.p.A. i cui effetti finanziari sono attesi già nell’esercizio</w:t>
      </w:r>
      <w:r>
        <w:rPr>
          <w:i/>
          <w:spacing w:val="-3"/>
          <w:sz w:val="24"/>
        </w:rPr>
        <w:t> </w:t>
      </w:r>
      <w:r>
        <w:rPr>
          <w:i/>
          <w:sz w:val="24"/>
        </w:rPr>
        <w:t>2015</w:t>
      </w:r>
    </w:p>
    <w:p>
      <w:pPr>
        <w:spacing w:after="0" w:line="465"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3"/>
        <w:rPr>
          <w:i/>
          <w:sz w:val="27"/>
        </w:rPr>
      </w:pPr>
    </w:p>
    <w:p>
      <w:pPr>
        <w:pStyle w:val="ListParagraph"/>
        <w:numPr>
          <w:ilvl w:val="0"/>
          <w:numId w:val="12"/>
        </w:numPr>
        <w:tabs>
          <w:tab w:pos="2127" w:val="left" w:leader="none"/>
        </w:tabs>
        <w:spacing w:line="453" w:lineRule="auto" w:before="100" w:after="0"/>
        <w:ind w:left="2138" w:right="1415" w:hanging="360"/>
        <w:jc w:val="both"/>
        <w:rPr>
          <w:i/>
          <w:sz w:val="24"/>
        </w:rPr>
      </w:pPr>
      <w:r>
        <w:rPr>
          <w:i/>
          <w:sz w:val="24"/>
        </w:rPr>
        <w:t>Un incremento significativo dei ricavi a partire dal 2016 generati dal conseguimento di nuovi contratti di </w:t>
      </w:r>
      <w:r>
        <w:rPr>
          <w:i/>
          <w:sz w:val="24"/>
        </w:rPr>
        <w:t>Engineering e Procurement basati sulla tecnologia</w:t>
      </w:r>
      <w:r>
        <w:rPr>
          <w:i/>
          <w:spacing w:val="-21"/>
          <w:sz w:val="24"/>
        </w:rPr>
        <w:t> </w:t>
      </w:r>
      <w:r>
        <w:rPr>
          <w:i/>
          <w:sz w:val="24"/>
        </w:rPr>
        <w:t>Proesa</w:t>
      </w:r>
    </w:p>
    <w:p>
      <w:pPr>
        <w:pStyle w:val="ListParagraph"/>
        <w:numPr>
          <w:ilvl w:val="0"/>
          <w:numId w:val="12"/>
        </w:numPr>
        <w:tabs>
          <w:tab w:pos="2126" w:val="left" w:leader="none"/>
          <w:tab w:pos="2127" w:val="left" w:leader="none"/>
        </w:tabs>
        <w:spacing w:line="240" w:lineRule="auto" w:before="227" w:after="0"/>
        <w:ind w:left="2126" w:right="0" w:hanging="348"/>
        <w:jc w:val="left"/>
        <w:rPr>
          <w:i/>
          <w:sz w:val="24"/>
        </w:rPr>
      </w:pPr>
      <w:r>
        <w:rPr>
          <w:i/>
          <w:sz w:val="24"/>
        </w:rPr>
        <w:t>Conseguimento dei risultati dai progetti di ricerca attualmente in</w:t>
      </w:r>
      <w:r>
        <w:rPr>
          <w:i/>
          <w:spacing w:val="-25"/>
          <w:sz w:val="24"/>
        </w:rPr>
        <w:t> </w:t>
      </w:r>
      <w:r>
        <w:rPr>
          <w:i/>
          <w:sz w:val="24"/>
        </w:rPr>
        <w:t>corso</w:t>
      </w:r>
    </w:p>
    <w:p>
      <w:pPr>
        <w:pStyle w:val="BodyText"/>
        <w:spacing w:before="8"/>
        <w:rPr>
          <w:i/>
          <w:sz w:val="41"/>
        </w:rPr>
      </w:pPr>
    </w:p>
    <w:p>
      <w:pPr>
        <w:pStyle w:val="ListParagraph"/>
        <w:numPr>
          <w:ilvl w:val="0"/>
          <w:numId w:val="12"/>
        </w:numPr>
        <w:tabs>
          <w:tab w:pos="2127" w:val="left" w:leader="none"/>
        </w:tabs>
        <w:spacing w:line="465" w:lineRule="auto" w:before="0" w:after="0"/>
        <w:ind w:left="2138" w:right="1411" w:hanging="360"/>
        <w:jc w:val="both"/>
        <w:rPr>
          <w:i/>
          <w:sz w:val="24"/>
        </w:rPr>
      </w:pPr>
      <w:r>
        <w:rPr>
          <w:i/>
          <w:sz w:val="24"/>
        </w:rPr>
        <w:t>In particolare gli Amministrator prevedono che la completa messa a punto dell’impianto, che si prevede </w:t>
      </w:r>
      <w:r>
        <w:rPr>
          <w:i/>
          <w:sz w:val="24"/>
        </w:rPr>
        <w:t>avverrà entro il 2015, consentirà di finalizzare le trattative in corso con potenziali clienti per la vendita delle licenze e dei contrati per la fornitura di Engineering e Procurement da parte di Biochemtex</w:t>
      </w:r>
      <w:r>
        <w:rPr>
          <w:i/>
          <w:spacing w:val="-20"/>
          <w:sz w:val="24"/>
        </w:rPr>
        <w:t> </w:t>
      </w:r>
      <w:r>
        <w:rPr>
          <w:i/>
          <w:sz w:val="24"/>
        </w:rPr>
        <w:t>S.p.A.”</w:t>
      </w:r>
    </w:p>
    <w:p>
      <w:pPr>
        <w:spacing w:line="480" w:lineRule="auto" w:before="214"/>
        <w:ind w:left="1418" w:right="1411" w:firstLine="0"/>
        <w:jc w:val="both"/>
        <w:rPr>
          <w:sz w:val="24"/>
        </w:rPr>
      </w:pPr>
      <w:r>
        <w:rPr>
          <w:sz w:val="24"/>
        </w:rPr>
        <w:t>Gli amministratori riportano inoltre di essere “</w:t>
      </w:r>
      <w:r>
        <w:rPr>
          <w:i/>
          <w:sz w:val="24"/>
        </w:rPr>
        <w:t>confidenti nella realizzazione del piano industriale sia da  </w:t>
      </w:r>
      <w:r>
        <w:rPr>
          <w:i/>
          <w:sz w:val="24"/>
        </w:rPr>
        <w:t>un punto di vista economico-finanziario che temporale. Tale piano benchè basato su ragionevoli presupposti, in particolare con riferimento alla tempistica nella messa a punto dell’impianto ed alle previsioni di formalizzare importanti contratti con terze parti, potrebbe avere delle variazioni a causa dell’aleatorietà connessa alla realizzazione nel piano, sia per quanto riguarda la misura e la tempistica della loro</w:t>
      </w:r>
      <w:r>
        <w:rPr>
          <w:i/>
          <w:spacing w:val="-33"/>
          <w:sz w:val="24"/>
        </w:rPr>
        <w:t> </w:t>
      </w:r>
      <w:r>
        <w:rPr>
          <w:i/>
          <w:sz w:val="24"/>
        </w:rPr>
        <w:t>manifestazione</w:t>
      </w:r>
      <w:r>
        <w:rPr>
          <w:sz w:val="24"/>
        </w:rPr>
        <w:t>”.</w:t>
      </w:r>
    </w:p>
    <w:p>
      <w:pPr>
        <w:spacing w:line="480" w:lineRule="auto" w:before="201"/>
        <w:ind w:left="1418" w:right="1411" w:firstLine="0"/>
        <w:jc w:val="both"/>
        <w:rPr>
          <w:sz w:val="24"/>
        </w:rPr>
      </w:pPr>
      <w:r>
        <w:rPr>
          <w:sz w:val="24"/>
        </w:rPr>
        <w:t>Gli stessi ricordano che “</w:t>
      </w:r>
      <w:r>
        <w:rPr>
          <w:i/>
          <w:sz w:val="24"/>
        </w:rPr>
        <w:t>la consorella Italian Bio Products S.p.A. ha realizzato un test run sull’impianto di </w:t>
      </w:r>
      <w:r>
        <w:rPr>
          <w:i/>
          <w:sz w:val="24"/>
        </w:rPr>
        <w:t>Crescentino monitorato dalla società di ingegneria indipendente nord americana EAD con lo scopo di qualificare” la tecnologia per il futuro impianto americano “Alpha”; […] il risultato complessivo della relazione conferma la validità della tecnologia ed identifica le tipologie di modifiche dell’impianto di Crescentino in previsione del test di accettazione dello stesso, come previsto dagli accordi con gli azionisti di minoranza di Beta Renewables S.p.A. ancora da eseguire</w:t>
      </w:r>
      <w:r>
        <w:rPr>
          <w:sz w:val="24"/>
        </w:rPr>
        <w:t>”.</w:t>
      </w:r>
    </w:p>
    <w:p>
      <w:pPr>
        <w:spacing w:line="480" w:lineRule="auto" w:before="199"/>
        <w:ind w:left="1418" w:right="1412" w:firstLine="0"/>
        <w:jc w:val="both"/>
        <w:rPr>
          <w:i/>
          <w:sz w:val="24"/>
        </w:rPr>
      </w:pPr>
      <w:r>
        <w:rPr>
          <w:sz w:val="24"/>
        </w:rPr>
        <w:t>In conclusione, gli amministratori “</w:t>
      </w:r>
      <w:r>
        <w:rPr>
          <w:i/>
          <w:sz w:val="24"/>
        </w:rPr>
        <w:t>pur in presenza di elementi di incertezza connessi alla realizzazione di </w:t>
      </w:r>
      <w:r>
        <w:rPr>
          <w:i/>
          <w:sz w:val="24"/>
        </w:rPr>
        <w:t>eventi futuri, sono confidenti nel realizzo del piano industriale e nel completamento della messa a punto del processo industriale  dell’impianto  di  Bioetanolo  di  Crescentino  nel  corso  del  2015,  tenuto  conto  dell’ottenimento del</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6" w:firstLine="0"/>
        <w:jc w:val="both"/>
        <w:rPr>
          <w:sz w:val="24"/>
        </w:rPr>
      </w:pPr>
      <w:r>
        <w:rPr>
          <w:i/>
          <w:sz w:val="24"/>
        </w:rPr>
        <w:t>finanziamento BEI a sostegno delle attività di R&amp;S e considerato il supporto finanziario del Gruppo di </w:t>
      </w:r>
      <w:r>
        <w:rPr>
          <w:i/>
          <w:sz w:val="24"/>
        </w:rPr>
        <w:t>appartenenza hanno redatto il bilancio d’esercizio in ipotesi di continuità aziendale</w:t>
      </w:r>
      <w:r>
        <w:rPr>
          <w:sz w:val="24"/>
        </w:rPr>
        <w:t>”.</w:t>
      </w:r>
    </w:p>
    <w:p>
      <w:pPr>
        <w:spacing w:line="480" w:lineRule="auto" w:before="201"/>
        <w:ind w:left="1418" w:right="1411" w:firstLine="0"/>
        <w:jc w:val="both"/>
        <w:rPr>
          <w:sz w:val="24"/>
        </w:rPr>
      </w:pPr>
      <w:r>
        <w:rPr>
          <w:sz w:val="24"/>
        </w:rPr>
        <w:t>Il Collegio Sindacale, nella propria Relazione del 28 aprile 2015, dà atto che la società di Revisione, incaricata del controllo contabile, Reconta Ernst &amp; Young S.p.A. “</w:t>
      </w:r>
      <w:r>
        <w:rPr>
          <w:i/>
          <w:sz w:val="24"/>
        </w:rPr>
        <w:t>ha espresso un giudizio </w:t>
      </w:r>
      <w:r>
        <w:rPr>
          <w:i/>
          <w:sz w:val="24"/>
        </w:rPr>
        <w:t>favorevole senza rilievi sul bilancio d’esercizio e di coerenza della relazione sulla gestione con il bilancio d’esercizio”. </w:t>
      </w:r>
      <w:r>
        <w:rPr>
          <w:sz w:val="24"/>
        </w:rPr>
        <w:t>Il collegio riporta anche che “</w:t>
      </w:r>
      <w:r>
        <w:rPr>
          <w:i/>
          <w:sz w:val="24"/>
        </w:rPr>
        <w:t>la società di revisione, a titolo di richiamo di informativa, segnala che la società </w:t>
      </w:r>
      <w:r>
        <w:rPr>
          <w:i/>
          <w:sz w:val="24"/>
        </w:rPr>
        <w:t>intrattiene significativi rapporti di natura commerciale e finanziaria con società del Gruppo di appartenenza, da  cui derivano disponibilità sui cash pooling di Gruppo per complessivi euro 161 milioni, di cui euro 137 milioni nei confronti della controllante M&amp;G Finanziaria S.r.l. Con riferimento alle modalità e alle tempistiche di regolamento del rapporto con la controllante, che conseguono alle dinamiche finanziarie della stessa e del Gruppo, si evidenzia che la Società prevede di utilizzare una parte significativa di dette disponibilità per l’acquisto delle società del Gruppo “BIO” attualmente detenute dalla controllante, previa determinazione del valore delle stesse sulla base di apposita perizia, attualmente in corso di elaborazione e dell’ottenimento del consenso della principale banca finanziatrice. Inoltre, la società di revisione segnala che gli amministratori, nelle proprie valutazioni sul presupposto della continuità aziendale, oltre a quanto sopra riportato, hanno considerato le previsioni del piano 2015-2018, illustrando le principali assunzioni e gli aspetti di incertezza ad esse</w:t>
      </w:r>
      <w:r>
        <w:rPr>
          <w:i/>
          <w:spacing w:val="-22"/>
          <w:sz w:val="24"/>
        </w:rPr>
        <w:t> </w:t>
      </w:r>
      <w:r>
        <w:rPr>
          <w:i/>
          <w:sz w:val="24"/>
        </w:rPr>
        <w:t>associati”</w:t>
      </w:r>
      <w:r>
        <w:rPr>
          <w:sz w:val="24"/>
        </w:rPr>
        <w:t>.</w:t>
      </w:r>
    </w:p>
    <w:p>
      <w:pPr>
        <w:spacing w:line="480" w:lineRule="auto" w:before="198"/>
        <w:ind w:left="1418" w:right="1412" w:firstLine="0"/>
        <w:jc w:val="both"/>
        <w:rPr>
          <w:sz w:val="24"/>
        </w:rPr>
      </w:pPr>
      <w:r>
        <w:rPr>
          <w:sz w:val="24"/>
        </w:rPr>
        <w:t>Il collegio infine, “</w:t>
      </w:r>
      <w:r>
        <w:rPr>
          <w:i/>
          <w:sz w:val="24"/>
        </w:rPr>
        <w:t>considerando anche le risultanze dell’attività svolta dal soggetto incaricato della revisione </w:t>
      </w:r>
      <w:r>
        <w:rPr>
          <w:i/>
          <w:sz w:val="24"/>
        </w:rPr>
        <w:t>legale dei conti contenute nella relazione di revisione del bilancio, […] propone all’Assemblea di approvare il bilancio d’esercizio chiuso al 31.12.2014, così come redatto dall’Organo Amministrativo e la invita a deliberare  in merito alla destinazione dell’utile</w:t>
      </w:r>
      <w:r>
        <w:rPr>
          <w:i/>
          <w:spacing w:val="-11"/>
          <w:sz w:val="24"/>
        </w:rPr>
        <w:t> </w:t>
      </w:r>
      <w:r>
        <w:rPr>
          <w:i/>
          <w:sz w:val="24"/>
        </w:rPr>
        <w:t>d’esercizio</w:t>
      </w:r>
      <w:r>
        <w:rPr>
          <w:sz w:val="24"/>
        </w:rPr>
        <w:t>”.</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before="100"/>
        <w:ind w:left="1418" w:right="0" w:firstLine="0"/>
        <w:jc w:val="both"/>
        <w:rPr>
          <w:i/>
          <w:sz w:val="24"/>
        </w:rPr>
      </w:pPr>
      <w:r>
        <w:rPr>
          <w:i/>
          <w:sz w:val="24"/>
          <w:u w:val="single"/>
        </w:rPr>
        <w:t>Esercizio 2015</w:t>
      </w:r>
    </w:p>
    <w:p>
      <w:pPr>
        <w:pStyle w:val="BodyText"/>
        <w:spacing w:before="4"/>
        <w:rPr>
          <w:i/>
          <w:sz w:val="21"/>
        </w:rPr>
      </w:pPr>
    </w:p>
    <w:p>
      <w:pPr>
        <w:spacing w:line="480" w:lineRule="auto" w:before="1"/>
        <w:ind w:left="1418" w:right="1412" w:firstLine="0"/>
        <w:jc w:val="both"/>
        <w:rPr>
          <w:sz w:val="24"/>
        </w:rPr>
      </w:pPr>
      <w:r>
        <w:rPr>
          <w:sz w:val="24"/>
        </w:rPr>
        <w:t>Gli Amministratori, nella Relazione sulla gestione al bilancio 2015, danno evidenza di come il risultato d’esercizio sia risultato in calo del 35% rispetto all’esercizio precedente con ricavi pari ad Euro 46,2 mln, evidenziando che “</w:t>
      </w:r>
      <w:r>
        <w:rPr>
          <w:i/>
          <w:sz w:val="24"/>
        </w:rPr>
        <w:t>una parte significativa dei ricavi ha riguardato operazioni rinvenienti da </w:t>
      </w:r>
      <w:r>
        <w:rPr>
          <w:i/>
          <w:sz w:val="24"/>
        </w:rPr>
        <w:t>società del Gruppo Mossi &amp; Ghisolfi</w:t>
      </w:r>
      <w:r>
        <w:rPr>
          <w:sz w:val="24"/>
        </w:rPr>
        <w:t>”.</w:t>
      </w:r>
    </w:p>
    <w:p>
      <w:pPr>
        <w:spacing w:line="480" w:lineRule="auto" w:before="200"/>
        <w:ind w:left="1418" w:right="1413" w:firstLine="0"/>
        <w:jc w:val="both"/>
        <w:rPr>
          <w:sz w:val="24"/>
        </w:rPr>
      </w:pPr>
      <w:r>
        <w:rPr>
          <w:sz w:val="24"/>
        </w:rPr>
        <w:t>Il risultato operativo “</w:t>
      </w:r>
      <w:r>
        <w:rPr>
          <w:i/>
          <w:sz w:val="24"/>
        </w:rPr>
        <w:t>pari a circa 13,1 milioni di Euro, è superiore all’anno precedente</w:t>
      </w:r>
      <w:r>
        <w:rPr>
          <w:sz w:val="24"/>
        </w:rPr>
        <w:t>” ma gli stessi amministratori segnalano che “</w:t>
      </w:r>
      <w:r>
        <w:rPr>
          <w:i/>
          <w:sz w:val="24"/>
        </w:rPr>
        <w:t>tale risultato ha beneficiato del rilascio di un fondo su commessa, accantonato </w:t>
      </w:r>
      <w:r>
        <w:rPr>
          <w:i/>
          <w:sz w:val="24"/>
        </w:rPr>
        <w:t>nell’esercizio 2014, pari a 4 milioni di Euro in quanto nel corso del 2015 sono decaduti i possibili rischi sulle commesse in corso</w:t>
      </w:r>
      <w:r>
        <w:rPr>
          <w:sz w:val="24"/>
        </w:rPr>
        <w:t>”.</w:t>
      </w:r>
    </w:p>
    <w:p>
      <w:pPr>
        <w:spacing w:line="480" w:lineRule="auto" w:before="201"/>
        <w:ind w:left="1418" w:right="1413" w:firstLine="0"/>
        <w:jc w:val="both"/>
        <w:rPr>
          <w:sz w:val="24"/>
        </w:rPr>
      </w:pPr>
      <w:r>
        <w:rPr>
          <w:sz w:val="24"/>
        </w:rPr>
        <w:t>La posizione finanziaria netta al 31.12.2015 è pari ad Euro 45,6 milioni ed “</w:t>
      </w:r>
      <w:r>
        <w:rPr>
          <w:i/>
          <w:sz w:val="24"/>
        </w:rPr>
        <w:t>il saldo include, fra le </w:t>
      </w:r>
      <w:r>
        <w:rPr>
          <w:i/>
          <w:sz w:val="24"/>
        </w:rPr>
        <w:t>altre componenti, crediti per Euro 80 milioni circa relativi alla posizione di cash pooling verso la controllante M&amp;G Finanziaria S.p.A. e verso le controllate Italian Bio Products Srl ed IBP Energia</w:t>
      </w:r>
      <w:r>
        <w:rPr>
          <w:i/>
          <w:spacing w:val="-31"/>
          <w:sz w:val="24"/>
        </w:rPr>
        <w:t> </w:t>
      </w:r>
      <w:r>
        <w:rPr>
          <w:i/>
          <w:sz w:val="24"/>
        </w:rPr>
        <w:t>Srl</w:t>
      </w:r>
      <w:r>
        <w:rPr>
          <w:sz w:val="24"/>
        </w:rPr>
        <w:t>”.</w:t>
      </w:r>
    </w:p>
    <w:p>
      <w:pPr>
        <w:spacing w:line="480" w:lineRule="auto" w:before="198"/>
        <w:ind w:left="1418" w:right="1411" w:firstLine="0"/>
        <w:jc w:val="both"/>
        <w:rPr>
          <w:sz w:val="24"/>
        </w:rPr>
      </w:pPr>
      <w:r>
        <w:rPr>
          <w:sz w:val="24"/>
        </w:rPr>
        <w:t>Gli amministratori ricordano che lo scostamento rispetto al precedente esercizio “</w:t>
      </w:r>
      <w:r>
        <w:rPr>
          <w:i/>
          <w:sz w:val="24"/>
        </w:rPr>
        <w:t>è riconducibile </w:t>
      </w:r>
      <w:r>
        <w:rPr>
          <w:i/>
          <w:sz w:val="24"/>
        </w:rPr>
        <w:t>all’acquisizione delle partecipazioni della Italia Bio Products Srl, IBP Energia Srl e Biochemtex Agro Srl per complessivi Euro 85 milioni circa dalla controllante M&amp;G Finanziaria SpA, regolata attraverso il conto di corrispondenza infragruppo</w:t>
      </w:r>
      <w:r>
        <w:rPr>
          <w:sz w:val="24"/>
        </w:rPr>
        <w:t>” e “</w:t>
      </w:r>
      <w:r>
        <w:rPr>
          <w:i/>
          <w:sz w:val="24"/>
        </w:rPr>
        <w:t>in aggiunta la Società ha effettuato nel 2015 in versamento in conto capitale alla </w:t>
      </w:r>
      <w:r>
        <w:rPr>
          <w:i/>
          <w:sz w:val="24"/>
        </w:rPr>
        <w:t>controllata Italian Bio Product srl di Euro 20 milioni</w:t>
      </w:r>
      <w:r>
        <w:rPr>
          <w:sz w:val="24"/>
        </w:rPr>
        <w:t>”. Nell’esercizio 2015 La gestione operativa “</w:t>
      </w:r>
      <w:r>
        <w:rPr>
          <w:i/>
          <w:sz w:val="24"/>
        </w:rPr>
        <w:t>ha </w:t>
      </w:r>
      <w:r>
        <w:rPr>
          <w:i/>
          <w:sz w:val="24"/>
        </w:rPr>
        <w:t>generato flussi di cassa positivi per Euro 7,4 milioni mentre i flussi di cassa delle attività di investimento hanno assorbito cassa per circa Euro 110 milioni</w:t>
      </w:r>
      <w:r>
        <w:rPr>
          <w:sz w:val="24"/>
        </w:rPr>
        <w:t>”.</w:t>
      </w:r>
    </w:p>
    <w:p>
      <w:pPr>
        <w:pStyle w:val="BodyText"/>
        <w:spacing w:line="480" w:lineRule="auto" w:before="198"/>
        <w:ind w:left="1418" w:right="1413"/>
        <w:jc w:val="both"/>
        <w:rPr>
          <w:i/>
        </w:rPr>
      </w:pPr>
      <w:r>
        <w:rPr/>
        <w:t>Trattando il tema della “continuità aziendale” gli amministratori, dopo aver ricordato che la Società utilizza due linee di credito con il sistema bancario e mantiene “</w:t>
      </w:r>
      <w:r>
        <w:rPr>
          <w:i/>
        </w:rPr>
        <w:t>rapporti di collaborazione</w:t>
      </w:r>
    </w:p>
    <w:p>
      <w:pPr>
        <w:spacing w:after="0" w:line="480" w:lineRule="auto"/>
        <w:jc w:val="both"/>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4" w:firstLine="0"/>
        <w:jc w:val="both"/>
        <w:rPr>
          <w:i/>
          <w:sz w:val="24"/>
        </w:rPr>
      </w:pPr>
      <w:r>
        <w:rPr>
          <w:i/>
          <w:sz w:val="24"/>
        </w:rPr>
        <w:t>finanziaria</w:t>
      </w:r>
      <w:r>
        <w:rPr>
          <w:sz w:val="24"/>
        </w:rPr>
        <w:t>” con il Gruppo e con la controllante la quale “</w:t>
      </w:r>
      <w:r>
        <w:rPr>
          <w:i/>
          <w:sz w:val="24"/>
        </w:rPr>
        <w:t>tramite il rapporto di cash pooling garantisce il </w:t>
      </w:r>
      <w:r>
        <w:rPr>
          <w:i/>
          <w:sz w:val="24"/>
        </w:rPr>
        <w:t>necessario sostegno finanziario alla Società</w:t>
      </w:r>
      <w:r>
        <w:rPr>
          <w:sz w:val="24"/>
        </w:rPr>
        <w:t>”, segnalano che “</w:t>
      </w:r>
      <w:r>
        <w:rPr>
          <w:i/>
          <w:sz w:val="24"/>
        </w:rPr>
        <w:t>in considerazione dell’avvio in termini di continuità </w:t>
      </w:r>
      <w:r>
        <w:rPr>
          <w:i/>
          <w:sz w:val="24"/>
        </w:rPr>
        <w:t>produttiva dell’impianto di bioetanolo ella controllata IBP Srl, e del conseguente inizio dello sfruttamento della tecnologia “Proesa”, </w:t>
      </w:r>
      <w:r>
        <w:rPr>
          <w:i/>
          <w:sz w:val="24"/>
          <w:u w:val="single"/>
        </w:rPr>
        <w:t>hanno aggiornato il business plan per il periodo 2016/2020. Tale piano, confermando le assunzioni delle previsioni realizzate ai fini del bilancio 2014, evidenzia una traslazione di circa 18 mesi degli</w:t>
      </w:r>
    </w:p>
    <w:p>
      <w:pPr>
        <w:spacing w:before="0"/>
        <w:ind w:left="1418" w:right="0" w:firstLine="0"/>
        <w:jc w:val="left"/>
        <w:rPr>
          <w:sz w:val="24"/>
        </w:rPr>
      </w:pPr>
      <w:r>
        <w:rPr>
          <w:i/>
          <w:sz w:val="24"/>
          <w:u w:val="single"/>
        </w:rPr>
        <w:t>accadimenti previsti</w:t>
      </w:r>
      <w:r>
        <w:rPr>
          <w:sz w:val="24"/>
        </w:rPr>
        <w:t>”.</w:t>
      </w:r>
    </w:p>
    <w:p>
      <w:pPr>
        <w:pStyle w:val="BodyText"/>
        <w:rPr>
          <w:sz w:val="20"/>
        </w:rPr>
      </w:pPr>
    </w:p>
    <w:p>
      <w:pPr>
        <w:pStyle w:val="BodyText"/>
        <w:spacing w:before="9"/>
        <w:rPr>
          <w:sz w:val="21"/>
        </w:rPr>
      </w:pPr>
    </w:p>
    <w:p>
      <w:pPr>
        <w:spacing w:line="480" w:lineRule="auto" w:before="1"/>
        <w:ind w:left="1418" w:right="1413" w:firstLine="0"/>
        <w:jc w:val="both"/>
        <w:rPr>
          <w:sz w:val="24"/>
        </w:rPr>
      </w:pPr>
      <w:r>
        <w:rPr>
          <w:sz w:val="24"/>
        </w:rPr>
        <w:t>Gli amministratori infine concludono che “</w:t>
      </w:r>
      <w:r>
        <w:rPr>
          <w:i/>
          <w:sz w:val="24"/>
        </w:rPr>
        <w:t>pur in presenza di elementi di incertezza connessi alla </w:t>
      </w:r>
      <w:r>
        <w:rPr>
          <w:i/>
          <w:sz w:val="24"/>
        </w:rPr>
        <w:t>realizzazione di eventi futuri, confidenti nel realizzo del piano industriale e nel raggiungimento della capacità produttiva dell’impianto di Bioetanolo di Crescentino nel corso del 2016, avendo anche considerato il supporto finanziario del Gruppo di appartenenza hanno redatto il bilancio d’esercizio in ipotesi di continuità aziendale</w:t>
      </w:r>
      <w:r>
        <w:rPr>
          <w:sz w:val="24"/>
        </w:rPr>
        <w:t>”.</w:t>
      </w:r>
    </w:p>
    <w:p>
      <w:pPr>
        <w:spacing w:line="480" w:lineRule="auto" w:before="199"/>
        <w:ind w:left="1418" w:right="1413" w:firstLine="0"/>
        <w:jc w:val="both"/>
        <w:rPr>
          <w:sz w:val="24"/>
        </w:rPr>
      </w:pPr>
      <w:r>
        <w:rPr>
          <w:sz w:val="24"/>
        </w:rPr>
        <w:t>Il Collegio Sindacale, nella propria Relazione del 14 aprile 2016, dà atto che la società di Revisione, incaricata del controllo contabile, Reconta Ernst &amp; Young S.p.A. nella propria relazione al bilancio “</w:t>
      </w:r>
      <w:r>
        <w:rPr>
          <w:i/>
          <w:sz w:val="24"/>
        </w:rPr>
        <w:t>non evidenzia rilievi per deviazioni significative, ovvero giudizi negativi o impossibilità di </w:t>
      </w:r>
      <w:r>
        <w:rPr>
          <w:i/>
          <w:sz w:val="24"/>
        </w:rPr>
        <w:t>esprimere un giudizio e pertanto il giudizio rilasciato è positivo</w:t>
      </w:r>
      <w:r>
        <w:rPr>
          <w:sz w:val="24"/>
        </w:rPr>
        <w:t>”. Il collegio tuttavia riporta anche che la stessa Società di revisione “</w:t>
      </w:r>
      <w:r>
        <w:rPr>
          <w:i/>
          <w:sz w:val="24"/>
        </w:rPr>
        <w:t>a titolo di richiamo di informativa, segnala che la società intrattiene significativi </w:t>
      </w:r>
      <w:r>
        <w:rPr>
          <w:i/>
          <w:sz w:val="24"/>
        </w:rPr>
        <w:t>rapporti con le società del Gruppo di appartenenza Mossi &amp; Ghisolfi, tra i quali si evidenziano l’acquisto dalla controllante M&amp;G Finanziaria S.p.a. delle partecipazioni Italian Bio Products S.r.l. e IBP Energia S.r.l., nell’ambito del progetto di riorganizzazione delle attività “BIO” del gruppo e nella nota illustrativa n. 8 “Partecipazioni” in merito alle valutazioni degli amministratori sulla recuperabilità dei valori delle partecipazioni nella Italian Bio Products S.r.l. e IBP Energia S.r.l. Il giudizio della società di revisione non contiene rilievi con riferimento a tali</w:t>
      </w:r>
      <w:r>
        <w:rPr>
          <w:i/>
          <w:spacing w:val="-7"/>
          <w:sz w:val="24"/>
        </w:rPr>
        <w:t> </w:t>
      </w:r>
      <w:r>
        <w:rPr>
          <w:i/>
          <w:sz w:val="24"/>
        </w:rPr>
        <w:t>aspetti</w:t>
      </w:r>
      <w:r>
        <w:rPr>
          <w:sz w:val="24"/>
        </w:rPr>
        <w:t>”.</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418" w:right="1420" w:firstLine="0"/>
        <w:jc w:val="both"/>
        <w:rPr>
          <w:sz w:val="24"/>
        </w:rPr>
      </w:pPr>
      <w:r>
        <w:rPr>
          <w:sz w:val="24"/>
        </w:rPr>
        <w:t>Il Collegio “</w:t>
      </w:r>
      <w:r>
        <w:rPr>
          <w:i/>
          <w:sz w:val="24"/>
        </w:rPr>
        <w:t>ha quindi periodicamente valutato l’adeguatezza della struttura organizzativa e funzionale </w:t>
      </w:r>
      <w:r>
        <w:rPr>
          <w:i/>
          <w:sz w:val="24"/>
        </w:rPr>
        <w:t>dell’impresa e delle sue eventuali mutazioni rispetto alle esigenze minime postulate dall’andamento della gestione</w:t>
      </w:r>
      <w:r>
        <w:rPr>
          <w:sz w:val="24"/>
        </w:rPr>
        <w:t>”.</w:t>
      </w:r>
    </w:p>
    <w:p>
      <w:pPr>
        <w:spacing w:line="480" w:lineRule="auto" w:before="201"/>
        <w:ind w:left="1418" w:right="1411" w:firstLine="0"/>
        <w:jc w:val="both"/>
        <w:rPr>
          <w:i/>
          <w:sz w:val="24"/>
        </w:rPr>
      </w:pPr>
      <w:r>
        <w:rPr>
          <w:sz w:val="24"/>
        </w:rPr>
        <w:t>Il collegio conclude che </w:t>
      </w:r>
      <w:r>
        <w:rPr>
          <w:i/>
          <w:sz w:val="24"/>
        </w:rPr>
        <w:t>“ Considerando le risultanze dell’attività svolta dal soggetto incaricato della Revisione </w:t>
      </w:r>
      <w:r>
        <w:rPr>
          <w:i/>
          <w:sz w:val="24"/>
        </w:rPr>
        <w:t>Legale dei conti contenute nella relazione di revisione al bilancio, sulla base di quanto sopra esposto, per quanto è stato portato a conoscenza del Collegio Sindacale ed è stato riscontrato dai controlli periodici svolti, si ritiene all’unanimità che non sussistano ragioni ostative all’approvazione da parte Vostra del progetto di bilancio per l’esercizio chiuso al 31 dicembre 2015 così come è stato redatto e Vi è stato proposto dall’organo di amministrazione. Poiché con l’approvazione del presente bilancio viene a scadere il nostro mandato, nel ringraziare per la fiducia accordataci, Vi invitiamo a deliberare in merito”.</w:t>
      </w:r>
    </w:p>
    <w:p>
      <w:pPr>
        <w:spacing w:before="198"/>
        <w:ind w:left="1418" w:right="0" w:firstLine="0"/>
        <w:jc w:val="both"/>
        <w:rPr>
          <w:i/>
          <w:sz w:val="24"/>
        </w:rPr>
      </w:pPr>
      <w:r>
        <w:rPr>
          <w:i/>
          <w:sz w:val="24"/>
          <w:u w:val="single"/>
        </w:rPr>
        <w:t>Esercizio 2016</w:t>
      </w:r>
    </w:p>
    <w:p>
      <w:pPr>
        <w:pStyle w:val="BodyText"/>
        <w:spacing w:before="4"/>
        <w:rPr>
          <w:i/>
          <w:sz w:val="21"/>
        </w:rPr>
      </w:pPr>
    </w:p>
    <w:p>
      <w:pPr>
        <w:spacing w:line="480" w:lineRule="auto" w:before="0"/>
        <w:ind w:left="1418" w:right="1412" w:firstLine="0"/>
        <w:jc w:val="both"/>
        <w:rPr>
          <w:sz w:val="24"/>
        </w:rPr>
      </w:pPr>
      <w:r>
        <w:rPr>
          <w:sz w:val="24"/>
        </w:rPr>
        <w:t>Gli Amministratori, nella Relazione sulla gestione al bilancio 2016, danno evidenza che i ricavi sono risultati pari ad Euro 94,2 mln in calo del 49% rispetto al precedente esercizio, evidenziando che “</w:t>
      </w:r>
      <w:r>
        <w:rPr>
          <w:i/>
          <w:sz w:val="24"/>
        </w:rPr>
        <w:t>una parte significativa dei ricavi ha riguardato contratti con clienti esteri terzi, la restante rinvenienti da </w:t>
      </w:r>
      <w:r>
        <w:rPr>
          <w:i/>
          <w:sz w:val="24"/>
        </w:rPr>
        <w:t>società del Gruppo Mossi &amp; Ghisolfi</w:t>
      </w:r>
      <w:r>
        <w:rPr>
          <w:sz w:val="24"/>
        </w:rPr>
        <w:t>”. Il risultato operativo, pari a circa Euro 8,3 mln, è risultato in calo rispetto all’esercizio precedente (Euro 13,1 mln) il quale tuttavia “</w:t>
      </w:r>
      <w:r>
        <w:rPr>
          <w:i/>
          <w:sz w:val="24"/>
        </w:rPr>
        <w:t>aveva beneficiato del rilascio di </w:t>
      </w:r>
      <w:r>
        <w:rPr>
          <w:i/>
          <w:sz w:val="24"/>
        </w:rPr>
        <w:t>un fondo su commessa, accantonato nell’esercizio 2014, pari a 4 milioni di Euro in quanto nel corso del 2015 sono decaduti i possibili rischi sulle commesse in corso</w:t>
      </w:r>
      <w:r>
        <w:rPr>
          <w:sz w:val="24"/>
        </w:rPr>
        <w:t>” e di conseguenza il risultato operativo del 2015 si è confermato nel</w:t>
      </w:r>
      <w:r>
        <w:rPr>
          <w:spacing w:val="-5"/>
          <w:sz w:val="24"/>
        </w:rPr>
        <w:t> </w:t>
      </w:r>
      <w:r>
        <w:rPr>
          <w:sz w:val="24"/>
        </w:rPr>
        <w:t>2016.</w:t>
      </w:r>
    </w:p>
    <w:p>
      <w:pPr>
        <w:spacing w:line="480" w:lineRule="auto" w:before="199"/>
        <w:ind w:left="1418" w:right="1421" w:firstLine="0"/>
        <w:jc w:val="both"/>
        <w:rPr>
          <w:sz w:val="24"/>
        </w:rPr>
      </w:pPr>
      <w:r>
        <w:rPr>
          <w:sz w:val="24"/>
        </w:rPr>
        <w:t>“</w:t>
      </w:r>
      <w:r>
        <w:rPr>
          <w:i/>
          <w:sz w:val="24"/>
        </w:rPr>
        <w:t>L’esercizio si è chiuso con un risultato negativo pari a circa 0,2 milioni di Euro (Euro 3,7 milioni positivi nel </w:t>
      </w:r>
      <w:r>
        <w:rPr>
          <w:i/>
          <w:sz w:val="24"/>
        </w:rPr>
        <w:t>2015)</w:t>
      </w:r>
      <w:r>
        <w:rPr>
          <w:sz w:val="24"/>
        </w:rPr>
        <w:t>”.</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418" w:right="1411" w:firstLine="0"/>
        <w:jc w:val="both"/>
        <w:rPr>
          <w:sz w:val="24"/>
        </w:rPr>
      </w:pPr>
      <w:r>
        <w:rPr>
          <w:sz w:val="24"/>
        </w:rPr>
        <w:t>La posizione finanziaria netta al 31.12.2016 è pari ad Euro 68,3 milioni ed “</w:t>
      </w:r>
      <w:r>
        <w:rPr>
          <w:i/>
          <w:sz w:val="24"/>
        </w:rPr>
        <w:t>il saldo include, fra le </w:t>
      </w:r>
      <w:r>
        <w:rPr>
          <w:i/>
          <w:sz w:val="24"/>
        </w:rPr>
        <w:t>altre componenti, crediti per Euro 41 milioni circa relativi alla posizione di cash pooling verso la controllante M&amp;G Finanziaria S.p.A. e verso le controllate Italian Bio Products Srl ed IBP Energia</w:t>
      </w:r>
      <w:r>
        <w:rPr>
          <w:i/>
          <w:spacing w:val="-31"/>
          <w:sz w:val="24"/>
        </w:rPr>
        <w:t> </w:t>
      </w:r>
      <w:r>
        <w:rPr>
          <w:i/>
          <w:sz w:val="24"/>
        </w:rPr>
        <w:t>Srl</w:t>
      </w:r>
      <w:r>
        <w:rPr>
          <w:sz w:val="24"/>
        </w:rPr>
        <w:t>”.</w:t>
      </w:r>
    </w:p>
    <w:p>
      <w:pPr>
        <w:spacing w:line="480" w:lineRule="auto" w:before="201"/>
        <w:ind w:left="1418" w:right="1411" w:firstLine="0"/>
        <w:jc w:val="both"/>
        <w:rPr>
          <w:i/>
          <w:sz w:val="24"/>
        </w:rPr>
      </w:pPr>
      <w:r>
        <w:rPr>
          <w:sz w:val="24"/>
        </w:rPr>
        <w:t>Trattando il tema della “continuità aziendale” gli amministratori, dopo aver ricordato che la Società utilizza due linee di credito con il sistema bancario e mantiene “</w:t>
      </w:r>
      <w:r>
        <w:rPr>
          <w:i/>
          <w:sz w:val="24"/>
        </w:rPr>
        <w:t>rapporti di collaborazione </w:t>
      </w:r>
      <w:r>
        <w:rPr>
          <w:i/>
          <w:sz w:val="24"/>
        </w:rPr>
        <w:t>finanziaria</w:t>
      </w:r>
      <w:r>
        <w:rPr>
          <w:sz w:val="24"/>
        </w:rPr>
        <w:t>” con il Gruppo e con la controllante la quale “</w:t>
      </w:r>
      <w:r>
        <w:rPr>
          <w:i/>
          <w:sz w:val="24"/>
        </w:rPr>
        <w:t>tramite il rapporto di cash pooling garantisce il </w:t>
      </w:r>
      <w:r>
        <w:rPr>
          <w:i/>
          <w:sz w:val="24"/>
        </w:rPr>
        <w:t>necessario sostegno finanziario alla Società</w:t>
      </w:r>
      <w:r>
        <w:rPr>
          <w:sz w:val="24"/>
        </w:rPr>
        <w:t>”, segnalano – come nell’esercizio precedente - che “</w:t>
      </w:r>
      <w:r>
        <w:rPr>
          <w:i/>
          <w:sz w:val="24"/>
        </w:rPr>
        <w:t>in </w:t>
      </w:r>
      <w:r>
        <w:rPr>
          <w:i/>
          <w:sz w:val="24"/>
        </w:rPr>
        <w:t>considerazione dell’avvio in termini di continuità produttiva dell’impianto di bioetanolo ella controllata IBP Srl, e del conseguente inizio dello sfruttamento della tecnologia “Proesa”, hanno aggiornato il business plan per il periodo 2017/2021. Tale business plan tiene conto delle risultanze del c.d. “Test Run” svolto nei mesi di novembre e dicemebre 2016 sull’impianto di bioetanolo di Crescentino, che, a seguito delle modifiche impiantistiche sviluppate nel corso dell’esercizio 2016, ha raggiunto un buon livello di performance sia in termini di rese che di livelli di produzione, come certificato da un ente terzo indipendente”.</w:t>
      </w:r>
    </w:p>
    <w:p>
      <w:pPr>
        <w:spacing w:line="480" w:lineRule="auto" w:before="198"/>
        <w:ind w:left="1418" w:right="1412" w:firstLine="0"/>
        <w:jc w:val="both"/>
        <w:rPr>
          <w:sz w:val="24"/>
        </w:rPr>
      </w:pPr>
      <w:r>
        <w:rPr>
          <w:sz w:val="24"/>
        </w:rPr>
        <w:t>Dalla relazione sulla gestione emerge inoltre che “</w:t>
      </w:r>
      <w:r>
        <w:rPr>
          <w:i/>
          <w:sz w:val="24"/>
        </w:rPr>
        <w:t>All’interno del Business Plan 2017-2021 è inoltre </w:t>
      </w:r>
      <w:r>
        <w:rPr>
          <w:i/>
          <w:sz w:val="24"/>
        </w:rPr>
        <w:t>presente il c.d. progetto “Alpha” che prevede la costruzione di un impianto per la produzione di 60k MT di bioetanolo da biomasse negli Stati Uniti d’America</w:t>
      </w:r>
      <w:r>
        <w:rPr>
          <w:sz w:val="24"/>
        </w:rPr>
        <w:t>” e che “</w:t>
      </w:r>
      <w:r>
        <w:rPr>
          <w:i/>
          <w:sz w:val="24"/>
        </w:rPr>
        <w:t>gli amministratori prevedono che con il </w:t>
      </w:r>
      <w:r>
        <w:rPr>
          <w:i/>
          <w:sz w:val="24"/>
        </w:rPr>
        <w:t>raggiungimento della capacità produttiva prevista entro il secondo semestre 2016 dell’impianto di Crescentino, la stessa consentirà di finalizzare le trattative in corso con potenziali clienti per la vendita delle licenze (da parte della controllata Beta Renewables S.p.A.) e dei contratti per la fornitura di Engineering e Procurement da parte di Biochemtex S.p.A.</w:t>
      </w:r>
      <w:r>
        <w:rPr>
          <w:sz w:val="24"/>
        </w:rPr>
        <w:t>”</w:t>
      </w:r>
    </w:p>
    <w:p>
      <w:pPr>
        <w:spacing w:line="480" w:lineRule="auto" w:before="198"/>
        <w:ind w:left="1418" w:right="1420" w:firstLine="0"/>
        <w:jc w:val="both"/>
        <w:rPr>
          <w:i/>
          <w:sz w:val="24"/>
        </w:rPr>
      </w:pPr>
      <w:r>
        <w:rPr>
          <w:sz w:val="24"/>
        </w:rPr>
        <w:t>Gli amministratori “</w:t>
      </w:r>
      <w:r>
        <w:rPr>
          <w:i/>
          <w:sz w:val="24"/>
        </w:rPr>
        <w:t>sono confidenti nella realizzazione del piano industriale sia da un punto di vista </w:t>
      </w:r>
      <w:r>
        <w:rPr>
          <w:i/>
          <w:sz w:val="24"/>
        </w:rPr>
        <w:t>economico-finanziario che temporale. Tale piano benchè basato su ragionevoli presupposti, in particolare con</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3" w:firstLine="0"/>
        <w:jc w:val="both"/>
        <w:rPr>
          <w:sz w:val="24"/>
        </w:rPr>
      </w:pPr>
      <w:r>
        <w:rPr>
          <w:i/>
          <w:sz w:val="24"/>
        </w:rPr>
        <w:t>riferimento alla tempistica nella messa a regime produttivodell’impianto ed alle previsioni di formalizzare </w:t>
      </w:r>
      <w:r>
        <w:rPr>
          <w:i/>
          <w:sz w:val="24"/>
        </w:rPr>
        <w:t>importanti contratti con terze parti, potrebbe avere delle variazioni a causa dell’aleatorietà connessa alla realizzazione di eventi futuri […] Conseguentemente potrebbero manifestarsi scostamenti tra valori consuntivi e valori preventivati</w:t>
      </w:r>
      <w:r>
        <w:rPr>
          <w:sz w:val="24"/>
        </w:rPr>
        <w:t>.” dd infine concludono che “</w:t>
      </w:r>
      <w:r>
        <w:rPr>
          <w:i/>
          <w:sz w:val="24"/>
        </w:rPr>
        <w:t>pur in presenza di elementi di incertezza connessi alla </w:t>
      </w:r>
      <w:r>
        <w:rPr>
          <w:i/>
          <w:sz w:val="24"/>
        </w:rPr>
        <w:t>realizzazione di eventi futuri, confidenti nel realizzo del piano industriale e nel raggiungimento della capacità produttiva dell’impianto di Bioetanolo di Crescentino nel corso del 2016, avendo anche considerato il supporto finanziario del Gruppo di appartenenza hanno redatto il bilancio d’esercizio in ipotesi di continuità</w:t>
      </w:r>
      <w:r>
        <w:rPr>
          <w:i/>
          <w:spacing w:val="-22"/>
          <w:sz w:val="24"/>
        </w:rPr>
        <w:t> </w:t>
      </w:r>
      <w:r>
        <w:rPr>
          <w:i/>
          <w:sz w:val="24"/>
        </w:rPr>
        <w:t>aziendale</w:t>
      </w:r>
      <w:r>
        <w:rPr>
          <w:sz w:val="24"/>
        </w:rPr>
        <w:t>”.</w:t>
      </w:r>
    </w:p>
    <w:p>
      <w:pPr>
        <w:spacing w:line="480" w:lineRule="auto" w:before="201"/>
        <w:ind w:left="1418" w:right="1411" w:firstLine="0"/>
        <w:jc w:val="both"/>
        <w:rPr>
          <w:sz w:val="24"/>
        </w:rPr>
      </w:pPr>
      <w:r>
        <w:rPr>
          <w:sz w:val="24"/>
        </w:rPr>
        <w:t>Il Collegio Sindacale, nella propria Relazione del 6 aprile 2016, dà atto che la società di Revisione, incaricata del controllo contabile, Reconta Ernst &amp; Young SpA “</w:t>
      </w:r>
      <w:r>
        <w:rPr>
          <w:i/>
          <w:sz w:val="24"/>
        </w:rPr>
        <w:t>non evidenzia rilievi per deviazioni </w:t>
      </w:r>
      <w:r>
        <w:rPr>
          <w:i/>
          <w:sz w:val="24"/>
        </w:rPr>
        <w:t>significative, ovvero giudizi negativi o impossibilità di esprimere un giudizio e pertanto il giudizio rilasciato e positivo. Si rileva esclusivamente che la società di revisione nella propria relazione evidenza </w:t>
      </w:r>
      <w:r>
        <w:rPr>
          <w:i/>
          <w:spacing w:val="4"/>
          <w:sz w:val="24"/>
        </w:rPr>
        <w:t>un </w:t>
      </w:r>
      <w:r>
        <w:rPr>
          <w:i/>
          <w:sz w:val="24"/>
        </w:rPr>
        <w:t>richiamo d'informativa ponendo l'attenzione su quanto descritto nella nota illustrativa n. 39 "Rapporti con parti correlate", in merito ai rapporti significativi che la società intrattiene con le altre società del Gruppo di appartenenza Mossi  &amp; Ghisolfi, e nella nota illustrativa n. 8 "Partecipazioni", </w:t>
      </w:r>
      <w:r>
        <w:rPr>
          <w:i/>
          <w:sz w:val="24"/>
          <w:u w:val="single"/>
        </w:rPr>
        <w:t>in merito alle valutazioni degli amministratori sulla recuperabilità dei valori delle partecipazioni nella Italian Bio Products S.r.l. e IBP Energia S.r.l. </w:t>
      </w:r>
      <w:r>
        <w:rPr>
          <w:i/>
          <w:sz w:val="24"/>
        </w:rPr>
        <w:t>ll giudizio della società di revisione non contiene in ogni caso rilievi con riferimento a tali aspetti. La società di revisione, sempre nella propria relazione, esprime un giudizio positivo sulla coerenza della relazione della gestione con il bilancio di esercizio a! 31 dicembre</w:t>
      </w:r>
      <w:r>
        <w:rPr>
          <w:i/>
          <w:spacing w:val="-4"/>
          <w:sz w:val="24"/>
        </w:rPr>
        <w:t> </w:t>
      </w:r>
      <w:r>
        <w:rPr>
          <w:i/>
          <w:sz w:val="24"/>
        </w:rPr>
        <w:t>2016.</w:t>
      </w:r>
      <w:r>
        <w:rPr>
          <w:sz w:val="24"/>
        </w:rPr>
        <w:t>”</w:t>
      </w:r>
    </w:p>
    <w:p>
      <w:pPr>
        <w:spacing w:line="480" w:lineRule="auto" w:before="199"/>
        <w:ind w:left="1418" w:right="1417" w:firstLine="0"/>
        <w:jc w:val="both"/>
        <w:rPr>
          <w:i/>
          <w:sz w:val="24"/>
        </w:rPr>
      </w:pPr>
      <w:r>
        <w:rPr>
          <w:sz w:val="24"/>
        </w:rPr>
        <w:t>Il collegio conclude che </w:t>
      </w:r>
      <w:r>
        <w:rPr>
          <w:i/>
          <w:sz w:val="24"/>
        </w:rPr>
        <w:t>“ Considerando le risultanze dell’attività svolta dal soggetto incaricato della Revisione </w:t>
      </w:r>
      <w:r>
        <w:rPr>
          <w:i/>
          <w:sz w:val="24"/>
        </w:rPr>
        <w:t>Legale dei conti contenute nella relazione di revisione al bilancio, sulla base di quanto sopra esposto, per quanto è stato portato a conoscenza del Collegio Sindacale ed è stato riscontrato dai controlli periodici svolti, si ritiene all’unanimità che non sussistano ragioni ostative all’approvazione da parte Vostra del progetto di bilancio per</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3" w:firstLine="0"/>
        <w:jc w:val="both"/>
        <w:rPr>
          <w:i/>
          <w:sz w:val="24"/>
        </w:rPr>
      </w:pPr>
      <w:r>
        <w:rPr>
          <w:i/>
          <w:sz w:val="24"/>
        </w:rPr>
        <w:t>l’esercizio chiuso al 31 dicembre 2016 così come è stato redatto e Vi è stato proposto dall’organo di </w:t>
      </w:r>
      <w:r>
        <w:rPr>
          <w:i/>
          <w:sz w:val="24"/>
        </w:rPr>
        <w:t>amministrazione”.</w:t>
      </w:r>
    </w:p>
    <w:p>
      <w:pPr>
        <w:pStyle w:val="BodyText"/>
        <w:spacing w:before="11"/>
        <w:rPr>
          <w:i/>
          <w:sz w:val="31"/>
        </w:rPr>
      </w:pPr>
    </w:p>
    <w:p>
      <w:pPr>
        <w:pStyle w:val="Heading2"/>
        <w:numPr>
          <w:ilvl w:val="1"/>
          <w:numId w:val="13"/>
        </w:numPr>
        <w:tabs>
          <w:tab w:pos="1847" w:val="left" w:leader="none"/>
        </w:tabs>
        <w:spacing w:line="240" w:lineRule="auto" w:before="0" w:after="0"/>
        <w:ind w:left="1846" w:right="0" w:hanging="428"/>
        <w:jc w:val="both"/>
      </w:pPr>
      <w:bookmarkStart w:name="_bookmark15" w:id="30"/>
      <w:bookmarkEnd w:id="30"/>
      <w:r>
        <w:rPr>
          <w:b w:val="0"/>
        </w:rPr>
      </w:r>
      <w:bookmarkStart w:name="_bookmark15" w:id="31"/>
      <w:bookmarkEnd w:id="31"/>
      <w:r>
        <w:rPr/>
        <w:t>A</w:t>
      </w:r>
      <w:r>
        <w:rPr/>
        <w:t>NALISI DI ALCUNE SPECIFICHE</w:t>
      </w:r>
      <w:r>
        <w:rPr>
          <w:spacing w:val="-25"/>
        </w:rPr>
        <w:t> </w:t>
      </w:r>
      <w:r>
        <w:rPr/>
        <w:t>OPERAZIONI</w:t>
      </w:r>
    </w:p>
    <w:p>
      <w:pPr>
        <w:pStyle w:val="BodyText"/>
        <w:spacing w:before="7"/>
        <w:rPr>
          <w:b/>
          <w:sz w:val="34"/>
        </w:rPr>
      </w:pPr>
    </w:p>
    <w:p>
      <w:pPr>
        <w:pStyle w:val="BodyText"/>
        <w:spacing w:line="480" w:lineRule="auto"/>
        <w:ind w:left="1418" w:right="1412"/>
        <w:jc w:val="both"/>
      </w:pPr>
      <w:r>
        <w:rPr/>
        <w:t>In aggiunta alla trattazione contenuta nella domanda di concordato, come si è detto la Società ha incaricato Deloitte Financial Advisory Srl al fine di effettuare la ricostruzione contabile, finanziaria e documentale di specifiche operazioni, individuate dalla Società e dai suoi </w:t>
      </w:r>
      <w:r>
        <w:rPr>
          <w:i/>
        </w:rPr>
        <w:t>advisor </w:t>
      </w:r>
      <w:r>
        <w:rPr/>
        <w:t>e sulla base delle informazioni rese disponibili da questi ultimi, poste in essere da Biochemtex nel periodo 2013-2017, perlopiù con altre società del Gruppo Mossi e</w:t>
      </w:r>
      <w:r>
        <w:rPr>
          <w:spacing w:val="-34"/>
        </w:rPr>
        <w:t> </w:t>
      </w:r>
      <w:r>
        <w:rPr/>
        <w:t>Ghisolfi.</w:t>
      </w:r>
    </w:p>
    <w:p>
      <w:pPr>
        <w:pStyle w:val="BodyText"/>
        <w:spacing w:line="480" w:lineRule="auto"/>
        <w:ind w:left="1418" w:right="1417"/>
        <w:jc w:val="both"/>
      </w:pPr>
      <w:r>
        <w:rPr/>
        <w:t>In questo quadro, gli scriventi ritengono comunque di soffermarsi su alcune vicende di seguito partitamente evidenziate e che saranno oggetto delle considerazioni riportate nel successivo capitolo 7.</w:t>
      </w:r>
    </w:p>
    <w:p>
      <w:pPr>
        <w:pStyle w:val="Heading2"/>
        <w:numPr>
          <w:ilvl w:val="2"/>
          <w:numId w:val="13"/>
        </w:numPr>
        <w:tabs>
          <w:tab w:pos="2127" w:val="left" w:leader="none"/>
        </w:tabs>
        <w:spacing w:line="240" w:lineRule="auto" w:before="199" w:after="0"/>
        <w:ind w:left="1418" w:right="0" w:firstLine="0"/>
        <w:jc w:val="both"/>
      </w:pPr>
      <w:bookmarkStart w:name="_bookmark16" w:id="32"/>
      <w:bookmarkEnd w:id="32"/>
      <w:r>
        <w:rPr>
          <w:b w:val="0"/>
        </w:rPr>
      </w:r>
      <w:bookmarkStart w:name="_bookmark16" w:id="33"/>
      <w:bookmarkEnd w:id="33"/>
      <w:r>
        <w:rPr/>
        <w:t>L</w:t>
      </w:r>
      <w:r>
        <w:rPr/>
        <w:t>a vendita della tecnologia PROESA® PET e la creazione del Polo</w:t>
      </w:r>
      <w:r>
        <w:rPr>
          <w:spacing w:val="-26"/>
        </w:rPr>
        <w:t> </w:t>
      </w:r>
      <w:r>
        <w:rPr/>
        <w:t>Bio</w:t>
      </w:r>
    </w:p>
    <w:p>
      <w:pPr>
        <w:pStyle w:val="BodyText"/>
        <w:spacing w:before="1"/>
        <w:rPr>
          <w:b/>
        </w:rPr>
      </w:pPr>
    </w:p>
    <w:p>
      <w:pPr>
        <w:spacing w:line="480" w:lineRule="auto" w:before="1"/>
        <w:ind w:left="1418" w:right="1411" w:firstLine="0"/>
        <w:jc w:val="both"/>
        <w:rPr>
          <w:sz w:val="24"/>
        </w:rPr>
      </w:pPr>
      <w:r>
        <w:rPr>
          <w:sz w:val="24"/>
        </w:rPr>
        <w:t>Nel 2013 BioChemtex cede la tecnologia Proesa PET alla consociata M&amp;G USA Corporation. In particolare, a pag. 12 della NI Bilancio 2013 viene specificato che “</w:t>
      </w:r>
      <w:r>
        <w:rPr>
          <w:i/>
          <w:sz w:val="24"/>
        </w:rPr>
        <w:t>altro fatto importante è stato il </w:t>
      </w:r>
      <w:r>
        <w:rPr>
          <w:i/>
          <w:sz w:val="24"/>
        </w:rPr>
        <w:t>conseguimento di un rilevante provento relativo alla cessione del Know-how e della relativa licenza PROESA applicati alle applicazioni PET (“Proesa Pet License Agreement”) alla società consociata M&amp;G Usa Corporation per un corrispettivo pari ad USD 141.960 migliaia</w:t>
      </w:r>
      <w:r>
        <w:rPr>
          <w:sz w:val="24"/>
        </w:rPr>
        <w:t>”. </w:t>
      </w:r>
      <w:r>
        <w:rPr>
          <w:i/>
          <w:sz w:val="24"/>
        </w:rPr>
        <w:t>Tale cessione ha consentito la realizzazione di </w:t>
      </w:r>
      <w:r>
        <w:rPr>
          <w:i/>
          <w:sz w:val="24"/>
        </w:rPr>
        <w:t>una plusvalenza di euro 104.658 migliaia</w:t>
      </w:r>
      <w:r>
        <w:rPr>
          <w:sz w:val="24"/>
        </w:rPr>
        <w:t>”.</w:t>
      </w:r>
    </w:p>
    <w:p>
      <w:pPr>
        <w:pStyle w:val="BodyText"/>
        <w:spacing w:line="480" w:lineRule="auto"/>
        <w:ind w:left="1418" w:right="1411"/>
        <w:jc w:val="both"/>
      </w:pPr>
      <w:r>
        <w:rPr/>
        <w:t>La cessione in esame si perfeziona in data 27 settembre 2013 e nei </w:t>
      </w:r>
      <w:r>
        <w:rPr>
          <w:i/>
        </w:rPr>
        <w:t>deliverables </w:t>
      </w:r>
      <w:r>
        <w:rPr/>
        <w:t>di Deloitte consegnatici dalla Società viene riportata una analitica ricostruzione si è effettuata una analitica ricostruzione dei principali fatti che comportano il regolamento finanziario della transazione.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0"/>
        <w:jc w:val="both"/>
      </w:pPr>
      <w:r>
        <w:rPr/>
        <w:t>In particolare, a fronte delle ricostruzioni rappresentate e descritte  nei </w:t>
      </w:r>
      <w:r>
        <w:rPr>
          <w:i/>
        </w:rPr>
        <w:t>deliverables </w:t>
      </w:r>
      <w:r>
        <w:rPr/>
        <w:t>di Deloitte che  ci sono stati consegnati dalla Società, il risultato finale sembrerebbe essere quello di trasferire la licenza PET Proesa da Biochemtex a M&amp;G Usa Corporation e di consentire ad M&amp;G Finanziaria di estinguere un proprio debito nei confronti di Mossi &amp; Ghisolfi International Sarl (senza  incasso per Biochemtex che in ultima analisi per effetto della cessione iscrive un credito nei confronti del </w:t>
      </w:r>
      <w:r>
        <w:rPr>
          <w:i/>
        </w:rPr>
        <w:t>cash pooling </w:t>
      </w:r>
      <w:r>
        <w:rPr/>
        <w:t>accentrato presso M&amp;G</w:t>
      </w:r>
      <w:r>
        <w:rPr>
          <w:spacing w:val="-20"/>
        </w:rPr>
        <w:t> </w:t>
      </w:r>
      <w:r>
        <w:rPr/>
        <w:t>Finanziaria).</w:t>
      </w:r>
    </w:p>
    <w:p>
      <w:pPr>
        <w:pStyle w:val="BodyText"/>
        <w:spacing w:line="480" w:lineRule="auto"/>
        <w:ind w:left="1418" w:right="1416"/>
        <w:jc w:val="both"/>
      </w:pPr>
      <w:r>
        <w:rPr/>
        <w:t>Risulta inoltre che il prezzo di cessione è supportato da perizia (con data successiva  all’operazione) redatta dal Dott. Briam C.</w:t>
      </w:r>
      <w:r>
        <w:rPr>
          <w:spacing w:val="-7"/>
        </w:rPr>
        <w:t> </w:t>
      </w:r>
      <w:r>
        <w:rPr/>
        <w:t>Becker.</w:t>
      </w:r>
    </w:p>
    <w:p>
      <w:pPr>
        <w:pStyle w:val="BodyText"/>
        <w:spacing w:line="480" w:lineRule="auto"/>
        <w:ind w:left="1418" w:right="1412"/>
        <w:jc w:val="both"/>
      </w:pPr>
      <w:r>
        <w:rPr/>
        <w:t>Dall’analisi dei minutes del Consiglio di Amministrazione e dei verbali del Collegio sindacale (cfr. par. 2.2) di Biochemtex non risulta all’epoca esservi stata discussione, delibera od esame in ordine ai motivi dell’operazione (né il suo inserimento nell’alveo di un eventuale più ampio piano di riorganizzazione dell’intero Gruppo ovvero di progetti di quotazione), alle sue principali caratteristiche, alla esistenza di una perizia, ed agli effetti in capo a Biochemtex di tale operazione. In data 30 giugno 2015, con tre distinti rogiti M&amp;G Finanziaria cede a Biochemtex le partecipazioni totalitarie in Biochemtex Agro (corrispettivo di euro 1.573.860), Italian Bio Products Srl (corrispettivo di euro 63.970.608) ed IBP Energia Srl (corrispettivo di euro 19.208.532). In data 11 dicembre 2015 Biochemtex Agro viene fusa in Italian Bio Products Srl.</w:t>
      </w:r>
    </w:p>
    <w:p>
      <w:pPr>
        <w:pStyle w:val="BodyText"/>
        <w:spacing w:line="480" w:lineRule="auto"/>
        <w:ind w:left="1418" w:right="1409"/>
        <w:jc w:val="both"/>
      </w:pPr>
      <w:r>
        <w:rPr/>
        <w:t>Come riportato nei </w:t>
      </w:r>
      <w:r>
        <w:rPr>
          <w:i/>
        </w:rPr>
        <w:t>Deliverables </w:t>
      </w:r>
      <w:r>
        <w:rPr/>
        <w:t>redatti da Deloitte consegnatici dal management della società, il pagamento del corrispettivo da parte di Biochemtex avveniva registrando, in contropartita alla iscrizione delle partecipazioni, la riduzione del credito per </w:t>
      </w:r>
      <w:r>
        <w:rPr>
          <w:i/>
        </w:rPr>
        <w:t>cash pooling </w:t>
      </w:r>
      <w:r>
        <w:rPr/>
        <w:t>nei confronti di M&amp;G Finanziaria.</w:t>
      </w:r>
    </w:p>
    <w:p>
      <w:pPr>
        <w:pStyle w:val="BodyText"/>
        <w:spacing w:line="480" w:lineRule="auto"/>
        <w:ind w:left="1418" w:right="1412"/>
        <w:jc w:val="both"/>
      </w:pPr>
      <w:r>
        <w:rPr/>
        <w:t>Il 16 giugno 2015 Deloitte ha elaborato la stima del valore del Gruppo Bio riferito al 31 dicembre 2014, individuando l’intervallo di valori compreso tra euro 77 milioni ed euro 85 milioni.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2"/>
          <w:numId w:val="13"/>
        </w:numPr>
        <w:tabs>
          <w:tab w:pos="2127" w:val="left" w:leader="none"/>
        </w:tabs>
        <w:spacing w:line="240" w:lineRule="auto" w:before="100" w:after="0"/>
        <w:ind w:left="2126" w:right="0" w:hanging="708"/>
        <w:jc w:val="both"/>
      </w:pPr>
      <w:bookmarkStart w:name="_bookmark17" w:id="34"/>
      <w:bookmarkEnd w:id="34"/>
      <w:r>
        <w:rPr>
          <w:b w:val="0"/>
        </w:rPr>
      </w:r>
      <w:bookmarkStart w:name="_bookmark17" w:id="35"/>
      <w:bookmarkEnd w:id="35"/>
      <w:r>
        <w:rPr/>
        <w:t>L</w:t>
      </w:r>
      <w:r>
        <w:rPr/>
        <w:t>a rappresentazione delle partecipazioni del Polo Bio nei bilanci di</w:t>
      </w:r>
      <w:r>
        <w:rPr>
          <w:spacing w:val="-23"/>
        </w:rPr>
        <w:t> </w:t>
      </w:r>
      <w:r>
        <w:rPr/>
        <w:t>esercizio</w:t>
      </w:r>
    </w:p>
    <w:p>
      <w:pPr>
        <w:pStyle w:val="BodyText"/>
        <w:spacing w:before="11"/>
        <w:rPr>
          <w:b/>
          <w:sz w:val="23"/>
        </w:rPr>
      </w:pPr>
    </w:p>
    <w:p>
      <w:pPr>
        <w:pStyle w:val="BodyText"/>
        <w:spacing w:line="480" w:lineRule="auto"/>
        <w:ind w:left="1418" w:right="1412"/>
        <w:jc w:val="both"/>
      </w:pPr>
      <w:r>
        <w:rPr/>
        <w:t>Nel 2015 viene creato il polo Bio con il trasferimento a BioChemtex delle partecipazioni prima detenute da M&amp;G Finanziaria.</w:t>
      </w:r>
    </w:p>
    <w:p>
      <w:pPr>
        <w:pStyle w:val="BodyText"/>
        <w:spacing w:line="480" w:lineRule="auto"/>
        <w:ind w:left="1418" w:right="1410"/>
        <w:jc w:val="both"/>
      </w:pPr>
      <w:r>
        <w:rPr/>
        <w:t>I valori di acquisto (complessivamente euro 84,7 milioni) derivano dalla perizia Deloitte che stima il valore del Gruppo Bio riferito al 31 dicembre 2014 nell’intervallo </w:t>
      </w:r>
      <w:r>
        <w:rPr>
          <w:spacing w:val="2"/>
        </w:rPr>
        <w:t>di </w:t>
      </w:r>
      <w:r>
        <w:rPr/>
        <w:t>valori compreso tra euro  77 milioni ed euro 85</w:t>
      </w:r>
      <w:r>
        <w:rPr>
          <w:spacing w:val="-7"/>
        </w:rPr>
        <w:t> </w:t>
      </w:r>
      <w:r>
        <w:rPr/>
        <w:t>milioni.</w:t>
      </w:r>
    </w:p>
    <w:p>
      <w:pPr>
        <w:pStyle w:val="BodyText"/>
        <w:spacing w:line="480" w:lineRule="auto"/>
        <w:ind w:left="1418" w:right="1421"/>
        <w:jc w:val="both"/>
      </w:pPr>
      <w:r>
        <w:rPr/>
        <w:t>Le cessioni da M&amp;G Finanziaria Srl a Biochemtex SpA risultano da 3 separati atti notarili in data 30 giugno 2015.</w:t>
      </w:r>
    </w:p>
    <w:p>
      <w:pPr>
        <w:spacing w:line="480" w:lineRule="auto" w:before="0"/>
        <w:ind w:left="1418" w:right="1414" w:firstLine="0"/>
        <w:jc w:val="both"/>
        <w:rPr>
          <w:sz w:val="24"/>
        </w:rPr>
      </w:pPr>
      <w:r>
        <w:rPr>
          <w:sz w:val="24"/>
        </w:rPr>
        <w:t>Dal bilancio di M&amp;G Finanziaria SpA (società cedente le partecipazioni) risulta il decremento della voce “Partecipazioni” anche a seguito della cessione del c.d. “Polo Bio”. Dalla Nota Integrativa al bilancio della M&amp;G Finanziaria SpA (cfr. pag. 10) e dalla Relazione sulla gestione (cfr. pag. 7-8) si evidenzia che “</w:t>
      </w:r>
      <w:r>
        <w:rPr>
          <w:i/>
          <w:sz w:val="24"/>
        </w:rPr>
        <w:t>L’operazione […] ha consentito il realizzo di una plusvalenza di Euro 16 </w:t>
      </w:r>
      <w:r>
        <w:rPr>
          <w:i/>
          <w:sz w:val="24"/>
        </w:rPr>
        <w:t>milioni</w:t>
      </w:r>
      <w:r>
        <w:rPr>
          <w:sz w:val="24"/>
        </w:rPr>
        <w:t>”.</w:t>
      </w:r>
    </w:p>
    <w:p>
      <w:pPr>
        <w:pStyle w:val="BodyText"/>
        <w:spacing w:line="480" w:lineRule="auto"/>
        <w:ind w:left="1418" w:right="1412"/>
        <w:jc w:val="both"/>
      </w:pPr>
      <w:r>
        <w:rPr/>
        <w:t>Nel bilancio 2015 le partecipazioni risultano iscritte al valore di euro 104,7 mln (al valore di acquisto vengono sommate le ricapitalizzazioni di IBP Srl effettuate nell’esercizio, pari complessivamente ad euro 20 milioni). L’iscrizione di tale valore è confortata dall’</w:t>
      </w:r>
      <w:r>
        <w:rPr>
          <w:i/>
        </w:rPr>
        <w:t>impairment test </w:t>
      </w:r>
      <w:r>
        <w:rPr/>
        <w:t>(cfr. pag. 43/44 NI bilancio 2015) basato sul business plan 2016-2045 il quale assume </w:t>
      </w:r>
      <w:r>
        <w:rPr>
          <w:i/>
        </w:rPr>
        <w:t>i) </w:t>
      </w:r>
      <w:r>
        <w:rPr/>
        <w:t>il superamento del c.d. </w:t>
      </w:r>
      <w:r>
        <w:rPr>
          <w:i/>
        </w:rPr>
        <w:t>performance test </w:t>
      </w:r>
      <w:r>
        <w:rPr/>
        <w:t>entro il 31 dicembre 2016, utilizzando biomassa con caratteristiche diverse rispetto alle precedenti, </w:t>
      </w:r>
      <w:r>
        <w:rPr>
          <w:i/>
        </w:rPr>
        <w:t>ii) </w:t>
      </w:r>
      <w:r>
        <w:rPr/>
        <w:t>il graduale raggiungimento di obiettivi di rendimento dell’impianto entro un quinquennio, la stabilizzazione dei ricavi in relazione  ai previsti orientamenti di mercato dei biocarburi e dell’energia elettrica da cogenerazione, </w:t>
      </w:r>
      <w:r>
        <w:rPr>
          <w:i/>
        </w:rPr>
        <w:t>iii) </w:t>
      </w:r>
      <w:r>
        <w:rPr/>
        <w:t>un WACC pari all’8% ed una </w:t>
      </w:r>
      <w:r>
        <w:rPr>
          <w:i/>
        </w:rPr>
        <w:t>sensitivity analisys </w:t>
      </w:r>
      <w:r>
        <w:rPr/>
        <w:t>nel </w:t>
      </w:r>
      <w:r>
        <w:rPr>
          <w:i/>
        </w:rPr>
        <w:t>range </w:t>
      </w:r>
      <w:r>
        <w:rPr/>
        <w:t>di +/- 1% del WACC ed una variazione dell’EBITDA di +/- 5%.</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pPr>
    </w:p>
    <w:p>
      <w:pPr>
        <w:spacing w:line="480" w:lineRule="auto" w:before="1"/>
        <w:ind w:left="1418" w:right="1409" w:firstLine="0"/>
        <w:jc w:val="both"/>
        <w:rPr>
          <w:sz w:val="24"/>
        </w:rPr>
      </w:pPr>
      <w:r>
        <w:rPr>
          <w:sz w:val="24"/>
        </w:rPr>
        <w:t>Nel 2016 il valore della partecipazione in IBP viene incrementato da 85 mln a 112 mln, ossia in base ai versamenti in conto capitale/copertura perdite effettuati a favore della controllante. L’iscrizione di tale valore è confortata dall’impairment test (cfr. pag. 43 NI bilancio 2016) basato sul business plan 2017-2045 il quale </w:t>
      </w:r>
      <w:r>
        <w:rPr>
          <w:i/>
          <w:sz w:val="24"/>
        </w:rPr>
        <w:t>i) </w:t>
      </w:r>
      <w:r>
        <w:rPr>
          <w:sz w:val="24"/>
        </w:rPr>
        <w:t>tiene conto delle modifiche impiantistiche e del miglioramento delle performance raggiunte nel </w:t>
      </w:r>
      <w:r>
        <w:rPr>
          <w:i/>
          <w:sz w:val="24"/>
        </w:rPr>
        <w:t>test </w:t>
      </w:r>
      <w:r>
        <w:rPr>
          <w:sz w:val="24"/>
        </w:rPr>
        <w:t>di novembre e dicembre 2016, utilizzando biomassa con caratteristiche diverse rispetto alla precedenti, </w:t>
      </w:r>
      <w:r>
        <w:rPr>
          <w:i/>
          <w:sz w:val="24"/>
        </w:rPr>
        <w:t>ii) </w:t>
      </w:r>
      <w:r>
        <w:rPr>
          <w:sz w:val="24"/>
        </w:rPr>
        <w:t>assume “</w:t>
      </w:r>
      <w:r>
        <w:rPr>
          <w:i/>
          <w:sz w:val="24"/>
        </w:rPr>
        <w:t>ulteriori miglioramenti di </w:t>
      </w:r>
      <w:r>
        <w:rPr>
          <w:i/>
          <w:sz w:val="24"/>
        </w:rPr>
        <w:t>performance sulla base delle migliorie effettuate e del continuo affinamento delle attività di produzione su base continuativa, ad un livello coerente con i parametri contrattualmente definiti in data 23 dicembre 2016 nell’amendment dell’accordo transattivo con Novozymes A/S</w:t>
      </w:r>
      <w:r>
        <w:rPr>
          <w:sz w:val="24"/>
        </w:rPr>
        <w:t>”, </w:t>
      </w:r>
      <w:r>
        <w:rPr>
          <w:i/>
          <w:sz w:val="24"/>
        </w:rPr>
        <w:t>iii) </w:t>
      </w:r>
      <w:r>
        <w:rPr>
          <w:sz w:val="24"/>
        </w:rPr>
        <w:t>un WACC pari al 7,8% ed una </w:t>
      </w:r>
      <w:r>
        <w:rPr>
          <w:i/>
          <w:sz w:val="24"/>
        </w:rPr>
        <w:t>sensitivity </w:t>
      </w:r>
      <w:r>
        <w:rPr>
          <w:i/>
          <w:sz w:val="24"/>
        </w:rPr>
        <w:t>analisys </w:t>
      </w:r>
      <w:r>
        <w:rPr>
          <w:sz w:val="24"/>
        </w:rPr>
        <w:t>nel </w:t>
      </w:r>
      <w:r>
        <w:rPr>
          <w:i/>
          <w:sz w:val="24"/>
        </w:rPr>
        <w:t>range </w:t>
      </w:r>
      <w:r>
        <w:rPr>
          <w:sz w:val="24"/>
        </w:rPr>
        <w:t>di +/- 1% del WACC ed una variazione dell’EBITDA di +/- 5%.</w:t>
      </w:r>
    </w:p>
    <w:p>
      <w:pPr>
        <w:pStyle w:val="BodyText"/>
        <w:rPr>
          <w:sz w:val="26"/>
        </w:rPr>
      </w:pPr>
    </w:p>
    <w:p>
      <w:pPr>
        <w:pStyle w:val="BodyText"/>
        <w:rPr>
          <w:sz w:val="22"/>
        </w:rPr>
      </w:pPr>
    </w:p>
    <w:p>
      <w:pPr>
        <w:pStyle w:val="BodyText"/>
        <w:spacing w:line="480" w:lineRule="auto"/>
        <w:ind w:left="1418" w:right="1416"/>
        <w:jc w:val="both"/>
      </w:pPr>
      <w:r>
        <w:rPr/>
        <w:t>Gli scriventi hanno preso visione dei business plan utilizzati a supporto dei menzionati impairment test.</w:t>
      </w:r>
    </w:p>
    <w:p>
      <w:pPr>
        <w:pStyle w:val="BodyText"/>
        <w:spacing w:line="480" w:lineRule="auto"/>
        <w:ind w:left="1418" w:right="1419"/>
        <w:jc w:val="both"/>
      </w:pPr>
      <w:r>
        <w:rPr/>
        <w:t>Al riguardo, si rileva che, rispetto quello utilizzato nell’anno precedente, il business plan menzionato nel bilancio 2016 presenta uno sviluppo dei flussi di cassa diverso nei valori ma soprattutto nelle tempistiche di raggiungimento del punto di pareggio. Inoltre, contrariamente a quanto riportato in NI 2016, lo sviluppo del piano si estende analiticamente sino all’esercizio 2047.</w:t>
      </w:r>
    </w:p>
    <w:p>
      <w:pPr>
        <w:pStyle w:val="BodyText"/>
        <w:rPr>
          <w:sz w:val="26"/>
        </w:rPr>
      </w:pPr>
    </w:p>
    <w:p>
      <w:pPr>
        <w:pStyle w:val="BodyText"/>
        <w:rPr>
          <w:sz w:val="22"/>
        </w:rPr>
      </w:pPr>
    </w:p>
    <w:p>
      <w:pPr>
        <w:pStyle w:val="BodyText"/>
        <w:spacing w:line="480" w:lineRule="auto"/>
        <w:ind w:left="1418" w:right="1413"/>
        <w:jc w:val="both"/>
      </w:pPr>
      <w:r>
        <w:rPr/>
        <w:t>Va qui ricordato che le partecipazioni dell’area Bio vengono valutate dalla perizia del Prof. Cattaneo sulla base di un business plan per il periodo 2018-2022 (chiamato “Business Plan overview”)  predisposto  in  ottobre  2017  (e  quindi  pochi  mesi  dopo  il  piano  utilizzato   per</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l’esecuzione dell’impairment test 2016), poi aggiornato dal nuovo business plan per il periodo 2018-2022 (chiamato “Business Plan Scenari Alternativi”) predisposto nel febbraio 2018.</w:t>
      </w:r>
    </w:p>
    <w:p>
      <w:pPr>
        <w:pStyle w:val="BodyText"/>
        <w:spacing w:line="480" w:lineRule="auto"/>
        <w:ind w:left="1418" w:right="1413"/>
        <w:jc w:val="both"/>
      </w:pPr>
      <w:r>
        <w:rPr/>
        <w:t>La valutazione è stata condotta dal perito in due scenari, una prospettiva Stand-alone delle </w:t>
      </w:r>
      <w:r>
        <w:rPr>
          <w:i/>
        </w:rPr>
        <w:t>singole </w:t>
      </w:r>
      <w:r>
        <w:rPr>
          <w:i/>
        </w:rPr>
        <w:t>entities </w:t>
      </w:r>
      <w:r>
        <w:rPr/>
        <w:t>ed una prospettiva integrata, sulla base di altra perizia tecnico ingegneristica realizzata dall’Ing. Braccio.</w:t>
      </w:r>
    </w:p>
    <w:p>
      <w:pPr>
        <w:pStyle w:val="BodyText"/>
        <w:ind w:left="1418"/>
        <w:jc w:val="both"/>
      </w:pPr>
      <w:r>
        <w:rPr/>
        <w:t>I valutatori sono pervenuti alle seguenti risultanze (scenario “prospettiva integrata”).</w:t>
      </w:r>
    </w:p>
    <w:p>
      <w:pPr>
        <w:pStyle w:val="BodyText"/>
        <w:spacing w:before="9"/>
        <w:rPr>
          <w:sz w:val="23"/>
        </w:rPr>
      </w:pPr>
    </w:p>
    <w:tbl>
      <w:tblPr>
        <w:tblW w:w="0" w:type="auto"/>
        <w:jc w:val="left"/>
        <w:tblInd w:w="183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485"/>
        <w:gridCol w:w="972"/>
        <w:gridCol w:w="972"/>
        <w:gridCol w:w="994"/>
        <w:gridCol w:w="991"/>
        <w:gridCol w:w="1727"/>
      </w:tblGrid>
      <w:tr>
        <w:trPr>
          <w:trHeight w:val="515" w:hRule="exact"/>
        </w:trPr>
        <w:tc>
          <w:tcPr>
            <w:tcW w:w="2485" w:type="dxa"/>
          </w:tcPr>
          <w:p>
            <w:pPr/>
          </w:p>
        </w:tc>
        <w:tc>
          <w:tcPr>
            <w:tcW w:w="972" w:type="dxa"/>
            <w:tcBorders>
              <w:bottom w:val="single" w:sz="4" w:space="0" w:color="2D74B5"/>
            </w:tcBorders>
          </w:tcPr>
          <w:p>
            <w:pPr>
              <w:pStyle w:val="TableParagraph"/>
              <w:spacing w:before="0"/>
              <w:ind w:left="108"/>
              <w:jc w:val="left"/>
              <w:rPr>
                <w:rFonts w:ascii="Georgia"/>
                <w:b/>
                <w:sz w:val="18"/>
              </w:rPr>
            </w:pPr>
            <w:r>
              <w:rPr>
                <w:rFonts w:ascii="Georgia"/>
                <w:b/>
                <w:color w:val="1F4E79"/>
                <w:sz w:val="18"/>
              </w:rPr>
              <w:t>BCT</w:t>
            </w:r>
          </w:p>
        </w:tc>
        <w:tc>
          <w:tcPr>
            <w:tcW w:w="972" w:type="dxa"/>
            <w:tcBorders>
              <w:bottom w:val="single" w:sz="4" w:space="0" w:color="2D74B5"/>
            </w:tcBorders>
          </w:tcPr>
          <w:p>
            <w:pPr>
              <w:pStyle w:val="TableParagraph"/>
              <w:spacing w:before="0"/>
              <w:ind w:left="110"/>
              <w:jc w:val="left"/>
              <w:rPr>
                <w:rFonts w:ascii="Georgia"/>
                <w:b/>
                <w:sz w:val="18"/>
              </w:rPr>
            </w:pPr>
            <w:r>
              <w:rPr>
                <w:rFonts w:ascii="Georgia"/>
                <w:b/>
                <w:color w:val="1F4E79"/>
                <w:sz w:val="18"/>
              </w:rPr>
              <w:t>BRN</w:t>
            </w:r>
          </w:p>
        </w:tc>
        <w:tc>
          <w:tcPr>
            <w:tcW w:w="994" w:type="dxa"/>
            <w:tcBorders>
              <w:bottom w:val="single" w:sz="4" w:space="0" w:color="2D74B5"/>
            </w:tcBorders>
          </w:tcPr>
          <w:p>
            <w:pPr>
              <w:pStyle w:val="TableParagraph"/>
              <w:spacing w:before="0"/>
              <w:ind w:left="110"/>
              <w:jc w:val="left"/>
              <w:rPr>
                <w:rFonts w:ascii="Georgia"/>
                <w:b/>
                <w:sz w:val="18"/>
              </w:rPr>
            </w:pPr>
            <w:r>
              <w:rPr>
                <w:rFonts w:ascii="Georgia"/>
                <w:b/>
                <w:color w:val="1F4E79"/>
                <w:w w:val="105"/>
                <w:sz w:val="18"/>
              </w:rPr>
              <w:t>IBP</w:t>
            </w:r>
          </w:p>
        </w:tc>
        <w:tc>
          <w:tcPr>
            <w:tcW w:w="991" w:type="dxa"/>
            <w:tcBorders>
              <w:bottom w:val="single" w:sz="4" w:space="0" w:color="2D74B5"/>
            </w:tcBorders>
          </w:tcPr>
          <w:p>
            <w:pPr>
              <w:pStyle w:val="TableParagraph"/>
              <w:spacing w:before="0"/>
              <w:ind w:left="110"/>
              <w:jc w:val="left"/>
              <w:rPr>
                <w:rFonts w:ascii="Georgia"/>
                <w:b/>
                <w:sz w:val="18"/>
              </w:rPr>
            </w:pPr>
            <w:r>
              <w:rPr>
                <w:rFonts w:ascii="Georgia"/>
                <w:b/>
                <w:color w:val="1F4E79"/>
                <w:w w:val="110"/>
                <w:sz w:val="18"/>
              </w:rPr>
              <w:t>IBPE</w:t>
            </w:r>
          </w:p>
        </w:tc>
        <w:tc>
          <w:tcPr>
            <w:tcW w:w="1727" w:type="dxa"/>
            <w:tcBorders>
              <w:bottom w:val="single" w:sz="4" w:space="0" w:color="2D74B5"/>
            </w:tcBorders>
          </w:tcPr>
          <w:p>
            <w:pPr>
              <w:pStyle w:val="TableParagraph"/>
              <w:spacing w:before="0"/>
              <w:ind w:left="112" w:right="132"/>
              <w:jc w:val="center"/>
              <w:rPr>
                <w:rFonts w:ascii="Georgia"/>
                <w:b/>
                <w:sz w:val="18"/>
              </w:rPr>
            </w:pPr>
            <w:r>
              <w:rPr>
                <w:rFonts w:ascii="Georgia"/>
                <w:b/>
                <w:color w:val="1F4E79"/>
                <w:w w:val="110"/>
                <w:sz w:val="18"/>
              </w:rPr>
              <w:t>Perimetro Bio</w:t>
            </w:r>
          </w:p>
        </w:tc>
      </w:tr>
      <w:tr>
        <w:trPr>
          <w:trHeight w:val="473" w:hRule="exact"/>
        </w:trPr>
        <w:tc>
          <w:tcPr>
            <w:tcW w:w="2485" w:type="dxa"/>
          </w:tcPr>
          <w:p>
            <w:pPr>
              <w:pStyle w:val="TableParagraph"/>
              <w:spacing w:before="4"/>
              <w:ind w:left="200"/>
              <w:jc w:val="left"/>
              <w:rPr>
                <w:rFonts w:ascii="Georgia" w:hAnsi="Georgia"/>
                <w:sz w:val="20"/>
              </w:rPr>
            </w:pPr>
            <w:r>
              <w:rPr>
                <w:rFonts w:ascii="Georgia" w:hAnsi="Georgia"/>
                <w:color w:val="1F4E79"/>
                <w:sz w:val="20"/>
              </w:rPr>
              <w:t>Enterprise Value (€m)</w:t>
            </w:r>
          </w:p>
        </w:tc>
        <w:tc>
          <w:tcPr>
            <w:tcW w:w="972" w:type="dxa"/>
            <w:tcBorders>
              <w:top w:val="single" w:sz="4" w:space="0" w:color="2D74B5"/>
              <w:bottom w:val="single" w:sz="4" w:space="0" w:color="2D74B5"/>
            </w:tcBorders>
          </w:tcPr>
          <w:p>
            <w:pPr>
              <w:pStyle w:val="TableParagraph"/>
              <w:spacing w:line="226" w:lineRule="exact" w:before="0"/>
              <w:ind w:left="288"/>
              <w:jc w:val="left"/>
              <w:rPr>
                <w:rFonts w:ascii="Georgia"/>
                <w:sz w:val="20"/>
              </w:rPr>
            </w:pPr>
            <w:r>
              <w:rPr>
                <w:rFonts w:ascii="Georgia"/>
                <w:sz w:val="20"/>
              </w:rPr>
              <w:t>59,0</w:t>
            </w:r>
          </w:p>
        </w:tc>
        <w:tc>
          <w:tcPr>
            <w:tcW w:w="972" w:type="dxa"/>
            <w:tcBorders>
              <w:top w:val="single" w:sz="4" w:space="0" w:color="2D74B5"/>
              <w:bottom w:val="single" w:sz="4" w:space="0" w:color="2D74B5"/>
            </w:tcBorders>
          </w:tcPr>
          <w:p>
            <w:pPr>
              <w:pStyle w:val="TableParagraph"/>
              <w:spacing w:line="226" w:lineRule="exact" w:before="0"/>
              <w:ind w:left="298"/>
              <w:jc w:val="left"/>
              <w:rPr>
                <w:rFonts w:ascii="Georgia"/>
                <w:sz w:val="20"/>
              </w:rPr>
            </w:pPr>
            <w:r>
              <w:rPr>
                <w:rFonts w:ascii="Georgia"/>
                <w:sz w:val="20"/>
              </w:rPr>
              <w:t>44,7</w:t>
            </w:r>
          </w:p>
        </w:tc>
        <w:tc>
          <w:tcPr>
            <w:tcW w:w="994" w:type="dxa"/>
            <w:tcBorders>
              <w:top w:val="single" w:sz="4" w:space="0" w:color="2D74B5"/>
              <w:bottom w:val="single" w:sz="4" w:space="0" w:color="2D74B5"/>
            </w:tcBorders>
          </w:tcPr>
          <w:p>
            <w:pPr>
              <w:pStyle w:val="TableParagraph"/>
              <w:spacing w:line="226" w:lineRule="exact" w:before="0"/>
              <w:ind w:left="319"/>
              <w:jc w:val="left"/>
              <w:rPr>
                <w:rFonts w:ascii="Georgia"/>
                <w:sz w:val="20"/>
              </w:rPr>
            </w:pPr>
            <w:r>
              <w:rPr>
                <w:rFonts w:ascii="Georgia"/>
                <w:sz w:val="20"/>
              </w:rPr>
              <w:t>51,2</w:t>
            </w:r>
          </w:p>
        </w:tc>
        <w:tc>
          <w:tcPr>
            <w:tcW w:w="991" w:type="dxa"/>
            <w:tcBorders>
              <w:top w:val="single" w:sz="4" w:space="0" w:color="2D74B5"/>
              <w:bottom w:val="single" w:sz="4" w:space="0" w:color="2D74B5"/>
            </w:tcBorders>
          </w:tcPr>
          <w:p>
            <w:pPr>
              <w:pStyle w:val="TableParagraph"/>
              <w:spacing w:line="226" w:lineRule="exact" w:before="0"/>
              <w:ind w:left="310"/>
              <w:jc w:val="left"/>
              <w:rPr>
                <w:rFonts w:ascii="Georgia"/>
                <w:sz w:val="20"/>
              </w:rPr>
            </w:pPr>
            <w:r>
              <w:rPr>
                <w:rFonts w:ascii="Georgia"/>
                <w:sz w:val="20"/>
              </w:rPr>
              <w:t>35,1</w:t>
            </w:r>
          </w:p>
        </w:tc>
        <w:tc>
          <w:tcPr>
            <w:tcW w:w="1727" w:type="dxa"/>
            <w:tcBorders>
              <w:top w:val="single" w:sz="4" w:space="0" w:color="2D74B5"/>
              <w:bottom w:val="single" w:sz="4" w:space="0" w:color="2D74B5"/>
            </w:tcBorders>
          </w:tcPr>
          <w:p>
            <w:pPr>
              <w:pStyle w:val="TableParagraph"/>
              <w:spacing w:line="226" w:lineRule="exact" w:before="0"/>
              <w:ind w:left="112" w:right="131"/>
              <w:jc w:val="center"/>
              <w:rPr>
                <w:rFonts w:ascii="Georgia"/>
                <w:sz w:val="20"/>
              </w:rPr>
            </w:pPr>
            <w:r>
              <w:rPr>
                <w:rFonts w:ascii="Georgia"/>
                <w:sz w:val="20"/>
              </w:rPr>
              <w:t>190,1</w:t>
            </w:r>
          </w:p>
        </w:tc>
      </w:tr>
      <w:tr>
        <w:trPr>
          <w:trHeight w:val="470" w:hRule="exact"/>
        </w:trPr>
        <w:tc>
          <w:tcPr>
            <w:tcW w:w="2485" w:type="dxa"/>
          </w:tcPr>
          <w:p>
            <w:pPr>
              <w:pStyle w:val="TableParagraph"/>
              <w:spacing w:before="4"/>
              <w:ind w:left="200"/>
              <w:jc w:val="left"/>
              <w:rPr>
                <w:rFonts w:ascii="Georgia"/>
                <w:b/>
                <w:sz w:val="20"/>
              </w:rPr>
            </w:pPr>
            <w:r>
              <w:rPr>
                <w:rFonts w:ascii="Georgia"/>
                <w:b/>
                <w:color w:val="1F4E79"/>
                <w:sz w:val="20"/>
              </w:rPr>
              <w:t>Peso (%)</w:t>
            </w:r>
          </w:p>
        </w:tc>
        <w:tc>
          <w:tcPr>
            <w:tcW w:w="972" w:type="dxa"/>
            <w:tcBorders>
              <w:top w:val="single" w:sz="4" w:space="0" w:color="2D74B5"/>
              <w:bottom w:val="single" w:sz="4" w:space="0" w:color="2D74B5"/>
            </w:tcBorders>
          </w:tcPr>
          <w:p>
            <w:pPr>
              <w:pStyle w:val="TableParagraph"/>
              <w:spacing w:line="226" w:lineRule="exact" w:before="0"/>
              <w:ind w:left="112"/>
              <w:jc w:val="left"/>
              <w:rPr>
                <w:rFonts w:ascii="Georgia"/>
                <w:b/>
                <w:sz w:val="20"/>
              </w:rPr>
            </w:pPr>
            <w:r>
              <w:rPr>
                <w:rFonts w:ascii="Georgia"/>
                <w:b/>
                <w:sz w:val="20"/>
              </w:rPr>
              <w:t>31,05%</w:t>
            </w:r>
          </w:p>
        </w:tc>
        <w:tc>
          <w:tcPr>
            <w:tcW w:w="972" w:type="dxa"/>
            <w:tcBorders>
              <w:top w:val="single" w:sz="4" w:space="0" w:color="2D74B5"/>
              <w:bottom w:val="single" w:sz="4" w:space="0" w:color="2D74B5"/>
            </w:tcBorders>
          </w:tcPr>
          <w:p>
            <w:pPr>
              <w:pStyle w:val="TableParagraph"/>
              <w:spacing w:line="226" w:lineRule="exact" w:before="0"/>
              <w:ind w:left="110"/>
              <w:jc w:val="left"/>
              <w:rPr>
                <w:rFonts w:ascii="Georgia"/>
                <w:b/>
                <w:sz w:val="20"/>
              </w:rPr>
            </w:pPr>
            <w:r>
              <w:rPr>
                <w:rFonts w:ascii="Georgia"/>
                <w:b/>
                <w:sz w:val="20"/>
              </w:rPr>
              <w:t>23,54%</w:t>
            </w:r>
          </w:p>
        </w:tc>
        <w:tc>
          <w:tcPr>
            <w:tcW w:w="994" w:type="dxa"/>
            <w:tcBorders>
              <w:top w:val="single" w:sz="4" w:space="0" w:color="2D74B5"/>
              <w:bottom w:val="single" w:sz="4" w:space="0" w:color="2D74B5"/>
            </w:tcBorders>
          </w:tcPr>
          <w:p>
            <w:pPr>
              <w:pStyle w:val="TableParagraph"/>
              <w:spacing w:line="226" w:lineRule="exact" w:before="0"/>
              <w:ind w:left="115"/>
              <w:jc w:val="left"/>
              <w:rPr>
                <w:rFonts w:ascii="Georgia"/>
                <w:b/>
                <w:sz w:val="20"/>
              </w:rPr>
            </w:pPr>
            <w:r>
              <w:rPr>
                <w:rFonts w:ascii="Georgia"/>
                <w:b/>
                <w:sz w:val="20"/>
              </w:rPr>
              <w:t>26,92%</w:t>
            </w:r>
          </w:p>
        </w:tc>
        <w:tc>
          <w:tcPr>
            <w:tcW w:w="991" w:type="dxa"/>
            <w:tcBorders>
              <w:top w:val="single" w:sz="4" w:space="0" w:color="2D74B5"/>
              <w:bottom w:val="single" w:sz="4" w:space="0" w:color="2D74B5"/>
            </w:tcBorders>
          </w:tcPr>
          <w:p>
            <w:pPr>
              <w:pStyle w:val="TableParagraph"/>
              <w:spacing w:line="226" w:lineRule="exact" w:before="0"/>
              <w:ind w:left="110"/>
              <w:jc w:val="left"/>
              <w:rPr>
                <w:rFonts w:ascii="Georgia"/>
                <w:b/>
                <w:sz w:val="20"/>
              </w:rPr>
            </w:pPr>
            <w:r>
              <w:rPr>
                <w:rFonts w:ascii="Georgia"/>
                <w:b/>
                <w:sz w:val="20"/>
              </w:rPr>
              <w:t>18,49%</w:t>
            </w:r>
          </w:p>
        </w:tc>
        <w:tc>
          <w:tcPr>
            <w:tcW w:w="1727" w:type="dxa"/>
            <w:tcBorders>
              <w:top w:val="single" w:sz="4" w:space="0" w:color="2D74B5"/>
              <w:bottom w:val="single" w:sz="4" w:space="0" w:color="2D74B5"/>
            </w:tcBorders>
          </w:tcPr>
          <w:p>
            <w:pPr>
              <w:pStyle w:val="TableParagraph"/>
              <w:spacing w:line="226" w:lineRule="exact" w:before="0"/>
              <w:ind w:left="108" w:right="132"/>
              <w:jc w:val="center"/>
              <w:rPr>
                <w:rFonts w:ascii="Georgia"/>
                <w:b/>
                <w:sz w:val="20"/>
              </w:rPr>
            </w:pPr>
            <w:r>
              <w:rPr>
                <w:rFonts w:ascii="Georgia"/>
                <w:b/>
                <w:sz w:val="20"/>
              </w:rPr>
              <w:t>100%</w:t>
            </w:r>
          </w:p>
        </w:tc>
      </w:tr>
      <w:tr>
        <w:trPr>
          <w:trHeight w:val="934" w:hRule="exact"/>
        </w:trPr>
        <w:tc>
          <w:tcPr>
            <w:tcW w:w="2485" w:type="dxa"/>
          </w:tcPr>
          <w:p>
            <w:pPr>
              <w:pStyle w:val="TableParagraph"/>
              <w:spacing w:before="0"/>
              <w:jc w:val="left"/>
              <w:rPr>
                <w:sz w:val="22"/>
              </w:rPr>
            </w:pPr>
          </w:p>
          <w:p>
            <w:pPr>
              <w:pStyle w:val="TableParagraph"/>
              <w:spacing w:before="3"/>
              <w:jc w:val="left"/>
              <w:rPr>
                <w:sz w:val="19"/>
              </w:rPr>
            </w:pPr>
          </w:p>
          <w:p>
            <w:pPr>
              <w:pStyle w:val="TableParagraph"/>
              <w:spacing w:before="0"/>
              <w:ind w:left="200"/>
              <w:jc w:val="left"/>
              <w:rPr>
                <w:rFonts w:ascii="Georgia" w:hAnsi="Georgia"/>
                <w:sz w:val="20"/>
              </w:rPr>
            </w:pPr>
            <w:r>
              <w:rPr>
                <w:rFonts w:ascii="Georgia" w:hAnsi="Georgia"/>
                <w:color w:val="1F4E79"/>
                <w:sz w:val="20"/>
              </w:rPr>
              <w:t>EV + C&amp;CE (€m)</w:t>
            </w:r>
          </w:p>
        </w:tc>
        <w:tc>
          <w:tcPr>
            <w:tcW w:w="972"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292"/>
              <w:jc w:val="left"/>
              <w:rPr>
                <w:rFonts w:ascii="Georgia"/>
                <w:sz w:val="20"/>
              </w:rPr>
            </w:pPr>
            <w:r>
              <w:rPr>
                <w:rFonts w:ascii="Georgia"/>
                <w:sz w:val="20"/>
              </w:rPr>
              <w:t>68,7</w:t>
            </w:r>
          </w:p>
        </w:tc>
        <w:tc>
          <w:tcPr>
            <w:tcW w:w="972"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288"/>
              <w:jc w:val="left"/>
              <w:rPr>
                <w:rFonts w:ascii="Georgia"/>
                <w:sz w:val="20"/>
              </w:rPr>
            </w:pPr>
            <w:r>
              <w:rPr>
                <w:rFonts w:ascii="Georgia"/>
                <w:sz w:val="20"/>
              </w:rPr>
              <w:t>44,8</w:t>
            </w:r>
          </w:p>
        </w:tc>
        <w:tc>
          <w:tcPr>
            <w:tcW w:w="994"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302"/>
              <w:jc w:val="left"/>
              <w:rPr>
                <w:rFonts w:ascii="Georgia"/>
                <w:sz w:val="20"/>
              </w:rPr>
            </w:pPr>
            <w:r>
              <w:rPr>
                <w:rFonts w:ascii="Georgia"/>
                <w:sz w:val="20"/>
              </w:rPr>
              <w:t>64,6</w:t>
            </w:r>
          </w:p>
        </w:tc>
        <w:tc>
          <w:tcPr>
            <w:tcW w:w="991"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310"/>
              <w:jc w:val="left"/>
              <w:rPr>
                <w:rFonts w:ascii="Georgia"/>
                <w:sz w:val="20"/>
              </w:rPr>
            </w:pPr>
            <w:r>
              <w:rPr>
                <w:rFonts w:ascii="Georgia"/>
                <w:sz w:val="20"/>
              </w:rPr>
              <w:t>35,1</w:t>
            </w:r>
          </w:p>
        </w:tc>
        <w:tc>
          <w:tcPr>
            <w:tcW w:w="1727"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112" w:right="131"/>
              <w:jc w:val="center"/>
              <w:rPr>
                <w:rFonts w:ascii="Georgia"/>
                <w:sz w:val="20"/>
              </w:rPr>
            </w:pPr>
            <w:r>
              <w:rPr>
                <w:rFonts w:ascii="Georgia"/>
                <w:sz w:val="20"/>
              </w:rPr>
              <w:t>213,3</w:t>
            </w:r>
          </w:p>
        </w:tc>
      </w:tr>
      <w:tr>
        <w:trPr>
          <w:trHeight w:val="471" w:hRule="exact"/>
        </w:trPr>
        <w:tc>
          <w:tcPr>
            <w:tcW w:w="2485" w:type="dxa"/>
          </w:tcPr>
          <w:p>
            <w:pPr>
              <w:pStyle w:val="TableParagraph"/>
              <w:spacing w:before="4"/>
              <w:ind w:left="200"/>
              <w:jc w:val="left"/>
              <w:rPr>
                <w:rFonts w:ascii="Georgia"/>
                <w:b/>
                <w:sz w:val="20"/>
              </w:rPr>
            </w:pPr>
            <w:r>
              <w:rPr>
                <w:rFonts w:ascii="Georgia"/>
                <w:b/>
                <w:color w:val="1F4E79"/>
                <w:sz w:val="20"/>
              </w:rPr>
              <w:t>Peso (%)</w:t>
            </w:r>
          </w:p>
        </w:tc>
        <w:tc>
          <w:tcPr>
            <w:tcW w:w="972" w:type="dxa"/>
            <w:tcBorders>
              <w:top w:val="single" w:sz="4" w:space="0" w:color="2D74B5"/>
              <w:bottom w:val="single" w:sz="4" w:space="0" w:color="2D74B5"/>
            </w:tcBorders>
          </w:tcPr>
          <w:p>
            <w:pPr>
              <w:pStyle w:val="TableParagraph"/>
              <w:spacing w:line="226" w:lineRule="exact" w:before="0"/>
              <w:ind w:left="108"/>
              <w:jc w:val="left"/>
              <w:rPr>
                <w:rFonts w:ascii="Georgia"/>
                <w:b/>
                <w:sz w:val="20"/>
              </w:rPr>
            </w:pPr>
            <w:r>
              <w:rPr>
                <w:rFonts w:ascii="Georgia"/>
                <w:b/>
                <w:sz w:val="20"/>
              </w:rPr>
              <w:t>32,22%</w:t>
            </w:r>
          </w:p>
        </w:tc>
        <w:tc>
          <w:tcPr>
            <w:tcW w:w="972" w:type="dxa"/>
            <w:tcBorders>
              <w:top w:val="single" w:sz="4" w:space="0" w:color="2D74B5"/>
              <w:bottom w:val="single" w:sz="4" w:space="0" w:color="2D74B5"/>
            </w:tcBorders>
          </w:tcPr>
          <w:p>
            <w:pPr>
              <w:pStyle w:val="TableParagraph"/>
              <w:spacing w:line="226" w:lineRule="exact" w:before="0"/>
              <w:ind w:left="130"/>
              <w:jc w:val="left"/>
              <w:rPr>
                <w:rFonts w:ascii="Georgia"/>
                <w:b/>
                <w:sz w:val="20"/>
              </w:rPr>
            </w:pPr>
            <w:r>
              <w:rPr>
                <w:rFonts w:ascii="Georgia"/>
                <w:b/>
                <w:sz w:val="20"/>
              </w:rPr>
              <w:t>21,01%</w:t>
            </w:r>
          </w:p>
        </w:tc>
        <w:tc>
          <w:tcPr>
            <w:tcW w:w="994" w:type="dxa"/>
            <w:tcBorders>
              <w:top w:val="single" w:sz="4" w:space="0" w:color="2D74B5"/>
              <w:bottom w:val="single" w:sz="4" w:space="0" w:color="2D74B5"/>
            </w:tcBorders>
          </w:tcPr>
          <w:p>
            <w:pPr>
              <w:pStyle w:val="TableParagraph"/>
              <w:spacing w:line="226" w:lineRule="exact" w:before="0"/>
              <w:ind w:left="110"/>
              <w:jc w:val="left"/>
              <w:rPr>
                <w:rFonts w:ascii="Georgia"/>
                <w:b/>
                <w:sz w:val="20"/>
              </w:rPr>
            </w:pPr>
            <w:r>
              <w:rPr>
                <w:rFonts w:ascii="Georgia"/>
                <w:b/>
                <w:sz w:val="20"/>
              </w:rPr>
              <w:t>30,29%</w:t>
            </w:r>
          </w:p>
        </w:tc>
        <w:tc>
          <w:tcPr>
            <w:tcW w:w="991" w:type="dxa"/>
            <w:tcBorders>
              <w:top w:val="single" w:sz="4" w:space="0" w:color="2D74B5"/>
              <w:bottom w:val="single" w:sz="4" w:space="0" w:color="2D74B5"/>
            </w:tcBorders>
          </w:tcPr>
          <w:p>
            <w:pPr>
              <w:pStyle w:val="TableParagraph"/>
              <w:spacing w:line="226" w:lineRule="exact" w:before="0"/>
              <w:ind w:left="125"/>
              <w:jc w:val="left"/>
              <w:rPr>
                <w:rFonts w:ascii="Georgia"/>
                <w:b/>
                <w:sz w:val="20"/>
              </w:rPr>
            </w:pPr>
            <w:r>
              <w:rPr>
                <w:rFonts w:ascii="Georgia"/>
                <w:b/>
                <w:sz w:val="20"/>
              </w:rPr>
              <w:t>16,47%</w:t>
            </w:r>
          </w:p>
        </w:tc>
        <w:tc>
          <w:tcPr>
            <w:tcW w:w="1727" w:type="dxa"/>
            <w:tcBorders>
              <w:top w:val="single" w:sz="4" w:space="0" w:color="2D74B5"/>
              <w:bottom w:val="single" w:sz="4" w:space="0" w:color="2D74B5"/>
            </w:tcBorders>
          </w:tcPr>
          <w:p>
            <w:pPr>
              <w:pStyle w:val="TableParagraph"/>
              <w:spacing w:line="226" w:lineRule="exact" w:before="0"/>
              <w:ind w:left="108" w:right="132"/>
              <w:jc w:val="center"/>
              <w:rPr>
                <w:rFonts w:ascii="Georgia"/>
                <w:b/>
                <w:sz w:val="20"/>
              </w:rPr>
            </w:pPr>
            <w:r>
              <w:rPr>
                <w:rFonts w:ascii="Georgia"/>
                <w:b/>
                <w:sz w:val="20"/>
              </w:rPr>
              <w:t>100%</w:t>
            </w:r>
          </w:p>
        </w:tc>
      </w:tr>
    </w:tbl>
    <w:p>
      <w:pPr>
        <w:pStyle w:val="BodyText"/>
        <w:rPr>
          <w:sz w:val="26"/>
        </w:rPr>
      </w:pPr>
    </w:p>
    <w:p>
      <w:pPr>
        <w:pStyle w:val="BodyText"/>
        <w:spacing w:before="10"/>
        <w:rPr>
          <w:sz w:val="21"/>
        </w:rPr>
      </w:pPr>
    </w:p>
    <w:p>
      <w:pPr>
        <w:pStyle w:val="BodyText"/>
        <w:spacing w:line="480" w:lineRule="auto" w:before="1"/>
        <w:ind w:left="1418" w:right="1413"/>
        <w:jc w:val="both"/>
      </w:pPr>
      <w:r>
        <w:rPr/>
        <w:t>Nel quadro delineato, gli scriventi ritengono di non avere competenze specialistiche per poter sottoporre ad una valutazione critica i contenuti (vale a dire le assunzioni e le ipotesi gestionali) dei piani utilizzati per gli esercizi 2016 e 2015 e del piano</w:t>
      </w:r>
      <w:r>
        <w:rPr>
          <w:spacing w:val="-17"/>
        </w:rPr>
        <w:t> </w:t>
      </w:r>
      <w:r>
        <w:rPr/>
        <w:t>2018-2022.</w:t>
      </w:r>
    </w:p>
    <w:p>
      <w:pPr>
        <w:pStyle w:val="BodyText"/>
        <w:spacing w:line="480" w:lineRule="auto"/>
        <w:ind w:left="1418" w:right="1416"/>
        <w:jc w:val="both"/>
      </w:pPr>
      <w:r>
        <w:rPr/>
        <w:t>Ciò nondimeno, come ulteriore contributo informativo della presente Relazione, si è ritenuto di prospettare una ipotesi di percorso alternativo per la valutazione della partecipazione IBP Srl al  31 dicembre 2016, ed i relativi effetti sul patrimonio netto di</w:t>
      </w:r>
      <w:r>
        <w:rPr>
          <w:spacing w:val="-27"/>
        </w:rPr>
        <w:t> </w:t>
      </w:r>
      <w:r>
        <w:rPr/>
        <w:t>Biochemtex.</w:t>
      </w:r>
    </w:p>
    <w:p>
      <w:pPr>
        <w:pStyle w:val="BodyText"/>
        <w:ind w:left="1418"/>
        <w:jc w:val="both"/>
      </w:pPr>
      <w:r>
        <w:rPr/>
        <w:t>Il percorso seguito si articola nei seguenti passaggi.</w:t>
      </w:r>
    </w:p>
    <w:p>
      <w:pPr>
        <w:pStyle w:val="BodyText"/>
        <w:spacing w:before="10"/>
        <w:rPr>
          <w:sz w:val="23"/>
        </w:rPr>
      </w:pPr>
    </w:p>
    <w:p>
      <w:pPr>
        <w:pStyle w:val="BodyText"/>
        <w:spacing w:line="480" w:lineRule="auto" w:before="1"/>
        <w:ind w:left="1418" w:right="1420"/>
        <w:jc w:val="both"/>
      </w:pPr>
      <w:r>
        <w:rPr/>
        <w:t>In primis gli scriventi hanno valorizzato al 31 dicembre 2016, sulla base dei valori determinati dalla perizia Cattaneo, la controllata IBP Srl (detenuta al 100% da Biochemtex), secondo il seguente procedimento.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0"/>
          <w:numId w:val="14"/>
        </w:numPr>
        <w:tabs>
          <w:tab w:pos="2127" w:val="left" w:leader="none"/>
        </w:tabs>
        <w:spacing w:line="453" w:lineRule="auto" w:before="100" w:after="0"/>
        <w:ind w:left="2138" w:right="1411" w:hanging="360"/>
        <w:jc w:val="both"/>
        <w:rPr>
          <w:sz w:val="24"/>
        </w:rPr>
      </w:pPr>
      <w:r>
        <w:rPr>
          <w:sz w:val="24"/>
        </w:rPr>
        <w:t>Dalla perizia Cattaneo risulta che il valore di IBP Srl al 01.01.2018, in termini di </w:t>
      </w:r>
      <w:r>
        <w:rPr>
          <w:i/>
          <w:sz w:val="24"/>
        </w:rPr>
        <w:t>Enterprise </w:t>
      </w:r>
      <w:r>
        <w:rPr>
          <w:i/>
          <w:sz w:val="24"/>
        </w:rPr>
        <w:t>Value </w:t>
      </w:r>
      <w:r>
        <w:rPr>
          <w:sz w:val="24"/>
        </w:rPr>
        <w:t>e </w:t>
      </w:r>
      <w:r>
        <w:rPr>
          <w:i/>
          <w:sz w:val="24"/>
        </w:rPr>
        <w:t>Cash/Cash Equivalent</w:t>
      </w:r>
      <w:r>
        <w:rPr>
          <w:sz w:val="24"/>
        </w:rPr>
        <w:t>, possa essere stimato in Euro 64,6</w:t>
      </w:r>
      <w:r>
        <w:rPr>
          <w:spacing w:val="-24"/>
          <w:sz w:val="24"/>
        </w:rPr>
        <w:t> </w:t>
      </w:r>
      <w:r>
        <w:rPr>
          <w:sz w:val="24"/>
        </w:rPr>
        <w:t>mln.</w:t>
      </w:r>
    </w:p>
    <w:p>
      <w:pPr>
        <w:pStyle w:val="ListParagraph"/>
        <w:numPr>
          <w:ilvl w:val="0"/>
          <w:numId w:val="14"/>
        </w:numPr>
        <w:tabs>
          <w:tab w:pos="2127" w:val="left" w:leader="none"/>
        </w:tabs>
        <w:spacing w:line="470" w:lineRule="auto" w:before="227" w:after="0"/>
        <w:ind w:left="2138" w:right="1414" w:hanging="360"/>
        <w:jc w:val="both"/>
        <w:rPr>
          <w:sz w:val="24"/>
        </w:rPr>
      </w:pPr>
      <w:r>
        <w:rPr>
          <w:sz w:val="24"/>
        </w:rPr>
        <w:t>Gli scriventi, sulla base dell’indicazione fornita dalla Società, hanno tenuto conto del fatto che la Società ha “assorbito” nel corso del 2017 un ammontare di cassa pari a circa Euro 15 mln, e pertanto ritengono approssimabile in Euro 79,6 mln il valore dell’</w:t>
      </w:r>
      <w:r>
        <w:rPr>
          <w:i/>
          <w:sz w:val="24"/>
        </w:rPr>
        <w:t>Enterpise Value </w:t>
      </w:r>
      <w:r>
        <w:rPr>
          <w:sz w:val="24"/>
        </w:rPr>
        <w:t>di IBP al</w:t>
      </w:r>
      <w:r>
        <w:rPr>
          <w:spacing w:val="-3"/>
          <w:sz w:val="24"/>
        </w:rPr>
        <w:t> </w:t>
      </w:r>
      <w:r>
        <w:rPr>
          <w:sz w:val="24"/>
        </w:rPr>
        <w:t>31.12.2016.</w:t>
      </w:r>
    </w:p>
    <w:p>
      <w:pPr>
        <w:pStyle w:val="ListParagraph"/>
        <w:numPr>
          <w:ilvl w:val="0"/>
          <w:numId w:val="14"/>
        </w:numPr>
        <w:tabs>
          <w:tab w:pos="2127" w:val="left" w:leader="none"/>
        </w:tabs>
        <w:spacing w:line="475" w:lineRule="auto" w:before="210" w:after="0"/>
        <w:ind w:left="2138" w:right="1413" w:hanging="360"/>
        <w:jc w:val="both"/>
        <w:rPr>
          <w:sz w:val="24"/>
        </w:rPr>
      </w:pPr>
      <w:r>
        <w:rPr>
          <w:sz w:val="24"/>
        </w:rPr>
        <w:t>La valorizzazione della Posizione Finanziaria di IBP è stata desunta dalla Relazione sulla gestione al bilancio 2016 di IBP (pari ad Euro 110,7 mln e composta da debiti verso gli istituti di credito per euro 20 mln, da debiti verso la controllante Biochemtex per euro  13,5 mln e da debiti verso Beta Renewables di euro 90 mln a fronte di attività liquide per circa euro 13,4 mln – cfr pag. 7 Relazione sulla Gestione 2016) ed è stata poi rettificata attualizzando a tale data il valore del debito infruttifero di IBP verso Beta Renewables (tasso di attualizzazione assunto quale </w:t>
      </w:r>
      <w:r>
        <w:rPr>
          <w:i/>
          <w:sz w:val="24"/>
        </w:rPr>
        <w:t>Kd </w:t>
      </w:r>
      <w:r>
        <w:rPr>
          <w:sz w:val="24"/>
        </w:rPr>
        <w:t>pari al 4,1% - utilizzando il medesimo parametro utilizzato da Deloitte nella perizia del 2015 per l’attualizzazione del debito). La PFN di IBP è stata così rideterminata in Euro 94,33 mln al</w:t>
      </w:r>
      <w:r>
        <w:rPr>
          <w:spacing w:val="-17"/>
          <w:sz w:val="24"/>
        </w:rPr>
        <w:t> </w:t>
      </w:r>
      <w:r>
        <w:rPr>
          <w:sz w:val="24"/>
        </w:rPr>
        <w:t>31.12.2016.</w:t>
      </w:r>
    </w:p>
    <w:p>
      <w:pPr>
        <w:pStyle w:val="ListParagraph"/>
        <w:numPr>
          <w:ilvl w:val="0"/>
          <w:numId w:val="14"/>
        </w:numPr>
        <w:tabs>
          <w:tab w:pos="2127" w:val="left" w:leader="none"/>
        </w:tabs>
        <w:spacing w:line="472" w:lineRule="auto" w:before="203" w:after="0"/>
        <w:ind w:left="2138" w:right="1417" w:hanging="360"/>
        <w:jc w:val="both"/>
        <w:rPr>
          <w:sz w:val="24"/>
        </w:rPr>
      </w:pPr>
      <w:r>
        <w:rPr>
          <w:sz w:val="24"/>
        </w:rPr>
        <w:t>Il valore della partecipazione di Biochemtex in IBP Srl al 31.12.2016 è stato quindi calcolato sottraendo dall’ </w:t>
      </w:r>
      <w:r>
        <w:rPr>
          <w:i/>
          <w:sz w:val="24"/>
        </w:rPr>
        <w:t>Enterprise value, </w:t>
      </w:r>
      <w:r>
        <w:rPr>
          <w:sz w:val="24"/>
        </w:rPr>
        <w:t>come sopra ricalcolato a tale data, valorizzato in Euro 79,6 milioni, la Posizione Finanziaria Netta di Euro 94,33 ottenendo il risultato negativo di Euro 14,73 mln. Ciò avrebbe comportato l’integrale svalutazione dell’asset nel bilancio 2016 di Biochemtex (iscritto al valore di euro</w:t>
      </w:r>
      <w:r>
        <w:rPr>
          <w:spacing w:val="-17"/>
          <w:sz w:val="24"/>
        </w:rPr>
        <w:t> </w:t>
      </w:r>
      <w:r>
        <w:rPr>
          <w:sz w:val="24"/>
        </w:rPr>
        <w:t>112.044.468).</w:t>
      </w:r>
    </w:p>
    <w:p>
      <w:pPr>
        <w:spacing w:after="0" w:line="472"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5"/>
        <w:jc w:val="both"/>
      </w:pPr>
      <w:r>
        <w:rPr/>
        <w:t>L’ulteriore conseguenza del risultato sopra raggiunto è quella di dover svalutare il credito finanziario di Biochemtex nei confronti di IBP (pari ad euro 13,5 mln al 31.12.2016). In particolare, il </w:t>
      </w:r>
      <w:r>
        <w:rPr>
          <w:i/>
        </w:rPr>
        <w:t>write-off </w:t>
      </w:r>
      <w:r>
        <w:rPr/>
        <w:t>dell’importo divenuto inesigibile sarebbe pari ad Euro 1,91 mln, corrispondente alla attribuzione pro quota ai crediti finanziari di Biochemtex e Beta Renewables del deficit patrimoniale di IBP al 31.12.2016 (con una svalutazione del 14 % circa dei rispettivi crediti).</w:t>
      </w:r>
    </w:p>
    <w:p>
      <w:pPr>
        <w:pStyle w:val="BodyText"/>
        <w:spacing w:line="480" w:lineRule="auto" w:before="201"/>
        <w:ind w:left="1418" w:right="1416"/>
        <w:jc w:val="both"/>
      </w:pPr>
      <w:r>
        <w:rPr/>
        <w:t>In definitiva, alla luce di tali rettifiche (pari complessivamente ad euro 113,95 mln), il patrimonio netto di Biochemtex alla data del 31.12.2016 (contabilmente pari ad euro 74,4 milioni) diverrebbe negativo per Euro 39,520 mln.</w:t>
      </w:r>
    </w:p>
    <w:p>
      <w:pPr>
        <w:pStyle w:val="BodyText"/>
        <w:spacing w:line="480" w:lineRule="auto" w:before="198"/>
        <w:ind w:left="1418" w:right="1412"/>
        <w:jc w:val="both"/>
      </w:pPr>
      <w:r>
        <w:rPr/>
        <w:t>Come si è già detto, l’esercizio svolto in questo paragrafo riflette le ipotesi di lavoro indicate nei punti precedenti, nella consapevolezza che l’attendibilità delle risultanze raggiunte sconta l’impiego di un piano diverso rispetto a quello utilizzato per l’esecuzione dell’impairment test al 31 dicembre 2016, con differenti flussi che potrebbero essere condizionati da fatti successivi, come pure differenti ipotesi nel tasso di attualizzazione (mutuate dalla perizia Cattaneo) e nell’orizzonte temporale di</w:t>
      </w:r>
      <w:r>
        <w:rPr>
          <w:spacing w:val="-4"/>
        </w:rPr>
        <w:t> </w:t>
      </w:r>
      <w:r>
        <w:rPr/>
        <w:t>riferimento.</w:t>
      </w:r>
    </w:p>
    <w:p>
      <w:pPr>
        <w:pStyle w:val="BodyText"/>
        <w:spacing w:line="480" w:lineRule="auto" w:before="198"/>
        <w:ind w:left="1418" w:right="1412"/>
        <w:jc w:val="both"/>
      </w:pPr>
      <w:r>
        <w:rPr/>
        <w:t>Sul punto si rinvia alla tesi espressa dalla Società nel Ricorso (par. 4.3) secondo la quale il debito di Euro 90 mln di IBP Srl nei confronti di Beta andrebbe considerato quale capitale. </w:t>
      </w:r>
      <w:r>
        <w:rPr>
          <w:spacing w:val="2"/>
        </w:rPr>
        <w:t>Gli </w:t>
      </w:r>
      <w:r>
        <w:rPr/>
        <w:t>scriventi danno atto dei motivi sottostanti alla prospettazione della Società ed argomentati nel Ricorso che conducono ad una differente ipotesi valutativa di IBP al 31.12.2016 (in tal caso il Patrimonio Netto di IBP si manterrebbe</w:t>
      </w:r>
      <w:r>
        <w:rPr>
          <w:spacing w:val="-15"/>
        </w:rPr>
        <w:t> </w:t>
      </w:r>
      <w:r>
        <w:rPr/>
        <w:t>positivo).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2"/>
          <w:numId w:val="13"/>
        </w:numPr>
        <w:tabs>
          <w:tab w:pos="2271" w:val="left" w:leader="none"/>
        </w:tabs>
        <w:spacing w:line="240" w:lineRule="auto" w:before="100" w:after="0"/>
        <w:ind w:left="2270" w:right="0" w:hanging="852"/>
        <w:jc w:val="both"/>
      </w:pPr>
      <w:bookmarkStart w:name="_bookmark18" w:id="36"/>
      <w:bookmarkEnd w:id="36"/>
      <w:r>
        <w:rPr>
          <w:b w:val="0"/>
        </w:rPr>
      </w:r>
      <w:bookmarkStart w:name="_bookmark18" w:id="37"/>
      <w:bookmarkEnd w:id="37"/>
      <w:r>
        <w:rPr/>
        <w:t>Ra</w:t>
      </w:r>
      <w:r>
        <w:rPr/>
        <w:t>pporti con talune “parti</w:t>
      </w:r>
      <w:r>
        <w:rPr>
          <w:spacing w:val="-9"/>
        </w:rPr>
        <w:t> </w:t>
      </w:r>
      <w:r>
        <w:rPr/>
        <w:t>correlate”</w:t>
      </w:r>
    </w:p>
    <w:p>
      <w:pPr>
        <w:pStyle w:val="BodyText"/>
        <w:rPr>
          <w:b/>
          <w:sz w:val="26"/>
        </w:rPr>
      </w:pPr>
    </w:p>
    <w:p>
      <w:pPr>
        <w:pStyle w:val="BodyText"/>
        <w:spacing w:line="480" w:lineRule="auto" w:before="179"/>
        <w:ind w:left="1418" w:right="1421"/>
        <w:jc w:val="both"/>
      </w:pPr>
      <w:r>
        <w:rPr/>
        <w:t>Come risulta dall’esame dei bilanci 2015 e 2016, la Società ha intrattenuto intensi rapporti con la consociata Chemtex International.</w:t>
      </w:r>
    </w:p>
    <w:p>
      <w:pPr>
        <w:pStyle w:val="BodyText"/>
        <w:spacing w:line="480" w:lineRule="auto"/>
        <w:ind w:left="1418" w:right="1412"/>
        <w:jc w:val="both"/>
      </w:pPr>
      <w:r>
        <w:rPr/>
        <w:t>In estrema sintesi come rappresentato dalla Società e riportato nei </w:t>
      </w:r>
      <w:r>
        <w:rPr>
          <w:i/>
        </w:rPr>
        <w:t>Deliverables </w:t>
      </w:r>
      <w:r>
        <w:rPr/>
        <w:t>di Deloitte conegnatici dal management della Ricorrente nel corso dell’esercizio 2016 Biochemtex rileva costi per euro 28,38 milioni e il debito dell’esercizio 2016 rispetto al precedente esercizio aumento di circa euro 500 mila. Risultano quindi effettuati pagamenti per circa euro 27 milioni.</w:t>
      </w:r>
    </w:p>
    <w:p>
      <w:pPr>
        <w:pStyle w:val="BodyText"/>
        <w:spacing w:line="480" w:lineRule="auto"/>
        <w:ind w:left="1418" w:right="1417"/>
        <w:jc w:val="both"/>
      </w:pPr>
      <w:r>
        <w:rPr/>
        <w:t>Nel corso dell’esercizio 2017 non vi sono pagamenti a favore di Chemtex International e il debito di Biochemtex verso tale società si incrementa di circa euro 8 milioni.</w:t>
      </w:r>
    </w:p>
    <w:p>
      <w:pPr>
        <w:pStyle w:val="BodyText"/>
        <w:spacing w:line="480" w:lineRule="auto"/>
        <w:ind w:left="1418" w:right="1410"/>
        <w:jc w:val="both"/>
      </w:pPr>
      <w:r>
        <w:rPr/>
        <w:t>Sulla base delle ricostruzioni rappresentate dalla Società riportate nei </w:t>
      </w:r>
      <w:r>
        <w:rPr>
          <w:i/>
        </w:rPr>
        <w:t>Deliverables </w:t>
      </w:r>
      <w:r>
        <w:rPr/>
        <w:t>di Deloitte consegnatici e discussi con il management della società risulta che i rapporti intrattenuti con Chemtex International sono principalmente di natura commerciale e si riferiscono alla fornitura  di servizi/attività riguardanti specifiche commesse (nei </w:t>
      </w:r>
      <w:r>
        <w:rPr>
          <w:i/>
        </w:rPr>
        <w:t>Deliverables </w:t>
      </w:r>
      <w:r>
        <w:rPr/>
        <w:t>Deloitte che ci sono stati consegnati dal management della società vengono descritte le principali pattuizioni relative alle commesse di cui trattasi). I rapporti finanziari si riferiscono invece ad anticipazioni finanziarie effettuate da Chemtex International a taluni fornitori per conto di</w:t>
      </w:r>
      <w:r>
        <w:rPr>
          <w:spacing w:val="-33"/>
        </w:rPr>
        <w:t> </w:t>
      </w:r>
      <w:r>
        <w:rPr/>
        <w:t>Biochemtex.</w:t>
      </w:r>
    </w:p>
    <w:p>
      <w:pPr>
        <w:pStyle w:val="BodyText"/>
        <w:ind w:left="1418"/>
        <w:jc w:val="both"/>
      </w:pPr>
      <w:r>
        <w:rPr/>
        <w:t>Dai bilanci risulta inoltre che Biochemtex ha intrattenuto rapporti con Hepta Capital SA.</w:t>
      </w:r>
    </w:p>
    <w:p>
      <w:pPr>
        <w:pStyle w:val="BodyText"/>
      </w:pPr>
    </w:p>
    <w:p>
      <w:pPr>
        <w:pStyle w:val="BodyText"/>
        <w:spacing w:line="480" w:lineRule="auto"/>
        <w:ind w:left="1418" w:right="1412"/>
        <w:jc w:val="both"/>
      </w:pPr>
      <w:r>
        <w:rPr/>
        <w:t>In effetti, come ricostruito dalla Società e riportato nei </w:t>
      </w:r>
      <w:r>
        <w:rPr>
          <w:i/>
        </w:rPr>
        <w:t>Deliverables </w:t>
      </w:r>
      <w:r>
        <w:rPr/>
        <w:t>di Deloitte consegnatici dalla Società, l’operatività con tale Società risulta particolarmente intensa nel periodo 2014/2016 con pagamenti complessivi di euro 4,2 milioni.</w:t>
      </w:r>
    </w:p>
    <w:p>
      <w:pPr>
        <w:pStyle w:val="BodyText"/>
        <w:spacing w:line="480" w:lineRule="auto"/>
        <w:ind w:left="1418" w:right="1416"/>
        <w:jc w:val="both"/>
      </w:pPr>
      <w:r>
        <w:rPr/>
        <w:t>Le prestazioni (svolte da due persone in tutto ovvero il sig. Ettore Bonaldi ed un'altra risorsa) risultano  riferibili  ad  attività  di  consulenza  e  supervisione  ingegneristica  degli  impianti    </w:t>
      </w:r>
      <w:r>
        <w:rPr>
          <w:spacing w:val="57"/>
        </w:rPr>
        <w:t> </w:t>
      </w:r>
      <w:r>
        <w:rPr/>
        <w:t>di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7"/>
        <w:jc w:val="both"/>
      </w:pPr>
      <w:r>
        <w:rPr/>
        <w:t>produzione del bioetanolo e di energia elettrica situati a Crescentino (di proprietà rispettivamente di IBP Srl e di IBP Energia Srl).</w:t>
      </w:r>
    </w:p>
    <w:p>
      <w:pPr>
        <w:pStyle w:val="BodyText"/>
        <w:spacing w:line="480" w:lineRule="auto"/>
        <w:ind w:left="1418" w:right="1415"/>
        <w:jc w:val="both"/>
      </w:pPr>
      <w:r>
        <w:rPr/>
        <w:t>Per quanto attiene ai rapporti tra IBP Srl ed Hepta si rinvia al paragrafo 2.3.2 Relazione ex art.  161 3° co. l. fall. IBP</w:t>
      </w:r>
      <w:r>
        <w:rPr>
          <w:spacing w:val="-7"/>
        </w:rPr>
        <w:t> </w:t>
      </w:r>
      <w:r>
        <w:rPr/>
        <w:t>Srl).</w:t>
      </w:r>
    </w:p>
    <w:p>
      <w:pPr>
        <w:pStyle w:val="BodyText"/>
        <w:rPr>
          <w:sz w:val="26"/>
        </w:rPr>
      </w:pPr>
    </w:p>
    <w:p>
      <w:pPr>
        <w:pStyle w:val="BodyText"/>
        <w:rPr>
          <w:sz w:val="26"/>
        </w:rPr>
      </w:pPr>
    </w:p>
    <w:p>
      <w:pPr>
        <w:pStyle w:val="Heading2"/>
        <w:numPr>
          <w:ilvl w:val="2"/>
          <w:numId w:val="13"/>
        </w:numPr>
        <w:tabs>
          <w:tab w:pos="2127" w:val="left" w:leader="none"/>
        </w:tabs>
        <w:spacing w:line="240" w:lineRule="auto" w:before="152" w:after="0"/>
        <w:ind w:left="2126" w:right="0" w:hanging="708"/>
        <w:jc w:val="both"/>
      </w:pPr>
      <w:bookmarkStart w:name="_bookmark19" w:id="38"/>
      <w:bookmarkEnd w:id="38"/>
      <w:r>
        <w:rPr>
          <w:b w:val="0"/>
        </w:rPr>
      </w:r>
      <w:bookmarkStart w:name="_bookmark19" w:id="39"/>
      <w:bookmarkEnd w:id="39"/>
      <w:r>
        <w:rPr/>
        <w:t>Il</w:t>
      </w:r>
      <w:r>
        <w:rPr/>
        <w:t> finanziamento BEI ed i pagamenti effettuati alle banche nel 2016 e</w:t>
      </w:r>
      <w:r>
        <w:rPr>
          <w:spacing w:val="-25"/>
        </w:rPr>
        <w:t> </w:t>
      </w:r>
      <w:r>
        <w:rPr/>
        <w:t>2017</w:t>
      </w:r>
    </w:p>
    <w:p>
      <w:pPr>
        <w:pStyle w:val="BodyText"/>
        <w:rPr>
          <w:b/>
          <w:sz w:val="26"/>
        </w:rPr>
      </w:pPr>
    </w:p>
    <w:p>
      <w:pPr>
        <w:pStyle w:val="BodyText"/>
        <w:spacing w:before="9"/>
        <w:rPr>
          <w:b/>
          <w:sz w:val="21"/>
        </w:rPr>
      </w:pPr>
    </w:p>
    <w:p>
      <w:pPr>
        <w:pStyle w:val="BodyText"/>
        <w:spacing w:line="480" w:lineRule="auto"/>
        <w:ind w:left="1418" w:right="1414"/>
        <w:jc w:val="both"/>
      </w:pPr>
      <w:r>
        <w:rPr/>
        <w:t>Come indicato nel paragrafo 2.1 nell’esercizio 2014 BEI eroga alla Società il finanziamento di euro 65 milioni (garantito da un pool di 4 banche italiane, a loro volta garantite dalla controllante M&amp;G</w:t>
      </w:r>
      <w:r>
        <w:rPr>
          <w:spacing w:val="-9"/>
        </w:rPr>
        <w:t> </w:t>
      </w:r>
      <w:r>
        <w:rPr/>
        <w:t>Finanziaria).</w:t>
      </w:r>
    </w:p>
    <w:p>
      <w:pPr>
        <w:spacing w:line="480" w:lineRule="auto" w:before="0"/>
        <w:ind w:left="1418" w:right="1409" w:firstLine="0"/>
        <w:jc w:val="both"/>
        <w:rPr>
          <w:sz w:val="24"/>
        </w:rPr>
      </w:pPr>
      <w:r>
        <w:rPr>
          <w:sz w:val="24"/>
        </w:rPr>
        <w:t>Nella nota integrativa del bilancio 2014 (pag. 50) si legge che “</w:t>
      </w:r>
      <w:r>
        <w:rPr>
          <w:i/>
          <w:sz w:val="24"/>
        </w:rPr>
        <w:t>detto finanziamento è stato concesso con  </w:t>
      </w:r>
      <w:r>
        <w:rPr>
          <w:i/>
          <w:sz w:val="24"/>
        </w:rPr>
        <w:t>lo scopo specifico di permettere alla Società la realizzazione di un progetto relativo a investimenti di ricerca e sviluppo per gli anni 2013-2016 …. il fabbisogno finanziario complessivo del progetto di ricerca e sviluppo valutato dalla BEI ai fini della concessione del finanziamento è di euro 133 milioni, di cui euro 65 milioni finanziati dalla BEI e per la restante da sviluppare con risorse della</w:t>
      </w:r>
      <w:r>
        <w:rPr>
          <w:i/>
          <w:spacing w:val="-26"/>
          <w:sz w:val="24"/>
        </w:rPr>
        <w:t> </w:t>
      </w:r>
      <w:r>
        <w:rPr>
          <w:i/>
          <w:sz w:val="24"/>
        </w:rPr>
        <w:t>società</w:t>
      </w:r>
      <w:r>
        <w:rPr>
          <w:sz w:val="24"/>
        </w:rPr>
        <w:t>”.</w:t>
      </w:r>
    </w:p>
    <w:p>
      <w:pPr>
        <w:pStyle w:val="BodyText"/>
        <w:spacing w:line="480" w:lineRule="auto"/>
        <w:ind w:left="1418" w:right="1413"/>
      </w:pPr>
      <w:r>
        <w:rPr/>
        <w:t>Sulla base di quanto riportato nel contratto di finanziamento, il progetto in questione si sostanziava nella progettazione, costruzione e gestione di 5 impianti pilota (di cui 3 presso il centro ricerca e sviluppo di Rivalta Scrivia e 2 presso il centro di ricerca e sviluppo di Modugno). La liquidità derivante dal finanziamento in esame è confluita nel </w:t>
      </w:r>
      <w:r>
        <w:rPr>
          <w:i/>
        </w:rPr>
        <w:t>cash pooling </w:t>
      </w:r>
      <w:r>
        <w:rPr/>
        <w:t>dando luogo all’incremento del credito nei confronti di M&amp;G Finanziaria nell’esercizio 2014.</w:t>
      </w:r>
    </w:p>
    <w:p>
      <w:pPr>
        <w:spacing w:line="480" w:lineRule="auto" w:before="0"/>
        <w:ind w:left="1418" w:right="1413" w:firstLine="0"/>
        <w:jc w:val="both"/>
        <w:rPr>
          <w:i/>
          <w:sz w:val="24"/>
        </w:rPr>
      </w:pPr>
      <w:r>
        <w:rPr>
          <w:sz w:val="24"/>
        </w:rPr>
        <w:t>Nel medesimo bilancio si afferma inoltre che il complessivo credito derivante da </w:t>
      </w:r>
      <w:r>
        <w:rPr>
          <w:i/>
          <w:sz w:val="24"/>
        </w:rPr>
        <w:t>cash pooling </w:t>
      </w:r>
      <w:r>
        <w:rPr>
          <w:sz w:val="24"/>
        </w:rPr>
        <w:t>è destinato ad essere rimborsato in misura significativa “</w:t>
      </w:r>
      <w:r>
        <w:rPr>
          <w:i/>
          <w:sz w:val="24"/>
        </w:rPr>
        <w:t>tramite un processo di riorganizzazione del </w:t>
      </w:r>
      <w:r>
        <w:rPr>
          <w:i/>
          <w:sz w:val="24"/>
        </w:rPr>
        <w:t>Gruppo</w:t>
      </w:r>
      <w:r>
        <w:rPr>
          <w:i/>
          <w:spacing w:val="17"/>
          <w:sz w:val="24"/>
        </w:rPr>
        <w:t> </w:t>
      </w:r>
      <w:r>
        <w:rPr>
          <w:i/>
          <w:sz w:val="24"/>
        </w:rPr>
        <w:t>che</w:t>
      </w:r>
      <w:r>
        <w:rPr>
          <w:i/>
          <w:spacing w:val="17"/>
          <w:sz w:val="24"/>
        </w:rPr>
        <w:t> </w:t>
      </w:r>
      <w:r>
        <w:rPr>
          <w:i/>
          <w:sz w:val="24"/>
        </w:rPr>
        <w:t>prevede</w:t>
      </w:r>
      <w:r>
        <w:rPr>
          <w:i/>
          <w:spacing w:val="17"/>
          <w:sz w:val="24"/>
        </w:rPr>
        <w:t> </w:t>
      </w:r>
      <w:r>
        <w:rPr>
          <w:i/>
          <w:sz w:val="24"/>
        </w:rPr>
        <w:t>l’acquisto</w:t>
      </w:r>
      <w:r>
        <w:rPr>
          <w:i/>
          <w:spacing w:val="16"/>
          <w:sz w:val="24"/>
        </w:rPr>
        <w:t> </w:t>
      </w:r>
      <w:r>
        <w:rPr>
          <w:i/>
          <w:sz w:val="24"/>
        </w:rPr>
        <w:t>da</w:t>
      </w:r>
      <w:r>
        <w:rPr>
          <w:i/>
          <w:spacing w:val="18"/>
          <w:sz w:val="24"/>
        </w:rPr>
        <w:t> </w:t>
      </w:r>
      <w:r>
        <w:rPr>
          <w:i/>
          <w:sz w:val="24"/>
        </w:rPr>
        <w:t>parte</w:t>
      </w:r>
      <w:r>
        <w:rPr>
          <w:i/>
          <w:spacing w:val="17"/>
          <w:sz w:val="24"/>
        </w:rPr>
        <w:t> </w:t>
      </w:r>
      <w:r>
        <w:rPr>
          <w:i/>
          <w:sz w:val="24"/>
        </w:rPr>
        <w:t>della</w:t>
      </w:r>
      <w:r>
        <w:rPr>
          <w:i/>
          <w:spacing w:val="18"/>
          <w:sz w:val="24"/>
        </w:rPr>
        <w:t> </w:t>
      </w:r>
      <w:r>
        <w:rPr>
          <w:i/>
          <w:sz w:val="24"/>
        </w:rPr>
        <w:t>Biochemtex</w:t>
      </w:r>
      <w:r>
        <w:rPr>
          <w:i/>
          <w:spacing w:val="17"/>
          <w:sz w:val="24"/>
        </w:rPr>
        <w:t> </w:t>
      </w:r>
      <w:r>
        <w:rPr>
          <w:i/>
          <w:sz w:val="24"/>
        </w:rPr>
        <w:t>SpA</w:t>
      </w:r>
      <w:r>
        <w:rPr>
          <w:i/>
          <w:spacing w:val="17"/>
          <w:sz w:val="24"/>
        </w:rPr>
        <w:t> </w:t>
      </w:r>
      <w:r>
        <w:rPr>
          <w:i/>
          <w:sz w:val="24"/>
        </w:rPr>
        <w:t>delle</w:t>
      </w:r>
      <w:r>
        <w:rPr>
          <w:i/>
          <w:spacing w:val="17"/>
          <w:sz w:val="24"/>
        </w:rPr>
        <w:t> </w:t>
      </w:r>
      <w:r>
        <w:rPr>
          <w:i/>
          <w:sz w:val="24"/>
        </w:rPr>
        <w:t>società</w:t>
      </w:r>
      <w:r>
        <w:rPr>
          <w:i/>
          <w:spacing w:val="18"/>
          <w:sz w:val="24"/>
        </w:rPr>
        <w:t> </w:t>
      </w:r>
      <w:r>
        <w:rPr>
          <w:i/>
          <w:sz w:val="24"/>
        </w:rPr>
        <w:t>del</w:t>
      </w:r>
      <w:r>
        <w:rPr>
          <w:i/>
          <w:spacing w:val="17"/>
          <w:sz w:val="24"/>
        </w:rPr>
        <w:t> </w:t>
      </w:r>
      <w:r>
        <w:rPr>
          <w:i/>
          <w:sz w:val="24"/>
        </w:rPr>
        <w:t>Gruppo</w:t>
      </w:r>
      <w:r>
        <w:rPr>
          <w:i/>
          <w:spacing w:val="19"/>
          <w:sz w:val="24"/>
        </w:rPr>
        <w:t> </w:t>
      </w:r>
      <w:r>
        <w:rPr>
          <w:i/>
          <w:sz w:val="24"/>
        </w:rPr>
        <w:t>Bio</w:t>
      </w:r>
      <w:r>
        <w:rPr>
          <w:i/>
          <w:spacing w:val="17"/>
          <w:sz w:val="24"/>
        </w:rPr>
        <w:t> </w:t>
      </w:r>
      <w:r>
        <w:rPr>
          <w:i/>
          <w:sz w:val="24"/>
        </w:rPr>
        <w:t>attualmente</w:t>
      </w:r>
      <w:r>
        <w:rPr>
          <w:i/>
          <w:spacing w:val="17"/>
          <w:sz w:val="24"/>
        </w:rPr>
        <w:t> </w:t>
      </w:r>
      <w:r>
        <w:rPr>
          <w:i/>
          <w:sz w:val="24"/>
        </w:rPr>
        <w:t>sotto</w:t>
      </w:r>
      <w:r>
        <w:rPr>
          <w:i/>
          <w:spacing w:val="17"/>
          <w:sz w:val="24"/>
        </w:rPr>
        <w:t> </w:t>
      </w:r>
      <w:r>
        <w:rPr>
          <w:i/>
          <w:sz w:val="24"/>
        </w:rPr>
        <w:t>il</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5" w:firstLine="0"/>
        <w:jc w:val="both"/>
        <w:rPr>
          <w:sz w:val="24"/>
        </w:rPr>
      </w:pPr>
      <w:r>
        <w:rPr>
          <w:i/>
          <w:sz w:val="24"/>
        </w:rPr>
        <w:t>controllo della M&amp;G Finanziaria. La suddetta operazione comporterà un significativo decremento del credito. </w:t>
      </w:r>
      <w:r>
        <w:rPr>
          <w:i/>
          <w:sz w:val="24"/>
        </w:rPr>
        <w:t>L’operazione è prevista concludersi entro il 2015 ed è soggetta al consenso della BEI</w:t>
      </w:r>
      <w:r>
        <w:rPr>
          <w:sz w:val="24"/>
        </w:rPr>
        <w:t>”.</w:t>
      </w:r>
    </w:p>
    <w:p>
      <w:pPr>
        <w:pStyle w:val="BodyText"/>
        <w:spacing w:line="480" w:lineRule="auto"/>
        <w:ind w:left="1418" w:right="1413"/>
        <w:jc w:val="both"/>
      </w:pPr>
      <w:r>
        <w:rPr/>
        <w:t>L’impiego di tali somme dichiaratamente prospettato nel bilancio di Biochemtex è stato identificato nel trasferimento a favore di M&amp;G Finanziaria (in forza del rapporto di cash pooling) ed ha contribuito a formare l’ingente credito nei confronti di M&amp;G Finanziaria che ha raggiunto  il picco massimo nell’esercizio 2014 di euro 136 milioni (parzialmente ridotto nei successivi esercizi – sino a raggiungere l’importo di euro 33 milioni al 15 ottobre 2017 - anche per effetto dell’acquisto delle partecipazioni del polo BIO da parte di Biochemtex e del sostegno finanziario ad IBP</w:t>
      </w:r>
      <w:r>
        <w:rPr>
          <w:spacing w:val="-6"/>
        </w:rPr>
        <w:t> </w:t>
      </w:r>
      <w:r>
        <w:rPr/>
        <w:t>Srl).</w:t>
      </w:r>
    </w:p>
    <w:p>
      <w:pPr>
        <w:pStyle w:val="BodyText"/>
        <w:spacing w:line="480" w:lineRule="auto"/>
        <w:ind w:left="1418" w:right="1414"/>
        <w:jc w:val="both"/>
      </w:pPr>
      <w:r>
        <w:rPr/>
        <w:t>Per quanto attiene ai rimborsi del finanziamento BEI, si segnala che le prime due rate del capitale finanziato sono state pagate alla scadenza (7 novembre 2016 e 8 maggio 2017) per l’importo complessivo di euro 11,8 milioni (oltre interessi).</w:t>
      </w:r>
    </w:p>
    <w:p>
      <w:pPr>
        <w:pStyle w:val="BodyText"/>
        <w:spacing w:line="480" w:lineRule="auto"/>
        <w:ind w:left="1418" w:right="1412"/>
        <w:jc w:val="both"/>
      </w:pPr>
      <w:r>
        <w:rPr/>
        <w:t>Da ultimo, per quanto attiene a versamenti a favore di Istituti Bancari a ridosso della presentazione del ricorso ex art. 161 l. fall., si segnala il versamento a favore di Unicredit (euro 4 milioni) in data 6 luglio 2017, (in relazione alla escussione della garanzia Unicredit da parte del committente Entsorga Westvirginia ed alla rivalsa di Unicredit sulla contro-garanzia prestata da Biochemtex).</w:t>
      </w:r>
    </w:p>
    <w:p>
      <w:pPr>
        <w:pStyle w:val="BodyText"/>
        <w:rPr>
          <w:sz w:val="26"/>
        </w:rPr>
      </w:pPr>
    </w:p>
    <w:p>
      <w:pPr>
        <w:pStyle w:val="BodyText"/>
        <w:rPr>
          <w:sz w:val="26"/>
        </w:rPr>
      </w:pPr>
    </w:p>
    <w:p>
      <w:pPr>
        <w:pStyle w:val="Heading2"/>
        <w:numPr>
          <w:ilvl w:val="2"/>
          <w:numId w:val="13"/>
        </w:numPr>
        <w:tabs>
          <w:tab w:pos="2127" w:val="left" w:leader="none"/>
        </w:tabs>
        <w:spacing w:line="482" w:lineRule="auto" w:before="155" w:after="0"/>
        <w:ind w:left="1418" w:right="1417" w:firstLine="0"/>
        <w:jc w:val="both"/>
      </w:pPr>
      <w:bookmarkStart w:name="_bookmark20" w:id="40"/>
      <w:bookmarkEnd w:id="40"/>
      <w:r>
        <w:rPr>
          <w:b w:val="0"/>
        </w:rPr>
      </w:r>
      <w:bookmarkStart w:name="_bookmark20" w:id="41"/>
      <w:bookmarkEnd w:id="41"/>
      <w:r>
        <w:rPr/>
        <w:t>Gli</w:t>
      </w:r>
      <w:r>
        <w:rPr/>
        <w:t> effetti dei contratti intercorsi tra Biochemtex/Beta Renewables/IBP e TPG/Novozymes</w:t>
      </w:r>
    </w:p>
    <w:p>
      <w:pPr>
        <w:pStyle w:val="BodyText"/>
        <w:spacing w:line="480" w:lineRule="auto"/>
        <w:ind w:left="1418" w:right="1414"/>
        <w:jc w:val="both"/>
      </w:pPr>
      <w:r>
        <w:rPr/>
        <w:t>L’attività di investimento nell’area Bio è stata contraddistinta dai rapporti intrecciati con altri operatori tra i quali il fondo TPG e Novozymes.</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0"/>
        <w:jc w:val="both"/>
      </w:pPr>
      <w:r>
        <w:rPr/>
        <w:t>Di seguito si evidenziano i principali accordi stipulati con le controparti (che coinvolgono non solo Biochemtex ma anche Beta Renewables ed M&amp;G Finanziaria):</w:t>
      </w:r>
    </w:p>
    <w:p>
      <w:pPr>
        <w:pStyle w:val="ListParagraph"/>
        <w:numPr>
          <w:ilvl w:val="0"/>
          <w:numId w:val="10"/>
        </w:numPr>
        <w:tabs>
          <w:tab w:pos="1985" w:val="left" w:leader="none"/>
          <w:tab w:pos="1986" w:val="left" w:leader="none"/>
        </w:tabs>
        <w:spacing w:line="240" w:lineRule="auto" w:before="0" w:after="0"/>
        <w:ind w:left="1985" w:right="0" w:hanging="567"/>
        <w:jc w:val="left"/>
        <w:rPr>
          <w:sz w:val="24"/>
        </w:rPr>
      </w:pPr>
      <w:r>
        <w:rPr>
          <w:i/>
          <w:sz w:val="24"/>
        </w:rPr>
        <w:t>joint venture agreement </w:t>
      </w:r>
      <w:r>
        <w:rPr>
          <w:sz w:val="24"/>
        </w:rPr>
        <w:t>siglato nell’esercizio 2011 con TPG Capital</w:t>
      </w:r>
      <w:r>
        <w:rPr>
          <w:spacing w:val="-28"/>
          <w:sz w:val="24"/>
        </w:rPr>
        <w:t> </w:t>
      </w:r>
      <w:r>
        <w:rPr>
          <w:sz w:val="24"/>
        </w:rPr>
        <w:t>LP;</w:t>
      </w:r>
    </w:p>
    <w:p>
      <w:pPr>
        <w:pStyle w:val="BodyText"/>
      </w:pPr>
    </w:p>
    <w:p>
      <w:pPr>
        <w:pStyle w:val="ListParagraph"/>
        <w:numPr>
          <w:ilvl w:val="0"/>
          <w:numId w:val="10"/>
        </w:numPr>
        <w:tabs>
          <w:tab w:pos="1985" w:val="left" w:leader="none"/>
          <w:tab w:pos="1986" w:val="left" w:leader="none"/>
        </w:tabs>
        <w:spacing w:line="240" w:lineRule="auto" w:before="0" w:after="0"/>
        <w:ind w:left="1985" w:right="0" w:hanging="567"/>
        <w:jc w:val="left"/>
        <w:rPr>
          <w:sz w:val="24"/>
        </w:rPr>
      </w:pPr>
      <w:r>
        <w:rPr>
          <w:i/>
          <w:sz w:val="24"/>
        </w:rPr>
        <w:t>investment agreement </w:t>
      </w:r>
      <w:r>
        <w:rPr>
          <w:sz w:val="24"/>
        </w:rPr>
        <w:t>siglato nell’esercizio 2012 con</w:t>
      </w:r>
      <w:r>
        <w:rPr>
          <w:spacing w:val="-20"/>
          <w:sz w:val="24"/>
        </w:rPr>
        <w:t> </w:t>
      </w:r>
      <w:r>
        <w:rPr>
          <w:sz w:val="24"/>
        </w:rPr>
        <w:t>Novozymes;</w:t>
      </w:r>
    </w:p>
    <w:p>
      <w:pPr>
        <w:pStyle w:val="BodyText"/>
        <w:spacing w:before="11"/>
        <w:rPr>
          <w:sz w:val="23"/>
        </w:rPr>
      </w:pPr>
    </w:p>
    <w:p>
      <w:pPr>
        <w:pStyle w:val="ListParagraph"/>
        <w:numPr>
          <w:ilvl w:val="0"/>
          <w:numId w:val="10"/>
        </w:numPr>
        <w:tabs>
          <w:tab w:pos="1986" w:val="left" w:leader="none"/>
        </w:tabs>
        <w:spacing w:line="480" w:lineRule="auto" w:before="0" w:after="0"/>
        <w:ind w:left="1985" w:right="1417" w:hanging="567"/>
        <w:jc w:val="both"/>
        <w:rPr>
          <w:sz w:val="24"/>
        </w:rPr>
      </w:pPr>
      <w:r>
        <w:rPr>
          <w:i/>
          <w:sz w:val="24"/>
        </w:rPr>
        <w:t>settlement agreement </w:t>
      </w:r>
      <w:r>
        <w:rPr>
          <w:sz w:val="24"/>
        </w:rPr>
        <w:t>siglato il 5 ottobre 2015 tra Biochemtex e Novozymes (cfr. pag. 12 NI 2016</w:t>
      </w:r>
      <w:r>
        <w:rPr>
          <w:spacing w:val="-6"/>
          <w:sz w:val="24"/>
        </w:rPr>
        <w:t> </w:t>
      </w:r>
      <w:r>
        <w:rPr>
          <w:sz w:val="24"/>
        </w:rPr>
        <w:t>Biochemtex);</w:t>
      </w:r>
    </w:p>
    <w:p>
      <w:pPr>
        <w:pStyle w:val="ListParagraph"/>
        <w:numPr>
          <w:ilvl w:val="0"/>
          <w:numId w:val="10"/>
        </w:numPr>
        <w:tabs>
          <w:tab w:pos="1986" w:val="left" w:leader="none"/>
        </w:tabs>
        <w:spacing w:line="480" w:lineRule="auto" w:before="0" w:after="0"/>
        <w:ind w:left="1985" w:right="1411" w:hanging="567"/>
        <w:jc w:val="both"/>
        <w:rPr>
          <w:sz w:val="24"/>
        </w:rPr>
      </w:pPr>
      <w:r>
        <w:rPr>
          <w:i/>
          <w:sz w:val="24"/>
        </w:rPr>
        <w:t>amendment </w:t>
      </w:r>
      <w:r>
        <w:rPr>
          <w:sz w:val="24"/>
        </w:rPr>
        <w:t>del </w:t>
      </w:r>
      <w:r>
        <w:rPr>
          <w:i/>
          <w:sz w:val="24"/>
        </w:rPr>
        <w:t>settlement agreement </w:t>
      </w:r>
      <w:r>
        <w:rPr>
          <w:sz w:val="24"/>
        </w:rPr>
        <w:t>siglato il 23 dicembre 2016 tra Biochemtex e Novozymes (cfr. pag. 12 NI 2016</w:t>
      </w:r>
      <w:r>
        <w:rPr>
          <w:spacing w:val="-12"/>
          <w:sz w:val="24"/>
        </w:rPr>
        <w:t> </w:t>
      </w:r>
      <w:r>
        <w:rPr>
          <w:sz w:val="24"/>
        </w:rPr>
        <w:t>Biochemtex);</w:t>
      </w:r>
    </w:p>
    <w:p>
      <w:pPr>
        <w:pStyle w:val="ListParagraph"/>
        <w:numPr>
          <w:ilvl w:val="0"/>
          <w:numId w:val="10"/>
        </w:numPr>
        <w:tabs>
          <w:tab w:pos="1985" w:val="left" w:leader="none"/>
          <w:tab w:pos="1986" w:val="left" w:leader="none"/>
        </w:tabs>
        <w:spacing w:line="240" w:lineRule="auto" w:before="0" w:after="0"/>
        <w:ind w:left="1985" w:right="0" w:hanging="567"/>
        <w:jc w:val="left"/>
        <w:rPr>
          <w:sz w:val="24"/>
        </w:rPr>
      </w:pPr>
      <w:r>
        <w:rPr>
          <w:i/>
          <w:sz w:val="24"/>
        </w:rPr>
        <w:t>amendment  </w:t>
      </w:r>
      <w:r>
        <w:rPr>
          <w:sz w:val="24"/>
        </w:rPr>
        <w:t>del  </w:t>
      </w:r>
      <w:r>
        <w:rPr>
          <w:sz w:val="24"/>
          <w:u w:val="single"/>
        </w:rPr>
        <w:t>settlment  agreement-new  deadline  </w:t>
      </w:r>
      <w:r>
        <w:rPr>
          <w:sz w:val="24"/>
        </w:rPr>
        <w:t>del  14  aprile  2017  e  amendment  del</w:t>
      </w:r>
    </w:p>
    <w:p>
      <w:pPr>
        <w:pStyle w:val="BodyText"/>
        <w:spacing w:before="11"/>
        <w:rPr>
          <w:sz w:val="23"/>
        </w:rPr>
      </w:pPr>
    </w:p>
    <w:p>
      <w:pPr>
        <w:spacing w:before="0"/>
        <w:ind w:left="1985" w:right="0" w:firstLine="0"/>
        <w:jc w:val="left"/>
        <w:rPr>
          <w:sz w:val="24"/>
        </w:rPr>
      </w:pPr>
      <w:r>
        <w:rPr>
          <w:i/>
          <w:sz w:val="24"/>
        </w:rPr>
        <w:t>settlment agreement-new deadline </w:t>
      </w:r>
      <w:r>
        <w:rPr>
          <w:sz w:val="24"/>
        </w:rPr>
        <w:t>del 29 giugno 2017.</w:t>
      </w:r>
    </w:p>
    <w:p>
      <w:pPr>
        <w:pStyle w:val="BodyText"/>
        <w:spacing w:before="11"/>
        <w:rPr>
          <w:sz w:val="23"/>
        </w:rPr>
      </w:pPr>
    </w:p>
    <w:p>
      <w:pPr>
        <w:pStyle w:val="ListParagraph"/>
        <w:numPr>
          <w:ilvl w:val="0"/>
          <w:numId w:val="10"/>
        </w:numPr>
        <w:tabs>
          <w:tab w:pos="1986" w:val="left" w:leader="none"/>
        </w:tabs>
        <w:spacing w:line="480" w:lineRule="auto" w:before="0" w:after="0"/>
        <w:ind w:left="1985" w:right="1414" w:hanging="567"/>
        <w:jc w:val="both"/>
        <w:rPr>
          <w:sz w:val="24"/>
        </w:rPr>
      </w:pPr>
      <w:r>
        <w:rPr>
          <w:sz w:val="24"/>
        </w:rPr>
        <w:t>le obbligazioni derivanti dai suddetti accordi risultano garantite da fidejussioni concesse da M&amp;G Finanziaria a favore di Novozymes e nell’interesse di Biochemtex (euro 20 milioni in relazione all’</w:t>
      </w:r>
      <w:r>
        <w:rPr>
          <w:i/>
          <w:sz w:val="24"/>
        </w:rPr>
        <w:t>investment agreement</w:t>
      </w:r>
      <w:r>
        <w:rPr>
          <w:sz w:val="24"/>
        </w:rPr>
        <w:t>, cfr. NI 2016 M&amp;G Finanziaria pag. 67; euro 26 milioni in relazione al </w:t>
      </w:r>
      <w:r>
        <w:rPr>
          <w:i/>
          <w:sz w:val="24"/>
        </w:rPr>
        <w:t>settlement agreement</w:t>
      </w:r>
      <w:r>
        <w:rPr>
          <w:sz w:val="24"/>
        </w:rPr>
        <w:t>, cfr. NI  2016 M&amp;G Finanziaria pag.</w:t>
      </w:r>
      <w:r>
        <w:rPr>
          <w:spacing w:val="-23"/>
          <w:sz w:val="24"/>
        </w:rPr>
        <w:t> </w:t>
      </w:r>
      <w:r>
        <w:rPr>
          <w:sz w:val="24"/>
        </w:rPr>
        <w:t>69);</w:t>
      </w:r>
    </w:p>
    <w:p>
      <w:pPr>
        <w:pStyle w:val="ListParagraph"/>
        <w:numPr>
          <w:ilvl w:val="0"/>
          <w:numId w:val="10"/>
        </w:numPr>
        <w:tabs>
          <w:tab w:pos="1986" w:val="left" w:leader="none"/>
        </w:tabs>
        <w:spacing w:line="480" w:lineRule="auto" w:before="0" w:after="0"/>
        <w:ind w:left="1985" w:right="1412" w:hanging="567"/>
        <w:jc w:val="both"/>
        <w:rPr>
          <w:sz w:val="24"/>
        </w:rPr>
      </w:pPr>
      <w:r>
        <w:rPr>
          <w:sz w:val="24"/>
        </w:rPr>
        <w:t>le obbligazioni derivanti dai suddetti accordi risultano garantite da fidejussioni concesse da M&amp;G Finanziaria a favore di Novozymes e nell’interesse di Beta Renewables e Biochemtex (euro 13.346 milioni in relazione al rischio rimborso di </w:t>
      </w:r>
      <w:r>
        <w:rPr>
          <w:i/>
          <w:sz w:val="24"/>
        </w:rPr>
        <w:t>success fee </w:t>
      </w:r>
      <w:r>
        <w:rPr>
          <w:sz w:val="24"/>
        </w:rPr>
        <w:t>nel caso di risoluzione del </w:t>
      </w:r>
      <w:r>
        <w:rPr>
          <w:i/>
          <w:sz w:val="24"/>
        </w:rPr>
        <w:t>comarketing agreement </w:t>
      </w:r>
      <w:r>
        <w:rPr>
          <w:sz w:val="24"/>
        </w:rPr>
        <w:t>stipulato tra Beta Renewables e Novozymes, cfr. NI M&amp;G Finanziaria pag.</w:t>
      </w:r>
      <w:r>
        <w:rPr>
          <w:spacing w:val="-2"/>
          <w:sz w:val="24"/>
        </w:rPr>
        <w:t> </w:t>
      </w:r>
      <w:r>
        <w:rPr>
          <w:sz w:val="24"/>
        </w:rPr>
        <w:t>69).</w:t>
      </w:r>
    </w:p>
    <w:p>
      <w:pPr>
        <w:pStyle w:val="BodyText"/>
        <w:spacing w:line="480" w:lineRule="auto"/>
        <w:ind w:left="1418" w:right="1411"/>
        <w:jc w:val="both"/>
      </w:pPr>
      <w:r>
        <w:rPr/>
        <w:t>Una approfondita disamina di tali contratti è stata effettuata dalla Società e riportata nei </w:t>
      </w:r>
      <w:r>
        <w:rPr>
          <w:i/>
        </w:rPr>
        <w:t>Deliverables </w:t>
      </w:r>
      <w:r>
        <w:rPr/>
        <w:t>di Deloitte afferenti la mappatura dei contratti stessi illustrati agli scriventi dal management della</w:t>
      </w:r>
      <w:r>
        <w:rPr>
          <w:spacing w:val="-4"/>
        </w:rPr>
        <w:t> </w:t>
      </w:r>
      <w:r>
        <w:rPr/>
        <w:t>Società.</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09"/>
        <w:jc w:val="both"/>
      </w:pPr>
      <w:r>
        <w:rPr/>
        <w:t>In questa sede va rilevato che gli accordi intervenuti con Novozymes (il </w:t>
      </w:r>
      <w:r>
        <w:rPr>
          <w:i/>
        </w:rPr>
        <w:t>settlement agreement </w:t>
      </w:r>
      <w:r>
        <w:rPr/>
        <w:t>siglato il 5 ottobre 2015 ed i successivi emendamenti del medesimo) hanno determinato un impatto anche nella possibilità di supportare di continuo il valore di iscrizione della partecipazione in IBP Srl, senza apportare alcuna</w:t>
      </w:r>
      <w:r>
        <w:rPr>
          <w:spacing w:val="-19"/>
        </w:rPr>
        <w:t> </w:t>
      </w:r>
      <w:r>
        <w:rPr/>
        <w:t>svalutazione.</w:t>
      </w:r>
    </w:p>
    <w:p>
      <w:pPr>
        <w:pStyle w:val="BodyText"/>
        <w:spacing w:line="480" w:lineRule="auto"/>
        <w:ind w:left="1418" w:right="1411"/>
        <w:jc w:val="both"/>
      </w:pPr>
      <w:r>
        <w:rPr/>
        <w:t>In particolare, va segnalato il rinvio del performance test relativo all’impianto di Crescentino (da dicembre 2016 ad aprile 2017) previsto nell’</w:t>
      </w:r>
      <w:r>
        <w:rPr>
          <w:i/>
        </w:rPr>
        <w:t>amendment </w:t>
      </w:r>
      <w:r>
        <w:rPr/>
        <w:t>del </w:t>
      </w:r>
      <w:r>
        <w:rPr>
          <w:i/>
        </w:rPr>
        <w:t>settlement agreement </w:t>
      </w:r>
      <w:r>
        <w:rPr/>
        <w:t>siglato il 23 dicembre 2016 che ha consentito di rinviare anche l’insorgenza del debito di euro 20 milioni nei confronti di Novozymes quale indennizzo dovuto da Biochemtex per eventuale mancato superamento del test di performance</w:t>
      </w:r>
      <w:r>
        <w:rPr>
          <w:spacing w:val="-10"/>
        </w:rPr>
        <w:t> </w:t>
      </w:r>
      <w:r>
        <w:rPr/>
        <w:t>dell’impianto.</w:t>
      </w: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4"/>
        <w:rPr>
          <w:sz w:val="21"/>
        </w:rPr>
      </w:pPr>
    </w:p>
    <w:p>
      <w:pPr>
        <w:pStyle w:val="Heading1"/>
        <w:numPr>
          <w:ilvl w:val="0"/>
          <w:numId w:val="3"/>
        </w:numPr>
        <w:tabs>
          <w:tab w:pos="1847" w:val="left" w:leader="none"/>
        </w:tabs>
        <w:spacing w:line="240" w:lineRule="auto" w:before="0" w:after="0"/>
        <w:ind w:left="1846" w:right="0" w:hanging="428"/>
        <w:jc w:val="both"/>
      </w:pPr>
      <w:bookmarkStart w:name="_bookmark21" w:id="42"/>
      <w:bookmarkEnd w:id="42"/>
      <w:r>
        <w:rPr>
          <w:b w:val="0"/>
        </w:rPr>
      </w:r>
      <w:bookmarkStart w:name="_bookmark21" w:id="43"/>
      <w:bookmarkEnd w:id="43"/>
      <w:r>
        <w:rPr/>
        <w:t>IL</w:t>
      </w:r>
      <w:r>
        <w:rPr/>
        <w:t> PIANO</w:t>
      </w:r>
      <w:r>
        <w:rPr>
          <w:spacing w:val="-5"/>
        </w:rPr>
        <w:t> </w:t>
      </w:r>
      <w:r>
        <w:rPr/>
        <w:t>CONCORDATARIO</w:t>
      </w:r>
    </w:p>
    <w:p>
      <w:pPr>
        <w:pStyle w:val="BodyText"/>
        <w:spacing w:before="7"/>
        <w:rPr>
          <w:b/>
          <w:sz w:val="45"/>
        </w:rPr>
      </w:pPr>
    </w:p>
    <w:p>
      <w:pPr>
        <w:pStyle w:val="Heading2"/>
        <w:numPr>
          <w:ilvl w:val="1"/>
          <w:numId w:val="3"/>
        </w:numPr>
        <w:tabs>
          <w:tab w:pos="2127" w:val="left" w:leader="none"/>
        </w:tabs>
        <w:spacing w:line="240" w:lineRule="auto" w:before="0" w:after="0"/>
        <w:ind w:left="2126" w:right="0" w:hanging="708"/>
        <w:jc w:val="both"/>
      </w:pPr>
      <w:bookmarkStart w:name="_bookmark22" w:id="44"/>
      <w:bookmarkEnd w:id="44"/>
      <w:r>
        <w:rPr>
          <w:b w:val="0"/>
        </w:rPr>
      </w:r>
      <w:bookmarkStart w:name="_bookmark22" w:id="45"/>
      <w:bookmarkEnd w:id="45"/>
      <w:r>
        <w:rPr/>
        <w:t>LA</w:t>
      </w:r>
      <w:r>
        <w:rPr/>
        <w:t> STRUTTURA DEL</w:t>
      </w:r>
      <w:r>
        <w:rPr>
          <w:spacing w:val="-14"/>
        </w:rPr>
        <w:t> </w:t>
      </w:r>
      <w:r>
        <w:rPr/>
        <w:t>PIANO</w:t>
      </w:r>
    </w:p>
    <w:p>
      <w:pPr>
        <w:pStyle w:val="BodyText"/>
        <w:spacing w:before="11"/>
        <w:rPr>
          <w:b/>
          <w:sz w:val="23"/>
        </w:rPr>
      </w:pPr>
    </w:p>
    <w:p>
      <w:pPr>
        <w:pStyle w:val="BodyText"/>
        <w:spacing w:line="480" w:lineRule="auto"/>
        <w:ind w:left="1418" w:right="1411"/>
        <w:jc w:val="both"/>
      </w:pPr>
      <w:r>
        <w:rPr/>
        <w:t>Il piano concordatario redatto dalla Società con il supporto dello Studio Chiaruttini e Associati,  ha natura liquidatoria e poggia quale principale attivo sulla cessione del ramo d’azienda BIOCHEMTEX ricompreso all’interno del “perimetro BIO” del gruppo Mossi &amp;</w:t>
      </w:r>
      <w:r>
        <w:rPr>
          <w:spacing w:val="-16"/>
        </w:rPr>
        <w:t> </w:t>
      </w:r>
      <w:r>
        <w:rPr/>
        <w:t>Ghisolfi.</w:t>
      </w:r>
    </w:p>
    <w:p>
      <w:pPr>
        <w:pStyle w:val="BodyText"/>
        <w:spacing w:line="480" w:lineRule="auto" w:before="199"/>
        <w:ind w:left="1418" w:right="1413"/>
        <w:jc w:val="both"/>
      </w:pPr>
      <w:r>
        <w:rPr/>
        <w:t>In relazione al “perimetro BIO” è pervenuta offerta vincolante da parte di Versalis S.p.A., Società a Socio Unico sottoposta all’attività di direzione e coordinamento di ENI S.p.A.</w:t>
      </w:r>
    </w:p>
    <w:p>
      <w:pPr>
        <w:pStyle w:val="BodyText"/>
        <w:spacing w:line="480" w:lineRule="auto" w:before="201"/>
        <w:ind w:left="1418" w:right="1412"/>
        <w:jc w:val="both"/>
      </w:pPr>
      <w:r>
        <w:rPr/>
        <w:t>Il “perimetro BIO” è composto dai rami delle aziende di Biochemtex S.p.A., Italian Bio Products S.r.l., IBP Energia S.r.l. e Beta Renewables S.p.A.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La struttura dell’offerta irrevocabile è descritta nel successivo paragrafo 3.2, mentre nel  successivo paragrafo 3.3 verrà rappresentata la modalità di attribuzione del prezzo tra le diverse Società proprietarie dei diversi</w:t>
      </w:r>
      <w:r>
        <w:rPr>
          <w:spacing w:val="-21"/>
        </w:rPr>
        <w:t> </w:t>
      </w:r>
      <w:r>
        <w:rPr/>
        <w:t>rami.</w:t>
      </w:r>
    </w:p>
    <w:p>
      <w:pPr>
        <w:pStyle w:val="BodyText"/>
        <w:spacing w:line="480" w:lineRule="auto" w:before="201"/>
        <w:ind w:left="1418" w:right="1518"/>
      </w:pPr>
      <w:r>
        <w:rPr/>
        <w:t>Il corrispettivo della cessione del ramo d’azienda BIOCHEMTEX S.p.A. per un controvalore attribuito di Euro 28.786.000 rappresenta il 57,27% del totale attivo concordatario.</w:t>
      </w:r>
    </w:p>
    <w:p>
      <w:pPr>
        <w:pStyle w:val="BodyText"/>
        <w:spacing w:line="480" w:lineRule="auto" w:before="198"/>
        <w:ind w:left="1418" w:right="1518"/>
      </w:pPr>
      <w:r>
        <w:rPr/>
        <w:t>I restanti attivi concordatari pari ad Euro 21.477.000 rappresentano il 42,73% dell’attivo concordatario.</w:t>
      </w:r>
    </w:p>
    <w:p>
      <w:pPr>
        <w:pStyle w:val="BodyText"/>
        <w:spacing w:line="660" w:lineRule="auto" w:before="198"/>
        <w:ind w:left="1418" w:right="2697"/>
      </w:pPr>
      <w:r>
        <w:rPr/>
        <w:t>Tra questi è stato già realizzato alla data del 31.03.2018 l’importo di Euro 1.228.900. La proposta prevede:</w:t>
      </w:r>
    </w:p>
    <w:p>
      <w:pPr>
        <w:pStyle w:val="ListParagraph"/>
        <w:numPr>
          <w:ilvl w:val="0"/>
          <w:numId w:val="6"/>
        </w:numPr>
        <w:tabs>
          <w:tab w:pos="2126" w:val="left" w:leader="none"/>
          <w:tab w:pos="2127" w:val="left" w:leader="none"/>
        </w:tabs>
        <w:spacing w:line="477" w:lineRule="auto" w:before="0" w:after="0"/>
        <w:ind w:left="2138" w:right="1552" w:hanging="720"/>
        <w:jc w:val="left"/>
        <w:rPr>
          <w:sz w:val="24"/>
        </w:rPr>
      </w:pPr>
      <w:r>
        <w:rPr>
          <w:sz w:val="24"/>
        </w:rPr>
        <w:t>il pagamento integrale degli oneri in prededuzione maturati e maturandi, comprensivi dei costi per il mantenimento del ramo Biochemtex S.p.A. fino alla presunta data di cessione;</w:t>
      </w:r>
    </w:p>
    <w:p>
      <w:pPr>
        <w:pStyle w:val="ListParagraph"/>
        <w:numPr>
          <w:ilvl w:val="0"/>
          <w:numId w:val="6"/>
        </w:numPr>
        <w:tabs>
          <w:tab w:pos="2126" w:val="left" w:leader="none"/>
          <w:tab w:pos="2127" w:val="left" w:leader="none"/>
        </w:tabs>
        <w:spacing w:line="472" w:lineRule="auto" w:before="6" w:after="0"/>
        <w:ind w:left="2138" w:right="1460" w:hanging="720"/>
        <w:jc w:val="left"/>
        <w:rPr>
          <w:sz w:val="24"/>
        </w:rPr>
      </w:pPr>
      <w:r>
        <w:rPr>
          <w:sz w:val="24"/>
        </w:rPr>
        <w:t>il pagamento integrale dei debiti verso i dipendenti in parte mediante accollo mediante del potenziale acquirente Versalis e in parte direttamente dalla</w:t>
      </w:r>
      <w:r>
        <w:rPr>
          <w:spacing w:val="-24"/>
          <w:sz w:val="24"/>
        </w:rPr>
        <w:t> </w:t>
      </w:r>
      <w:r>
        <w:rPr>
          <w:sz w:val="24"/>
        </w:rPr>
        <w:t>Società;</w:t>
      </w:r>
    </w:p>
    <w:p>
      <w:pPr>
        <w:pStyle w:val="ListParagraph"/>
        <w:numPr>
          <w:ilvl w:val="0"/>
          <w:numId w:val="6"/>
        </w:numPr>
        <w:tabs>
          <w:tab w:pos="2126" w:val="left" w:leader="none"/>
          <w:tab w:pos="2127" w:val="left" w:leader="none"/>
        </w:tabs>
        <w:spacing w:line="240" w:lineRule="auto" w:before="6" w:after="0"/>
        <w:ind w:left="2126" w:right="0" w:hanging="708"/>
        <w:jc w:val="left"/>
        <w:rPr>
          <w:sz w:val="24"/>
        </w:rPr>
      </w:pPr>
      <w:r>
        <w:rPr>
          <w:sz w:val="24"/>
        </w:rPr>
        <w:t>il pagamento integrale dei debiti</w:t>
      </w:r>
      <w:r>
        <w:rPr>
          <w:spacing w:val="-10"/>
          <w:sz w:val="24"/>
        </w:rPr>
        <w:t> </w:t>
      </w:r>
      <w:r>
        <w:rPr>
          <w:sz w:val="24"/>
        </w:rPr>
        <w:t>privilegiati;</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il pagamento integrale delle passività potenziali privilegiate stimate nel piano</w:t>
      </w:r>
      <w:r>
        <w:rPr>
          <w:spacing w:val="-32"/>
          <w:sz w:val="24"/>
        </w:rPr>
        <w:t> </w:t>
      </w:r>
      <w:r>
        <w:rPr>
          <w:sz w:val="24"/>
        </w:rPr>
        <w:t>stesso;</w:t>
      </w:r>
    </w:p>
    <w:p>
      <w:pPr>
        <w:pStyle w:val="BodyText"/>
      </w:pPr>
    </w:p>
    <w:p>
      <w:pPr>
        <w:pStyle w:val="ListParagraph"/>
        <w:numPr>
          <w:ilvl w:val="0"/>
          <w:numId w:val="6"/>
        </w:numPr>
        <w:tabs>
          <w:tab w:pos="2126" w:val="left" w:leader="none"/>
          <w:tab w:pos="2127" w:val="left" w:leader="none"/>
        </w:tabs>
        <w:spacing w:line="472" w:lineRule="auto" w:before="1" w:after="0"/>
        <w:ind w:left="2126" w:right="1418" w:hanging="708"/>
        <w:jc w:val="left"/>
        <w:rPr>
          <w:sz w:val="24"/>
        </w:rPr>
      </w:pPr>
      <w:r>
        <w:rPr>
          <w:sz w:val="24"/>
        </w:rPr>
        <w:t>il pagamento parziale nella misura del 20% dei debiti chirografari e delle passività potenziali chirografarie stimate nel piano</w:t>
      </w:r>
      <w:r>
        <w:rPr>
          <w:spacing w:val="-22"/>
          <w:sz w:val="24"/>
        </w:rPr>
        <w:t> </w:t>
      </w:r>
      <w:r>
        <w:rPr>
          <w:sz w:val="24"/>
        </w:rPr>
        <w:t>stesso;</w:t>
      </w:r>
    </w:p>
    <w:p>
      <w:pPr>
        <w:pStyle w:val="ListParagraph"/>
        <w:numPr>
          <w:ilvl w:val="0"/>
          <w:numId w:val="6"/>
        </w:numPr>
        <w:tabs>
          <w:tab w:pos="2126" w:val="left" w:leader="none"/>
          <w:tab w:pos="2127" w:val="left" w:leader="none"/>
        </w:tabs>
        <w:spacing w:line="475" w:lineRule="auto" w:before="6" w:after="0"/>
        <w:ind w:left="2126" w:right="1420" w:hanging="708"/>
        <w:jc w:val="left"/>
        <w:rPr>
          <w:sz w:val="24"/>
        </w:rPr>
      </w:pPr>
      <w:r>
        <w:rPr>
          <w:sz w:val="24"/>
        </w:rPr>
        <w:t>il pagamento parziale nella misura del 17,92% del creditore postergato volontariamente Novozymes.</w:t>
      </w:r>
    </w:p>
    <w:p>
      <w:pPr>
        <w:spacing w:after="0" w:line="475"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pPr>
      <w:r>
        <w:rPr/>
        <w:t>Per ciò che concerne l’attivo non rientrante nel ramo d’azienda si tratta:</w:t>
      </w:r>
    </w:p>
    <w:p>
      <w:pPr>
        <w:pStyle w:val="BodyText"/>
        <w:rPr>
          <w:sz w:val="26"/>
        </w:rPr>
      </w:pPr>
    </w:p>
    <w:p>
      <w:pPr>
        <w:pStyle w:val="ListParagraph"/>
        <w:numPr>
          <w:ilvl w:val="0"/>
          <w:numId w:val="6"/>
        </w:numPr>
        <w:tabs>
          <w:tab w:pos="2126" w:val="left" w:leader="none"/>
          <w:tab w:pos="2127" w:val="left" w:leader="none"/>
        </w:tabs>
        <w:spacing w:line="472" w:lineRule="auto" w:before="177" w:after="0"/>
        <w:ind w:left="2126" w:right="1509" w:hanging="708"/>
        <w:jc w:val="left"/>
        <w:rPr>
          <w:sz w:val="24"/>
        </w:rPr>
      </w:pPr>
      <w:r>
        <w:rPr>
          <w:sz w:val="24"/>
        </w:rPr>
        <w:t>del credito atteso dal riparto della procedura concordataria di Beta Renewables S.p.A. per Euro 13.586.136;</w:t>
      </w:r>
    </w:p>
    <w:p>
      <w:pPr>
        <w:pStyle w:val="ListParagraph"/>
        <w:numPr>
          <w:ilvl w:val="0"/>
          <w:numId w:val="6"/>
        </w:numPr>
        <w:tabs>
          <w:tab w:pos="2126" w:val="left" w:leader="none"/>
          <w:tab w:pos="2127" w:val="left" w:leader="none"/>
        </w:tabs>
        <w:spacing w:line="475" w:lineRule="auto" w:before="6" w:after="0"/>
        <w:ind w:left="2126" w:right="2085" w:hanging="708"/>
        <w:jc w:val="left"/>
        <w:rPr>
          <w:sz w:val="24"/>
        </w:rPr>
      </w:pPr>
      <w:r>
        <w:rPr>
          <w:sz w:val="24"/>
        </w:rPr>
        <w:t>del credito atteso dal riparto della procedura concordataria di IBP Energia S.r.l. per Euro</w:t>
      </w:r>
      <w:r>
        <w:rPr>
          <w:spacing w:val="-1"/>
          <w:sz w:val="24"/>
        </w:rPr>
        <w:t> </w:t>
      </w:r>
      <w:r>
        <w:rPr>
          <w:sz w:val="24"/>
        </w:rPr>
        <w:t>4.016.000;</w:t>
      </w:r>
    </w:p>
    <w:p>
      <w:pPr>
        <w:pStyle w:val="ListParagraph"/>
        <w:numPr>
          <w:ilvl w:val="0"/>
          <w:numId w:val="6"/>
        </w:numPr>
        <w:tabs>
          <w:tab w:pos="2126" w:val="left" w:leader="none"/>
          <w:tab w:pos="2127" w:val="left" w:leader="none"/>
        </w:tabs>
        <w:spacing w:line="240" w:lineRule="auto" w:before="3" w:after="0"/>
        <w:ind w:left="2126" w:right="0" w:hanging="708"/>
        <w:jc w:val="left"/>
        <w:rPr>
          <w:sz w:val="24"/>
        </w:rPr>
      </w:pPr>
      <w:r>
        <w:rPr>
          <w:sz w:val="24"/>
        </w:rPr>
        <w:t>del corrispettivo della cessione dell’immobile di Modugno per Euro</w:t>
      </w:r>
      <w:r>
        <w:rPr>
          <w:spacing w:val="-9"/>
          <w:sz w:val="24"/>
        </w:rPr>
        <w:t> </w:t>
      </w:r>
      <w:r>
        <w:rPr>
          <w:sz w:val="24"/>
        </w:rPr>
        <w:t>1.024.600;</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dall’incasso del deposito cauzionale dell’immobile di Rivalta per Euro</w:t>
      </w:r>
      <w:r>
        <w:rPr>
          <w:spacing w:val="-16"/>
          <w:sz w:val="24"/>
        </w:rPr>
        <w:t> </w:t>
      </w:r>
      <w:r>
        <w:rPr>
          <w:sz w:val="24"/>
        </w:rPr>
        <w:t>33.250;</w:t>
      </w:r>
    </w:p>
    <w:p>
      <w:pPr>
        <w:pStyle w:val="BodyText"/>
        <w:spacing w:before="9"/>
        <w:rPr>
          <w:sz w:val="23"/>
        </w:rPr>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dell’incasso di altri depositi cauzionali per Euro</w:t>
      </w:r>
      <w:r>
        <w:rPr>
          <w:spacing w:val="-10"/>
          <w:sz w:val="24"/>
        </w:rPr>
        <w:t> </w:t>
      </w:r>
      <w:r>
        <w:rPr>
          <w:sz w:val="24"/>
        </w:rPr>
        <w:t>8.500;</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dall’incasso di crediti commerciali per Euro</w:t>
      </w:r>
      <w:r>
        <w:rPr>
          <w:spacing w:val="-10"/>
          <w:sz w:val="24"/>
        </w:rPr>
        <w:t> </w:t>
      </w:r>
      <w:r>
        <w:rPr>
          <w:sz w:val="24"/>
        </w:rPr>
        <w:t>5.454.789;</w:t>
      </w:r>
    </w:p>
    <w:p>
      <w:pPr>
        <w:pStyle w:val="BodyText"/>
        <w:spacing w:before="2"/>
      </w:pPr>
    </w:p>
    <w:p>
      <w:pPr>
        <w:pStyle w:val="ListParagraph"/>
        <w:numPr>
          <w:ilvl w:val="0"/>
          <w:numId w:val="6"/>
        </w:numPr>
        <w:tabs>
          <w:tab w:pos="2126" w:val="left" w:leader="none"/>
          <w:tab w:pos="2127" w:val="left" w:leader="none"/>
        </w:tabs>
        <w:spacing w:line="240" w:lineRule="auto" w:before="1" w:after="0"/>
        <w:ind w:left="2126" w:right="0" w:hanging="708"/>
        <w:jc w:val="left"/>
        <w:rPr>
          <w:sz w:val="24"/>
        </w:rPr>
      </w:pPr>
      <w:r>
        <w:rPr>
          <w:sz w:val="24"/>
        </w:rPr>
        <w:t>dall’incasso dei crediti fiscali per Euro</w:t>
      </w:r>
      <w:r>
        <w:rPr>
          <w:spacing w:val="-11"/>
          <w:sz w:val="24"/>
        </w:rPr>
        <w:t> </w:t>
      </w:r>
      <w:r>
        <w:rPr>
          <w:sz w:val="24"/>
        </w:rPr>
        <w:t>136.903.</w:t>
      </w:r>
    </w:p>
    <w:p>
      <w:pPr>
        <w:pStyle w:val="BodyText"/>
        <w:spacing w:before="8"/>
        <w:rPr>
          <w:sz w:val="41"/>
        </w:rPr>
      </w:pPr>
    </w:p>
    <w:p>
      <w:pPr>
        <w:pStyle w:val="BodyText"/>
        <w:spacing w:line="480" w:lineRule="auto"/>
        <w:ind w:left="1418" w:right="1413"/>
      </w:pPr>
      <w:r>
        <w:rPr/>
        <w:t>Per ciò che concerne il passivo, a fronte di un valore contabile pari ad Euro 188.960.271 alla data del 15.10.2017 viene individuato un passivo concordatario di Euro 205.263.599 così composto:</w:t>
      </w:r>
    </w:p>
    <w:p>
      <w:pPr>
        <w:pStyle w:val="ListParagraph"/>
        <w:numPr>
          <w:ilvl w:val="0"/>
          <w:numId w:val="15"/>
        </w:numPr>
        <w:tabs>
          <w:tab w:pos="2126" w:val="left" w:leader="none"/>
          <w:tab w:pos="2127" w:val="left" w:leader="none"/>
        </w:tabs>
        <w:spacing w:line="240" w:lineRule="auto" w:before="199" w:after="0"/>
        <w:ind w:left="2126" w:right="0" w:hanging="708"/>
        <w:jc w:val="left"/>
        <w:rPr>
          <w:sz w:val="24"/>
        </w:rPr>
      </w:pPr>
      <w:r>
        <w:rPr>
          <w:sz w:val="24"/>
        </w:rPr>
        <w:t>Euro 156.550.689 in via chirografaria riclassificato in Classe</w:t>
      </w:r>
      <w:r>
        <w:rPr>
          <w:spacing w:val="-18"/>
          <w:sz w:val="24"/>
        </w:rPr>
        <w:t> </w:t>
      </w:r>
      <w:r>
        <w:rPr>
          <w:sz w:val="24"/>
        </w:rPr>
        <w:t>1;</w:t>
      </w:r>
    </w:p>
    <w:p>
      <w:pPr>
        <w:pStyle w:val="BodyText"/>
        <w:spacing w:before="9"/>
        <w:rPr>
          <w:sz w:val="23"/>
        </w:rPr>
      </w:pPr>
    </w:p>
    <w:p>
      <w:pPr>
        <w:pStyle w:val="ListParagraph"/>
        <w:numPr>
          <w:ilvl w:val="0"/>
          <w:numId w:val="15"/>
        </w:numPr>
        <w:tabs>
          <w:tab w:pos="2126" w:val="left" w:leader="none"/>
          <w:tab w:pos="2127" w:val="left" w:leader="none"/>
        </w:tabs>
        <w:spacing w:line="240" w:lineRule="auto" w:before="1" w:after="0"/>
        <w:ind w:left="2126" w:right="0" w:hanging="708"/>
        <w:jc w:val="left"/>
        <w:rPr>
          <w:sz w:val="24"/>
        </w:rPr>
      </w:pPr>
      <w:r>
        <w:rPr>
          <w:sz w:val="24"/>
        </w:rPr>
        <w:t>Euro 13.843.746 in via chirografaria postergata, riclassificato in Classe</w:t>
      </w:r>
      <w:r>
        <w:rPr>
          <w:spacing w:val="-25"/>
          <w:sz w:val="24"/>
        </w:rPr>
        <w:t> </w:t>
      </w:r>
      <w:r>
        <w:rPr>
          <w:sz w:val="24"/>
        </w:rPr>
        <w:t>2;</w:t>
      </w:r>
    </w:p>
    <w:p>
      <w:pPr>
        <w:pStyle w:val="BodyText"/>
        <w:spacing w:before="10"/>
        <w:rPr>
          <w:sz w:val="23"/>
        </w:rPr>
      </w:pPr>
    </w:p>
    <w:p>
      <w:pPr>
        <w:pStyle w:val="ListParagraph"/>
        <w:numPr>
          <w:ilvl w:val="0"/>
          <w:numId w:val="15"/>
        </w:numPr>
        <w:tabs>
          <w:tab w:pos="2126" w:val="left" w:leader="none"/>
          <w:tab w:pos="2127" w:val="left" w:leader="none"/>
        </w:tabs>
        <w:spacing w:line="240" w:lineRule="auto" w:before="0" w:after="0"/>
        <w:ind w:left="2126" w:right="0" w:hanging="708"/>
        <w:jc w:val="left"/>
        <w:rPr>
          <w:sz w:val="24"/>
        </w:rPr>
      </w:pPr>
      <w:r>
        <w:rPr>
          <w:sz w:val="24"/>
        </w:rPr>
        <w:t>Euro 20.000.000 in via chirografaria postergata</w:t>
      </w:r>
      <w:r>
        <w:rPr>
          <w:spacing w:val="-15"/>
          <w:sz w:val="24"/>
        </w:rPr>
        <w:t> </w:t>
      </w:r>
      <w:r>
        <w:rPr>
          <w:sz w:val="24"/>
        </w:rPr>
        <w:t>volontaria;</w:t>
      </w:r>
    </w:p>
    <w:p>
      <w:pPr>
        <w:pStyle w:val="BodyText"/>
        <w:spacing w:before="9"/>
        <w:rPr>
          <w:sz w:val="23"/>
        </w:rPr>
      </w:pPr>
    </w:p>
    <w:p>
      <w:pPr>
        <w:pStyle w:val="ListParagraph"/>
        <w:numPr>
          <w:ilvl w:val="0"/>
          <w:numId w:val="15"/>
        </w:numPr>
        <w:tabs>
          <w:tab w:pos="2126" w:val="left" w:leader="none"/>
          <w:tab w:pos="2127" w:val="left" w:leader="none"/>
        </w:tabs>
        <w:spacing w:line="240" w:lineRule="auto" w:before="1" w:after="0"/>
        <w:ind w:left="2126" w:right="0" w:hanging="708"/>
        <w:jc w:val="left"/>
        <w:rPr>
          <w:sz w:val="24"/>
        </w:rPr>
      </w:pPr>
      <w:r>
        <w:rPr>
          <w:sz w:val="24"/>
        </w:rPr>
        <w:t>Euro 3.629.493 in via</w:t>
      </w:r>
      <w:r>
        <w:rPr>
          <w:spacing w:val="-9"/>
          <w:sz w:val="24"/>
        </w:rPr>
        <w:t> </w:t>
      </w:r>
      <w:r>
        <w:rPr>
          <w:sz w:val="24"/>
        </w:rPr>
        <w:t>privilegiata;</w:t>
      </w:r>
    </w:p>
    <w:p>
      <w:pPr>
        <w:pStyle w:val="BodyText"/>
        <w:spacing w:before="10"/>
        <w:rPr>
          <w:sz w:val="23"/>
        </w:rPr>
      </w:pPr>
    </w:p>
    <w:p>
      <w:pPr>
        <w:pStyle w:val="ListParagraph"/>
        <w:numPr>
          <w:ilvl w:val="0"/>
          <w:numId w:val="15"/>
        </w:numPr>
        <w:tabs>
          <w:tab w:pos="2126" w:val="left" w:leader="none"/>
          <w:tab w:pos="2127" w:val="left" w:leader="none"/>
        </w:tabs>
        <w:spacing w:line="240" w:lineRule="auto" w:before="0" w:after="0"/>
        <w:ind w:left="2126" w:right="0" w:hanging="708"/>
        <w:jc w:val="left"/>
        <w:rPr>
          <w:sz w:val="24"/>
        </w:rPr>
      </w:pPr>
      <w:r>
        <w:rPr>
          <w:sz w:val="24"/>
        </w:rPr>
        <w:t>Euro 9.239.670 in via</w:t>
      </w:r>
      <w:r>
        <w:rPr>
          <w:spacing w:val="-7"/>
          <w:sz w:val="24"/>
        </w:rPr>
        <w:t> </w:t>
      </w:r>
      <w:r>
        <w:rPr>
          <w:sz w:val="24"/>
        </w:rPr>
        <w:t>prededucibile;</w:t>
      </w:r>
    </w:p>
    <w:p>
      <w:pPr>
        <w:pStyle w:val="BodyText"/>
        <w:spacing w:before="10"/>
        <w:rPr>
          <w:sz w:val="23"/>
        </w:rPr>
      </w:pPr>
    </w:p>
    <w:p>
      <w:pPr>
        <w:pStyle w:val="BodyText"/>
        <w:spacing w:line="480" w:lineRule="auto"/>
        <w:ind w:left="1418" w:right="1518"/>
      </w:pPr>
      <w:r>
        <w:rPr/>
        <w:t>incrementato di oneri prededucibili di liquidazione maturati e maturandi dal 15.10.2017 fino al 31.12.2024 per Euro 2.499.431.</w:t>
      </w:r>
    </w:p>
    <w:p>
      <w:pPr>
        <w:pStyle w:val="BodyText"/>
        <w:spacing w:before="201"/>
        <w:ind w:left="1418"/>
      </w:pPr>
      <w:r>
        <w:rPr/>
        <w:t>La proposta concordataria prevede la creazione di tre classi di creditori chirografari.</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La prima è composta da creditori chirografari diversi dalle classi successive (Classe 1). La seconda è formata da creditori intercompany postergati M&amp;G Finanziaria S.p.A. e M&amp;G S.p.A., creditori postergati la cui soddisfazione avverrà a condizione della preventiva integrale soddisfazione dei creditori della Classe sopra descritta (Classe 2). La terza formata da Novozymes creditore postergato volontariamente al soddisfacimento dei creditori chirografari della Classe 1  nella misura del 20%. Ogni altra risorsa dovrà essere utilizzata per la soddisfazione di Novozymes per il soddisfacimento fino al 20% del credito della stessa e successivamente alla soddisfazione pro quota e proporzionale di tutti i creditori</w:t>
      </w:r>
      <w:r>
        <w:rPr>
          <w:spacing w:val="-26"/>
        </w:rPr>
        <w:t> </w:t>
      </w:r>
      <w:r>
        <w:rPr/>
        <w:t>chirografari.</w:t>
      </w:r>
    </w:p>
    <w:p>
      <w:pPr>
        <w:pStyle w:val="BodyText"/>
        <w:spacing w:before="201"/>
        <w:ind w:left="1418"/>
        <w:jc w:val="both"/>
      </w:pPr>
      <w:r>
        <w:rPr/>
        <w:t>Il bridge tra passivo contabile e passivo concordatario è il seguente:</w:t>
      </w:r>
    </w:p>
    <w:p>
      <w:pPr>
        <w:pStyle w:val="BodyText"/>
        <w:rPr>
          <w:sz w:val="20"/>
        </w:rPr>
      </w:pPr>
    </w:p>
    <w:p>
      <w:pPr>
        <w:pStyle w:val="BodyText"/>
        <w:spacing w:before="10"/>
        <w:rPr>
          <w:sz w:val="17"/>
        </w:rPr>
      </w:pPr>
      <w:r>
        <w:rPr/>
        <w:drawing>
          <wp:anchor distT="0" distB="0" distL="0" distR="0" allowOverlap="1" layoutInCell="1" locked="0" behindDoc="0" simplePos="0" relativeHeight="1408">
            <wp:simplePos x="0" y="0"/>
            <wp:positionH relativeFrom="page">
              <wp:posOffset>1406525</wp:posOffset>
            </wp:positionH>
            <wp:positionV relativeFrom="paragraph">
              <wp:posOffset>153003</wp:posOffset>
            </wp:positionV>
            <wp:extent cx="5246672" cy="4015644"/>
            <wp:effectExtent l="0" t="0" r="0" b="0"/>
            <wp:wrapTopAndBottom/>
            <wp:docPr id="3" name="image2.jpeg" descr=""/>
            <wp:cNvGraphicFramePr>
              <a:graphicFrameLocks noChangeAspect="1"/>
            </wp:cNvGraphicFramePr>
            <a:graphic>
              <a:graphicData uri="http://schemas.openxmlformats.org/drawingml/2006/picture">
                <pic:pic>
                  <pic:nvPicPr>
                    <pic:cNvPr id="4" name="image2.jpeg"/>
                    <pic:cNvPicPr/>
                  </pic:nvPicPr>
                  <pic:blipFill>
                    <a:blip r:embed="rId9" cstate="print"/>
                    <a:stretch>
                      <a:fillRect/>
                    </a:stretch>
                  </pic:blipFill>
                  <pic:spPr>
                    <a:xfrm>
                      <a:off x="0" y="0"/>
                      <a:ext cx="5246672" cy="4015644"/>
                    </a:xfrm>
                    <a:prstGeom prst="rect">
                      <a:avLst/>
                    </a:prstGeom>
                  </pic:spPr>
                </pic:pic>
              </a:graphicData>
            </a:graphic>
          </wp:anchor>
        </w:drawing>
      </w:r>
    </w:p>
    <w:p>
      <w:pPr>
        <w:spacing w:after="0"/>
        <w:rPr>
          <w:sz w:val="17"/>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2126"/>
      </w:pPr>
      <w:r>
        <w:rPr/>
        <w:t>Le rettifiche apportate al passivo contabile sono le seguenti:</w:t>
      </w:r>
    </w:p>
    <w:p>
      <w:pPr>
        <w:pStyle w:val="BodyText"/>
        <w:rPr>
          <w:sz w:val="26"/>
        </w:rPr>
      </w:pPr>
    </w:p>
    <w:p>
      <w:pPr>
        <w:pStyle w:val="ListParagraph"/>
        <w:numPr>
          <w:ilvl w:val="1"/>
          <w:numId w:val="15"/>
        </w:numPr>
        <w:tabs>
          <w:tab w:pos="2126" w:val="left" w:leader="none"/>
          <w:tab w:pos="2127" w:val="left" w:leader="none"/>
        </w:tabs>
        <w:spacing w:line="240" w:lineRule="auto" w:before="179" w:after="0"/>
        <w:ind w:left="2126" w:right="0" w:hanging="566"/>
        <w:jc w:val="left"/>
        <w:rPr>
          <w:sz w:val="24"/>
        </w:rPr>
      </w:pPr>
      <w:r>
        <w:rPr>
          <w:sz w:val="24"/>
        </w:rPr>
        <w:t>compensazioni debiti intercompany commerciali Euro</w:t>
      </w:r>
      <w:r>
        <w:rPr>
          <w:spacing w:val="-21"/>
          <w:sz w:val="24"/>
        </w:rPr>
        <w:t> </w:t>
      </w:r>
      <w:r>
        <w:rPr>
          <w:sz w:val="24"/>
        </w:rPr>
        <w:t>1.509.490;</w:t>
      </w:r>
    </w:p>
    <w:p>
      <w:pPr>
        <w:pStyle w:val="BodyText"/>
        <w:spacing w:before="9"/>
        <w:rPr>
          <w:sz w:val="23"/>
        </w:rPr>
      </w:pPr>
    </w:p>
    <w:p>
      <w:pPr>
        <w:pStyle w:val="ListParagraph"/>
        <w:numPr>
          <w:ilvl w:val="1"/>
          <w:numId w:val="15"/>
        </w:numPr>
        <w:tabs>
          <w:tab w:pos="2127" w:val="left" w:leader="none"/>
        </w:tabs>
        <w:spacing w:line="470" w:lineRule="auto" w:before="1" w:after="0"/>
        <w:ind w:left="2126" w:right="1414" w:hanging="566"/>
        <w:jc w:val="both"/>
        <w:rPr>
          <w:sz w:val="24"/>
        </w:rPr>
      </w:pPr>
      <w:r>
        <w:rPr>
          <w:sz w:val="24"/>
        </w:rPr>
        <w:t>postergazione e collocazione in Classe 2 chirografari postergati, dei debiti finanziari verso imprese del Gruppo, considerando di natura finanziaria anche i debiti commerciali scaduti per Euro</w:t>
      </w:r>
      <w:r>
        <w:rPr>
          <w:spacing w:val="-3"/>
          <w:sz w:val="24"/>
        </w:rPr>
        <w:t> </w:t>
      </w:r>
      <w:r>
        <w:rPr>
          <w:sz w:val="24"/>
        </w:rPr>
        <w:t>7.366.557;</w:t>
      </w:r>
    </w:p>
    <w:p>
      <w:pPr>
        <w:pStyle w:val="ListParagraph"/>
        <w:numPr>
          <w:ilvl w:val="1"/>
          <w:numId w:val="15"/>
        </w:numPr>
        <w:tabs>
          <w:tab w:pos="2126" w:val="left" w:leader="none"/>
          <w:tab w:pos="2127" w:val="left" w:leader="none"/>
        </w:tabs>
        <w:spacing w:line="460" w:lineRule="auto" w:before="10" w:after="0"/>
        <w:ind w:left="2126" w:right="1418" w:hanging="566"/>
        <w:jc w:val="left"/>
        <w:rPr>
          <w:sz w:val="24"/>
        </w:rPr>
      </w:pPr>
      <w:r>
        <w:rPr>
          <w:sz w:val="24"/>
        </w:rPr>
        <w:t>esclusione del debito per compensi ed accessori nei confronti degli eredi dell’Ing. Guido Ghisolfi per intervenuta rinuncia di Euro</w:t>
      </w:r>
      <w:r>
        <w:rPr>
          <w:spacing w:val="-13"/>
          <w:sz w:val="24"/>
        </w:rPr>
        <w:t> </w:t>
      </w:r>
      <w:r>
        <w:rPr>
          <w:sz w:val="24"/>
        </w:rPr>
        <w:t>340.066;</w:t>
      </w:r>
    </w:p>
    <w:p>
      <w:pPr>
        <w:pStyle w:val="ListParagraph"/>
        <w:numPr>
          <w:ilvl w:val="1"/>
          <w:numId w:val="15"/>
        </w:numPr>
        <w:tabs>
          <w:tab w:pos="2126" w:val="left" w:leader="none"/>
          <w:tab w:pos="2127" w:val="left" w:leader="none"/>
        </w:tabs>
        <w:spacing w:line="240" w:lineRule="auto" w:before="20" w:after="0"/>
        <w:ind w:left="2126" w:right="0" w:hanging="566"/>
        <w:jc w:val="left"/>
        <w:rPr>
          <w:sz w:val="24"/>
        </w:rPr>
      </w:pPr>
      <w:r>
        <w:rPr>
          <w:sz w:val="24"/>
        </w:rPr>
        <w:t>esclusione delle poste di debito verso dipendenti ricompresi nell’offerta Versalis</w:t>
      </w:r>
      <w:r>
        <w:rPr>
          <w:spacing w:val="-30"/>
          <w:sz w:val="24"/>
        </w:rPr>
        <w:t> </w:t>
      </w:r>
      <w:r>
        <w:rPr>
          <w:sz w:val="24"/>
        </w:rPr>
        <w:t>per</w:t>
      </w:r>
    </w:p>
    <w:p>
      <w:pPr>
        <w:pStyle w:val="BodyText"/>
        <w:spacing w:before="9"/>
        <w:rPr>
          <w:sz w:val="23"/>
        </w:rPr>
      </w:pPr>
    </w:p>
    <w:p>
      <w:pPr>
        <w:pStyle w:val="BodyText"/>
        <w:tabs>
          <w:tab w:pos="2126" w:val="left" w:leader="none"/>
        </w:tabs>
        <w:ind w:left="1560"/>
      </w:pPr>
      <w:r>
        <w:rPr>
          <w:rFonts w:ascii="Calibri"/>
        </w:rPr>
        <w:t>-</w:t>
        <w:tab/>
      </w:r>
      <w:r>
        <w:rPr/>
        <w:t>Euro</w:t>
      </w:r>
      <w:r>
        <w:rPr>
          <w:spacing w:val="-1"/>
        </w:rPr>
        <w:t> </w:t>
      </w:r>
      <w:r>
        <w:rPr/>
        <w:t>1.001.009;</w:t>
      </w:r>
    </w:p>
    <w:p>
      <w:pPr>
        <w:pStyle w:val="BodyText"/>
        <w:spacing w:before="9"/>
        <w:rPr>
          <w:sz w:val="23"/>
        </w:rPr>
      </w:pPr>
    </w:p>
    <w:p>
      <w:pPr>
        <w:pStyle w:val="ListParagraph"/>
        <w:numPr>
          <w:ilvl w:val="1"/>
          <w:numId w:val="15"/>
        </w:numPr>
        <w:tabs>
          <w:tab w:pos="2126" w:val="left" w:leader="none"/>
          <w:tab w:pos="2127" w:val="left" w:leader="none"/>
        </w:tabs>
        <w:spacing w:line="460" w:lineRule="auto" w:before="0" w:after="0"/>
        <w:ind w:left="2126" w:right="2331" w:hanging="566"/>
        <w:jc w:val="left"/>
        <w:rPr>
          <w:sz w:val="24"/>
        </w:rPr>
      </w:pPr>
      <w:r>
        <w:rPr>
          <w:sz w:val="24"/>
        </w:rPr>
        <w:t>esclusione dei debiti per finanziamenti della Comunità Europea a fondo</w:t>
      </w:r>
      <w:r>
        <w:rPr>
          <w:spacing w:val="-33"/>
          <w:sz w:val="24"/>
        </w:rPr>
        <w:t> </w:t>
      </w:r>
      <w:r>
        <w:rPr>
          <w:sz w:val="24"/>
        </w:rPr>
        <w:t>perduto Euro</w:t>
      </w:r>
      <w:r>
        <w:rPr>
          <w:spacing w:val="-2"/>
          <w:sz w:val="24"/>
        </w:rPr>
        <w:t> </w:t>
      </w:r>
      <w:r>
        <w:rPr>
          <w:sz w:val="24"/>
        </w:rPr>
        <w:t>9.483.744;</w:t>
      </w:r>
    </w:p>
    <w:p>
      <w:pPr>
        <w:pStyle w:val="ListParagraph"/>
        <w:numPr>
          <w:ilvl w:val="1"/>
          <w:numId w:val="15"/>
        </w:numPr>
        <w:tabs>
          <w:tab w:pos="2186" w:val="left" w:leader="none"/>
          <w:tab w:pos="2187" w:val="left" w:leader="none"/>
        </w:tabs>
        <w:spacing w:line="240" w:lineRule="auto" w:before="21" w:after="0"/>
        <w:ind w:left="2186" w:right="0" w:hanging="626"/>
        <w:jc w:val="left"/>
        <w:rPr>
          <w:sz w:val="24"/>
        </w:rPr>
      </w:pPr>
      <w:r>
        <w:rPr>
          <w:sz w:val="24"/>
        </w:rPr>
        <w:t>compensazione debiti tributari per Euro</w:t>
      </w:r>
      <w:r>
        <w:rPr>
          <w:spacing w:val="-21"/>
          <w:sz w:val="24"/>
        </w:rPr>
        <w:t> </w:t>
      </w:r>
      <w:r>
        <w:rPr>
          <w:sz w:val="24"/>
        </w:rPr>
        <w:t>101.578;</w:t>
      </w:r>
    </w:p>
    <w:p>
      <w:pPr>
        <w:pStyle w:val="BodyText"/>
        <w:spacing w:before="9"/>
        <w:rPr>
          <w:sz w:val="23"/>
        </w:rPr>
      </w:pPr>
    </w:p>
    <w:p>
      <w:pPr>
        <w:pStyle w:val="ListParagraph"/>
        <w:numPr>
          <w:ilvl w:val="1"/>
          <w:numId w:val="15"/>
        </w:numPr>
        <w:tabs>
          <w:tab w:pos="2126" w:val="left" w:leader="none"/>
          <w:tab w:pos="2127" w:val="left" w:leader="none"/>
        </w:tabs>
        <w:spacing w:line="240" w:lineRule="auto" w:before="0" w:after="0"/>
        <w:ind w:left="2126" w:right="0" w:hanging="566"/>
        <w:jc w:val="left"/>
        <w:rPr>
          <w:sz w:val="24"/>
        </w:rPr>
      </w:pPr>
      <w:r>
        <w:rPr>
          <w:sz w:val="24"/>
        </w:rPr>
        <w:t>appostazione di oneri di procedura per Euro</w:t>
      </w:r>
      <w:r>
        <w:rPr>
          <w:spacing w:val="-20"/>
          <w:sz w:val="24"/>
        </w:rPr>
        <w:t> </w:t>
      </w:r>
      <w:r>
        <w:rPr>
          <w:sz w:val="24"/>
        </w:rPr>
        <w:t>7.648.191;</w:t>
      </w:r>
    </w:p>
    <w:p>
      <w:pPr>
        <w:pStyle w:val="BodyText"/>
        <w:spacing w:before="9"/>
        <w:rPr>
          <w:sz w:val="23"/>
        </w:rPr>
      </w:pPr>
    </w:p>
    <w:p>
      <w:pPr>
        <w:pStyle w:val="ListParagraph"/>
        <w:numPr>
          <w:ilvl w:val="1"/>
          <w:numId w:val="15"/>
        </w:numPr>
        <w:tabs>
          <w:tab w:pos="2126" w:val="left" w:leader="none"/>
          <w:tab w:pos="2127" w:val="left" w:leader="none"/>
        </w:tabs>
        <w:spacing w:line="240" w:lineRule="auto" w:before="0" w:after="0"/>
        <w:ind w:left="2126" w:right="0" w:hanging="566"/>
        <w:jc w:val="left"/>
        <w:rPr>
          <w:sz w:val="24"/>
        </w:rPr>
      </w:pPr>
      <w:r>
        <w:rPr>
          <w:sz w:val="24"/>
        </w:rPr>
        <w:t>appostazione di fondi rischi e oneri per complessivi  Euro 19.091.114 di</w:t>
      </w:r>
      <w:r>
        <w:rPr>
          <w:spacing w:val="-21"/>
          <w:sz w:val="24"/>
        </w:rPr>
        <w:t> </w:t>
      </w:r>
      <w:r>
        <w:rPr>
          <w:sz w:val="24"/>
        </w:rPr>
        <w:t>cui:</w:t>
      </w:r>
    </w:p>
    <w:p>
      <w:pPr>
        <w:pStyle w:val="BodyText"/>
        <w:spacing w:before="8"/>
        <w:rPr>
          <w:sz w:val="23"/>
        </w:rPr>
      </w:pPr>
    </w:p>
    <w:p>
      <w:pPr>
        <w:pStyle w:val="ListParagraph"/>
        <w:numPr>
          <w:ilvl w:val="2"/>
          <w:numId w:val="15"/>
        </w:numPr>
        <w:tabs>
          <w:tab w:pos="2835" w:val="left" w:leader="none"/>
        </w:tabs>
        <w:spacing w:line="240" w:lineRule="auto" w:before="0" w:after="0"/>
        <w:ind w:left="2858" w:right="0" w:hanging="360"/>
        <w:jc w:val="left"/>
        <w:rPr>
          <w:sz w:val="24"/>
        </w:rPr>
      </w:pPr>
      <w:r>
        <w:rPr>
          <w:sz w:val="24"/>
        </w:rPr>
        <w:t>Euro 4.295.729 come fondo rischi generico al chirografo Classe</w:t>
      </w:r>
      <w:r>
        <w:rPr>
          <w:spacing w:val="-21"/>
          <w:sz w:val="24"/>
        </w:rPr>
        <w:t> </w:t>
      </w:r>
      <w:r>
        <w:rPr>
          <w:sz w:val="24"/>
        </w:rPr>
        <w:t>1;</w:t>
      </w:r>
    </w:p>
    <w:p>
      <w:pPr>
        <w:pStyle w:val="BodyText"/>
      </w:pPr>
    </w:p>
    <w:p>
      <w:pPr>
        <w:pStyle w:val="ListParagraph"/>
        <w:numPr>
          <w:ilvl w:val="2"/>
          <w:numId w:val="15"/>
        </w:numPr>
        <w:tabs>
          <w:tab w:pos="2835" w:val="left" w:leader="none"/>
        </w:tabs>
        <w:spacing w:line="240" w:lineRule="auto" w:before="0" w:after="0"/>
        <w:ind w:left="2834" w:right="0" w:hanging="336"/>
        <w:jc w:val="left"/>
        <w:rPr>
          <w:sz w:val="24"/>
        </w:rPr>
      </w:pPr>
      <w:r>
        <w:rPr>
          <w:sz w:val="24"/>
        </w:rPr>
        <w:t>Euro 5.361.629 come fondo rischi per garanzie diverse al chirografo Classe</w:t>
      </w:r>
      <w:r>
        <w:rPr>
          <w:spacing w:val="-28"/>
          <w:sz w:val="24"/>
        </w:rPr>
        <w:t> </w:t>
      </w:r>
      <w:r>
        <w:rPr>
          <w:sz w:val="24"/>
        </w:rPr>
        <w:t>1;</w:t>
      </w:r>
    </w:p>
    <w:p>
      <w:pPr>
        <w:pStyle w:val="BodyText"/>
        <w:spacing w:before="8"/>
        <w:rPr>
          <w:sz w:val="23"/>
        </w:rPr>
      </w:pPr>
    </w:p>
    <w:p>
      <w:pPr>
        <w:pStyle w:val="ListParagraph"/>
        <w:numPr>
          <w:ilvl w:val="2"/>
          <w:numId w:val="15"/>
        </w:numPr>
        <w:tabs>
          <w:tab w:pos="2835" w:val="left" w:leader="none"/>
        </w:tabs>
        <w:spacing w:line="475" w:lineRule="auto" w:before="1" w:after="0"/>
        <w:ind w:left="2858" w:right="1414" w:hanging="360"/>
        <w:jc w:val="both"/>
        <w:rPr>
          <w:sz w:val="24"/>
        </w:rPr>
      </w:pPr>
      <w:r>
        <w:rPr>
          <w:sz w:val="24"/>
        </w:rPr>
        <w:t>Euro 6.477.189 come fondo imposte 2017 rientrante nel consolidato fiscale di gruppo e pertanto riclassificato al chirografo Classe</w:t>
      </w:r>
      <w:r>
        <w:rPr>
          <w:spacing w:val="-20"/>
          <w:sz w:val="24"/>
        </w:rPr>
        <w:t> </w:t>
      </w:r>
      <w:r>
        <w:rPr>
          <w:sz w:val="24"/>
        </w:rPr>
        <w:t>2;</w:t>
      </w:r>
    </w:p>
    <w:p>
      <w:pPr>
        <w:pStyle w:val="ListParagraph"/>
        <w:numPr>
          <w:ilvl w:val="2"/>
          <w:numId w:val="15"/>
        </w:numPr>
        <w:tabs>
          <w:tab w:pos="2835" w:val="left" w:leader="none"/>
        </w:tabs>
        <w:spacing w:line="477" w:lineRule="auto" w:before="3" w:after="0"/>
        <w:ind w:left="2858" w:right="1412" w:hanging="360"/>
        <w:jc w:val="both"/>
        <w:rPr>
          <w:sz w:val="24"/>
        </w:rPr>
      </w:pPr>
      <w:r>
        <w:rPr>
          <w:sz w:val="24"/>
        </w:rPr>
        <w:t>Euro 1365.088 al privilegio, di cui Euro 1.000.000 come fondo rischi generico, Euro 285.684 come fondo “fiscale” per avvisi di accertamento, Euro 51.464 come fondo rischi MIUR ed Euro 27.940 per interessi</w:t>
      </w:r>
      <w:r>
        <w:rPr>
          <w:spacing w:val="-8"/>
          <w:sz w:val="24"/>
        </w:rPr>
        <w:t> </w:t>
      </w:r>
      <w:r>
        <w:rPr>
          <w:sz w:val="24"/>
        </w:rPr>
        <w:t>legali;</w:t>
      </w:r>
    </w:p>
    <w:p>
      <w:pPr>
        <w:spacing w:after="0" w:line="477"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2"/>
          <w:numId w:val="15"/>
        </w:numPr>
        <w:tabs>
          <w:tab w:pos="2835" w:val="left" w:leader="none"/>
        </w:tabs>
        <w:spacing w:line="475" w:lineRule="auto" w:before="100" w:after="0"/>
        <w:ind w:left="2858" w:right="1418" w:hanging="360"/>
        <w:jc w:val="left"/>
        <w:rPr>
          <w:sz w:val="24"/>
        </w:rPr>
      </w:pPr>
      <w:r>
        <w:rPr>
          <w:sz w:val="24"/>
        </w:rPr>
        <w:t>quantificazione di oneri di gestione in prededuzione tra il marzo 2017 e il  dicembre 2024 per Euro</w:t>
      </w:r>
      <w:r>
        <w:rPr>
          <w:spacing w:val="-5"/>
          <w:sz w:val="24"/>
        </w:rPr>
        <w:t> </w:t>
      </w:r>
      <w:r>
        <w:rPr>
          <w:sz w:val="24"/>
        </w:rPr>
        <w:t>2.499.431;</w:t>
      </w:r>
    </w:p>
    <w:p>
      <w:pPr>
        <w:pStyle w:val="ListParagraph"/>
        <w:numPr>
          <w:ilvl w:val="2"/>
          <w:numId w:val="15"/>
        </w:numPr>
        <w:tabs>
          <w:tab w:pos="2835" w:val="left" w:leader="none"/>
        </w:tabs>
        <w:spacing w:line="240" w:lineRule="auto" w:before="3" w:after="0"/>
        <w:ind w:left="2834" w:right="0" w:hanging="336"/>
        <w:jc w:val="left"/>
        <w:rPr>
          <w:sz w:val="24"/>
        </w:rPr>
      </w:pPr>
      <w:r>
        <w:rPr>
          <w:sz w:val="24"/>
        </w:rPr>
        <w:t>Euro 1.591.479 in prededuzione di</w:t>
      </w:r>
      <w:r>
        <w:rPr>
          <w:spacing w:val="-6"/>
          <w:sz w:val="24"/>
        </w:rPr>
        <w:t> </w:t>
      </w:r>
      <w:r>
        <w:rPr>
          <w:sz w:val="24"/>
        </w:rPr>
        <w:t>cui:</w:t>
      </w:r>
    </w:p>
    <w:p>
      <w:pPr>
        <w:pStyle w:val="BodyText"/>
        <w:spacing w:before="1"/>
      </w:pPr>
    </w:p>
    <w:p>
      <w:pPr>
        <w:pStyle w:val="ListParagraph"/>
        <w:numPr>
          <w:ilvl w:val="3"/>
          <w:numId w:val="15"/>
        </w:numPr>
        <w:tabs>
          <w:tab w:pos="3543" w:val="left" w:leader="none"/>
          <w:tab w:pos="3544" w:val="left" w:leader="none"/>
        </w:tabs>
        <w:spacing w:line="240" w:lineRule="auto" w:before="0" w:after="0"/>
        <w:ind w:left="3579" w:right="0" w:hanging="360"/>
        <w:jc w:val="left"/>
        <w:rPr>
          <w:sz w:val="24"/>
        </w:rPr>
      </w:pPr>
      <w:r>
        <w:rPr>
          <w:sz w:val="24"/>
        </w:rPr>
        <w:t>Euro 283.121 per IRAP 2017, maturata dopo il</w:t>
      </w:r>
      <w:r>
        <w:rPr>
          <w:spacing w:val="-14"/>
          <w:sz w:val="24"/>
        </w:rPr>
        <w:t> </w:t>
      </w:r>
      <w:r>
        <w:rPr>
          <w:sz w:val="24"/>
        </w:rPr>
        <w:t>15.10.2017;</w:t>
      </w:r>
    </w:p>
    <w:p>
      <w:pPr>
        <w:pStyle w:val="ListParagraph"/>
        <w:numPr>
          <w:ilvl w:val="3"/>
          <w:numId w:val="15"/>
        </w:numPr>
        <w:tabs>
          <w:tab w:pos="3543" w:val="left" w:leader="none"/>
          <w:tab w:pos="3544" w:val="left" w:leader="none"/>
        </w:tabs>
        <w:spacing w:line="453" w:lineRule="auto" w:before="269" w:after="0"/>
        <w:ind w:left="3579" w:right="1418" w:hanging="360"/>
        <w:jc w:val="left"/>
        <w:rPr>
          <w:sz w:val="24"/>
        </w:rPr>
      </w:pPr>
      <w:r>
        <w:rPr>
          <w:sz w:val="24"/>
        </w:rPr>
        <w:t>Euro 683.249 per il rischio del sostenimento delle spese legali del contenzioso</w:t>
      </w:r>
      <w:r>
        <w:rPr>
          <w:spacing w:val="-12"/>
          <w:sz w:val="24"/>
        </w:rPr>
        <w:t> </w:t>
      </w:r>
      <w:r>
        <w:rPr>
          <w:sz w:val="24"/>
        </w:rPr>
        <w:t>Andriz;</w:t>
      </w:r>
    </w:p>
    <w:p>
      <w:pPr>
        <w:pStyle w:val="ListParagraph"/>
        <w:numPr>
          <w:ilvl w:val="3"/>
          <w:numId w:val="15"/>
        </w:numPr>
        <w:tabs>
          <w:tab w:pos="3543" w:val="left" w:leader="none"/>
          <w:tab w:pos="3544" w:val="left" w:leader="none"/>
        </w:tabs>
        <w:spacing w:line="453" w:lineRule="auto" w:before="29" w:after="0"/>
        <w:ind w:left="3579" w:right="1413" w:hanging="360"/>
        <w:jc w:val="left"/>
        <w:rPr>
          <w:sz w:val="24"/>
        </w:rPr>
      </w:pPr>
      <w:r>
        <w:rPr>
          <w:sz w:val="24"/>
        </w:rPr>
        <w:t>Euro 20.964 per il rischio del sostenimento delle spese legali del contenzioso Graal</w:t>
      </w:r>
      <w:r>
        <w:rPr>
          <w:spacing w:val="-8"/>
          <w:sz w:val="24"/>
        </w:rPr>
        <w:t> </w:t>
      </w:r>
      <w:r>
        <w:rPr>
          <w:sz w:val="24"/>
        </w:rPr>
        <w:t>Bio;</w:t>
      </w:r>
    </w:p>
    <w:p>
      <w:pPr>
        <w:pStyle w:val="ListParagraph"/>
        <w:numPr>
          <w:ilvl w:val="3"/>
          <w:numId w:val="15"/>
        </w:numPr>
        <w:tabs>
          <w:tab w:pos="3543" w:val="left" w:leader="none"/>
          <w:tab w:pos="3544" w:val="left" w:leader="none"/>
        </w:tabs>
        <w:spacing w:line="240" w:lineRule="auto" w:before="29" w:after="0"/>
        <w:ind w:left="3543" w:right="0" w:hanging="324"/>
        <w:jc w:val="left"/>
        <w:rPr>
          <w:sz w:val="24"/>
        </w:rPr>
      </w:pPr>
      <w:r>
        <w:rPr>
          <w:sz w:val="24"/>
        </w:rPr>
        <w:t>Euro 580.000 per i rischi incasso</w:t>
      </w:r>
      <w:r>
        <w:rPr>
          <w:spacing w:val="-17"/>
          <w:sz w:val="24"/>
        </w:rPr>
        <w:t> </w:t>
      </w:r>
      <w:r>
        <w:rPr>
          <w:sz w:val="24"/>
        </w:rPr>
        <w:t>crediti;</w:t>
      </w:r>
    </w:p>
    <w:p>
      <w:pPr>
        <w:pStyle w:val="ListParagraph"/>
        <w:numPr>
          <w:ilvl w:val="3"/>
          <w:numId w:val="15"/>
        </w:numPr>
        <w:tabs>
          <w:tab w:pos="3543" w:val="left" w:leader="none"/>
          <w:tab w:pos="3544" w:val="left" w:leader="none"/>
        </w:tabs>
        <w:spacing w:line="453" w:lineRule="auto" w:before="269" w:after="0"/>
        <w:ind w:left="3579" w:right="1415" w:hanging="360"/>
        <w:jc w:val="left"/>
        <w:rPr>
          <w:sz w:val="24"/>
        </w:rPr>
      </w:pPr>
      <w:r>
        <w:rPr>
          <w:sz w:val="24"/>
        </w:rPr>
        <w:t>Euro 24.145 per i rischi di liquidazione dell’indennizzo per le risoluzioni contrattuali.</w:t>
      </w:r>
    </w:p>
    <w:p>
      <w:pPr>
        <w:pStyle w:val="BodyText"/>
        <w:spacing w:before="231"/>
        <w:ind w:left="1418"/>
        <w:jc w:val="both"/>
      </w:pPr>
      <w:r>
        <w:rPr/>
        <w:t>Il passivo concordatario è stato poi definitivamente riclassificato quanto a:</w:t>
      </w:r>
    </w:p>
    <w:p>
      <w:pPr>
        <w:pStyle w:val="BodyText"/>
        <w:rPr>
          <w:sz w:val="26"/>
        </w:rPr>
      </w:pPr>
    </w:p>
    <w:p>
      <w:pPr>
        <w:pStyle w:val="ListParagraph"/>
        <w:numPr>
          <w:ilvl w:val="1"/>
          <w:numId w:val="15"/>
        </w:numPr>
        <w:tabs>
          <w:tab w:pos="2126" w:val="left" w:leader="none"/>
          <w:tab w:pos="2127" w:val="left" w:leader="none"/>
        </w:tabs>
        <w:spacing w:line="240" w:lineRule="auto" w:before="176" w:after="0"/>
        <w:ind w:left="2126" w:right="0" w:hanging="566"/>
        <w:jc w:val="left"/>
        <w:rPr>
          <w:sz w:val="24"/>
        </w:rPr>
      </w:pPr>
      <w:r>
        <w:rPr>
          <w:sz w:val="24"/>
        </w:rPr>
        <w:t>Euro 156.551.000 in via chirografaria Classe</w:t>
      </w:r>
      <w:r>
        <w:rPr>
          <w:spacing w:val="-12"/>
          <w:sz w:val="24"/>
        </w:rPr>
        <w:t> </w:t>
      </w:r>
      <w:r>
        <w:rPr>
          <w:sz w:val="24"/>
        </w:rPr>
        <w:t>1;</w:t>
      </w:r>
    </w:p>
    <w:p>
      <w:pPr>
        <w:pStyle w:val="BodyText"/>
        <w:spacing w:before="9"/>
        <w:rPr>
          <w:sz w:val="23"/>
        </w:rPr>
      </w:pPr>
    </w:p>
    <w:p>
      <w:pPr>
        <w:pStyle w:val="ListParagraph"/>
        <w:numPr>
          <w:ilvl w:val="1"/>
          <w:numId w:val="15"/>
        </w:numPr>
        <w:tabs>
          <w:tab w:pos="2126" w:val="left" w:leader="none"/>
          <w:tab w:pos="2127" w:val="left" w:leader="none"/>
        </w:tabs>
        <w:spacing w:line="240" w:lineRule="auto" w:before="0" w:after="0"/>
        <w:ind w:left="2126" w:right="0" w:hanging="566"/>
        <w:jc w:val="left"/>
        <w:rPr>
          <w:sz w:val="24"/>
        </w:rPr>
      </w:pPr>
      <w:r>
        <w:rPr>
          <w:sz w:val="24"/>
        </w:rPr>
        <w:t>Euro 13.844.000 in via chirografaria postergata Classe</w:t>
      </w:r>
      <w:r>
        <w:rPr>
          <w:spacing w:val="-15"/>
          <w:sz w:val="24"/>
        </w:rPr>
        <w:t> </w:t>
      </w:r>
      <w:r>
        <w:rPr>
          <w:sz w:val="24"/>
        </w:rPr>
        <w:t>2;</w:t>
      </w:r>
    </w:p>
    <w:p>
      <w:pPr>
        <w:pStyle w:val="BodyText"/>
        <w:spacing w:before="9"/>
        <w:rPr>
          <w:sz w:val="23"/>
        </w:rPr>
      </w:pPr>
    </w:p>
    <w:p>
      <w:pPr>
        <w:pStyle w:val="ListParagraph"/>
        <w:numPr>
          <w:ilvl w:val="1"/>
          <w:numId w:val="15"/>
        </w:numPr>
        <w:tabs>
          <w:tab w:pos="2126" w:val="left" w:leader="none"/>
          <w:tab w:pos="2127" w:val="left" w:leader="none"/>
        </w:tabs>
        <w:spacing w:line="240" w:lineRule="auto" w:before="0" w:after="0"/>
        <w:ind w:left="2126" w:right="0" w:hanging="566"/>
        <w:jc w:val="left"/>
        <w:rPr>
          <w:sz w:val="24"/>
        </w:rPr>
      </w:pPr>
      <w:r>
        <w:rPr>
          <w:sz w:val="24"/>
        </w:rPr>
        <w:t>Euro 20.000.000 in via chirografaria postergata volontaria Classe</w:t>
      </w:r>
      <w:r>
        <w:rPr>
          <w:spacing w:val="-25"/>
          <w:sz w:val="24"/>
        </w:rPr>
        <w:t> </w:t>
      </w:r>
      <w:r>
        <w:rPr>
          <w:sz w:val="24"/>
        </w:rPr>
        <w:t>3;</w:t>
      </w:r>
    </w:p>
    <w:p>
      <w:pPr>
        <w:pStyle w:val="BodyText"/>
        <w:spacing w:before="9"/>
        <w:rPr>
          <w:sz w:val="23"/>
        </w:rPr>
      </w:pPr>
    </w:p>
    <w:p>
      <w:pPr>
        <w:pStyle w:val="ListParagraph"/>
        <w:numPr>
          <w:ilvl w:val="1"/>
          <w:numId w:val="15"/>
        </w:numPr>
        <w:tabs>
          <w:tab w:pos="2126" w:val="left" w:leader="none"/>
          <w:tab w:pos="2127" w:val="left" w:leader="none"/>
        </w:tabs>
        <w:spacing w:line="240" w:lineRule="auto" w:before="0" w:after="0"/>
        <w:ind w:left="2126" w:right="0" w:hanging="566"/>
        <w:jc w:val="left"/>
        <w:rPr>
          <w:sz w:val="24"/>
        </w:rPr>
      </w:pPr>
      <w:r>
        <w:rPr>
          <w:sz w:val="24"/>
        </w:rPr>
        <w:t>Euro 3.629.000 in via</w:t>
      </w:r>
      <w:r>
        <w:rPr>
          <w:spacing w:val="-9"/>
          <w:sz w:val="24"/>
        </w:rPr>
        <w:t> </w:t>
      </w:r>
      <w:r>
        <w:rPr>
          <w:sz w:val="24"/>
        </w:rPr>
        <w:t>privilegiata;</w:t>
      </w:r>
    </w:p>
    <w:p>
      <w:pPr>
        <w:pStyle w:val="BodyText"/>
        <w:spacing w:before="9"/>
        <w:rPr>
          <w:sz w:val="23"/>
        </w:rPr>
      </w:pPr>
    </w:p>
    <w:p>
      <w:pPr>
        <w:pStyle w:val="ListParagraph"/>
        <w:numPr>
          <w:ilvl w:val="1"/>
          <w:numId w:val="15"/>
        </w:numPr>
        <w:tabs>
          <w:tab w:pos="2126" w:val="left" w:leader="none"/>
          <w:tab w:pos="2127" w:val="left" w:leader="none"/>
        </w:tabs>
        <w:spacing w:line="240" w:lineRule="auto" w:before="0" w:after="0"/>
        <w:ind w:left="2126" w:right="0" w:hanging="566"/>
        <w:jc w:val="left"/>
        <w:rPr>
          <w:sz w:val="24"/>
        </w:rPr>
      </w:pPr>
      <w:r>
        <w:rPr>
          <w:sz w:val="24"/>
        </w:rPr>
        <w:t>Euro 11.739.101 in via</w:t>
      </w:r>
      <w:r>
        <w:rPr>
          <w:spacing w:val="-7"/>
          <w:sz w:val="24"/>
        </w:rPr>
        <w:t> </w:t>
      </w:r>
      <w:r>
        <w:rPr>
          <w:sz w:val="24"/>
        </w:rPr>
        <w:t>prededucibile.</w:t>
      </w:r>
    </w:p>
    <w:p>
      <w:pPr>
        <w:pStyle w:val="BodyText"/>
        <w:rPr>
          <w:sz w:val="26"/>
        </w:rPr>
      </w:pPr>
    </w:p>
    <w:p>
      <w:pPr>
        <w:pStyle w:val="BodyText"/>
        <w:spacing w:line="480" w:lineRule="auto" w:before="178"/>
        <w:ind w:left="1418" w:right="1418"/>
        <w:jc w:val="both"/>
      </w:pPr>
      <w:r>
        <w:rPr/>
        <w:t>Si segnala, più in dettaglio, che il Piano concordatario include l’elaborazione dei flussi di cassa consuntivi per il periodo 01.10.2017 – 31.03.2018 e la previsione dei flussi di cassa gestionali (quindi non riferiti né a costi di procedura, né a riparti a favore dei creditori) collegati alla liquidazione della Società.</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Il piano illustra come per effetto della gestione dal 01.10.2017 – 31.03.2018 si sia generato un saldo finanziario di Euro 1.228.900 da destinarsi a copertura del fabbisogno.</w:t>
      </w:r>
    </w:p>
    <w:p>
      <w:pPr>
        <w:pStyle w:val="BodyText"/>
        <w:spacing w:before="5"/>
        <w:rPr>
          <w:sz w:val="11"/>
        </w:rPr>
      </w:pPr>
    </w:p>
    <w:p>
      <w:pPr>
        <w:tabs>
          <w:tab w:pos="10101" w:val="left" w:leader="none"/>
        </w:tabs>
        <w:spacing w:before="94"/>
        <w:ind w:left="1001" w:right="0" w:firstLine="0"/>
        <w:jc w:val="left"/>
        <w:rPr>
          <w:rFonts w:ascii="Times New Roman"/>
          <w:b/>
          <w:sz w:val="16"/>
        </w:rPr>
      </w:pPr>
      <w:r>
        <w:rPr>
          <w:rFonts w:ascii="Times New Roman"/>
          <w:b/>
          <w:color w:val="FFFFFF"/>
          <w:spacing w:val="-14"/>
          <w:w w:val="100"/>
          <w:sz w:val="16"/>
          <w:shd w:fill="878A8D" w:color="auto" w:val="clear"/>
        </w:rPr>
        <w:t> </w:t>
      </w:r>
      <w:r>
        <w:rPr>
          <w:rFonts w:ascii="Times New Roman"/>
          <w:b/>
          <w:color w:val="FFFFFF"/>
          <w:sz w:val="16"/>
          <w:shd w:fill="878A8D" w:color="auto" w:val="clear"/>
        </w:rPr>
        <w:t>Flussi di Cassa Ottobre 2017 - Marzo</w:t>
      </w:r>
      <w:r>
        <w:rPr>
          <w:rFonts w:ascii="Times New Roman"/>
          <w:b/>
          <w:color w:val="FFFFFF"/>
          <w:spacing w:val="7"/>
          <w:sz w:val="16"/>
          <w:shd w:fill="878A8D" w:color="auto" w:val="clear"/>
        </w:rPr>
        <w:t> </w:t>
      </w:r>
      <w:r>
        <w:rPr>
          <w:rFonts w:ascii="Times New Roman"/>
          <w:b/>
          <w:color w:val="FFFFFF"/>
          <w:sz w:val="16"/>
          <w:shd w:fill="878A8D" w:color="auto" w:val="clear"/>
        </w:rPr>
        <w:t>2018</w:t>
        <w:tab/>
      </w:r>
    </w:p>
    <w:p>
      <w:pPr>
        <w:pStyle w:val="BodyText"/>
        <w:spacing w:before="10"/>
        <w:rPr>
          <w:rFonts w:ascii="Times New Roman"/>
          <w:b/>
          <w:sz w:val="17"/>
        </w:rPr>
      </w:pPr>
    </w:p>
    <w:tbl>
      <w:tblPr>
        <w:tblW w:w="0" w:type="auto"/>
        <w:jc w:val="left"/>
        <w:tblInd w:w="1001"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054"/>
        <w:gridCol w:w="1126"/>
        <w:gridCol w:w="1023"/>
        <w:gridCol w:w="1010"/>
        <w:gridCol w:w="983"/>
        <w:gridCol w:w="1019"/>
        <w:gridCol w:w="885"/>
        <w:gridCol w:w="124"/>
        <w:gridCol w:w="730"/>
      </w:tblGrid>
      <w:tr>
        <w:trPr>
          <w:trHeight w:val="214" w:hRule="exact"/>
        </w:trPr>
        <w:tc>
          <w:tcPr>
            <w:tcW w:w="3054" w:type="dxa"/>
            <w:shd w:val="clear" w:color="auto" w:fill="9F2F33"/>
          </w:tcPr>
          <w:p>
            <w:pPr>
              <w:pStyle w:val="TableParagraph"/>
              <w:spacing w:before="20"/>
              <w:ind w:left="26"/>
              <w:jc w:val="left"/>
              <w:rPr>
                <w:rFonts w:ascii="Times New Roman" w:hAnsi="Times New Roman"/>
                <w:i/>
                <w:sz w:val="16"/>
              </w:rPr>
            </w:pPr>
            <w:r>
              <w:rPr>
                <w:rFonts w:ascii="Times New Roman" w:hAnsi="Times New Roman"/>
                <w:i/>
                <w:color w:val="FFFFFF"/>
                <w:sz w:val="16"/>
              </w:rPr>
              <w:t>€/000</w:t>
            </w:r>
          </w:p>
        </w:tc>
        <w:tc>
          <w:tcPr>
            <w:tcW w:w="1126" w:type="dxa"/>
            <w:shd w:val="clear" w:color="auto" w:fill="9F2F33"/>
          </w:tcPr>
          <w:p>
            <w:pPr>
              <w:pStyle w:val="TableParagraph"/>
              <w:spacing w:before="20"/>
              <w:ind w:left="394" w:right="149"/>
              <w:jc w:val="center"/>
              <w:rPr>
                <w:rFonts w:ascii="Times New Roman"/>
                <w:b/>
                <w:sz w:val="16"/>
              </w:rPr>
            </w:pPr>
            <w:r>
              <w:rPr>
                <w:rFonts w:ascii="Times New Roman"/>
                <w:b/>
                <w:color w:val="FFFFFF"/>
                <w:sz w:val="16"/>
              </w:rPr>
              <w:t>Ottobre</w:t>
            </w:r>
          </w:p>
        </w:tc>
        <w:tc>
          <w:tcPr>
            <w:tcW w:w="1023" w:type="dxa"/>
            <w:shd w:val="clear" w:color="auto" w:fill="9F2F33"/>
          </w:tcPr>
          <w:p>
            <w:pPr>
              <w:pStyle w:val="TableParagraph"/>
              <w:spacing w:before="20"/>
              <w:ind w:left="149" w:right="123"/>
              <w:jc w:val="center"/>
              <w:rPr>
                <w:rFonts w:ascii="Times New Roman"/>
                <w:b/>
                <w:sz w:val="16"/>
              </w:rPr>
            </w:pPr>
            <w:r>
              <w:rPr>
                <w:rFonts w:ascii="Times New Roman"/>
                <w:b/>
                <w:color w:val="FFFFFF"/>
                <w:sz w:val="16"/>
              </w:rPr>
              <w:t>Novembre</w:t>
            </w:r>
          </w:p>
        </w:tc>
        <w:tc>
          <w:tcPr>
            <w:tcW w:w="1010" w:type="dxa"/>
            <w:shd w:val="clear" w:color="auto" w:fill="9F2F33"/>
          </w:tcPr>
          <w:p>
            <w:pPr>
              <w:pStyle w:val="TableParagraph"/>
              <w:spacing w:before="20"/>
              <w:ind w:left="119" w:right="183"/>
              <w:jc w:val="center"/>
              <w:rPr>
                <w:rFonts w:ascii="Times New Roman"/>
                <w:b/>
                <w:sz w:val="16"/>
              </w:rPr>
            </w:pPr>
            <w:r>
              <w:rPr>
                <w:rFonts w:ascii="Times New Roman"/>
                <w:b/>
                <w:color w:val="FFFFFF"/>
                <w:sz w:val="16"/>
              </w:rPr>
              <w:t>Dicembre</w:t>
            </w:r>
          </w:p>
        </w:tc>
        <w:tc>
          <w:tcPr>
            <w:tcW w:w="983" w:type="dxa"/>
            <w:shd w:val="clear" w:color="auto" w:fill="9F2F33"/>
          </w:tcPr>
          <w:p>
            <w:pPr>
              <w:pStyle w:val="TableParagraph"/>
              <w:spacing w:before="20"/>
              <w:ind w:left="189" w:right="176"/>
              <w:jc w:val="center"/>
              <w:rPr>
                <w:rFonts w:ascii="Times New Roman"/>
                <w:b/>
                <w:sz w:val="16"/>
              </w:rPr>
            </w:pPr>
            <w:r>
              <w:rPr>
                <w:rFonts w:ascii="Times New Roman"/>
                <w:b/>
                <w:color w:val="FFFFFF"/>
                <w:sz w:val="16"/>
              </w:rPr>
              <w:t>Gennaio</w:t>
            </w:r>
          </w:p>
        </w:tc>
        <w:tc>
          <w:tcPr>
            <w:tcW w:w="1019" w:type="dxa"/>
            <w:shd w:val="clear" w:color="auto" w:fill="9F2F33"/>
          </w:tcPr>
          <w:p>
            <w:pPr>
              <w:pStyle w:val="TableParagraph"/>
              <w:spacing w:before="20"/>
              <w:ind w:left="168" w:right="187"/>
              <w:jc w:val="center"/>
              <w:rPr>
                <w:rFonts w:ascii="Times New Roman"/>
                <w:b/>
                <w:sz w:val="16"/>
              </w:rPr>
            </w:pPr>
            <w:r>
              <w:rPr>
                <w:rFonts w:ascii="Times New Roman"/>
                <w:b/>
                <w:color w:val="FFFFFF"/>
                <w:sz w:val="16"/>
              </w:rPr>
              <w:t>Febbraio</w:t>
            </w:r>
          </w:p>
        </w:tc>
        <w:tc>
          <w:tcPr>
            <w:tcW w:w="885" w:type="dxa"/>
            <w:shd w:val="clear" w:color="auto" w:fill="9F2F33"/>
          </w:tcPr>
          <w:p>
            <w:pPr>
              <w:pStyle w:val="TableParagraph"/>
              <w:spacing w:before="20"/>
              <w:ind w:left="235"/>
              <w:jc w:val="left"/>
              <w:rPr>
                <w:rFonts w:ascii="Times New Roman"/>
                <w:b/>
                <w:sz w:val="16"/>
              </w:rPr>
            </w:pPr>
            <w:r>
              <w:rPr>
                <w:rFonts w:ascii="Times New Roman"/>
                <w:b/>
                <w:color w:val="FFFFFF"/>
                <w:sz w:val="16"/>
              </w:rPr>
              <w:t>Marzo</w:t>
            </w:r>
          </w:p>
        </w:tc>
        <w:tc>
          <w:tcPr>
            <w:tcW w:w="124" w:type="dxa"/>
          </w:tcPr>
          <w:p>
            <w:pPr/>
          </w:p>
        </w:tc>
        <w:tc>
          <w:tcPr>
            <w:tcW w:w="730" w:type="dxa"/>
          </w:tcPr>
          <w:p>
            <w:pPr>
              <w:pStyle w:val="TableParagraph"/>
              <w:spacing w:before="20"/>
              <w:rPr>
                <w:rFonts w:ascii="Times New Roman"/>
                <w:b/>
                <w:sz w:val="16"/>
              </w:rPr>
            </w:pPr>
            <w:r>
              <w:rPr>
                <w:rFonts w:ascii="Times New Roman"/>
                <w:b/>
                <w:color w:val="FFFFFF"/>
                <w:w w:val="100"/>
                <w:sz w:val="16"/>
                <w:shd w:fill="9F2F33" w:color="auto" w:val="clear"/>
              </w:rPr>
              <w:t> </w:t>
            </w:r>
            <w:r>
              <w:rPr>
                <w:rFonts w:ascii="Times New Roman"/>
                <w:b/>
                <w:color w:val="FFFFFF"/>
                <w:sz w:val="16"/>
                <w:shd w:fill="9F2F33" w:color="auto" w:val="clear"/>
              </w:rPr>
              <w:t>   Totale </w:t>
            </w:r>
          </w:p>
        </w:tc>
      </w:tr>
      <w:tr>
        <w:trPr>
          <w:trHeight w:val="517" w:hRule="exact"/>
        </w:trPr>
        <w:tc>
          <w:tcPr>
            <w:tcW w:w="3054" w:type="dxa"/>
          </w:tcPr>
          <w:p>
            <w:pPr>
              <w:pStyle w:val="TableParagraph"/>
              <w:spacing w:before="9"/>
              <w:jc w:val="left"/>
              <w:rPr>
                <w:rFonts w:ascii="Times New Roman"/>
                <w:b/>
                <w:sz w:val="18"/>
              </w:rPr>
            </w:pPr>
          </w:p>
          <w:p>
            <w:pPr>
              <w:pStyle w:val="TableParagraph"/>
              <w:spacing w:before="0"/>
              <w:ind w:left="26"/>
              <w:jc w:val="left"/>
              <w:rPr>
                <w:rFonts w:ascii="Times New Roman"/>
                <w:b/>
                <w:sz w:val="16"/>
              </w:rPr>
            </w:pPr>
            <w:r>
              <w:rPr>
                <w:rFonts w:ascii="Times New Roman"/>
                <w:b/>
                <w:sz w:val="16"/>
              </w:rPr>
              <w:t>Saldo Iniziale - 1/10/2017</w:t>
            </w:r>
          </w:p>
        </w:tc>
        <w:tc>
          <w:tcPr>
            <w:tcW w:w="1126" w:type="dxa"/>
          </w:tcPr>
          <w:p>
            <w:pPr>
              <w:pStyle w:val="TableParagraph"/>
              <w:spacing w:before="9"/>
              <w:jc w:val="left"/>
              <w:rPr>
                <w:rFonts w:ascii="Times New Roman"/>
                <w:b/>
                <w:sz w:val="18"/>
              </w:rPr>
            </w:pPr>
          </w:p>
          <w:p>
            <w:pPr>
              <w:pStyle w:val="TableParagraph"/>
              <w:spacing w:before="0"/>
              <w:ind w:left="394" w:right="149"/>
              <w:jc w:val="center"/>
              <w:rPr>
                <w:rFonts w:ascii="Times New Roman"/>
                <w:b/>
                <w:sz w:val="16"/>
              </w:rPr>
            </w:pPr>
            <w:r>
              <w:rPr>
                <w:rFonts w:ascii="Times New Roman"/>
                <w:b/>
                <w:sz w:val="16"/>
              </w:rPr>
              <w:t>1.122,1</w:t>
            </w:r>
          </w:p>
        </w:tc>
        <w:tc>
          <w:tcPr>
            <w:tcW w:w="1023" w:type="dxa"/>
          </w:tcPr>
          <w:p>
            <w:pPr>
              <w:pStyle w:val="TableParagraph"/>
              <w:spacing w:before="9"/>
              <w:jc w:val="left"/>
              <w:rPr>
                <w:rFonts w:ascii="Times New Roman"/>
                <w:b/>
                <w:sz w:val="18"/>
              </w:rPr>
            </w:pPr>
          </w:p>
          <w:p>
            <w:pPr>
              <w:pStyle w:val="TableParagraph"/>
              <w:spacing w:before="0"/>
              <w:ind w:left="149" w:right="113"/>
              <w:jc w:val="center"/>
              <w:rPr>
                <w:rFonts w:ascii="Times New Roman"/>
                <w:b/>
                <w:sz w:val="16"/>
              </w:rPr>
            </w:pPr>
            <w:r>
              <w:rPr>
                <w:rFonts w:ascii="Times New Roman"/>
                <w:b/>
                <w:sz w:val="16"/>
              </w:rPr>
              <w:t>1.135,9</w:t>
            </w:r>
          </w:p>
        </w:tc>
        <w:tc>
          <w:tcPr>
            <w:tcW w:w="1010" w:type="dxa"/>
          </w:tcPr>
          <w:p>
            <w:pPr>
              <w:pStyle w:val="TableParagraph"/>
              <w:spacing w:before="9"/>
              <w:jc w:val="left"/>
              <w:rPr>
                <w:rFonts w:ascii="Times New Roman"/>
                <w:b/>
                <w:sz w:val="18"/>
              </w:rPr>
            </w:pPr>
          </w:p>
          <w:p>
            <w:pPr>
              <w:pStyle w:val="TableParagraph"/>
              <w:spacing w:before="0"/>
              <w:ind w:left="119" w:right="174"/>
              <w:jc w:val="center"/>
              <w:rPr>
                <w:rFonts w:ascii="Times New Roman"/>
                <w:b/>
                <w:sz w:val="16"/>
              </w:rPr>
            </w:pPr>
            <w:r>
              <w:rPr>
                <w:rFonts w:ascii="Times New Roman"/>
                <w:b/>
                <w:sz w:val="16"/>
              </w:rPr>
              <w:t>1.905,6</w:t>
            </w:r>
          </w:p>
        </w:tc>
        <w:tc>
          <w:tcPr>
            <w:tcW w:w="983" w:type="dxa"/>
          </w:tcPr>
          <w:p>
            <w:pPr>
              <w:pStyle w:val="TableParagraph"/>
              <w:spacing w:before="9"/>
              <w:jc w:val="left"/>
              <w:rPr>
                <w:rFonts w:ascii="Times New Roman"/>
                <w:b/>
                <w:sz w:val="18"/>
              </w:rPr>
            </w:pPr>
          </w:p>
          <w:p>
            <w:pPr>
              <w:pStyle w:val="TableParagraph"/>
              <w:spacing w:before="0"/>
              <w:ind w:left="189" w:right="159"/>
              <w:jc w:val="center"/>
              <w:rPr>
                <w:rFonts w:ascii="Times New Roman"/>
                <w:b/>
                <w:sz w:val="16"/>
              </w:rPr>
            </w:pPr>
            <w:r>
              <w:rPr>
                <w:rFonts w:ascii="Times New Roman"/>
                <w:b/>
                <w:sz w:val="16"/>
              </w:rPr>
              <w:t>1.478,4</w:t>
            </w:r>
          </w:p>
        </w:tc>
        <w:tc>
          <w:tcPr>
            <w:tcW w:w="1019" w:type="dxa"/>
          </w:tcPr>
          <w:p>
            <w:pPr>
              <w:pStyle w:val="TableParagraph"/>
              <w:spacing w:before="9"/>
              <w:jc w:val="left"/>
              <w:rPr>
                <w:rFonts w:ascii="Times New Roman"/>
                <w:b/>
                <w:sz w:val="18"/>
              </w:rPr>
            </w:pPr>
          </w:p>
          <w:p>
            <w:pPr>
              <w:pStyle w:val="TableParagraph"/>
              <w:spacing w:before="0"/>
              <w:ind w:left="168" w:right="179"/>
              <w:jc w:val="center"/>
              <w:rPr>
                <w:rFonts w:ascii="Times New Roman"/>
                <w:b/>
                <w:sz w:val="16"/>
              </w:rPr>
            </w:pPr>
            <w:r>
              <w:rPr>
                <w:rFonts w:ascii="Times New Roman"/>
                <w:b/>
                <w:sz w:val="16"/>
              </w:rPr>
              <w:t>1.251,7</w:t>
            </w:r>
          </w:p>
        </w:tc>
        <w:tc>
          <w:tcPr>
            <w:tcW w:w="885" w:type="dxa"/>
          </w:tcPr>
          <w:p>
            <w:pPr>
              <w:pStyle w:val="TableParagraph"/>
              <w:spacing w:before="9"/>
              <w:jc w:val="left"/>
              <w:rPr>
                <w:rFonts w:ascii="Times New Roman"/>
                <w:b/>
                <w:sz w:val="18"/>
              </w:rPr>
            </w:pPr>
          </w:p>
          <w:p>
            <w:pPr>
              <w:pStyle w:val="TableParagraph"/>
              <w:spacing w:before="0"/>
              <w:ind w:left="217"/>
              <w:jc w:val="left"/>
              <w:rPr>
                <w:rFonts w:ascii="Times New Roman"/>
                <w:b/>
                <w:sz w:val="16"/>
              </w:rPr>
            </w:pPr>
            <w:r>
              <w:rPr>
                <w:rFonts w:ascii="Times New Roman"/>
                <w:b/>
                <w:sz w:val="16"/>
              </w:rPr>
              <w:t>1.107,9</w:t>
            </w:r>
          </w:p>
        </w:tc>
        <w:tc>
          <w:tcPr>
            <w:tcW w:w="124" w:type="dxa"/>
          </w:tcPr>
          <w:p>
            <w:pPr/>
          </w:p>
        </w:tc>
        <w:tc>
          <w:tcPr>
            <w:tcW w:w="730" w:type="dxa"/>
          </w:tcPr>
          <w:p>
            <w:pPr>
              <w:pStyle w:val="TableParagraph"/>
              <w:spacing w:before="9"/>
              <w:jc w:val="left"/>
              <w:rPr>
                <w:rFonts w:ascii="Times New Roman"/>
                <w:b/>
                <w:sz w:val="18"/>
              </w:rPr>
            </w:pPr>
          </w:p>
          <w:p>
            <w:pPr>
              <w:pStyle w:val="TableParagraph"/>
              <w:spacing w:before="0"/>
              <w:ind w:left="124"/>
              <w:jc w:val="left"/>
              <w:rPr>
                <w:rFonts w:ascii="Times New Roman"/>
                <w:b/>
                <w:sz w:val="16"/>
              </w:rPr>
            </w:pPr>
            <w:r>
              <w:rPr>
                <w:rFonts w:ascii="Times New Roman"/>
                <w:b/>
                <w:sz w:val="16"/>
              </w:rPr>
              <w:t>1.122,1</w:t>
            </w:r>
          </w:p>
        </w:tc>
      </w:tr>
      <w:tr>
        <w:trPr>
          <w:trHeight w:val="513" w:hRule="exact"/>
        </w:trPr>
        <w:tc>
          <w:tcPr>
            <w:tcW w:w="3054" w:type="dxa"/>
          </w:tcPr>
          <w:p>
            <w:pPr>
              <w:pStyle w:val="TableParagraph"/>
              <w:spacing w:before="110"/>
              <w:ind w:left="26"/>
              <w:jc w:val="left"/>
              <w:rPr>
                <w:rFonts w:ascii="Times New Roman"/>
                <w:b/>
                <w:sz w:val="16"/>
              </w:rPr>
            </w:pPr>
            <w:r>
              <w:rPr>
                <w:rFonts w:ascii="Times New Roman"/>
                <w:b/>
                <w:sz w:val="16"/>
                <w:u w:val="single"/>
              </w:rPr>
              <w:t>Entrate</w:t>
            </w:r>
          </w:p>
          <w:p>
            <w:pPr>
              <w:pStyle w:val="TableParagraph"/>
              <w:spacing w:before="21"/>
              <w:ind w:left="26"/>
              <w:jc w:val="left"/>
              <w:rPr>
                <w:rFonts w:ascii="Times New Roman"/>
                <w:sz w:val="16"/>
              </w:rPr>
            </w:pPr>
            <w:r>
              <w:rPr>
                <w:rFonts w:ascii="Times New Roman"/>
                <w:sz w:val="16"/>
              </w:rPr>
              <w:t>- Flusso netto commesse in corso</w:t>
            </w:r>
          </w:p>
        </w:tc>
        <w:tc>
          <w:tcPr>
            <w:tcW w:w="1126" w:type="dxa"/>
          </w:tcPr>
          <w:p>
            <w:pPr>
              <w:pStyle w:val="TableParagraph"/>
              <w:spacing w:before="0"/>
              <w:jc w:val="left"/>
              <w:rPr>
                <w:rFonts w:ascii="Times New Roman"/>
                <w:b/>
                <w:sz w:val="18"/>
              </w:rPr>
            </w:pPr>
          </w:p>
          <w:p>
            <w:pPr>
              <w:pStyle w:val="TableParagraph"/>
              <w:spacing w:before="108"/>
              <w:ind w:left="237"/>
              <w:jc w:val="center"/>
              <w:rPr>
                <w:rFonts w:ascii="Times New Roman"/>
                <w:sz w:val="16"/>
              </w:rPr>
            </w:pPr>
            <w:r>
              <w:rPr>
                <w:rFonts w:ascii="Times New Roman"/>
                <w:w w:val="100"/>
                <w:sz w:val="16"/>
              </w:rPr>
              <w:t>-</w:t>
            </w:r>
          </w:p>
        </w:tc>
        <w:tc>
          <w:tcPr>
            <w:tcW w:w="1023" w:type="dxa"/>
          </w:tcPr>
          <w:p>
            <w:pPr>
              <w:pStyle w:val="TableParagraph"/>
              <w:spacing w:before="0"/>
              <w:jc w:val="left"/>
              <w:rPr>
                <w:rFonts w:ascii="Times New Roman"/>
                <w:b/>
                <w:sz w:val="18"/>
              </w:rPr>
            </w:pPr>
          </w:p>
          <w:p>
            <w:pPr>
              <w:pStyle w:val="TableParagraph"/>
              <w:spacing w:before="108"/>
              <w:ind w:left="149" w:right="113"/>
              <w:jc w:val="center"/>
              <w:rPr>
                <w:rFonts w:ascii="Times New Roman"/>
                <w:sz w:val="16"/>
              </w:rPr>
            </w:pPr>
            <w:r>
              <w:rPr>
                <w:rFonts w:ascii="Times New Roman"/>
                <w:sz w:val="16"/>
              </w:rPr>
              <w:t>1.067,2</w:t>
            </w:r>
          </w:p>
        </w:tc>
        <w:tc>
          <w:tcPr>
            <w:tcW w:w="1010" w:type="dxa"/>
          </w:tcPr>
          <w:p>
            <w:pPr>
              <w:pStyle w:val="TableParagraph"/>
              <w:spacing w:before="0"/>
              <w:jc w:val="left"/>
              <w:rPr>
                <w:rFonts w:ascii="Times New Roman"/>
                <w:b/>
                <w:sz w:val="18"/>
              </w:rPr>
            </w:pPr>
          </w:p>
          <w:p>
            <w:pPr>
              <w:pStyle w:val="TableParagraph"/>
              <w:spacing w:before="108"/>
              <w:ind w:left="119" w:right="174"/>
              <w:jc w:val="center"/>
              <w:rPr>
                <w:rFonts w:ascii="Times New Roman"/>
                <w:sz w:val="16"/>
              </w:rPr>
            </w:pPr>
            <w:r>
              <w:rPr>
                <w:rFonts w:ascii="Times New Roman"/>
                <w:sz w:val="16"/>
              </w:rPr>
              <w:t>100,5</w:t>
            </w:r>
          </w:p>
        </w:tc>
        <w:tc>
          <w:tcPr>
            <w:tcW w:w="983" w:type="dxa"/>
          </w:tcPr>
          <w:p>
            <w:pPr>
              <w:pStyle w:val="TableParagraph"/>
              <w:spacing w:before="0"/>
              <w:jc w:val="left"/>
              <w:rPr>
                <w:rFonts w:ascii="Times New Roman"/>
                <w:b/>
                <w:sz w:val="18"/>
              </w:rPr>
            </w:pPr>
          </w:p>
          <w:p>
            <w:pPr>
              <w:pStyle w:val="TableParagraph"/>
              <w:spacing w:before="108"/>
              <w:ind w:left="189" w:right="158"/>
              <w:jc w:val="center"/>
              <w:rPr>
                <w:rFonts w:ascii="Times New Roman"/>
                <w:sz w:val="16"/>
              </w:rPr>
            </w:pPr>
            <w:r>
              <w:rPr>
                <w:rFonts w:ascii="Times New Roman"/>
                <w:sz w:val="16"/>
              </w:rPr>
              <w:t>230,3</w:t>
            </w:r>
          </w:p>
        </w:tc>
        <w:tc>
          <w:tcPr>
            <w:tcW w:w="1019" w:type="dxa"/>
          </w:tcPr>
          <w:p>
            <w:pPr>
              <w:pStyle w:val="TableParagraph"/>
              <w:spacing w:before="0"/>
              <w:jc w:val="left"/>
              <w:rPr>
                <w:rFonts w:ascii="Times New Roman"/>
                <w:b/>
                <w:sz w:val="18"/>
              </w:rPr>
            </w:pPr>
          </w:p>
          <w:p>
            <w:pPr>
              <w:pStyle w:val="TableParagraph"/>
              <w:spacing w:before="108"/>
              <w:ind w:right="20"/>
              <w:jc w:val="center"/>
              <w:rPr>
                <w:rFonts w:ascii="Times New Roman"/>
                <w:sz w:val="16"/>
              </w:rPr>
            </w:pPr>
            <w:r>
              <w:rPr>
                <w:rFonts w:ascii="Times New Roman"/>
                <w:w w:val="100"/>
                <w:sz w:val="16"/>
              </w:rPr>
              <w:t>-</w:t>
            </w:r>
          </w:p>
        </w:tc>
        <w:tc>
          <w:tcPr>
            <w:tcW w:w="885" w:type="dxa"/>
          </w:tcPr>
          <w:p>
            <w:pPr>
              <w:pStyle w:val="TableParagraph"/>
              <w:spacing w:before="0"/>
              <w:jc w:val="left"/>
              <w:rPr>
                <w:rFonts w:ascii="Times New Roman"/>
                <w:b/>
                <w:sz w:val="18"/>
              </w:rPr>
            </w:pPr>
          </w:p>
          <w:p>
            <w:pPr>
              <w:pStyle w:val="TableParagraph"/>
              <w:spacing w:before="108"/>
              <w:ind w:left="280"/>
              <w:jc w:val="left"/>
              <w:rPr>
                <w:rFonts w:ascii="Times New Roman"/>
                <w:sz w:val="16"/>
              </w:rPr>
            </w:pPr>
            <w:r>
              <w:rPr>
                <w:rFonts w:ascii="Times New Roman"/>
                <w:sz w:val="16"/>
              </w:rPr>
              <w:t>420,6</w:t>
            </w:r>
          </w:p>
        </w:tc>
        <w:tc>
          <w:tcPr>
            <w:tcW w:w="124" w:type="dxa"/>
          </w:tcPr>
          <w:p>
            <w:pPr/>
          </w:p>
        </w:tc>
        <w:tc>
          <w:tcPr>
            <w:tcW w:w="730" w:type="dxa"/>
          </w:tcPr>
          <w:p>
            <w:pPr>
              <w:pStyle w:val="TableParagraph"/>
              <w:spacing w:before="0"/>
              <w:jc w:val="left"/>
              <w:rPr>
                <w:rFonts w:ascii="Times New Roman"/>
                <w:b/>
                <w:sz w:val="18"/>
              </w:rPr>
            </w:pPr>
          </w:p>
          <w:p>
            <w:pPr>
              <w:pStyle w:val="TableParagraph"/>
              <w:spacing w:before="108"/>
              <w:ind w:left="124"/>
              <w:jc w:val="left"/>
              <w:rPr>
                <w:rFonts w:ascii="Times New Roman"/>
                <w:sz w:val="16"/>
              </w:rPr>
            </w:pPr>
            <w:r>
              <w:rPr>
                <w:rFonts w:ascii="Times New Roman"/>
                <w:sz w:val="16"/>
              </w:rPr>
              <w:t>1.818,6</w:t>
            </w:r>
          </w:p>
        </w:tc>
      </w:tr>
      <w:tr>
        <w:trPr>
          <w:trHeight w:val="205" w:hRule="exact"/>
        </w:trPr>
        <w:tc>
          <w:tcPr>
            <w:tcW w:w="3054" w:type="dxa"/>
          </w:tcPr>
          <w:p>
            <w:pPr>
              <w:pStyle w:val="TableParagraph"/>
              <w:spacing w:before="7"/>
              <w:ind w:left="26"/>
              <w:jc w:val="left"/>
              <w:rPr>
                <w:rFonts w:ascii="Times New Roman"/>
                <w:sz w:val="16"/>
              </w:rPr>
            </w:pPr>
            <w:r>
              <w:rPr>
                <w:rFonts w:ascii="Times New Roman"/>
                <w:sz w:val="16"/>
              </w:rPr>
              <w:t>- Progetti agevolati</w:t>
            </w:r>
          </w:p>
        </w:tc>
        <w:tc>
          <w:tcPr>
            <w:tcW w:w="1126" w:type="dxa"/>
          </w:tcPr>
          <w:p>
            <w:pPr>
              <w:pStyle w:val="TableParagraph"/>
              <w:spacing w:before="7"/>
              <w:ind w:left="394" w:right="148"/>
              <w:jc w:val="center"/>
              <w:rPr>
                <w:rFonts w:ascii="Times New Roman"/>
                <w:sz w:val="16"/>
              </w:rPr>
            </w:pPr>
            <w:r>
              <w:rPr>
                <w:rFonts w:ascii="Times New Roman"/>
                <w:sz w:val="16"/>
              </w:rPr>
              <w:t>2,7</w:t>
            </w:r>
          </w:p>
        </w:tc>
        <w:tc>
          <w:tcPr>
            <w:tcW w:w="1023" w:type="dxa"/>
          </w:tcPr>
          <w:p>
            <w:pPr>
              <w:pStyle w:val="TableParagraph"/>
              <w:spacing w:before="7"/>
              <w:ind w:left="27"/>
              <w:jc w:val="center"/>
              <w:rPr>
                <w:rFonts w:ascii="Times New Roman"/>
                <w:sz w:val="16"/>
              </w:rPr>
            </w:pPr>
            <w:r>
              <w:rPr>
                <w:rFonts w:ascii="Times New Roman"/>
                <w:w w:val="100"/>
                <w:sz w:val="16"/>
              </w:rPr>
              <w:t>-</w:t>
            </w:r>
          </w:p>
        </w:tc>
        <w:tc>
          <w:tcPr>
            <w:tcW w:w="1010" w:type="dxa"/>
          </w:tcPr>
          <w:p>
            <w:pPr>
              <w:pStyle w:val="TableParagraph"/>
              <w:spacing w:before="7"/>
              <w:ind w:left="119" w:right="183"/>
              <w:jc w:val="center"/>
              <w:rPr>
                <w:rFonts w:ascii="Times New Roman"/>
                <w:sz w:val="16"/>
              </w:rPr>
            </w:pPr>
            <w:r>
              <w:rPr>
                <w:rFonts w:ascii="Times New Roman"/>
                <w:sz w:val="16"/>
              </w:rPr>
              <w:t>51,5</w:t>
            </w:r>
          </w:p>
        </w:tc>
        <w:tc>
          <w:tcPr>
            <w:tcW w:w="983" w:type="dxa"/>
          </w:tcPr>
          <w:p>
            <w:pPr>
              <w:pStyle w:val="TableParagraph"/>
              <w:spacing w:before="7"/>
              <w:ind w:left="189" w:right="167"/>
              <w:jc w:val="center"/>
              <w:rPr>
                <w:rFonts w:ascii="Times New Roman"/>
                <w:sz w:val="16"/>
              </w:rPr>
            </w:pPr>
            <w:r>
              <w:rPr>
                <w:rFonts w:ascii="Times New Roman"/>
                <w:sz w:val="16"/>
              </w:rPr>
              <w:t>66,6</w:t>
            </w:r>
          </w:p>
        </w:tc>
        <w:tc>
          <w:tcPr>
            <w:tcW w:w="1019" w:type="dxa"/>
          </w:tcPr>
          <w:p>
            <w:pPr>
              <w:pStyle w:val="TableParagraph"/>
              <w:spacing w:before="7"/>
              <w:ind w:left="167" w:right="187"/>
              <w:jc w:val="center"/>
              <w:rPr>
                <w:rFonts w:ascii="Times New Roman"/>
                <w:sz w:val="16"/>
              </w:rPr>
            </w:pPr>
            <w:r>
              <w:rPr>
                <w:rFonts w:ascii="Times New Roman"/>
                <w:sz w:val="16"/>
              </w:rPr>
              <w:t>24,8</w:t>
            </w:r>
          </w:p>
        </w:tc>
        <w:tc>
          <w:tcPr>
            <w:tcW w:w="885" w:type="dxa"/>
          </w:tcPr>
          <w:p>
            <w:pPr>
              <w:pStyle w:val="TableParagraph"/>
              <w:spacing w:before="7"/>
              <w:ind w:left="31"/>
              <w:jc w:val="center"/>
              <w:rPr>
                <w:rFonts w:ascii="Times New Roman"/>
                <w:sz w:val="16"/>
              </w:rPr>
            </w:pPr>
            <w:r>
              <w:rPr>
                <w:rFonts w:ascii="Times New Roman"/>
                <w:w w:val="100"/>
                <w:sz w:val="16"/>
              </w:rPr>
              <w:t>-</w:t>
            </w:r>
          </w:p>
        </w:tc>
        <w:tc>
          <w:tcPr>
            <w:tcW w:w="124" w:type="dxa"/>
          </w:tcPr>
          <w:p>
            <w:pPr/>
          </w:p>
        </w:tc>
        <w:tc>
          <w:tcPr>
            <w:tcW w:w="730" w:type="dxa"/>
          </w:tcPr>
          <w:p>
            <w:pPr>
              <w:pStyle w:val="TableParagraph"/>
              <w:spacing w:before="7"/>
              <w:ind w:left="186"/>
              <w:jc w:val="left"/>
              <w:rPr>
                <w:rFonts w:ascii="Times New Roman"/>
                <w:sz w:val="16"/>
              </w:rPr>
            </w:pPr>
            <w:r>
              <w:rPr>
                <w:rFonts w:ascii="Times New Roman"/>
                <w:sz w:val="16"/>
              </w:rPr>
              <w:t>145,7</w:t>
            </w:r>
          </w:p>
        </w:tc>
      </w:tr>
      <w:tr>
        <w:trPr>
          <w:trHeight w:val="205" w:hRule="exact"/>
        </w:trPr>
        <w:tc>
          <w:tcPr>
            <w:tcW w:w="3054" w:type="dxa"/>
          </w:tcPr>
          <w:p>
            <w:pPr>
              <w:pStyle w:val="TableParagraph"/>
              <w:spacing w:before="7"/>
              <w:ind w:left="26"/>
              <w:jc w:val="left"/>
              <w:rPr>
                <w:rFonts w:ascii="Times New Roman"/>
                <w:sz w:val="16"/>
              </w:rPr>
            </w:pPr>
            <w:r>
              <w:rPr>
                <w:rFonts w:ascii="Times New Roman"/>
                <w:sz w:val="16"/>
              </w:rPr>
              <w:t>- Progetto ottimizzazione etanolo</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27"/>
              <w:jc w:val="center"/>
              <w:rPr>
                <w:rFonts w:ascii="Times New Roman"/>
                <w:sz w:val="16"/>
              </w:rPr>
            </w:pPr>
            <w:r>
              <w:rPr>
                <w:rFonts w:ascii="Times New Roman"/>
                <w:w w:val="100"/>
                <w:sz w:val="16"/>
              </w:rPr>
              <w:t>-</w:t>
            </w:r>
          </w:p>
        </w:tc>
        <w:tc>
          <w:tcPr>
            <w:tcW w:w="1010" w:type="dxa"/>
          </w:tcPr>
          <w:p>
            <w:pPr>
              <w:pStyle w:val="TableParagraph"/>
              <w:spacing w:before="7"/>
              <w:ind w:right="64"/>
              <w:jc w:val="center"/>
              <w:rPr>
                <w:rFonts w:ascii="Times New Roman"/>
                <w:sz w:val="16"/>
              </w:rPr>
            </w:pPr>
            <w:r>
              <w:rPr>
                <w:rFonts w:ascii="Times New Roman"/>
                <w:w w:val="100"/>
                <w:sz w:val="16"/>
              </w:rPr>
              <w:t>-</w:t>
            </w:r>
          </w:p>
        </w:tc>
        <w:tc>
          <w:tcPr>
            <w:tcW w:w="983" w:type="dxa"/>
          </w:tcPr>
          <w:p>
            <w:pPr>
              <w:pStyle w:val="TableParagraph"/>
              <w:spacing w:before="7"/>
              <w:ind w:left="22"/>
              <w:jc w:val="center"/>
              <w:rPr>
                <w:rFonts w:ascii="Times New Roman"/>
                <w:sz w:val="16"/>
              </w:rPr>
            </w:pPr>
            <w:r>
              <w:rPr>
                <w:rFonts w:ascii="Times New Roman"/>
                <w:w w:val="100"/>
                <w:sz w:val="16"/>
              </w:rPr>
              <w:t>-</w:t>
            </w:r>
          </w:p>
        </w:tc>
        <w:tc>
          <w:tcPr>
            <w:tcW w:w="1019" w:type="dxa"/>
          </w:tcPr>
          <w:p>
            <w:pPr>
              <w:pStyle w:val="TableParagraph"/>
              <w:spacing w:before="7"/>
              <w:ind w:left="167" w:right="187"/>
              <w:jc w:val="center"/>
              <w:rPr>
                <w:rFonts w:ascii="Times New Roman"/>
                <w:sz w:val="16"/>
              </w:rPr>
            </w:pPr>
            <w:r>
              <w:rPr>
                <w:rFonts w:ascii="Times New Roman"/>
                <w:sz w:val="16"/>
              </w:rPr>
              <w:t>36,6</w:t>
            </w:r>
          </w:p>
        </w:tc>
        <w:tc>
          <w:tcPr>
            <w:tcW w:w="885" w:type="dxa"/>
          </w:tcPr>
          <w:p>
            <w:pPr>
              <w:pStyle w:val="TableParagraph"/>
              <w:spacing w:before="7"/>
              <w:ind w:left="315"/>
              <w:jc w:val="left"/>
              <w:rPr>
                <w:rFonts w:ascii="Times New Roman"/>
                <w:sz w:val="16"/>
              </w:rPr>
            </w:pPr>
            <w:r>
              <w:rPr>
                <w:rFonts w:ascii="Times New Roman"/>
                <w:sz w:val="16"/>
              </w:rPr>
              <w:t>18,3</w:t>
            </w:r>
          </w:p>
        </w:tc>
        <w:tc>
          <w:tcPr>
            <w:tcW w:w="124" w:type="dxa"/>
          </w:tcPr>
          <w:p>
            <w:pPr/>
          </w:p>
        </w:tc>
        <w:tc>
          <w:tcPr>
            <w:tcW w:w="730" w:type="dxa"/>
          </w:tcPr>
          <w:p>
            <w:pPr>
              <w:pStyle w:val="TableParagraph"/>
              <w:spacing w:before="7"/>
              <w:ind w:left="222"/>
              <w:jc w:val="left"/>
              <w:rPr>
                <w:rFonts w:ascii="Times New Roman"/>
                <w:sz w:val="16"/>
              </w:rPr>
            </w:pPr>
            <w:r>
              <w:rPr>
                <w:rFonts w:ascii="Times New Roman"/>
                <w:sz w:val="16"/>
              </w:rPr>
              <w:t>54,9</w:t>
            </w:r>
          </w:p>
        </w:tc>
      </w:tr>
      <w:tr>
        <w:trPr>
          <w:trHeight w:val="205" w:hRule="exact"/>
        </w:trPr>
        <w:tc>
          <w:tcPr>
            <w:tcW w:w="3054" w:type="dxa"/>
          </w:tcPr>
          <w:p>
            <w:pPr>
              <w:pStyle w:val="TableParagraph"/>
              <w:spacing w:before="7"/>
              <w:ind w:left="26"/>
              <w:jc w:val="left"/>
              <w:rPr>
                <w:rFonts w:ascii="Times New Roman"/>
                <w:sz w:val="16"/>
              </w:rPr>
            </w:pPr>
            <w:r>
              <w:rPr>
                <w:rFonts w:ascii="Times New Roman"/>
                <w:sz w:val="16"/>
              </w:rPr>
              <w:t>- Delta cambi</w:t>
            </w:r>
          </w:p>
        </w:tc>
        <w:tc>
          <w:tcPr>
            <w:tcW w:w="1126" w:type="dxa"/>
          </w:tcPr>
          <w:p>
            <w:pPr>
              <w:pStyle w:val="TableParagraph"/>
              <w:spacing w:before="7"/>
              <w:ind w:left="386" w:right="149"/>
              <w:jc w:val="center"/>
              <w:rPr>
                <w:rFonts w:ascii="Times New Roman"/>
                <w:sz w:val="16"/>
              </w:rPr>
            </w:pPr>
            <w:r>
              <w:rPr>
                <w:rFonts w:ascii="Times New Roman"/>
                <w:sz w:val="16"/>
              </w:rPr>
              <w:t>11,1</w:t>
            </w:r>
          </w:p>
        </w:tc>
        <w:tc>
          <w:tcPr>
            <w:tcW w:w="1023" w:type="dxa"/>
          </w:tcPr>
          <w:p>
            <w:pPr>
              <w:pStyle w:val="TableParagraph"/>
              <w:spacing w:before="7"/>
              <w:ind w:left="27"/>
              <w:jc w:val="center"/>
              <w:rPr>
                <w:rFonts w:ascii="Times New Roman"/>
                <w:sz w:val="16"/>
              </w:rPr>
            </w:pPr>
            <w:r>
              <w:rPr>
                <w:rFonts w:ascii="Times New Roman"/>
                <w:w w:val="100"/>
                <w:sz w:val="16"/>
              </w:rPr>
              <w:t>-</w:t>
            </w:r>
          </w:p>
        </w:tc>
        <w:tc>
          <w:tcPr>
            <w:tcW w:w="1010" w:type="dxa"/>
          </w:tcPr>
          <w:p>
            <w:pPr>
              <w:pStyle w:val="TableParagraph"/>
              <w:spacing w:before="7"/>
              <w:ind w:right="64"/>
              <w:jc w:val="center"/>
              <w:rPr>
                <w:rFonts w:ascii="Times New Roman"/>
                <w:sz w:val="16"/>
              </w:rPr>
            </w:pPr>
            <w:r>
              <w:rPr>
                <w:rFonts w:ascii="Times New Roman"/>
                <w:w w:val="100"/>
                <w:sz w:val="16"/>
              </w:rPr>
              <w:t>-</w:t>
            </w:r>
          </w:p>
        </w:tc>
        <w:tc>
          <w:tcPr>
            <w:tcW w:w="983" w:type="dxa"/>
          </w:tcPr>
          <w:p>
            <w:pPr>
              <w:pStyle w:val="TableParagraph"/>
              <w:spacing w:before="7"/>
              <w:ind w:left="22"/>
              <w:jc w:val="center"/>
              <w:rPr>
                <w:rFonts w:ascii="Times New Roman"/>
                <w:sz w:val="16"/>
              </w:rPr>
            </w:pPr>
            <w:r>
              <w:rPr>
                <w:rFonts w:ascii="Times New Roman"/>
                <w:w w:val="100"/>
                <w:sz w:val="16"/>
              </w:rPr>
              <w:t>-</w:t>
            </w:r>
          </w:p>
        </w:tc>
        <w:tc>
          <w:tcPr>
            <w:tcW w:w="1019" w:type="dxa"/>
          </w:tcPr>
          <w:p>
            <w:pPr>
              <w:pStyle w:val="TableParagraph"/>
              <w:spacing w:before="7"/>
              <w:ind w:right="20"/>
              <w:jc w:val="center"/>
              <w:rPr>
                <w:rFonts w:ascii="Times New Roman"/>
                <w:sz w:val="16"/>
              </w:rPr>
            </w:pPr>
            <w:r>
              <w:rPr>
                <w:rFonts w:ascii="Times New Roman"/>
                <w:w w:val="100"/>
                <w:sz w:val="16"/>
              </w:rPr>
              <w:t>-</w:t>
            </w:r>
          </w:p>
        </w:tc>
        <w:tc>
          <w:tcPr>
            <w:tcW w:w="885" w:type="dxa"/>
          </w:tcPr>
          <w:p>
            <w:pPr/>
          </w:p>
        </w:tc>
        <w:tc>
          <w:tcPr>
            <w:tcW w:w="124" w:type="dxa"/>
          </w:tcPr>
          <w:p>
            <w:pPr/>
          </w:p>
        </w:tc>
        <w:tc>
          <w:tcPr>
            <w:tcW w:w="730" w:type="dxa"/>
          </w:tcPr>
          <w:p>
            <w:pPr>
              <w:pStyle w:val="TableParagraph"/>
              <w:spacing w:before="7"/>
              <w:ind w:left="222"/>
              <w:jc w:val="left"/>
              <w:rPr>
                <w:rFonts w:ascii="Times New Roman"/>
                <w:sz w:val="16"/>
              </w:rPr>
            </w:pPr>
            <w:r>
              <w:rPr>
                <w:rFonts w:ascii="Times New Roman"/>
                <w:sz w:val="16"/>
              </w:rPr>
              <w:t>11,1</w:t>
            </w:r>
          </w:p>
        </w:tc>
      </w:tr>
      <w:tr>
        <w:trPr>
          <w:trHeight w:val="615" w:hRule="exact"/>
        </w:trPr>
        <w:tc>
          <w:tcPr>
            <w:tcW w:w="3054" w:type="dxa"/>
          </w:tcPr>
          <w:p>
            <w:pPr>
              <w:pStyle w:val="TableParagraph"/>
              <w:spacing w:before="7"/>
              <w:ind w:left="26"/>
              <w:jc w:val="left"/>
              <w:rPr>
                <w:rFonts w:ascii="Times New Roman"/>
                <w:sz w:val="16"/>
              </w:rPr>
            </w:pPr>
            <w:r>
              <w:rPr>
                <w:rFonts w:ascii="Times New Roman"/>
                <w:sz w:val="16"/>
              </w:rPr>
              <w:t>- Riaddebito personale IBP e MG Resins</w:t>
            </w:r>
          </w:p>
          <w:p>
            <w:pPr>
              <w:pStyle w:val="TableParagraph"/>
              <w:spacing w:before="7"/>
              <w:jc w:val="left"/>
              <w:rPr>
                <w:rFonts w:ascii="Times New Roman"/>
                <w:b/>
                <w:sz w:val="19"/>
              </w:rPr>
            </w:pPr>
          </w:p>
          <w:p>
            <w:pPr>
              <w:pStyle w:val="TableParagraph"/>
              <w:spacing w:before="0"/>
              <w:ind w:left="26"/>
              <w:jc w:val="left"/>
              <w:rPr>
                <w:rFonts w:ascii="Times New Roman"/>
                <w:b/>
                <w:sz w:val="16"/>
              </w:rPr>
            </w:pPr>
            <w:r>
              <w:rPr>
                <w:rFonts w:ascii="Times New Roman"/>
                <w:b/>
                <w:sz w:val="16"/>
                <w:u w:val="single"/>
              </w:rPr>
              <w:t>Uscite </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149" w:right="122"/>
              <w:jc w:val="center"/>
              <w:rPr>
                <w:rFonts w:ascii="Times New Roman"/>
                <w:sz w:val="16"/>
              </w:rPr>
            </w:pPr>
            <w:r>
              <w:rPr>
                <w:rFonts w:ascii="Times New Roman"/>
                <w:sz w:val="16"/>
              </w:rPr>
              <w:t>53,3</w:t>
            </w:r>
          </w:p>
        </w:tc>
        <w:tc>
          <w:tcPr>
            <w:tcW w:w="1010" w:type="dxa"/>
          </w:tcPr>
          <w:p>
            <w:pPr>
              <w:pStyle w:val="TableParagraph"/>
              <w:spacing w:before="7"/>
              <w:ind w:left="119" w:right="183"/>
              <w:jc w:val="center"/>
              <w:rPr>
                <w:rFonts w:ascii="Times New Roman"/>
                <w:sz w:val="16"/>
              </w:rPr>
            </w:pPr>
            <w:r>
              <w:rPr>
                <w:rFonts w:ascii="Times New Roman"/>
                <w:sz w:val="16"/>
              </w:rPr>
              <w:t>63,2</w:t>
            </w:r>
          </w:p>
        </w:tc>
        <w:tc>
          <w:tcPr>
            <w:tcW w:w="983" w:type="dxa"/>
          </w:tcPr>
          <w:p>
            <w:pPr>
              <w:pStyle w:val="TableParagraph"/>
              <w:spacing w:before="7"/>
              <w:ind w:left="189" w:right="167"/>
              <w:jc w:val="center"/>
              <w:rPr>
                <w:rFonts w:ascii="Times New Roman"/>
                <w:sz w:val="16"/>
              </w:rPr>
            </w:pPr>
            <w:r>
              <w:rPr>
                <w:rFonts w:ascii="Times New Roman"/>
                <w:sz w:val="16"/>
              </w:rPr>
              <w:t>23,0</w:t>
            </w:r>
          </w:p>
        </w:tc>
        <w:tc>
          <w:tcPr>
            <w:tcW w:w="1019" w:type="dxa"/>
          </w:tcPr>
          <w:p>
            <w:pPr>
              <w:pStyle w:val="TableParagraph"/>
              <w:spacing w:before="7"/>
              <w:ind w:left="168" w:right="179"/>
              <w:jc w:val="center"/>
              <w:rPr>
                <w:rFonts w:ascii="Times New Roman"/>
                <w:sz w:val="16"/>
              </w:rPr>
            </w:pPr>
            <w:r>
              <w:rPr>
                <w:rFonts w:ascii="Times New Roman"/>
                <w:sz w:val="16"/>
              </w:rPr>
              <w:t>148,2</w:t>
            </w:r>
          </w:p>
        </w:tc>
        <w:tc>
          <w:tcPr>
            <w:tcW w:w="885" w:type="dxa"/>
          </w:tcPr>
          <w:p>
            <w:pPr>
              <w:pStyle w:val="TableParagraph"/>
              <w:spacing w:before="7"/>
              <w:ind w:left="315"/>
              <w:jc w:val="left"/>
              <w:rPr>
                <w:rFonts w:ascii="Times New Roman"/>
                <w:sz w:val="16"/>
              </w:rPr>
            </w:pPr>
            <w:r>
              <w:rPr>
                <w:rFonts w:ascii="Times New Roman"/>
                <w:sz w:val="16"/>
              </w:rPr>
              <w:t>81,7</w:t>
            </w:r>
          </w:p>
        </w:tc>
        <w:tc>
          <w:tcPr>
            <w:tcW w:w="124" w:type="dxa"/>
          </w:tcPr>
          <w:p>
            <w:pPr/>
          </w:p>
        </w:tc>
        <w:tc>
          <w:tcPr>
            <w:tcW w:w="730" w:type="dxa"/>
          </w:tcPr>
          <w:p>
            <w:pPr>
              <w:pStyle w:val="TableParagraph"/>
              <w:spacing w:before="7"/>
              <w:ind w:left="168" w:right="160"/>
              <w:jc w:val="center"/>
              <w:rPr>
                <w:rFonts w:ascii="Times New Roman"/>
                <w:sz w:val="16"/>
              </w:rPr>
            </w:pPr>
            <w:r>
              <w:rPr>
                <w:rFonts w:ascii="Times New Roman"/>
                <w:sz w:val="16"/>
              </w:rPr>
              <w:t>369,4</w:t>
            </w:r>
          </w:p>
          <w:p>
            <w:pPr>
              <w:pStyle w:val="TableParagraph"/>
              <w:spacing w:before="21"/>
              <w:jc w:val="center"/>
              <w:rPr>
                <w:rFonts w:ascii="Times New Roman"/>
                <w:sz w:val="16"/>
              </w:rPr>
            </w:pPr>
            <w:r>
              <w:rPr>
                <w:rFonts w:ascii="Times New Roman"/>
                <w:w w:val="100"/>
                <w:sz w:val="16"/>
              </w:rPr>
              <w:t>-</w:t>
            </w:r>
          </w:p>
          <w:p>
            <w:pPr>
              <w:pStyle w:val="TableParagraph"/>
              <w:spacing w:before="21"/>
              <w:jc w:val="center"/>
              <w:rPr>
                <w:rFonts w:ascii="Times New Roman"/>
                <w:sz w:val="16"/>
              </w:rPr>
            </w:pPr>
            <w:r>
              <w:rPr>
                <w:rFonts w:ascii="Times New Roman"/>
                <w:w w:val="100"/>
                <w:sz w:val="16"/>
              </w:rPr>
              <w:t>-</w:t>
            </w:r>
          </w:p>
        </w:tc>
      </w:tr>
      <w:tr>
        <w:trPr>
          <w:trHeight w:val="205" w:hRule="exact"/>
        </w:trPr>
        <w:tc>
          <w:tcPr>
            <w:tcW w:w="3054" w:type="dxa"/>
          </w:tcPr>
          <w:p>
            <w:pPr>
              <w:pStyle w:val="TableParagraph"/>
              <w:spacing w:before="7"/>
              <w:ind w:left="26"/>
              <w:jc w:val="left"/>
              <w:rPr>
                <w:rFonts w:ascii="Times New Roman"/>
                <w:sz w:val="16"/>
              </w:rPr>
            </w:pPr>
            <w:r>
              <w:rPr>
                <w:rFonts w:ascii="Times New Roman"/>
                <w:sz w:val="16"/>
              </w:rPr>
              <w:t>- Costo del personale</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149" w:right="113"/>
              <w:jc w:val="center"/>
              <w:rPr>
                <w:rFonts w:ascii="Times New Roman"/>
                <w:sz w:val="16"/>
              </w:rPr>
            </w:pPr>
            <w:r>
              <w:rPr>
                <w:rFonts w:ascii="Times New Roman"/>
                <w:sz w:val="16"/>
              </w:rPr>
              <w:t>(121,5)</w:t>
            </w:r>
          </w:p>
        </w:tc>
        <w:tc>
          <w:tcPr>
            <w:tcW w:w="1010" w:type="dxa"/>
          </w:tcPr>
          <w:p>
            <w:pPr>
              <w:pStyle w:val="TableParagraph"/>
              <w:spacing w:before="7"/>
              <w:ind w:left="119" w:right="174"/>
              <w:jc w:val="center"/>
              <w:rPr>
                <w:rFonts w:ascii="Times New Roman"/>
                <w:sz w:val="16"/>
              </w:rPr>
            </w:pPr>
            <w:r>
              <w:rPr>
                <w:rFonts w:ascii="Times New Roman"/>
                <w:sz w:val="16"/>
              </w:rPr>
              <w:t>(365,6)</w:t>
            </w:r>
          </w:p>
        </w:tc>
        <w:tc>
          <w:tcPr>
            <w:tcW w:w="983" w:type="dxa"/>
          </w:tcPr>
          <w:p>
            <w:pPr>
              <w:pStyle w:val="TableParagraph"/>
              <w:spacing w:before="7"/>
              <w:ind w:left="189" w:right="158"/>
              <w:jc w:val="center"/>
              <w:rPr>
                <w:rFonts w:ascii="Times New Roman"/>
                <w:sz w:val="16"/>
              </w:rPr>
            </w:pPr>
            <w:r>
              <w:rPr>
                <w:rFonts w:ascii="Times New Roman"/>
                <w:sz w:val="16"/>
              </w:rPr>
              <w:t>(285,8)</w:t>
            </w:r>
          </w:p>
        </w:tc>
        <w:tc>
          <w:tcPr>
            <w:tcW w:w="1019" w:type="dxa"/>
          </w:tcPr>
          <w:p>
            <w:pPr>
              <w:pStyle w:val="TableParagraph"/>
              <w:spacing w:before="7"/>
              <w:ind w:left="168" w:right="179"/>
              <w:jc w:val="center"/>
              <w:rPr>
                <w:rFonts w:ascii="Times New Roman"/>
                <w:sz w:val="16"/>
              </w:rPr>
            </w:pPr>
            <w:r>
              <w:rPr>
                <w:rFonts w:ascii="Times New Roman"/>
                <w:sz w:val="16"/>
              </w:rPr>
              <w:t>(137,4)</w:t>
            </w:r>
          </w:p>
        </w:tc>
        <w:tc>
          <w:tcPr>
            <w:tcW w:w="885" w:type="dxa"/>
          </w:tcPr>
          <w:p>
            <w:pPr>
              <w:pStyle w:val="TableParagraph"/>
              <w:spacing w:before="7"/>
              <w:ind w:left="226"/>
              <w:jc w:val="left"/>
              <w:rPr>
                <w:rFonts w:ascii="Times New Roman"/>
                <w:sz w:val="16"/>
              </w:rPr>
            </w:pPr>
            <w:r>
              <w:rPr>
                <w:rFonts w:ascii="Times New Roman"/>
                <w:sz w:val="16"/>
              </w:rPr>
              <w:t>(180,0)</w:t>
            </w:r>
          </w:p>
        </w:tc>
        <w:tc>
          <w:tcPr>
            <w:tcW w:w="124" w:type="dxa"/>
          </w:tcPr>
          <w:p>
            <w:pPr/>
          </w:p>
        </w:tc>
        <w:tc>
          <w:tcPr>
            <w:tcW w:w="730" w:type="dxa"/>
          </w:tcPr>
          <w:p>
            <w:pPr>
              <w:pStyle w:val="TableParagraph"/>
              <w:spacing w:before="7"/>
              <w:ind w:right="60"/>
              <w:rPr>
                <w:rFonts w:ascii="Times New Roman"/>
                <w:sz w:val="16"/>
              </w:rPr>
            </w:pPr>
            <w:r>
              <w:rPr>
                <w:rFonts w:ascii="Times New Roman"/>
                <w:sz w:val="16"/>
              </w:rPr>
              <w:t>(1.090,2)</w:t>
            </w:r>
          </w:p>
        </w:tc>
      </w:tr>
      <w:tr>
        <w:trPr>
          <w:trHeight w:val="205" w:hRule="exact"/>
        </w:trPr>
        <w:tc>
          <w:tcPr>
            <w:tcW w:w="3054" w:type="dxa"/>
          </w:tcPr>
          <w:p>
            <w:pPr>
              <w:pStyle w:val="TableParagraph"/>
              <w:spacing w:before="7"/>
              <w:ind w:left="26"/>
              <w:jc w:val="left"/>
              <w:rPr>
                <w:rFonts w:ascii="Times New Roman"/>
                <w:sz w:val="16"/>
              </w:rPr>
            </w:pPr>
            <w:r>
              <w:rPr>
                <w:rFonts w:ascii="Times New Roman"/>
                <w:sz w:val="16"/>
              </w:rPr>
              <w:t>- Costi fissi</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149" w:right="122"/>
              <w:jc w:val="center"/>
              <w:rPr>
                <w:rFonts w:ascii="Times New Roman"/>
                <w:sz w:val="16"/>
              </w:rPr>
            </w:pPr>
            <w:r>
              <w:rPr>
                <w:rFonts w:ascii="Times New Roman"/>
                <w:sz w:val="16"/>
              </w:rPr>
              <w:t>(68,8)</w:t>
            </w:r>
          </w:p>
        </w:tc>
        <w:tc>
          <w:tcPr>
            <w:tcW w:w="1010" w:type="dxa"/>
          </w:tcPr>
          <w:p>
            <w:pPr>
              <w:pStyle w:val="TableParagraph"/>
              <w:spacing w:before="7"/>
              <w:ind w:left="119" w:right="183"/>
              <w:jc w:val="center"/>
              <w:rPr>
                <w:rFonts w:ascii="Times New Roman"/>
                <w:sz w:val="16"/>
              </w:rPr>
            </w:pPr>
            <w:r>
              <w:rPr>
                <w:rFonts w:ascii="Times New Roman"/>
                <w:sz w:val="16"/>
              </w:rPr>
              <w:t>(84,4)</w:t>
            </w:r>
          </w:p>
        </w:tc>
        <w:tc>
          <w:tcPr>
            <w:tcW w:w="983" w:type="dxa"/>
          </w:tcPr>
          <w:p>
            <w:pPr>
              <w:pStyle w:val="TableParagraph"/>
              <w:spacing w:before="7"/>
              <w:ind w:left="189" w:right="167"/>
              <w:jc w:val="center"/>
              <w:rPr>
                <w:rFonts w:ascii="Times New Roman"/>
                <w:sz w:val="16"/>
              </w:rPr>
            </w:pPr>
            <w:r>
              <w:rPr>
                <w:rFonts w:ascii="Times New Roman"/>
                <w:sz w:val="16"/>
              </w:rPr>
              <w:t>(97,1)</w:t>
            </w:r>
          </w:p>
        </w:tc>
        <w:tc>
          <w:tcPr>
            <w:tcW w:w="1019" w:type="dxa"/>
          </w:tcPr>
          <w:p>
            <w:pPr>
              <w:pStyle w:val="TableParagraph"/>
              <w:spacing w:before="7"/>
              <w:ind w:left="168" w:right="179"/>
              <w:jc w:val="center"/>
              <w:rPr>
                <w:rFonts w:ascii="Times New Roman"/>
                <w:sz w:val="16"/>
              </w:rPr>
            </w:pPr>
            <w:r>
              <w:rPr>
                <w:rFonts w:ascii="Times New Roman"/>
                <w:sz w:val="16"/>
              </w:rPr>
              <w:t>(131,3)</w:t>
            </w:r>
          </w:p>
        </w:tc>
        <w:tc>
          <w:tcPr>
            <w:tcW w:w="885" w:type="dxa"/>
          </w:tcPr>
          <w:p>
            <w:pPr>
              <w:pStyle w:val="TableParagraph"/>
              <w:spacing w:before="7"/>
              <w:ind w:left="226"/>
              <w:jc w:val="left"/>
              <w:rPr>
                <w:rFonts w:ascii="Times New Roman"/>
                <w:sz w:val="16"/>
              </w:rPr>
            </w:pPr>
            <w:r>
              <w:rPr>
                <w:rFonts w:ascii="Times New Roman"/>
                <w:sz w:val="16"/>
              </w:rPr>
              <w:t>(120,0)</w:t>
            </w:r>
          </w:p>
        </w:tc>
        <w:tc>
          <w:tcPr>
            <w:tcW w:w="124" w:type="dxa"/>
          </w:tcPr>
          <w:p>
            <w:pPr/>
          </w:p>
        </w:tc>
        <w:tc>
          <w:tcPr>
            <w:tcW w:w="730" w:type="dxa"/>
          </w:tcPr>
          <w:p>
            <w:pPr>
              <w:pStyle w:val="TableParagraph"/>
              <w:spacing w:before="7"/>
              <w:ind w:left="133"/>
              <w:jc w:val="left"/>
              <w:rPr>
                <w:rFonts w:ascii="Times New Roman"/>
                <w:sz w:val="16"/>
              </w:rPr>
            </w:pPr>
            <w:r>
              <w:rPr>
                <w:rFonts w:ascii="Times New Roman"/>
                <w:sz w:val="16"/>
              </w:rPr>
              <w:t>(501,6)</w:t>
            </w:r>
          </w:p>
        </w:tc>
      </w:tr>
      <w:tr>
        <w:trPr>
          <w:trHeight w:val="205" w:hRule="exact"/>
        </w:trPr>
        <w:tc>
          <w:tcPr>
            <w:tcW w:w="3054" w:type="dxa"/>
          </w:tcPr>
          <w:p>
            <w:pPr>
              <w:pStyle w:val="TableParagraph"/>
              <w:spacing w:before="7"/>
              <w:ind w:left="26"/>
              <w:jc w:val="left"/>
              <w:rPr>
                <w:rFonts w:ascii="Times New Roman"/>
                <w:i/>
                <w:sz w:val="16"/>
              </w:rPr>
            </w:pPr>
            <w:r>
              <w:rPr>
                <w:rFonts w:ascii="Times New Roman"/>
                <w:sz w:val="16"/>
              </w:rPr>
              <w:t>- Spese di procedura e </w:t>
            </w:r>
            <w:r>
              <w:rPr>
                <w:rFonts w:ascii="Times New Roman"/>
                <w:i/>
                <w:sz w:val="16"/>
              </w:rPr>
              <w:t>advisor</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149" w:right="122"/>
              <w:jc w:val="center"/>
              <w:rPr>
                <w:rFonts w:ascii="Times New Roman"/>
                <w:sz w:val="16"/>
              </w:rPr>
            </w:pPr>
            <w:r>
              <w:rPr>
                <w:rFonts w:ascii="Times New Roman"/>
                <w:sz w:val="16"/>
              </w:rPr>
              <w:t>(31,8)</w:t>
            </w:r>
          </w:p>
        </w:tc>
        <w:tc>
          <w:tcPr>
            <w:tcW w:w="1010" w:type="dxa"/>
          </w:tcPr>
          <w:p>
            <w:pPr>
              <w:pStyle w:val="TableParagraph"/>
              <w:spacing w:before="7"/>
              <w:ind w:left="119" w:right="183"/>
              <w:jc w:val="center"/>
              <w:rPr>
                <w:rFonts w:ascii="Times New Roman"/>
                <w:sz w:val="16"/>
              </w:rPr>
            </w:pPr>
            <w:r>
              <w:rPr>
                <w:rFonts w:ascii="Times New Roman"/>
                <w:sz w:val="16"/>
              </w:rPr>
              <w:t>(20,5)</w:t>
            </w:r>
          </w:p>
        </w:tc>
        <w:tc>
          <w:tcPr>
            <w:tcW w:w="983" w:type="dxa"/>
          </w:tcPr>
          <w:p>
            <w:pPr>
              <w:pStyle w:val="TableParagraph"/>
              <w:spacing w:before="7"/>
              <w:ind w:left="189" w:right="167"/>
              <w:jc w:val="center"/>
              <w:rPr>
                <w:rFonts w:ascii="Times New Roman"/>
                <w:sz w:val="16"/>
              </w:rPr>
            </w:pPr>
            <w:r>
              <w:rPr>
                <w:rFonts w:ascii="Times New Roman"/>
                <w:sz w:val="16"/>
              </w:rPr>
              <w:t>(50,4)</w:t>
            </w:r>
          </w:p>
        </w:tc>
        <w:tc>
          <w:tcPr>
            <w:tcW w:w="1019" w:type="dxa"/>
          </w:tcPr>
          <w:p>
            <w:pPr>
              <w:pStyle w:val="TableParagraph"/>
              <w:spacing w:before="7"/>
              <w:ind w:left="167" w:right="187"/>
              <w:jc w:val="center"/>
              <w:rPr>
                <w:rFonts w:ascii="Times New Roman"/>
                <w:sz w:val="16"/>
              </w:rPr>
            </w:pPr>
            <w:r>
              <w:rPr>
                <w:rFonts w:ascii="Times New Roman"/>
                <w:sz w:val="16"/>
              </w:rPr>
              <w:t>(84,7)</w:t>
            </w:r>
          </w:p>
        </w:tc>
        <w:tc>
          <w:tcPr>
            <w:tcW w:w="885" w:type="dxa"/>
          </w:tcPr>
          <w:p>
            <w:pPr>
              <w:pStyle w:val="TableParagraph"/>
              <w:spacing w:before="7"/>
              <w:ind w:left="306"/>
              <w:jc w:val="left"/>
              <w:rPr>
                <w:rFonts w:ascii="Times New Roman"/>
                <w:sz w:val="16"/>
              </w:rPr>
            </w:pPr>
            <w:r>
              <w:rPr>
                <w:rFonts w:ascii="Times New Roman"/>
                <w:sz w:val="16"/>
              </w:rPr>
              <w:t>(3,0)</w:t>
            </w:r>
          </w:p>
        </w:tc>
        <w:tc>
          <w:tcPr>
            <w:tcW w:w="124" w:type="dxa"/>
          </w:tcPr>
          <w:p>
            <w:pPr/>
          </w:p>
        </w:tc>
        <w:tc>
          <w:tcPr>
            <w:tcW w:w="730" w:type="dxa"/>
          </w:tcPr>
          <w:p>
            <w:pPr>
              <w:pStyle w:val="TableParagraph"/>
              <w:spacing w:before="7"/>
              <w:ind w:left="133"/>
              <w:jc w:val="left"/>
              <w:rPr>
                <w:rFonts w:ascii="Times New Roman"/>
                <w:sz w:val="16"/>
              </w:rPr>
            </w:pPr>
            <w:r>
              <w:rPr>
                <w:rFonts w:ascii="Times New Roman"/>
                <w:sz w:val="16"/>
              </w:rPr>
              <w:t>(190,4)</w:t>
            </w:r>
          </w:p>
        </w:tc>
      </w:tr>
      <w:tr>
        <w:trPr>
          <w:trHeight w:val="205" w:hRule="exact"/>
        </w:trPr>
        <w:tc>
          <w:tcPr>
            <w:tcW w:w="3054" w:type="dxa"/>
          </w:tcPr>
          <w:p>
            <w:pPr>
              <w:pStyle w:val="TableParagraph"/>
              <w:spacing w:before="7"/>
              <w:ind w:left="26"/>
              <w:jc w:val="left"/>
              <w:rPr>
                <w:rFonts w:ascii="Times New Roman"/>
                <w:sz w:val="16"/>
              </w:rPr>
            </w:pPr>
            <w:r>
              <w:rPr>
                <w:rFonts w:ascii="Times New Roman"/>
                <w:sz w:val="16"/>
              </w:rPr>
              <w:t>- Servizi MG Finanziaria</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149" w:right="113"/>
              <w:jc w:val="center"/>
              <w:rPr>
                <w:rFonts w:ascii="Times New Roman"/>
                <w:sz w:val="16"/>
              </w:rPr>
            </w:pPr>
            <w:r>
              <w:rPr>
                <w:rFonts w:ascii="Times New Roman"/>
                <w:sz w:val="16"/>
              </w:rPr>
              <w:t>(128,9)</w:t>
            </w:r>
          </w:p>
        </w:tc>
        <w:tc>
          <w:tcPr>
            <w:tcW w:w="1010" w:type="dxa"/>
          </w:tcPr>
          <w:p>
            <w:pPr>
              <w:pStyle w:val="TableParagraph"/>
              <w:spacing w:before="7"/>
              <w:ind w:left="119" w:right="174"/>
              <w:jc w:val="center"/>
              <w:rPr>
                <w:rFonts w:ascii="Times New Roman"/>
                <w:sz w:val="16"/>
              </w:rPr>
            </w:pPr>
            <w:r>
              <w:rPr>
                <w:rFonts w:ascii="Times New Roman"/>
                <w:sz w:val="16"/>
              </w:rPr>
              <w:t>(171,8)</w:t>
            </w:r>
          </w:p>
        </w:tc>
        <w:tc>
          <w:tcPr>
            <w:tcW w:w="983" w:type="dxa"/>
          </w:tcPr>
          <w:p>
            <w:pPr>
              <w:pStyle w:val="TableParagraph"/>
              <w:spacing w:before="7"/>
              <w:ind w:left="189" w:right="167"/>
              <w:jc w:val="center"/>
              <w:rPr>
                <w:rFonts w:ascii="Times New Roman"/>
                <w:sz w:val="16"/>
              </w:rPr>
            </w:pPr>
            <w:r>
              <w:rPr>
                <w:rFonts w:ascii="Times New Roman"/>
                <w:sz w:val="16"/>
              </w:rPr>
              <w:t>(91,0)</w:t>
            </w:r>
          </w:p>
        </w:tc>
        <w:tc>
          <w:tcPr>
            <w:tcW w:w="1019" w:type="dxa"/>
          </w:tcPr>
          <w:p>
            <w:pPr>
              <w:pStyle w:val="TableParagraph"/>
              <w:spacing w:before="7"/>
              <w:ind w:right="20"/>
              <w:jc w:val="center"/>
              <w:rPr>
                <w:rFonts w:ascii="Times New Roman"/>
                <w:sz w:val="16"/>
              </w:rPr>
            </w:pPr>
            <w:r>
              <w:rPr>
                <w:rFonts w:ascii="Times New Roman"/>
                <w:w w:val="100"/>
                <w:sz w:val="16"/>
              </w:rPr>
              <w:t>-</w:t>
            </w:r>
          </w:p>
        </w:tc>
        <w:tc>
          <w:tcPr>
            <w:tcW w:w="885" w:type="dxa"/>
          </w:tcPr>
          <w:p>
            <w:pPr>
              <w:pStyle w:val="TableParagraph"/>
              <w:spacing w:before="7"/>
              <w:ind w:left="262"/>
              <w:jc w:val="left"/>
              <w:rPr>
                <w:rFonts w:ascii="Times New Roman"/>
                <w:sz w:val="16"/>
              </w:rPr>
            </w:pPr>
            <w:r>
              <w:rPr>
                <w:rFonts w:ascii="Times New Roman"/>
                <w:sz w:val="16"/>
              </w:rPr>
              <w:t>(85,9)</w:t>
            </w:r>
          </w:p>
        </w:tc>
        <w:tc>
          <w:tcPr>
            <w:tcW w:w="124" w:type="dxa"/>
          </w:tcPr>
          <w:p>
            <w:pPr/>
          </w:p>
        </w:tc>
        <w:tc>
          <w:tcPr>
            <w:tcW w:w="730" w:type="dxa"/>
          </w:tcPr>
          <w:p>
            <w:pPr>
              <w:pStyle w:val="TableParagraph"/>
              <w:spacing w:before="7"/>
              <w:ind w:left="133"/>
              <w:jc w:val="left"/>
              <w:rPr>
                <w:rFonts w:ascii="Times New Roman"/>
                <w:sz w:val="16"/>
              </w:rPr>
            </w:pPr>
            <w:r>
              <w:rPr>
                <w:rFonts w:ascii="Times New Roman"/>
                <w:sz w:val="16"/>
              </w:rPr>
              <w:t>(477,6)</w:t>
            </w:r>
          </w:p>
        </w:tc>
      </w:tr>
      <w:tr>
        <w:trPr>
          <w:trHeight w:val="205" w:hRule="exact"/>
        </w:trPr>
        <w:tc>
          <w:tcPr>
            <w:tcW w:w="3054" w:type="dxa"/>
          </w:tcPr>
          <w:p>
            <w:pPr>
              <w:pStyle w:val="TableParagraph"/>
              <w:spacing w:before="7"/>
              <w:ind w:left="26"/>
              <w:jc w:val="left"/>
              <w:rPr>
                <w:rFonts w:ascii="Times New Roman"/>
                <w:sz w:val="16"/>
              </w:rPr>
            </w:pPr>
            <w:r>
              <w:rPr>
                <w:rFonts w:ascii="Times New Roman"/>
                <w:sz w:val="16"/>
              </w:rPr>
              <w:t>- Assicurazioni</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27"/>
              <w:jc w:val="center"/>
              <w:rPr>
                <w:rFonts w:ascii="Times New Roman"/>
                <w:sz w:val="16"/>
              </w:rPr>
            </w:pPr>
            <w:r>
              <w:rPr>
                <w:rFonts w:ascii="Times New Roman"/>
                <w:w w:val="100"/>
                <w:sz w:val="16"/>
              </w:rPr>
              <w:t>-</w:t>
            </w:r>
          </w:p>
        </w:tc>
        <w:tc>
          <w:tcPr>
            <w:tcW w:w="1010" w:type="dxa"/>
          </w:tcPr>
          <w:p>
            <w:pPr>
              <w:pStyle w:val="TableParagraph"/>
              <w:spacing w:before="7"/>
              <w:ind w:right="64"/>
              <w:jc w:val="center"/>
              <w:rPr>
                <w:rFonts w:ascii="Times New Roman"/>
                <w:sz w:val="16"/>
              </w:rPr>
            </w:pPr>
            <w:r>
              <w:rPr>
                <w:rFonts w:ascii="Times New Roman"/>
                <w:w w:val="100"/>
                <w:sz w:val="16"/>
              </w:rPr>
              <w:t>-</w:t>
            </w:r>
          </w:p>
        </w:tc>
        <w:tc>
          <w:tcPr>
            <w:tcW w:w="983" w:type="dxa"/>
          </w:tcPr>
          <w:p>
            <w:pPr>
              <w:pStyle w:val="TableParagraph"/>
              <w:spacing w:before="7"/>
              <w:ind w:left="189" w:right="167"/>
              <w:jc w:val="center"/>
              <w:rPr>
                <w:rFonts w:ascii="Times New Roman"/>
                <w:sz w:val="16"/>
              </w:rPr>
            </w:pPr>
            <w:r>
              <w:rPr>
                <w:rFonts w:ascii="Times New Roman"/>
                <w:sz w:val="16"/>
              </w:rPr>
              <w:t>(22,3)</w:t>
            </w:r>
          </w:p>
        </w:tc>
        <w:tc>
          <w:tcPr>
            <w:tcW w:w="1019" w:type="dxa"/>
          </w:tcPr>
          <w:p>
            <w:pPr>
              <w:pStyle w:val="TableParagraph"/>
              <w:spacing w:before="7"/>
              <w:ind w:right="20"/>
              <w:jc w:val="center"/>
              <w:rPr>
                <w:rFonts w:ascii="Times New Roman"/>
                <w:sz w:val="16"/>
              </w:rPr>
            </w:pPr>
            <w:r>
              <w:rPr>
                <w:rFonts w:ascii="Times New Roman"/>
                <w:w w:val="100"/>
                <w:sz w:val="16"/>
              </w:rPr>
              <w:t>-</w:t>
            </w:r>
          </w:p>
        </w:tc>
        <w:tc>
          <w:tcPr>
            <w:tcW w:w="885" w:type="dxa"/>
          </w:tcPr>
          <w:p>
            <w:pPr>
              <w:pStyle w:val="TableParagraph"/>
              <w:spacing w:before="7"/>
              <w:ind w:left="262"/>
              <w:jc w:val="left"/>
              <w:rPr>
                <w:rFonts w:ascii="Times New Roman"/>
                <w:sz w:val="16"/>
              </w:rPr>
            </w:pPr>
            <w:r>
              <w:rPr>
                <w:rFonts w:ascii="Times New Roman"/>
                <w:sz w:val="16"/>
              </w:rPr>
              <w:t>(10,7)</w:t>
            </w:r>
          </w:p>
        </w:tc>
        <w:tc>
          <w:tcPr>
            <w:tcW w:w="124" w:type="dxa"/>
          </w:tcPr>
          <w:p>
            <w:pPr/>
          </w:p>
        </w:tc>
        <w:tc>
          <w:tcPr>
            <w:tcW w:w="730" w:type="dxa"/>
          </w:tcPr>
          <w:p>
            <w:pPr>
              <w:pStyle w:val="TableParagraph"/>
              <w:spacing w:before="7"/>
              <w:ind w:left="168"/>
              <w:jc w:val="left"/>
              <w:rPr>
                <w:rFonts w:ascii="Times New Roman"/>
                <w:sz w:val="16"/>
              </w:rPr>
            </w:pPr>
            <w:r>
              <w:rPr>
                <w:rFonts w:ascii="Times New Roman"/>
                <w:sz w:val="16"/>
              </w:rPr>
              <w:t>(32,9)</w:t>
            </w:r>
          </w:p>
        </w:tc>
      </w:tr>
      <w:tr>
        <w:trPr>
          <w:trHeight w:val="398" w:hRule="exact"/>
        </w:trPr>
        <w:tc>
          <w:tcPr>
            <w:tcW w:w="3054" w:type="dxa"/>
          </w:tcPr>
          <w:p>
            <w:pPr>
              <w:pStyle w:val="TableParagraph"/>
              <w:spacing w:before="7"/>
              <w:ind w:left="26"/>
              <w:jc w:val="left"/>
              <w:rPr>
                <w:rFonts w:ascii="Times New Roman"/>
                <w:sz w:val="16"/>
              </w:rPr>
            </w:pPr>
            <w:r>
              <w:rPr>
                <w:rFonts w:ascii="Times New Roman"/>
                <w:sz w:val="16"/>
              </w:rPr>
              <w:t>- IVA di gruppo M&amp;G Finanziaria</w:t>
            </w:r>
          </w:p>
        </w:tc>
        <w:tc>
          <w:tcPr>
            <w:tcW w:w="1126" w:type="dxa"/>
          </w:tcPr>
          <w:p>
            <w:pPr>
              <w:pStyle w:val="TableParagraph"/>
              <w:spacing w:before="7"/>
              <w:ind w:left="237"/>
              <w:jc w:val="center"/>
              <w:rPr>
                <w:rFonts w:ascii="Times New Roman"/>
                <w:sz w:val="16"/>
              </w:rPr>
            </w:pPr>
            <w:r>
              <w:rPr>
                <w:rFonts w:ascii="Times New Roman"/>
                <w:w w:val="100"/>
                <w:sz w:val="16"/>
              </w:rPr>
              <w:t>-</w:t>
            </w:r>
          </w:p>
        </w:tc>
        <w:tc>
          <w:tcPr>
            <w:tcW w:w="1023" w:type="dxa"/>
          </w:tcPr>
          <w:p>
            <w:pPr>
              <w:pStyle w:val="TableParagraph"/>
              <w:spacing w:before="7"/>
              <w:ind w:left="149" w:right="113"/>
              <w:jc w:val="center"/>
              <w:rPr>
                <w:rFonts w:ascii="Times New Roman"/>
                <w:sz w:val="16"/>
              </w:rPr>
            </w:pPr>
            <w:r>
              <w:rPr>
                <w:rFonts w:ascii="Times New Roman"/>
                <w:sz w:val="16"/>
              </w:rPr>
              <w:t>(0,0)</w:t>
            </w:r>
          </w:p>
        </w:tc>
        <w:tc>
          <w:tcPr>
            <w:tcW w:w="1010" w:type="dxa"/>
          </w:tcPr>
          <w:p>
            <w:pPr>
              <w:pStyle w:val="TableParagraph"/>
              <w:spacing w:before="7"/>
              <w:ind w:right="64"/>
              <w:jc w:val="center"/>
              <w:rPr>
                <w:rFonts w:ascii="Times New Roman"/>
                <w:sz w:val="16"/>
              </w:rPr>
            </w:pPr>
            <w:r>
              <w:rPr>
                <w:rFonts w:ascii="Times New Roman"/>
                <w:w w:val="100"/>
                <w:sz w:val="16"/>
              </w:rPr>
              <w:t>-</w:t>
            </w:r>
          </w:p>
        </w:tc>
        <w:tc>
          <w:tcPr>
            <w:tcW w:w="983" w:type="dxa"/>
          </w:tcPr>
          <w:p>
            <w:pPr>
              <w:pStyle w:val="TableParagraph"/>
              <w:spacing w:before="7"/>
              <w:ind w:left="22"/>
              <w:jc w:val="center"/>
              <w:rPr>
                <w:rFonts w:ascii="Times New Roman"/>
                <w:sz w:val="16"/>
              </w:rPr>
            </w:pPr>
            <w:r>
              <w:rPr>
                <w:rFonts w:ascii="Times New Roman"/>
                <w:w w:val="100"/>
                <w:sz w:val="16"/>
              </w:rPr>
              <w:t>-</w:t>
            </w:r>
          </w:p>
        </w:tc>
        <w:tc>
          <w:tcPr>
            <w:tcW w:w="1019" w:type="dxa"/>
          </w:tcPr>
          <w:p>
            <w:pPr>
              <w:pStyle w:val="TableParagraph"/>
              <w:spacing w:before="7"/>
              <w:ind w:right="20"/>
              <w:jc w:val="center"/>
              <w:rPr>
                <w:rFonts w:ascii="Times New Roman"/>
                <w:sz w:val="16"/>
              </w:rPr>
            </w:pPr>
            <w:r>
              <w:rPr>
                <w:rFonts w:ascii="Times New Roman"/>
                <w:w w:val="100"/>
                <w:sz w:val="16"/>
              </w:rPr>
              <w:t>-</w:t>
            </w:r>
          </w:p>
        </w:tc>
        <w:tc>
          <w:tcPr>
            <w:tcW w:w="885" w:type="dxa"/>
          </w:tcPr>
          <w:p>
            <w:pPr>
              <w:pStyle w:val="TableParagraph"/>
              <w:spacing w:before="7"/>
              <w:ind w:left="31"/>
              <w:jc w:val="center"/>
              <w:rPr>
                <w:rFonts w:ascii="Times New Roman"/>
                <w:sz w:val="16"/>
              </w:rPr>
            </w:pPr>
            <w:r>
              <w:rPr>
                <w:rFonts w:ascii="Times New Roman"/>
                <w:w w:val="100"/>
                <w:sz w:val="16"/>
              </w:rPr>
              <w:t>-</w:t>
            </w:r>
          </w:p>
        </w:tc>
        <w:tc>
          <w:tcPr>
            <w:tcW w:w="124" w:type="dxa"/>
          </w:tcPr>
          <w:p>
            <w:pPr/>
          </w:p>
        </w:tc>
        <w:tc>
          <w:tcPr>
            <w:tcW w:w="730" w:type="dxa"/>
          </w:tcPr>
          <w:p>
            <w:pPr>
              <w:pStyle w:val="TableParagraph"/>
              <w:spacing w:before="7"/>
              <w:ind w:left="213"/>
              <w:jc w:val="left"/>
              <w:rPr>
                <w:rFonts w:ascii="Times New Roman"/>
                <w:sz w:val="16"/>
              </w:rPr>
            </w:pPr>
            <w:r>
              <w:rPr>
                <w:rFonts w:ascii="Times New Roman"/>
                <w:sz w:val="16"/>
              </w:rPr>
              <w:t>(0,0)</w:t>
            </w:r>
          </w:p>
        </w:tc>
      </w:tr>
      <w:tr>
        <w:trPr>
          <w:trHeight w:val="214" w:hRule="exact"/>
        </w:trPr>
        <w:tc>
          <w:tcPr>
            <w:tcW w:w="3054" w:type="dxa"/>
            <w:shd w:val="clear" w:color="auto" w:fill="878A8D"/>
          </w:tcPr>
          <w:p>
            <w:pPr>
              <w:pStyle w:val="TableParagraph"/>
              <w:spacing w:before="20"/>
              <w:ind w:left="26"/>
              <w:jc w:val="left"/>
              <w:rPr>
                <w:rFonts w:ascii="Times New Roman"/>
                <w:b/>
                <w:sz w:val="16"/>
              </w:rPr>
            </w:pPr>
            <w:r>
              <w:rPr>
                <w:rFonts w:ascii="Times New Roman"/>
                <w:b/>
                <w:color w:val="FFFFFF"/>
                <w:sz w:val="16"/>
              </w:rPr>
              <w:t>Saldo Finale - 31/03/2018</w:t>
            </w:r>
          </w:p>
        </w:tc>
        <w:tc>
          <w:tcPr>
            <w:tcW w:w="1126" w:type="dxa"/>
            <w:shd w:val="clear" w:color="auto" w:fill="878A8D"/>
          </w:tcPr>
          <w:p>
            <w:pPr>
              <w:pStyle w:val="TableParagraph"/>
              <w:spacing w:before="20"/>
              <w:ind w:left="394" w:right="149"/>
              <w:jc w:val="center"/>
              <w:rPr>
                <w:rFonts w:ascii="Times New Roman"/>
                <w:b/>
                <w:sz w:val="16"/>
              </w:rPr>
            </w:pPr>
            <w:r>
              <w:rPr>
                <w:rFonts w:ascii="Times New Roman"/>
                <w:b/>
                <w:color w:val="FFFFFF"/>
                <w:sz w:val="16"/>
              </w:rPr>
              <w:t>1.135,9</w:t>
            </w:r>
          </w:p>
        </w:tc>
        <w:tc>
          <w:tcPr>
            <w:tcW w:w="1023" w:type="dxa"/>
            <w:shd w:val="clear" w:color="auto" w:fill="878A8D"/>
          </w:tcPr>
          <w:p>
            <w:pPr>
              <w:pStyle w:val="TableParagraph"/>
              <w:spacing w:before="20"/>
              <w:ind w:left="149" w:right="113"/>
              <w:jc w:val="center"/>
              <w:rPr>
                <w:rFonts w:ascii="Times New Roman"/>
                <w:b/>
                <w:sz w:val="16"/>
              </w:rPr>
            </w:pPr>
            <w:r>
              <w:rPr>
                <w:rFonts w:ascii="Times New Roman"/>
                <w:b/>
                <w:color w:val="FFFFFF"/>
                <w:sz w:val="16"/>
              </w:rPr>
              <w:t>1.905,6</w:t>
            </w:r>
          </w:p>
        </w:tc>
        <w:tc>
          <w:tcPr>
            <w:tcW w:w="1010" w:type="dxa"/>
            <w:shd w:val="clear" w:color="auto" w:fill="878A8D"/>
          </w:tcPr>
          <w:p>
            <w:pPr>
              <w:pStyle w:val="TableParagraph"/>
              <w:spacing w:before="20"/>
              <w:ind w:left="119" w:right="174"/>
              <w:jc w:val="center"/>
              <w:rPr>
                <w:rFonts w:ascii="Times New Roman"/>
                <w:b/>
                <w:sz w:val="16"/>
              </w:rPr>
            </w:pPr>
            <w:r>
              <w:rPr>
                <w:rFonts w:ascii="Times New Roman"/>
                <w:b/>
                <w:color w:val="FFFFFF"/>
                <w:sz w:val="16"/>
              </w:rPr>
              <w:t>1.478,4</w:t>
            </w:r>
          </w:p>
        </w:tc>
        <w:tc>
          <w:tcPr>
            <w:tcW w:w="983" w:type="dxa"/>
            <w:shd w:val="clear" w:color="auto" w:fill="878A8D"/>
          </w:tcPr>
          <w:p>
            <w:pPr>
              <w:pStyle w:val="TableParagraph"/>
              <w:spacing w:before="20"/>
              <w:ind w:left="189" w:right="159"/>
              <w:jc w:val="center"/>
              <w:rPr>
                <w:rFonts w:ascii="Times New Roman"/>
                <w:b/>
                <w:sz w:val="16"/>
              </w:rPr>
            </w:pPr>
            <w:r>
              <w:rPr>
                <w:rFonts w:ascii="Times New Roman"/>
                <w:b/>
                <w:color w:val="FFFFFF"/>
                <w:sz w:val="16"/>
              </w:rPr>
              <w:t>1.251,7</w:t>
            </w:r>
          </w:p>
        </w:tc>
        <w:tc>
          <w:tcPr>
            <w:tcW w:w="1019" w:type="dxa"/>
            <w:shd w:val="clear" w:color="auto" w:fill="878A8D"/>
          </w:tcPr>
          <w:p>
            <w:pPr>
              <w:pStyle w:val="TableParagraph"/>
              <w:spacing w:before="20"/>
              <w:ind w:left="168" w:right="179"/>
              <w:jc w:val="center"/>
              <w:rPr>
                <w:rFonts w:ascii="Times New Roman"/>
                <w:b/>
                <w:sz w:val="16"/>
              </w:rPr>
            </w:pPr>
            <w:r>
              <w:rPr>
                <w:rFonts w:ascii="Times New Roman"/>
                <w:b/>
                <w:color w:val="FFFFFF"/>
                <w:sz w:val="16"/>
              </w:rPr>
              <w:t>1.107,9</w:t>
            </w:r>
          </w:p>
        </w:tc>
        <w:tc>
          <w:tcPr>
            <w:tcW w:w="885" w:type="dxa"/>
            <w:shd w:val="clear" w:color="auto" w:fill="878A8D"/>
          </w:tcPr>
          <w:p>
            <w:pPr>
              <w:pStyle w:val="TableParagraph"/>
              <w:spacing w:before="20"/>
              <w:ind w:left="217"/>
              <w:jc w:val="left"/>
              <w:rPr>
                <w:rFonts w:ascii="Times New Roman"/>
                <w:b/>
                <w:sz w:val="16"/>
              </w:rPr>
            </w:pPr>
            <w:r>
              <w:rPr>
                <w:rFonts w:ascii="Times New Roman"/>
                <w:b/>
                <w:color w:val="FFFFFF"/>
                <w:sz w:val="16"/>
              </w:rPr>
              <w:t>1.228,9</w:t>
            </w:r>
          </w:p>
        </w:tc>
        <w:tc>
          <w:tcPr>
            <w:tcW w:w="124" w:type="dxa"/>
          </w:tcPr>
          <w:p>
            <w:pPr/>
          </w:p>
        </w:tc>
        <w:tc>
          <w:tcPr>
            <w:tcW w:w="730" w:type="dxa"/>
            <w:shd w:val="clear" w:color="auto" w:fill="878A8D"/>
          </w:tcPr>
          <w:p>
            <w:pPr>
              <w:pStyle w:val="TableParagraph"/>
              <w:spacing w:before="20"/>
              <w:ind w:left="124"/>
              <w:jc w:val="left"/>
              <w:rPr>
                <w:rFonts w:ascii="Times New Roman"/>
                <w:b/>
                <w:sz w:val="16"/>
              </w:rPr>
            </w:pPr>
            <w:r>
              <w:rPr>
                <w:rFonts w:ascii="Times New Roman"/>
                <w:b/>
                <w:color w:val="FFFFFF"/>
                <w:sz w:val="16"/>
              </w:rPr>
              <w:t>1.228,9</w:t>
            </w:r>
          </w:p>
        </w:tc>
      </w:tr>
    </w:tbl>
    <w:p>
      <w:pPr>
        <w:pStyle w:val="BodyText"/>
        <w:spacing w:line="20" w:lineRule="exact"/>
        <w:ind w:left="10088"/>
        <w:rPr>
          <w:rFonts w:ascii="Times New Roman"/>
          <w:sz w:val="2"/>
        </w:rPr>
      </w:pPr>
      <w:r>
        <w:rPr>
          <w:rFonts w:ascii="Times New Roman"/>
          <w:sz w:val="2"/>
        </w:rPr>
        <w:pict>
          <v:group style="width:7.6pt;height:.45pt;mso-position-horizontal-relative:char;mso-position-vertical-relative:line" coordorigin="0,0" coordsize="152,9">
            <v:line style="position:absolute" from="4,4" to="147,4" stroked="true" strokeweight=".445213pt" strokecolor="#ffffff">
              <v:stroke dashstyle="solid"/>
            </v:line>
          </v:group>
        </w:pict>
      </w:r>
      <w:r>
        <w:rPr>
          <w:rFonts w:ascii="Times New Roman"/>
          <w:sz w:val="2"/>
        </w:rPr>
      </w:r>
    </w:p>
    <w:p>
      <w:pPr>
        <w:pStyle w:val="BodyText"/>
        <w:rPr>
          <w:rFonts w:ascii="Times New Roman"/>
          <w:b/>
          <w:sz w:val="18"/>
        </w:rPr>
      </w:pPr>
    </w:p>
    <w:p>
      <w:pPr>
        <w:pStyle w:val="BodyText"/>
        <w:spacing w:before="10"/>
        <w:rPr>
          <w:rFonts w:ascii="Times New Roman"/>
          <w:b/>
          <w:sz w:val="20"/>
        </w:rPr>
      </w:pPr>
    </w:p>
    <w:p>
      <w:pPr>
        <w:pStyle w:val="BodyText"/>
        <w:spacing w:line="480" w:lineRule="auto"/>
        <w:ind w:left="1418" w:right="1413"/>
      </w:pPr>
      <w:r>
        <w:rPr/>
        <w:t>Detto saldo è destinato a decrementarsi di Euro 2.499.431 - per effetto del sostenimento dei costi della liquidazione attesi fino al 31.12.2024 e rappresentati da:</w:t>
      </w:r>
    </w:p>
    <w:p>
      <w:pPr>
        <w:pStyle w:val="ListParagraph"/>
        <w:numPr>
          <w:ilvl w:val="2"/>
          <w:numId w:val="15"/>
        </w:numPr>
        <w:tabs>
          <w:tab w:pos="2127" w:val="left" w:leader="none"/>
        </w:tabs>
        <w:spacing w:line="240" w:lineRule="auto" w:before="199" w:after="0"/>
        <w:ind w:left="2018" w:right="0" w:hanging="240"/>
        <w:jc w:val="left"/>
        <w:rPr>
          <w:sz w:val="24"/>
        </w:rPr>
      </w:pPr>
      <w:r>
        <w:rPr>
          <w:sz w:val="24"/>
        </w:rPr>
        <w:t>costi della gestione ordinaria Euro</w:t>
      </w:r>
      <w:r>
        <w:rPr>
          <w:spacing w:val="-13"/>
          <w:sz w:val="24"/>
        </w:rPr>
        <w:t> </w:t>
      </w:r>
      <w:r>
        <w:rPr>
          <w:sz w:val="24"/>
        </w:rPr>
        <w:t>420.427;</w:t>
      </w:r>
    </w:p>
    <w:p>
      <w:pPr>
        <w:pStyle w:val="BodyText"/>
        <w:spacing w:before="8"/>
        <w:rPr>
          <w:sz w:val="29"/>
        </w:rPr>
      </w:pPr>
    </w:p>
    <w:p>
      <w:pPr>
        <w:pStyle w:val="ListParagraph"/>
        <w:numPr>
          <w:ilvl w:val="2"/>
          <w:numId w:val="15"/>
        </w:numPr>
        <w:tabs>
          <w:tab w:pos="2127" w:val="left" w:leader="none"/>
        </w:tabs>
        <w:spacing w:line="240" w:lineRule="auto" w:before="0" w:after="0"/>
        <w:ind w:left="2126" w:right="0" w:hanging="348"/>
        <w:jc w:val="left"/>
        <w:rPr>
          <w:sz w:val="24"/>
        </w:rPr>
      </w:pPr>
      <w:r>
        <w:rPr>
          <w:sz w:val="24"/>
        </w:rPr>
        <w:t>costo del personale Euro</w:t>
      </w:r>
      <w:r>
        <w:rPr>
          <w:spacing w:val="-11"/>
          <w:sz w:val="24"/>
        </w:rPr>
        <w:t> </w:t>
      </w:r>
      <w:r>
        <w:rPr>
          <w:sz w:val="24"/>
        </w:rPr>
        <w:t>946.600;</w:t>
      </w:r>
    </w:p>
    <w:p>
      <w:pPr>
        <w:pStyle w:val="BodyText"/>
        <w:spacing w:before="8"/>
        <w:rPr>
          <w:sz w:val="29"/>
        </w:rPr>
      </w:pPr>
    </w:p>
    <w:p>
      <w:pPr>
        <w:pStyle w:val="ListParagraph"/>
        <w:numPr>
          <w:ilvl w:val="2"/>
          <w:numId w:val="15"/>
        </w:numPr>
        <w:tabs>
          <w:tab w:pos="2127" w:val="left" w:leader="none"/>
        </w:tabs>
        <w:spacing w:line="240" w:lineRule="auto" w:before="0" w:after="0"/>
        <w:ind w:left="2126" w:right="0" w:hanging="348"/>
        <w:jc w:val="left"/>
        <w:rPr>
          <w:sz w:val="24"/>
        </w:rPr>
      </w:pPr>
      <w:r>
        <w:rPr>
          <w:sz w:val="24"/>
        </w:rPr>
        <w:t>costi fissi Euro</w:t>
      </w:r>
      <w:r>
        <w:rPr>
          <w:spacing w:val="-8"/>
          <w:sz w:val="24"/>
        </w:rPr>
        <w:t> </w:t>
      </w:r>
      <w:r>
        <w:rPr>
          <w:sz w:val="24"/>
        </w:rPr>
        <w:t>511.904;</w:t>
      </w:r>
    </w:p>
    <w:p>
      <w:pPr>
        <w:pStyle w:val="BodyText"/>
        <w:spacing w:before="8"/>
        <w:rPr>
          <w:sz w:val="29"/>
        </w:rPr>
      </w:pPr>
    </w:p>
    <w:p>
      <w:pPr>
        <w:pStyle w:val="ListParagraph"/>
        <w:numPr>
          <w:ilvl w:val="2"/>
          <w:numId w:val="15"/>
        </w:numPr>
        <w:tabs>
          <w:tab w:pos="2127" w:val="left" w:leader="none"/>
        </w:tabs>
        <w:spacing w:line="240" w:lineRule="auto" w:before="0" w:after="0"/>
        <w:ind w:left="2126" w:right="0" w:hanging="348"/>
        <w:jc w:val="left"/>
        <w:rPr>
          <w:sz w:val="24"/>
        </w:rPr>
      </w:pPr>
      <w:r>
        <w:rPr>
          <w:sz w:val="24"/>
        </w:rPr>
        <w:t>mantenimento brevetti Euro</w:t>
      </w:r>
      <w:r>
        <w:rPr>
          <w:spacing w:val="-13"/>
          <w:sz w:val="24"/>
        </w:rPr>
        <w:t> </w:t>
      </w:r>
      <w:r>
        <w:rPr>
          <w:sz w:val="24"/>
        </w:rPr>
        <w:t>67.000;</w:t>
      </w:r>
    </w:p>
    <w:p>
      <w:pPr>
        <w:pStyle w:val="BodyText"/>
        <w:spacing w:before="9"/>
        <w:rPr>
          <w:sz w:val="29"/>
        </w:rPr>
      </w:pPr>
    </w:p>
    <w:p>
      <w:pPr>
        <w:pStyle w:val="ListParagraph"/>
        <w:numPr>
          <w:ilvl w:val="2"/>
          <w:numId w:val="15"/>
        </w:numPr>
        <w:tabs>
          <w:tab w:pos="2127" w:val="left" w:leader="none"/>
        </w:tabs>
        <w:spacing w:line="240" w:lineRule="auto" w:before="0" w:after="0"/>
        <w:ind w:left="2126" w:right="0" w:hanging="348"/>
        <w:jc w:val="left"/>
        <w:rPr>
          <w:sz w:val="24"/>
        </w:rPr>
      </w:pPr>
      <w:r>
        <w:rPr>
          <w:sz w:val="24"/>
        </w:rPr>
        <w:t>servizi M&amp;G Finanziaria S.p.A. Euro</w:t>
      </w:r>
      <w:r>
        <w:rPr>
          <w:spacing w:val="-16"/>
          <w:sz w:val="24"/>
        </w:rPr>
        <w:t> </w:t>
      </w:r>
      <w:r>
        <w:rPr>
          <w:sz w:val="24"/>
        </w:rPr>
        <w:t>343.000;</w:t>
      </w:r>
    </w:p>
    <w:p>
      <w:pPr>
        <w:pStyle w:val="BodyText"/>
        <w:spacing w:before="6"/>
        <w:rPr>
          <w:sz w:val="29"/>
        </w:rPr>
      </w:pPr>
    </w:p>
    <w:p>
      <w:pPr>
        <w:pStyle w:val="ListParagraph"/>
        <w:numPr>
          <w:ilvl w:val="2"/>
          <w:numId w:val="15"/>
        </w:numPr>
        <w:tabs>
          <w:tab w:pos="2127" w:val="left" w:leader="none"/>
        </w:tabs>
        <w:spacing w:line="240" w:lineRule="auto" w:before="0" w:after="0"/>
        <w:ind w:left="2126" w:right="0" w:hanging="348"/>
        <w:jc w:val="left"/>
        <w:rPr>
          <w:sz w:val="24"/>
        </w:rPr>
      </w:pPr>
      <w:r>
        <w:rPr>
          <w:sz w:val="24"/>
        </w:rPr>
        <w:t>assicurazioni Euro</w:t>
      </w:r>
      <w:r>
        <w:rPr>
          <w:spacing w:val="-10"/>
          <w:sz w:val="24"/>
        </w:rPr>
        <w:t> </w:t>
      </w:r>
      <w:r>
        <w:rPr>
          <w:sz w:val="24"/>
        </w:rPr>
        <w:t>12.000;</w:t>
      </w:r>
    </w:p>
    <w:p>
      <w:pPr>
        <w:pStyle w:val="BodyText"/>
        <w:spacing w:before="8"/>
        <w:rPr>
          <w:sz w:val="29"/>
        </w:rPr>
      </w:pPr>
    </w:p>
    <w:p>
      <w:pPr>
        <w:pStyle w:val="ListParagraph"/>
        <w:numPr>
          <w:ilvl w:val="2"/>
          <w:numId w:val="15"/>
        </w:numPr>
        <w:tabs>
          <w:tab w:pos="2127" w:val="left" w:leader="none"/>
        </w:tabs>
        <w:spacing w:line="240" w:lineRule="auto" w:before="0" w:after="0"/>
        <w:ind w:left="2126" w:right="0" w:hanging="348"/>
        <w:jc w:val="left"/>
        <w:rPr>
          <w:sz w:val="24"/>
        </w:rPr>
      </w:pPr>
      <w:r>
        <w:rPr>
          <w:sz w:val="24"/>
        </w:rPr>
        <w:t>tasse Euro</w:t>
      </w:r>
      <w:r>
        <w:rPr>
          <w:spacing w:val="-4"/>
          <w:sz w:val="24"/>
        </w:rPr>
        <w:t> </w:t>
      </w:r>
      <w:r>
        <w:rPr>
          <w:sz w:val="24"/>
        </w:rPr>
        <w:t>71.500;</w:t>
      </w:r>
    </w:p>
    <w:p>
      <w:pPr>
        <w:pStyle w:val="BodyText"/>
        <w:spacing w:before="8"/>
        <w:rPr>
          <w:sz w:val="29"/>
        </w:rPr>
      </w:pPr>
    </w:p>
    <w:p>
      <w:pPr>
        <w:pStyle w:val="ListParagraph"/>
        <w:numPr>
          <w:ilvl w:val="2"/>
          <w:numId w:val="15"/>
        </w:numPr>
        <w:tabs>
          <w:tab w:pos="2127" w:val="left" w:leader="none"/>
        </w:tabs>
        <w:spacing w:line="240" w:lineRule="auto" w:before="0" w:after="0"/>
        <w:ind w:left="2126" w:right="0" w:hanging="348"/>
        <w:jc w:val="left"/>
        <w:rPr>
          <w:sz w:val="24"/>
        </w:rPr>
      </w:pPr>
      <w:r>
        <w:rPr>
          <w:sz w:val="24"/>
        </w:rPr>
        <w:t>spese legali e contenziosi Euro</w:t>
      </w:r>
      <w:r>
        <w:rPr>
          <w:spacing w:val="-16"/>
          <w:sz w:val="24"/>
        </w:rPr>
        <w:t> </w:t>
      </w:r>
      <w:r>
        <w:rPr>
          <w:sz w:val="24"/>
        </w:rPr>
        <w:t>127.000.</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Le assunzioni principali del piano gestionale fino alla data di chiusura della procedura sono le seguenti:</w:t>
      </w:r>
    </w:p>
    <w:p>
      <w:pPr>
        <w:pStyle w:val="ListParagraph"/>
        <w:numPr>
          <w:ilvl w:val="2"/>
          <w:numId w:val="15"/>
        </w:numPr>
        <w:tabs>
          <w:tab w:pos="2127" w:val="left" w:leader="none"/>
        </w:tabs>
        <w:spacing w:line="528" w:lineRule="auto" w:before="202" w:after="0"/>
        <w:ind w:left="2018" w:right="1633" w:hanging="240"/>
        <w:jc w:val="left"/>
        <w:rPr>
          <w:sz w:val="24"/>
        </w:rPr>
      </w:pPr>
      <w:r>
        <w:rPr>
          <w:sz w:val="24"/>
        </w:rPr>
        <w:t>incasso dei flussi netti delle commesse in corso e dei progetti agevolati (Energochemica, Plastipac e</w:t>
      </w:r>
      <w:r>
        <w:rPr>
          <w:spacing w:val="-5"/>
          <w:sz w:val="24"/>
        </w:rPr>
        <w:t> </w:t>
      </w:r>
      <w:r>
        <w:rPr>
          <w:sz w:val="24"/>
        </w:rPr>
        <w:t>Biosco);</w:t>
      </w:r>
    </w:p>
    <w:p>
      <w:pPr>
        <w:pStyle w:val="ListParagraph"/>
        <w:numPr>
          <w:ilvl w:val="2"/>
          <w:numId w:val="15"/>
        </w:numPr>
        <w:tabs>
          <w:tab w:pos="2127" w:val="left" w:leader="none"/>
        </w:tabs>
        <w:spacing w:line="530" w:lineRule="auto" w:before="9" w:after="0"/>
        <w:ind w:left="2138" w:right="1815" w:hanging="360"/>
        <w:jc w:val="left"/>
        <w:rPr>
          <w:sz w:val="24"/>
        </w:rPr>
      </w:pPr>
      <w:r>
        <w:rPr>
          <w:sz w:val="24"/>
        </w:rPr>
        <w:t>incasso corrispettivo da IBP del progetto ottimizzazione etanolo fino al mese di aprile 2018;</w:t>
      </w:r>
    </w:p>
    <w:p>
      <w:pPr>
        <w:pStyle w:val="ListParagraph"/>
        <w:numPr>
          <w:ilvl w:val="2"/>
          <w:numId w:val="15"/>
        </w:numPr>
        <w:tabs>
          <w:tab w:pos="2127" w:val="left" w:leader="none"/>
        </w:tabs>
        <w:spacing w:line="240" w:lineRule="auto" w:before="6" w:after="0"/>
        <w:ind w:left="2126" w:right="0" w:hanging="348"/>
        <w:jc w:val="left"/>
        <w:rPr>
          <w:sz w:val="24"/>
        </w:rPr>
      </w:pPr>
      <w:r>
        <w:rPr>
          <w:sz w:val="24"/>
        </w:rPr>
        <w:t>incasso riaddebito di personale a IBP e a M&amp;G</w:t>
      </w:r>
      <w:r>
        <w:rPr>
          <w:spacing w:val="-23"/>
          <w:sz w:val="24"/>
        </w:rPr>
        <w:t> </w:t>
      </w:r>
      <w:r>
        <w:rPr>
          <w:sz w:val="24"/>
        </w:rPr>
        <w:t>Resins;</w:t>
      </w:r>
    </w:p>
    <w:p>
      <w:pPr>
        <w:pStyle w:val="BodyText"/>
        <w:spacing w:before="8"/>
        <w:rPr>
          <w:sz w:val="41"/>
        </w:rPr>
      </w:pPr>
    </w:p>
    <w:p>
      <w:pPr>
        <w:pStyle w:val="ListParagraph"/>
        <w:numPr>
          <w:ilvl w:val="2"/>
          <w:numId w:val="15"/>
        </w:numPr>
        <w:tabs>
          <w:tab w:pos="2127" w:val="left" w:leader="none"/>
        </w:tabs>
        <w:spacing w:line="530" w:lineRule="auto" w:before="0" w:after="0"/>
        <w:ind w:left="2078" w:right="1793" w:hanging="300"/>
        <w:jc w:val="left"/>
        <w:rPr>
          <w:sz w:val="24"/>
        </w:rPr>
      </w:pPr>
      <w:r>
        <w:rPr>
          <w:sz w:val="24"/>
        </w:rPr>
        <w:t>mantenimento del personale in forza fino alla data di trasferimento del ramo (secondo quadrimestre</w:t>
      </w:r>
      <w:r>
        <w:rPr>
          <w:spacing w:val="-3"/>
          <w:sz w:val="24"/>
        </w:rPr>
        <w:t> </w:t>
      </w:r>
      <w:r>
        <w:rPr>
          <w:sz w:val="24"/>
        </w:rPr>
        <w:t>2018);</w:t>
      </w:r>
    </w:p>
    <w:p>
      <w:pPr>
        <w:pStyle w:val="ListParagraph"/>
        <w:numPr>
          <w:ilvl w:val="2"/>
          <w:numId w:val="15"/>
        </w:numPr>
        <w:tabs>
          <w:tab w:pos="2127" w:val="left" w:leader="none"/>
        </w:tabs>
        <w:spacing w:line="532" w:lineRule="auto" w:before="5" w:after="0"/>
        <w:ind w:left="2138" w:right="1441" w:hanging="360"/>
        <w:jc w:val="left"/>
        <w:rPr>
          <w:sz w:val="24"/>
        </w:rPr>
      </w:pPr>
      <w:r>
        <w:rPr>
          <w:sz w:val="24"/>
        </w:rPr>
        <w:t>sostenimento dei costi di gestione ordinaria rappresentati da: Liquidatore Sociale, Collegio Sindacale, Società di Revisione, contabilità ed adempimenti fiscali (a diminuire fino alla chiusura della</w:t>
      </w:r>
      <w:r>
        <w:rPr>
          <w:spacing w:val="-11"/>
          <w:sz w:val="24"/>
        </w:rPr>
        <w:t> </w:t>
      </w:r>
      <w:r>
        <w:rPr>
          <w:sz w:val="24"/>
        </w:rPr>
        <w:t>liquidazione);</w:t>
      </w:r>
    </w:p>
    <w:p>
      <w:pPr>
        <w:pStyle w:val="ListParagraph"/>
        <w:numPr>
          <w:ilvl w:val="2"/>
          <w:numId w:val="15"/>
        </w:numPr>
        <w:tabs>
          <w:tab w:pos="2127" w:val="left" w:leader="none"/>
        </w:tabs>
        <w:spacing w:line="240" w:lineRule="auto" w:before="3" w:after="0"/>
        <w:ind w:left="2126" w:right="0" w:hanging="348"/>
        <w:jc w:val="left"/>
        <w:rPr>
          <w:sz w:val="24"/>
        </w:rPr>
      </w:pPr>
      <w:r>
        <w:rPr>
          <w:sz w:val="24"/>
        </w:rPr>
        <w:t>altri costi</w:t>
      </w:r>
      <w:r>
        <w:rPr>
          <w:spacing w:val="-7"/>
          <w:sz w:val="24"/>
        </w:rPr>
        <w:t> </w:t>
      </w:r>
      <w:r>
        <w:rPr>
          <w:sz w:val="24"/>
        </w:rPr>
        <w:t>residuali;</w:t>
      </w:r>
    </w:p>
    <w:p>
      <w:pPr>
        <w:pStyle w:val="BodyText"/>
        <w:spacing w:before="8"/>
        <w:rPr>
          <w:sz w:val="41"/>
        </w:rPr>
      </w:pPr>
    </w:p>
    <w:p>
      <w:pPr>
        <w:pStyle w:val="ListParagraph"/>
        <w:numPr>
          <w:ilvl w:val="2"/>
          <w:numId w:val="15"/>
        </w:numPr>
        <w:tabs>
          <w:tab w:pos="2127" w:val="left" w:leader="none"/>
        </w:tabs>
        <w:spacing w:line="530" w:lineRule="auto" w:before="0" w:after="0"/>
        <w:ind w:left="2078" w:right="2006" w:hanging="300"/>
        <w:jc w:val="left"/>
        <w:rPr>
          <w:sz w:val="24"/>
        </w:rPr>
      </w:pPr>
      <w:r>
        <w:rPr>
          <w:sz w:val="24"/>
        </w:rPr>
        <w:t>sostenimento dei costi fissi per spese legali e mantenimento brevetti fino al secondo quadrimestre</w:t>
      </w:r>
      <w:r>
        <w:rPr>
          <w:spacing w:val="-3"/>
          <w:sz w:val="24"/>
        </w:rPr>
        <w:t> </w:t>
      </w:r>
      <w:r>
        <w:rPr>
          <w:sz w:val="24"/>
        </w:rPr>
        <w:t>2018;</w:t>
      </w:r>
    </w:p>
    <w:p>
      <w:pPr>
        <w:pStyle w:val="ListParagraph"/>
        <w:numPr>
          <w:ilvl w:val="2"/>
          <w:numId w:val="15"/>
        </w:numPr>
        <w:tabs>
          <w:tab w:pos="2127" w:val="left" w:leader="none"/>
        </w:tabs>
        <w:spacing w:line="357" w:lineRule="auto" w:before="6" w:after="0"/>
        <w:ind w:left="2138" w:right="1418" w:hanging="360"/>
        <w:jc w:val="left"/>
        <w:rPr>
          <w:sz w:val="24"/>
        </w:rPr>
      </w:pPr>
      <w:r>
        <w:rPr>
          <w:sz w:val="24"/>
        </w:rPr>
        <w:t>sostenimento costi per servizi forniti da M&amp;G Finanziaria S.p.A. fino al secondo quadrimestre</w:t>
      </w:r>
      <w:r>
        <w:rPr>
          <w:spacing w:val="58"/>
          <w:sz w:val="24"/>
        </w:rPr>
        <w:t> </w:t>
      </w:r>
      <w:r>
        <w:rPr>
          <w:sz w:val="24"/>
        </w:rPr>
        <w:t>2018;</w:t>
      </w:r>
    </w:p>
    <w:p>
      <w:pPr>
        <w:pStyle w:val="ListParagraph"/>
        <w:numPr>
          <w:ilvl w:val="2"/>
          <w:numId w:val="15"/>
        </w:numPr>
        <w:tabs>
          <w:tab w:pos="2127" w:val="left" w:leader="none"/>
        </w:tabs>
        <w:spacing w:line="240" w:lineRule="auto" w:before="200" w:after="0"/>
        <w:ind w:left="2126" w:right="0" w:hanging="348"/>
        <w:jc w:val="left"/>
        <w:rPr>
          <w:sz w:val="24"/>
        </w:rPr>
      </w:pPr>
      <w:r>
        <w:rPr>
          <w:sz w:val="24"/>
        </w:rPr>
        <w:t>sostenimento di altri costi e assicurazioni fino al secondo quadrimestre</w:t>
      </w:r>
      <w:r>
        <w:rPr>
          <w:spacing w:val="-24"/>
          <w:sz w:val="24"/>
        </w:rPr>
        <w:t> </w:t>
      </w:r>
      <w:r>
        <w:rPr>
          <w:sz w:val="24"/>
        </w:rPr>
        <w:t>2018.</w:t>
      </w:r>
    </w:p>
    <w:p>
      <w:pPr>
        <w:pStyle w:val="BodyText"/>
        <w:spacing w:before="7"/>
        <w:rPr>
          <w:sz w:val="41"/>
        </w:rPr>
      </w:pPr>
    </w:p>
    <w:p>
      <w:pPr>
        <w:pStyle w:val="BodyText"/>
        <w:spacing w:line="480" w:lineRule="auto"/>
        <w:ind w:left="1418" w:right="1518"/>
      </w:pPr>
      <w:r>
        <w:rPr/>
        <w:t>La struttura del piano e le assunzioni sottostanti sono sottoposte a verifica dei sottoscritti attestatori nel successivo capitolo 5.</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1"/>
          <w:numId w:val="3"/>
        </w:numPr>
        <w:tabs>
          <w:tab w:pos="2127" w:val="left" w:leader="none"/>
        </w:tabs>
        <w:spacing w:line="240" w:lineRule="auto" w:before="100" w:after="0"/>
        <w:ind w:left="2126" w:right="0" w:hanging="763"/>
        <w:jc w:val="both"/>
      </w:pPr>
      <w:bookmarkStart w:name="_bookmark23" w:id="46"/>
      <w:bookmarkEnd w:id="46"/>
      <w:r>
        <w:rPr>
          <w:b w:val="0"/>
        </w:rPr>
      </w:r>
      <w:bookmarkStart w:name="_bookmark23" w:id="47"/>
      <w:bookmarkEnd w:id="47"/>
      <w:r>
        <w:rPr/>
        <w:t>P</w:t>
      </w:r>
      <w:r>
        <w:rPr/>
        <w:t>ROPOSTA IRREVOCABILE DI</w:t>
      </w:r>
      <w:r>
        <w:rPr>
          <w:spacing w:val="-15"/>
        </w:rPr>
        <w:t> </w:t>
      </w:r>
      <w:r>
        <w:rPr/>
        <w:t>ACQUISTO</w:t>
      </w:r>
    </w:p>
    <w:p>
      <w:pPr>
        <w:pStyle w:val="BodyText"/>
        <w:spacing w:before="11"/>
        <w:rPr>
          <w:b/>
          <w:sz w:val="23"/>
        </w:rPr>
      </w:pPr>
    </w:p>
    <w:p>
      <w:pPr>
        <w:pStyle w:val="BodyText"/>
        <w:spacing w:line="480" w:lineRule="auto"/>
        <w:ind w:left="1418" w:right="1411"/>
        <w:jc w:val="both"/>
      </w:pPr>
      <w:r>
        <w:rPr/>
        <w:t>In data 23.11.2017, Mediobanca – Banca di Credito Finanziario S.p.A. - in qualità di Advisor finanziario del Gruppo Mossi &amp; Ghisolfi, ha invitato Versalis S.p.A. a partecipare ad un asta informale, ma competitiva, per la valorizzazione dell’attività nel settore della produzione del bioetanolo svolta dal gruppo M&amp;G.</w:t>
      </w:r>
    </w:p>
    <w:p>
      <w:pPr>
        <w:pStyle w:val="BodyText"/>
        <w:spacing w:line="480" w:lineRule="auto" w:before="202"/>
        <w:ind w:left="1418" w:right="1417"/>
        <w:jc w:val="both"/>
      </w:pPr>
      <w:r>
        <w:rPr/>
        <w:t>In data 29.12.2017 Mediobanca ha invitato Versalis S.p.A. (e gli altri potenziali investitori  ammessi alla fase II del processo di M&amp;A) a presentare un’offerta vincolante d’acquisto, dopo la preliminare valutazione effettuata da quest’ultima in data</w:t>
      </w:r>
      <w:r>
        <w:rPr>
          <w:spacing w:val="-20"/>
        </w:rPr>
        <w:t> </w:t>
      </w:r>
      <w:r>
        <w:rPr/>
        <w:t>6.12.2017.</w:t>
      </w:r>
    </w:p>
    <w:p>
      <w:pPr>
        <w:pStyle w:val="BodyText"/>
        <w:spacing w:line="480" w:lineRule="auto" w:before="199"/>
        <w:ind w:left="1418" w:right="1415"/>
        <w:jc w:val="both"/>
      </w:pPr>
      <w:r>
        <w:rPr/>
        <w:t>Tra il 02.01 e il 26.01 2018 Versalis S.p.A. ha condotto una propria </w:t>
      </w:r>
      <w:r>
        <w:rPr>
          <w:i/>
        </w:rPr>
        <w:t>due diligence, </w:t>
      </w:r>
      <w:r>
        <w:rPr/>
        <w:t>al cui esito, in data 02.02.2018, ha presentato una offerta vincolata per l’acquisto dei rami delle aziende Biochemtex S.p.A., Italian Bio Products S.r.l., IBP Energia S.r.l.  e Beta Renewables S.p.A..</w:t>
      </w:r>
    </w:p>
    <w:p>
      <w:pPr>
        <w:pStyle w:val="BodyText"/>
        <w:spacing w:line="480" w:lineRule="auto" w:before="199"/>
        <w:ind w:left="1418" w:right="1420"/>
        <w:jc w:val="both"/>
      </w:pPr>
      <w:r>
        <w:rPr/>
        <w:t>Versalis S.p.A. è una società per azioni di diritto italiano a socio unico, interamente controllata e soggetta alla direzione e coordinamento di ENI S.p.A.</w:t>
      </w:r>
    </w:p>
    <w:p>
      <w:pPr>
        <w:pStyle w:val="BodyText"/>
        <w:spacing w:line="480" w:lineRule="auto" w:before="201"/>
        <w:ind w:left="1418" w:right="1416"/>
        <w:jc w:val="both"/>
      </w:pPr>
      <w:r>
        <w:rPr/>
        <w:t>Versalis S.p.A. svolge a livello nazionale ed internazionale attività di produzione e distribuzione di numerosi prodotti petrolchimici, tra cui intermedi, polietilene, stirenici ed elastomeri.</w:t>
      </w:r>
    </w:p>
    <w:p>
      <w:pPr>
        <w:pStyle w:val="BodyText"/>
        <w:spacing w:before="199"/>
        <w:ind w:left="1418"/>
        <w:jc w:val="both"/>
      </w:pPr>
      <w:r>
        <w:rPr>
          <w:u w:val="single"/>
        </w:rPr>
        <w:t>Oggetto dell’offerta sono</w:t>
      </w:r>
      <w:r>
        <w:rPr/>
        <w:t>, nell’ambito di un unico contesto e come parte di una inscindibile</w:t>
      </w:r>
    </w:p>
    <w:p>
      <w:pPr>
        <w:pStyle w:val="BodyText"/>
        <w:spacing w:before="1"/>
        <w:rPr>
          <w:sz w:val="15"/>
        </w:rPr>
      </w:pPr>
    </w:p>
    <w:p>
      <w:pPr>
        <w:pStyle w:val="BodyText"/>
        <w:spacing w:line="480" w:lineRule="auto" w:before="100"/>
        <w:ind w:left="1418" w:right="1413"/>
      </w:pPr>
      <w:r>
        <w:rPr/>
        <w:t>operazione, i rami delle “aziende Bio” condotte da Biochemtex S.p.A., Italian Bio Products S.r.l., IBP Energia S.r.l. e Beta Renewables S.p.A..</w:t>
      </w:r>
    </w:p>
    <w:p>
      <w:pPr>
        <w:pStyle w:val="BodyText"/>
        <w:spacing w:line="480" w:lineRule="auto" w:before="198"/>
        <w:ind w:left="1418" w:right="1413"/>
      </w:pPr>
      <w:r>
        <w:rPr/>
        <w:t>Tali attività insistono nel settore delle bioenergie e delle tecnologie avanzate per la sintesi di biocombustibili   e   molecole   “verdi”   di   nuova   generazione   da   biomasse lignocellulosiche</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rinnovabili, includendo tra l’altro la ricerca, lo sviluppo, lo sfruttamento commerciale mediante proposizione ai Clienti di licenze e servizi  accessori delle predette tecnologie, ivi inclusa:</w:t>
      </w:r>
    </w:p>
    <w:p>
      <w:pPr>
        <w:pStyle w:val="ListParagraph"/>
        <w:numPr>
          <w:ilvl w:val="0"/>
          <w:numId w:val="6"/>
        </w:numPr>
        <w:tabs>
          <w:tab w:pos="2126" w:val="left" w:leader="none"/>
          <w:tab w:pos="2127" w:val="left" w:leader="none"/>
        </w:tabs>
        <w:spacing w:line="472" w:lineRule="auto" w:before="199" w:after="0"/>
        <w:ind w:left="2126" w:right="1421" w:hanging="708"/>
        <w:jc w:val="left"/>
        <w:rPr>
          <w:sz w:val="24"/>
        </w:rPr>
      </w:pPr>
      <w:r>
        <w:rPr>
          <w:sz w:val="24"/>
        </w:rPr>
        <w:t>la tecnologia PROESA® per la produzione di zuccheri di seconda generazione a basso costo,  per la produzione di biotetanolo e/o altri</w:t>
      </w:r>
      <w:r>
        <w:rPr>
          <w:spacing w:val="-30"/>
          <w:sz w:val="24"/>
        </w:rPr>
        <w:t> </w:t>
      </w:r>
      <w:r>
        <w:rPr>
          <w:sz w:val="24"/>
        </w:rPr>
        <w:t>prodotti;</w:t>
      </w:r>
    </w:p>
    <w:p>
      <w:pPr>
        <w:pStyle w:val="ListParagraph"/>
        <w:numPr>
          <w:ilvl w:val="0"/>
          <w:numId w:val="6"/>
        </w:numPr>
        <w:tabs>
          <w:tab w:pos="2126" w:val="left" w:leader="none"/>
          <w:tab w:pos="2127" w:val="left" w:leader="none"/>
        </w:tabs>
        <w:spacing w:line="475" w:lineRule="auto" w:before="6" w:after="0"/>
        <w:ind w:left="2126" w:right="1420" w:hanging="708"/>
        <w:jc w:val="left"/>
        <w:rPr>
          <w:sz w:val="24"/>
        </w:rPr>
      </w:pPr>
      <w:r>
        <w:rPr>
          <w:sz w:val="24"/>
        </w:rPr>
        <w:t>la tecnologia GREG per la produzione di polioli per idrogenazione di zuccheri di seconda generazione;</w:t>
      </w:r>
    </w:p>
    <w:p>
      <w:pPr>
        <w:pStyle w:val="ListParagraph"/>
        <w:numPr>
          <w:ilvl w:val="0"/>
          <w:numId w:val="6"/>
        </w:numPr>
        <w:tabs>
          <w:tab w:pos="2126" w:val="left" w:leader="none"/>
          <w:tab w:pos="2127" w:val="left" w:leader="none"/>
          <w:tab w:pos="6242" w:val="left" w:leader="none"/>
        </w:tabs>
        <w:spacing w:line="475" w:lineRule="auto" w:before="3" w:after="0"/>
        <w:ind w:left="2126" w:right="1420" w:hanging="708"/>
        <w:jc w:val="left"/>
        <w:rPr>
          <w:sz w:val="24"/>
        </w:rPr>
      </w:pPr>
      <w:r>
        <w:rPr>
          <w:sz w:val="24"/>
        </w:rPr>
        <w:t>la tecnologia Moghi  per la</w:t>
      </w:r>
      <w:r>
        <w:rPr>
          <w:spacing w:val="51"/>
          <w:sz w:val="24"/>
        </w:rPr>
        <w:t> </w:t>
      </w:r>
      <w:r>
        <w:rPr>
          <w:sz w:val="24"/>
        </w:rPr>
        <w:t>produzione</w:t>
      </w:r>
      <w:r>
        <w:rPr>
          <w:spacing w:val="9"/>
          <w:sz w:val="24"/>
        </w:rPr>
        <w:t> </w:t>
      </w:r>
      <w:r>
        <w:rPr>
          <w:sz w:val="24"/>
        </w:rPr>
        <w:t>di</w:t>
        <w:tab/>
        <w:t>aromatici e carburante per aviazione</w:t>
      </w:r>
      <w:r>
        <w:rPr>
          <w:spacing w:val="32"/>
          <w:sz w:val="24"/>
        </w:rPr>
        <w:t> </w:t>
      </w:r>
      <w:r>
        <w:rPr>
          <w:sz w:val="24"/>
        </w:rPr>
        <w:t>a</w:t>
      </w:r>
      <w:r>
        <w:rPr>
          <w:spacing w:val="5"/>
          <w:sz w:val="24"/>
        </w:rPr>
        <w:t> </w:t>
      </w:r>
      <w:r>
        <w:rPr>
          <w:sz w:val="24"/>
        </w:rPr>
        <w:t>partire da lignina coprodotta  nella tecnologia</w:t>
      </w:r>
      <w:r>
        <w:rPr>
          <w:spacing w:val="-20"/>
          <w:sz w:val="24"/>
        </w:rPr>
        <w:t> </w:t>
      </w:r>
      <w:r>
        <w:rPr>
          <w:sz w:val="24"/>
        </w:rPr>
        <w:t>PROESA®.</w:t>
      </w:r>
    </w:p>
    <w:p>
      <w:pPr>
        <w:pStyle w:val="BodyText"/>
        <w:spacing w:before="5"/>
        <w:ind w:left="1418"/>
      </w:pPr>
      <w:r>
        <w:rPr/>
        <w:t>Nell’ambito dell’attività BIO i rami hanno le seguenti diverse caratterizzazioni.</w:t>
      </w:r>
    </w:p>
    <w:p>
      <w:pPr>
        <w:pStyle w:val="BodyText"/>
        <w:rPr>
          <w:sz w:val="26"/>
        </w:rPr>
      </w:pPr>
    </w:p>
    <w:p>
      <w:pPr>
        <w:pStyle w:val="BodyText"/>
        <w:spacing w:line="480" w:lineRule="auto" w:before="176"/>
        <w:ind w:left="1418" w:right="1415"/>
        <w:jc w:val="both"/>
      </w:pPr>
      <w:r>
        <w:rPr/>
        <w:t>Per ciò che concerne Italian Bio Products S.r.l., è proprietaria dell’impianto per la produzione di bioetanolo nel quale viene utilizzata la tecnologia PROESAR® (impianto utilizzato anche ai fini di marketing come unità dimostrativa dell’attività BIO delle Società) sito nell’area di Crescentino (VC) e svolge attività legata al trattamento delle biomasse per la produzione di biocarburanti e biochemicals mediante lo sfruttamento dell’impianto ed è affittuaria del ramo d’azienda IBP Energia che include tra l’altro l’impianto di cogenerazione elettrica anch’esso sito nel comune di Crescentino</w:t>
      </w:r>
      <w:r>
        <w:rPr>
          <w:spacing w:val="-7"/>
        </w:rPr>
        <w:t> </w:t>
      </w:r>
      <w:r>
        <w:rPr/>
        <w:t>(VC).</w:t>
      </w:r>
    </w:p>
    <w:p>
      <w:pPr>
        <w:pStyle w:val="BodyText"/>
        <w:spacing w:before="198"/>
        <w:ind w:left="1418"/>
      </w:pPr>
      <w:r>
        <w:rPr/>
        <w:t>Quanto alle altre società proprietarie delle “aziende BIO”:</w:t>
      </w:r>
    </w:p>
    <w:p>
      <w:pPr>
        <w:pStyle w:val="BodyText"/>
        <w:rPr>
          <w:sz w:val="26"/>
        </w:rPr>
      </w:pPr>
    </w:p>
    <w:p>
      <w:pPr>
        <w:pStyle w:val="ListParagraph"/>
        <w:numPr>
          <w:ilvl w:val="0"/>
          <w:numId w:val="6"/>
        </w:numPr>
        <w:tabs>
          <w:tab w:pos="2126" w:val="left" w:leader="none"/>
          <w:tab w:pos="2127" w:val="left" w:leader="none"/>
        </w:tabs>
        <w:spacing w:line="472" w:lineRule="auto" w:before="177" w:after="0"/>
        <w:ind w:left="2126" w:right="1412" w:hanging="708"/>
        <w:jc w:val="left"/>
        <w:rPr>
          <w:sz w:val="24"/>
        </w:rPr>
      </w:pPr>
      <w:r>
        <w:rPr>
          <w:sz w:val="24"/>
        </w:rPr>
        <w:t>IBP Energia S.r.l. è parte di un contratto di </w:t>
      </w:r>
      <w:r>
        <w:rPr>
          <w:i/>
          <w:sz w:val="24"/>
        </w:rPr>
        <w:t>sale and lease back </w:t>
      </w:r>
      <w:r>
        <w:rPr>
          <w:sz w:val="24"/>
        </w:rPr>
        <w:t>con Unicredit Leasing S.p.A. relativo alla centrale elettrica locata a</w:t>
      </w:r>
      <w:r>
        <w:rPr>
          <w:spacing w:val="-20"/>
          <w:sz w:val="24"/>
        </w:rPr>
        <w:t> </w:t>
      </w:r>
      <w:r>
        <w:rPr>
          <w:sz w:val="24"/>
        </w:rPr>
        <w:t>IBP;</w:t>
      </w:r>
    </w:p>
    <w:p>
      <w:pPr>
        <w:spacing w:after="0" w:line="472"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0"/>
          <w:numId w:val="6"/>
        </w:numPr>
        <w:tabs>
          <w:tab w:pos="2127" w:val="left" w:leader="none"/>
        </w:tabs>
        <w:spacing w:line="477" w:lineRule="auto" w:before="100" w:after="0"/>
        <w:ind w:left="2126" w:right="1417" w:hanging="708"/>
        <w:jc w:val="both"/>
        <w:rPr>
          <w:sz w:val="24"/>
        </w:rPr>
      </w:pPr>
      <w:r>
        <w:rPr>
          <w:sz w:val="24"/>
        </w:rPr>
        <w:t>Beta Renewables S.p.A. è proprietaria tra l’altro di parte dei diritti di  privativa  intellettuale e industriale inerenti le tecnologie BIO e svolge prevalentemente l’attività relativa allo sfruttamento di tali</w:t>
      </w:r>
      <w:r>
        <w:rPr>
          <w:spacing w:val="-14"/>
          <w:sz w:val="24"/>
        </w:rPr>
        <w:t> </w:t>
      </w:r>
      <w:r>
        <w:rPr>
          <w:sz w:val="24"/>
        </w:rPr>
        <w:t>tecnologie;</w:t>
      </w:r>
    </w:p>
    <w:p>
      <w:pPr>
        <w:pStyle w:val="ListParagraph"/>
        <w:numPr>
          <w:ilvl w:val="0"/>
          <w:numId w:val="6"/>
        </w:numPr>
        <w:tabs>
          <w:tab w:pos="2127" w:val="left" w:leader="none"/>
        </w:tabs>
        <w:spacing w:line="477" w:lineRule="auto" w:before="0" w:after="0"/>
        <w:ind w:left="2126" w:right="1414" w:hanging="708"/>
        <w:jc w:val="both"/>
        <w:rPr>
          <w:sz w:val="24"/>
        </w:rPr>
      </w:pPr>
      <w:r>
        <w:rPr>
          <w:sz w:val="24"/>
        </w:rPr>
        <w:t>Biochemtex S.p.A. svolge principalmente l’attività di studio, progettazione, fabbricazione, manutenzione, assistenza, compravendita e permuta di impianti, macchinari e attrezzature ed è proprietaria di parte dei diritti di privativa intellettuale e industriale inerenti le tecnologie</w:t>
      </w:r>
      <w:r>
        <w:rPr>
          <w:spacing w:val="-9"/>
          <w:sz w:val="24"/>
        </w:rPr>
        <w:t> </w:t>
      </w:r>
      <w:r>
        <w:rPr>
          <w:sz w:val="24"/>
        </w:rPr>
        <w:t>BIO.</w:t>
      </w:r>
    </w:p>
    <w:p>
      <w:pPr>
        <w:pStyle w:val="BodyText"/>
        <w:spacing w:before="201"/>
        <w:ind w:left="1418"/>
      </w:pPr>
      <w:r>
        <w:rPr/>
        <w:t>Nello specifico devono essere necessariamente inclusi nelle “aziende BIO”:</w:t>
      </w:r>
    </w:p>
    <w:p>
      <w:pPr>
        <w:pStyle w:val="BodyText"/>
        <w:rPr>
          <w:sz w:val="26"/>
        </w:rPr>
      </w:pPr>
    </w:p>
    <w:p>
      <w:pPr>
        <w:pStyle w:val="ListParagraph"/>
        <w:numPr>
          <w:ilvl w:val="0"/>
          <w:numId w:val="6"/>
        </w:numPr>
        <w:tabs>
          <w:tab w:pos="2126" w:val="left" w:leader="none"/>
          <w:tab w:pos="2127" w:val="left" w:leader="none"/>
        </w:tabs>
        <w:spacing w:line="240" w:lineRule="auto" w:before="174" w:after="0"/>
        <w:ind w:left="2126" w:right="0" w:hanging="708"/>
        <w:jc w:val="left"/>
        <w:rPr>
          <w:sz w:val="24"/>
        </w:rPr>
      </w:pPr>
      <w:r>
        <w:rPr>
          <w:sz w:val="24"/>
        </w:rPr>
        <w:t>i brevetti elencati  nell’ “allegato A”</w:t>
      </w:r>
      <w:r>
        <w:rPr>
          <w:spacing w:val="-10"/>
          <w:sz w:val="24"/>
        </w:rPr>
        <w:t> </w:t>
      </w:r>
      <w:r>
        <w:rPr>
          <w:sz w:val="24"/>
        </w:rPr>
        <w:t>dell’Offerta;</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 marchi indicati nell’”allegato B”</w:t>
      </w:r>
      <w:r>
        <w:rPr>
          <w:spacing w:val="-10"/>
          <w:sz w:val="24"/>
        </w:rPr>
        <w:t> </w:t>
      </w:r>
      <w:r>
        <w:rPr>
          <w:sz w:val="24"/>
        </w:rPr>
        <w:t>dell’Offerta;</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ogni altro diritto di proprietà</w:t>
      </w:r>
      <w:r>
        <w:rPr>
          <w:spacing w:val="-15"/>
          <w:sz w:val="24"/>
        </w:rPr>
        <w:t> </w:t>
      </w:r>
      <w:r>
        <w:rPr>
          <w:sz w:val="24"/>
        </w:rPr>
        <w:t>intellettuale;</w:t>
      </w:r>
    </w:p>
    <w:p>
      <w:pPr>
        <w:pStyle w:val="BodyText"/>
        <w:spacing w:before="9"/>
        <w:rPr>
          <w:sz w:val="23"/>
        </w:rPr>
      </w:pPr>
    </w:p>
    <w:p>
      <w:pPr>
        <w:pStyle w:val="ListParagraph"/>
        <w:numPr>
          <w:ilvl w:val="0"/>
          <w:numId w:val="6"/>
        </w:numPr>
        <w:tabs>
          <w:tab w:pos="2127" w:val="left" w:leader="none"/>
        </w:tabs>
        <w:spacing w:line="475" w:lineRule="auto" w:before="0" w:after="0"/>
        <w:ind w:left="2126" w:right="1414" w:hanging="708"/>
        <w:jc w:val="both"/>
        <w:rPr>
          <w:sz w:val="24"/>
        </w:rPr>
      </w:pPr>
      <w:r>
        <w:rPr>
          <w:sz w:val="24"/>
        </w:rPr>
        <w:t>i diritti di proprietà intellettuale oggetto dei contratti di cessione oggetto dei contratti di cessione di invenzione con il dott. Bonaldi  sottoscritti in data 06.02.2015 e</w:t>
      </w:r>
      <w:r>
        <w:rPr>
          <w:spacing w:val="-16"/>
          <w:sz w:val="24"/>
        </w:rPr>
        <w:t> </w:t>
      </w:r>
      <w:r>
        <w:rPr>
          <w:sz w:val="24"/>
        </w:rPr>
        <w:t>18.12.2016;</w:t>
      </w:r>
    </w:p>
    <w:p>
      <w:pPr>
        <w:pStyle w:val="ListParagraph"/>
        <w:numPr>
          <w:ilvl w:val="0"/>
          <w:numId w:val="6"/>
        </w:numPr>
        <w:tabs>
          <w:tab w:pos="2126" w:val="left" w:leader="none"/>
          <w:tab w:pos="2127" w:val="left" w:leader="none"/>
        </w:tabs>
        <w:spacing w:line="240" w:lineRule="auto" w:before="3" w:after="0"/>
        <w:ind w:left="2126" w:right="0" w:hanging="708"/>
        <w:jc w:val="left"/>
        <w:rPr>
          <w:sz w:val="24"/>
        </w:rPr>
      </w:pPr>
      <w:r>
        <w:rPr>
          <w:sz w:val="24"/>
        </w:rPr>
        <w:t>ogni impegno di</w:t>
      </w:r>
      <w:r>
        <w:rPr>
          <w:spacing w:val="-11"/>
          <w:sz w:val="24"/>
        </w:rPr>
        <w:t> </w:t>
      </w:r>
      <w:r>
        <w:rPr>
          <w:sz w:val="24"/>
        </w:rPr>
        <w:t>riservatezza;</w:t>
      </w:r>
    </w:p>
    <w:p>
      <w:pPr>
        <w:pStyle w:val="BodyText"/>
      </w:pPr>
    </w:p>
    <w:p>
      <w:pPr>
        <w:pStyle w:val="ListParagraph"/>
        <w:numPr>
          <w:ilvl w:val="0"/>
          <w:numId w:val="6"/>
        </w:numPr>
        <w:tabs>
          <w:tab w:pos="2127" w:val="left" w:leader="none"/>
        </w:tabs>
        <w:spacing w:line="477" w:lineRule="auto" w:before="0" w:after="0"/>
        <w:ind w:left="2126" w:right="1413" w:hanging="708"/>
        <w:jc w:val="both"/>
        <w:rPr>
          <w:sz w:val="24"/>
        </w:rPr>
      </w:pPr>
      <w:r>
        <w:rPr>
          <w:sz w:val="24"/>
        </w:rPr>
        <w:t>i contratti di cui all’allegato C dell’offerta, con acquisizione entro la data di esecuzione del consenso scritto delle relative controparti in relazione del trasferimento all’offerente per i contratti di cui ai numeri 4,5,8,11 dell’allegato C e per ulteriori contratti per cui sia necessario;</w:t>
      </w:r>
    </w:p>
    <w:p>
      <w:pPr>
        <w:pStyle w:val="ListParagraph"/>
        <w:numPr>
          <w:ilvl w:val="0"/>
          <w:numId w:val="6"/>
        </w:numPr>
        <w:tabs>
          <w:tab w:pos="2127" w:val="left" w:leader="none"/>
        </w:tabs>
        <w:spacing w:line="472" w:lineRule="auto" w:before="0" w:after="0"/>
        <w:ind w:left="2126" w:right="1418" w:hanging="708"/>
        <w:jc w:val="both"/>
        <w:rPr>
          <w:sz w:val="24"/>
        </w:rPr>
      </w:pPr>
      <w:r>
        <w:rPr>
          <w:sz w:val="24"/>
        </w:rPr>
        <w:t>la centrale elettrica e il relativo leasing, con un impegno massimo nei confronti di Unicredit Leasing S.p.A. di Euro 18,6 milioni. La centrale dovrà</w:t>
      </w:r>
      <w:r>
        <w:rPr>
          <w:spacing w:val="-20"/>
          <w:sz w:val="24"/>
        </w:rPr>
        <w:t> </w:t>
      </w:r>
      <w:r>
        <w:rPr>
          <w:sz w:val="24"/>
        </w:rPr>
        <w:t>essere:</w:t>
      </w:r>
    </w:p>
    <w:p>
      <w:pPr>
        <w:pStyle w:val="ListParagraph"/>
        <w:numPr>
          <w:ilvl w:val="1"/>
          <w:numId w:val="6"/>
        </w:numPr>
        <w:tabs>
          <w:tab w:pos="2281" w:val="left" w:leader="none"/>
        </w:tabs>
        <w:spacing w:line="480" w:lineRule="auto" w:before="7" w:after="0"/>
        <w:ind w:left="2270" w:right="1416" w:hanging="144"/>
        <w:jc w:val="left"/>
        <w:rPr>
          <w:sz w:val="24"/>
        </w:rPr>
      </w:pPr>
      <w:r>
        <w:rPr>
          <w:sz w:val="24"/>
        </w:rPr>
        <w:t>o in “marcia” alla data di esecuzione in conformità alla normativa, le autorizzazioni ad essa  applicabili  ed  essere  nelle  condizioni  tecniche,  operative,  legali  e</w:t>
      </w:r>
      <w:r>
        <w:rPr>
          <w:spacing w:val="4"/>
          <w:sz w:val="24"/>
        </w:rPr>
        <w:t> </w:t>
      </w:r>
      <w:r>
        <w:rPr>
          <w:sz w:val="24"/>
        </w:rPr>
        <w:t>autorizzative,</w:t>
      </w:r>
    </w:p>
    <w:p>
      <w:pPr>
        <w:spacing w:after="0" w:line="48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270" w:right="1414"/>
        <w:jc w:val="both"/>
      </w:pPr>
      <w:r>
        <w:rPr/>
        <w:t>(inclusa la possibilità di usufruire dei c.d. “certificati verdi” e dei benefici relativi al c. d. </w:t>
      </w:r>
      <w:r>
        <w:rPr>
          <w:i/>
        </w:rPr>
        <w:t>“emission trading schemes”</w:t>
      </w:r>
      <w:r>
        <w:rPr/>
        <w:t>) - per restare in marcia per un periodo di almeno tre mesi successivi alla data di esecuzione;</w:t>
      </w:r>
    </w:p>
    <w:p>
      <w:pPr>
        <w:pStyle w:val="ListParagraph"/>
        <w:numPr>
          <w:ilvl w:val="1"/>
          <w:numId w:val="6"/>
        </w:numPr>
        <w:tabs>
          <w:tab w:pos="2262" w:val="left" w:leader="none"/>
        </w:tabs>
        <w:spacing w:line="480" w:lineRule="auto" w:before="0" w:after="0"/>
        <w:ind w:left="2270" w:right="1417" w:hanging="144"/>
        <w:jc w:val="both"/>
        <w:rPr>
          <w:sz w:val="24"/>
        </w:rPr>
      </w:pPr>
      <w:r>
        <w:rPr>
          <w:sz w:val="24"/>
        </w:rPr>
        <w:t>o se “non in marcia” alla data di esecuzione, nelle condizioni tecniche, operative, legali e autorizzative, (inclusa la possibilità di usufruire dei c.d.“certificati verdi” e dei benefici relativi al c. d. </w:t>
      </w:r>
      <w:r>
        <w:rPr>
          <w:i/>
          <w:sz w:val="24"/>
        </w:rPr>
        <w:t>“emission trading schemes”</w:t>
      </w:r>
      <w:r>
        <w:rPr>
          <w:sz w:val="24"/>
        </w:rPr>
        <w:t>) per poter essere rimessa definitivamente in  marcia in conformità alla normativa, alle autorizzazioni e ai permessi ad essa applicabili, senza aggravio di costi, oneri, limitazioni e/o impedimenti in qualsiasi momento, nei tre mesi successivi alla data di</w:t>
      </w:r>
      <w:r>
        <w:rPr>
          <w:spacing w:val="-6"/>
          <w:sz w:val="24"/>
        </w:rPr>
        <w:t> </w:t>
      </w:r>
      <w:r>
        <w:rPr>
          <w:sz w:val="24"/>
        </w:rPr>
        <w:t>esecuzione;</w:t>
      </w:r>
    </w:p>
    <w:p>
      <w:pPr>
        <w:pStyle w:val="ListParagraph"/>
        <w:numPr>
          <w:ilvl w:val="0"/>
          <w:numId w:val="6"/>
        </w:numPr>
        <w:tabs>
          <w:tab w:pos="2126" w:val="left" w:leader="none"/>
          <w:tab w:pos="2127" w:val="left" w:leader="none"/>
        </w:tabs>
        <w:spacing w:line="277" w:lineRule="exact" w:before="0" w:after="0"/>
        <w:ind w:left="2126" w:right="0" w:hanging="708"/>
        <w:jc w:val="left"/>
        <w:rPr>
          <w:sz w:val="24"/>
        </w:rPr>
      </w:pPr>
      <w:r>
        <w:rPr>
          <w:sz w:val="24"/>
        </w:rPr>
        <w:t>rapporti di lavoro subordinato inerenti al</w:t>
      </w:r>
      <w:r>
        <w:rPr>
          <w:spacing w:val="-16"/>
          <w:sz w:val="24"/>
        </w:rPr>
        <w:t> </w:t>
      </w:r>
      <w:r>
        <w:rPr>
          <w:sz w:val="24"/>
        </w:rPr>
        <w:t>ramo;</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beni immobili con esplicita e necessaria</w:t>
      </w:r>
      <w:r>
        <w:rPr>
          <w:spacing w:val="-17"/>
          <w:sz w:val="24"/>
        </w:rPr>
        <w:t> </w:t>
      </w:r>
      <w:r>
        <w:rPr>
          <w:sz w:val="24"/>
        </w:rPr>
        <w:t>inclusione:</w:t>
      </w:r>
    </w:p>
    <w:p>
      <w:pPr>
        <w:pStyle w:val="BodyText"/>
        <w:spacing w:before="2"/>
      </w:pPr>
    </w:p>
    <w:p>
      <w:pPr>
        <w:pStyle w:val="ListParagraph"/>
        <w:numPr>
          <w:ilvl w:val="0"/>
          <w:numId w:val="16"/>
        </w:numPr>
        <w:tabs>
          <w:tab w:pos="2271" w:val="left" w:leader="none"/>
        </w:tabs>
        <w:spacing w:line="460" w:lineRule="auto" w:before="0" w:after="0"/>
        <w:ind w:left="2270" w:right="1422" w:hanging="144"/>
        <w:jc w:val="both"/>
        <w:rPr>
          <w:sz w:val="24"/>
        </w:rPr>
      </w:pPr>
      <w:r>
        <w:rPr>
          <w:sz w:val="24"/>
        </w:rPr>
        <w:t>della piena proprietà dell’impianto di produzione di bioetanolo sito nell’area industriale del comune di</w:t>
      </w:r>
      <w:r>
        <w:rPr>
          <w:spacing w:val="-13"/>
          <w:sz w:val="24"/>
        </w:rPr>
        <w:t> </w:t>
      </w:r>
      <w:r>
        <w:rPr>
          <w:sz w:val="24"/>
        </w:rPr>
        <w:t>Crescentino;</w:t>
      </w:r>
    </w:p>
    <w:p>
      <w:pPr>
        <w:pStyle w:val="ListParagraph"/>
        <w:numPr>
          <w:ilvl w:val="0"/>
          <w:numId w:val="16"/>
        </w:numPr>
        <w:tabs>
          <w:tab w:pos="2271" w:val="left" w:leader="none"/>
        </w:tabs>
        <w:spacing w:line="460" w:lineRule="auto" w:before="21" w:after="0"/>
        <w:ind w:left="2270" w:right="1414" w:hanging="144"/>
        <w:jc w:val="both"/>
        <w:rPr>
          <w:sz w:val="24"/>
        </w:rPr>
      </w:pPr>
      <w:r>
        <w:rPr>
          <w:sz w:val="24"/>
        </w:rPr>
        <w:t>della piena proprietà superficiaria per 50 (</w:t>
      </w:r>
      <w:r>
        <w:rPr>
          <w:i/>
          <w:sz w:val="24"/>
        </w:rPr>
        <w:t>cinquanta</w:t>
      </w:r>
      <w:r>
        <w:rPr>
          <w:sz w:val="24"/>
        </w:rPr>
        <w:t>) anni dal 2.08.2012 della cabina di decompressione del gas metano sito nel comune di</w:t>
      </w:r>
      <w:r>
        <w:rPr>
          <w:spacing w:val="-22"/>
          <w:sz w:val="24"/>
        </w:rPr>
        <w:t> </w:t>
      </w:r>
      <w:r>
        <w:rPr>
          <w:sz w:val="24"/>
        </w:rPr>
        <w:t>Crescentino;</w:t>
      </w:r>
    </w:p>
    <w:p>
      <w:pPr>
        <w:pStyle w:val="ListParagraph"/>
        <w:numPr>
          <w:ilvl w:val="0"/>
          <w:numId w:val="6"/>
        </w:numPr>
        <w:tabs>
          <w:tab w:pos="2126" w:val="left" w:leader="none"/>
          <w:tab w:pos="2127" w:val="left" w:leader="none"/>
        </w:tabs>
        <w:spacing w:line="472" w:lineRule="auto" w:before="19" w:after="0"/>
        <w:ind w:left="2126" w:right="1413" w:hanging="708"/>
        <w:jc w:val="left"/>
        <w:rPr>
          <w:sz w:val="24"/>
        </w:rPr>
      </w:pPr>
      <w:r>
        <w:rPr>
          <w:sz w:val="24"/>
        </w:rPr>
        <w:t>autorizzazioni, licenze, permessi e concessioni, in particolare la convezione stipulata da IBP e GSE il</w:t>
      </w:r>
      <w:r>
        <w:rPr>
          <w:spacing w:val="-2"/>
          <w:sz w:val="24"/>
        </w:rPr>
        <w:t> </w:t>
      </w:r>
      <w:r>
        <w:rPr>
          <w:sz w:val="24"/>
        </w:rPr>
        <w:t>12.05.2016;</w:t>
      </w:r>
    </w:p>
    <w:p>
      <w:pPr>
        <w:pStyle w:val="ListParagraph"/>
        <w:numPr>
          <w:ilvl w:val="0"/>
          <w:numId w:val="6"/>
        </w:numPr>
        <w:tabs>
          <w:tab w:pos="2126" w:val="left" w:leader="none"/>
          <w:tab w:pos="2127" w:val="left" w:leader="none"/>
        </w:tabs>
        <w:spacing w:line="240" w:lineRule="auto" w:before="6" w:after="0"/>
        <w:ind w:left="2126" w:right="0" w:hanging="708"/>
        <w:jc w:val="left"/>
        <w:rPr>
          <w:sz w:val="24"/>
        </w:rPr>
      </w:pPr>
      <w:r>
        <w:rPr>
          <w:sz w:val="24"/>
        </w:rPr>
        <w:t>finanziamenti</w:t>
      </w:r>
      <w:r>
        <w:rPr>
          <w:spacing w:val="-4"/>
          <w:sz w:val="24"/>
        </w:rPr>
        <w:t> </w:t>
      </w:r>
      <w:r>
        <w:rPr>
          <w:sz w:val="24"/>
        </w:rPr>
        <w:t>agevolati;</w:t>
      </w:r>
    </w:p>
    <w:p>
      <w:pPr>
        <w:pStyle w:val="BodyText"/>
        <w:spacing w:before="1"/>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contratto di affitto della Centrale</w:t>
      </w:r>
      <w:r>
        <w:rPr>
          <w:spacing w:val="-13"/>
          <w:sz w:val="24"/>
        </w:rPr>
        <w:t> </w:t>
      </w:r>
      <w:r>
        <w:rPr>
          <w:sz w:val="24"/>
        </w:rPr>
        <w:t>elettrica;</w:t>
      </w:r>
    </w:p>
    <w:p>
      <w:pPr>
        <w:pStyle w:val="BodyText"/>
        <w:spacing w:before="2"/>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altri beni e</w:t>
      </w:r>
      <w:r>
        <w:rPr>
          <w:spacing w:val="-13"/>
          <w:sz w:val="24"/>
        </w:rPr>
        <w:t> </w:t>
      </w:r>
      <w:r>
        <w:rPr>
          <w:sz w:val="24"/>
        </w:rPr>
        <w:t>documentazione.</w:t>
      </w:r>
    </w:p>
    <w:p>
      <w:pPr>
        <w:pStyle w:val="BodyText"/>
        <w:spacing w:before="7"/>
        <w:rPr>
          <w:sz w:val="41"/>
        </w:rPr>
      </w:pPr>
    </w:p>
    <w:p>
      <w:pPr>
        <w:pStyle w:val="BodyText"/>
        <w:ind w:left="1418"/>
      </w:pPr>
      <w:r>
        <w:rPr/>
        <w:t>Sono invece </w:t>
      </w:r>
      <w:r>
        <w:rPr>
          <w:u w:val="single"/>
        </w:rPr>
        <w:t>esclusi </w:t>
      </w:r>
      <w:r>
        <w:rPr/>
        <w:t>dal contratto:</w:t>
      </w:r>
    </w:p>
    <w:p>
      <w:pPr>
        <w:pStyle w:val="BodyText"/>
        <w:rPr>
          <w:sz w:val="20"/>
        </w:rPr>
      </w:pPr>
    </w:p>
    <w:p>
      <w:pPr>
        <w:pStyle w:val="ListParagraph"/>
        <w:numPr>
          <w:ilvl w:val="0"/>
          <w:numId w:val="6"/>
        </w:numPr>
        <w:tabs>
          <w:tab w:pos="2126" w:val="left" w:leader="none"/>
          <w:tab w:pos="2127" w:val="left" w:leader="none"/>
        </w:tabs>
        <w:spacing w:line="240" w:lineRule="auto" w:before="242" w:after="0"/>
        <w:ind w:left="2126" w:right="0" w:hanging="708"/>
        <w:jc w:val="left"/>
        <w:rPr>
          <w:sz w:val="24"/>
        </w:rPr>
      </w:pPr>
      <w:r>
        <w:rPr>
          <w:sz w:val="24"/>
        </w:rPr>
        <w:t>i beni estranei all’”attività</w:t>
      </w:r>
      <w:r>
        <w:rPr>
          <w:spacing w:val="-11"/>
          <w:sz w:val="24"/>
        </w:rPr>
        <w:t> </w:t>
      </w:r>
      <w:r>
        <w:rPr>
          <w:sz w:val="24"/>
        </w:rPr>
        <w:t>BIO”;</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0"/>
          <w:numId w:val="6"/>
        </w:numPr>
        <w:tabs>
          <w:tab w:pos="2126" w:val="left" w:leader="none"/>
          <w:tab w:pos="2127" w:val="left" w:leader="none"/>
        </w:tabs>
        <w:spacing w:line="475" w:lineRule="auto" w:before="100" w:after="0"/>
        <w:ind w:left="2126" w:right="1419" w:hanging="708"/>
        <w:jc w:val="left"/>
        <w:rPr>
          <w:sz w:val="24"/>
        </w:rPr>
      </w:pPr>
      <w:r>
        <w:rPr>
          <w:sz w:val="24"/>
        </w:rPr>
        <w:t>i debiti delle “aziende BIO” e le altre passività, obbligazioni, sopravvenienze passive, pretese,</w:t>
      </w:r>
      <w:r>
        <w:rPr>
          <w:spacing w:val="-8"/>
          <w:sz w:val="24"/>
        </w:rPr>
        <w:t> </w:t>
      </w:r>
      <w:r>
        <w:rPr>
          <w:sz w:val="24"/>
        </w:rPr>
        <w:t>sanzioni;</w:t>
      </w:r>
    </w:p>
    <w:p>
      <w:pPr>
        <w:pStyle w:val="ListParagraph"/>
        <w:numPr>
          <w:ilvl w:val="0"/>
          <w:numId w:val="6"/>
        </w:numPr>
        <w:tabs>
          <w:tab w:pos="2126" w:val="left" w:leader="none"/>
          <w:tab w:pos="2127" w:val="left" w:leader="none"/>
        </w:tabs>
        <w:spacing w:line="240" w:lineRule="auto" w:before="3" w:after="0"/>
        <w:ind w:left="2126" w:right="0" w:hanging="708"/>
        <w:jc w:val="left"/>
        <w:rPr>
          <w:sz w:val="24"/>
        </w:rPr>
      </w:pPr>
      <w:r>
        <w:rPr>
          <w:sz w:val="24"/>
        </w:rPr>
        <w:t>i contratti esclusi di cui all’elenco “allegato D”</w:t>
      </w:r>
      <w:r>
        <w:rPr>
          <w:spacing w:val="-15"/>
          <w:sz w:val="24"/>
        </w:rPr>
        <w:t> </w:t>
      </w:r>
      <w:r>
        <w:rPr>
          <w:sz w:val="24"/>
        </w:rPr>
        <w:t>all’offerta;</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l’immobile di Modugno</w:t>
      </w:r>
      <w:r>
        <w:rPr>
          <w:spacing w:val="-1"/>
          <w:sz w:val="24"/>
        </w:rPr>
        <w:t> </w:t>
      </w:r>
      <w:r>
        <w:rPr>
          <w:sz w:val="24"/>
        </w:rPr>
        <w:t>(BA);</w:t>
      </w:r>
    </w:p>
    <w:p>
      <w:pPr>
        <w:pStyle w:val="BodyText"/>
        <w:spacing w:before="9"/>
        <w:rPr>
          <w:sz w:val="23"/>
        </w:rPr>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le partecipazioni o gli strumenti</w:t>
      </w:r>
      <w:r>
        <w:rPr>
          <w:spacing w:val="-16"/>
          <w:sz w:val="24"/>
        </w:rPr>
        <w:t> </w:t>
      </w:r>
      <w:r>
        <w:rPr>
          <w:sz w:val="24"/>
        </w:rPr>
        <w:t>finanziari;</w:t>
      </w:r>
    </w:p>
    <w:p>
      <w:pPr>
        <w:pStyle w:val="BodyText"/>
        <w:spacing w:before="1"/>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 beni e i cespiti relativi ai contratti</w:t>
      </w:r>
      <w:r>
        <w:rPr>
          <w:spacing w:val="-16"/>
          <w:sz w:val="24"/>
        </w:rPr>
        <w:t> </w:t>
      </w:r>
      <w:r>
        <w:rPr>
          <w:sz w:val="24"/>
        </w:rPr>
        <w:t>esclusi;</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il risultato economico delle aziende fino alla data di</w:t>
      </w:r>
      <w:r>
        <w:rPr>
          <w:spacing w:val="-20"/>
          <w:sz w:val="24"/>
        </w:rPr>
        <w:t> </w:t>
      </w:r>
      <w:r>
        <w:rPr>
          <w:sz w:val="24"/>
        </w:rPr>
        <w:t>esecuzione;</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w:t>
      </w:r>
      <w:r>
        <w:rPr>
          <w:spacing w:val="-7"/>
          <w:sz w:val="24"/>
        </w:rPr>
        <w:t> </w:t>
      </w:r>
      <w:r>
        <w:rPr>
          <w:sz w:val="24"/>
        </w:rPr>
        <w:t>crediti;</w:t>
      </w:r>
    </w:p>
    <w:p>
      <w:pPr>
        <w:pStyle w:val="BodyText"/>
        <w:spacing w:before="9"/>
        <w:rPr>
          <w:sz w:val="23"/>
        </w:rPr>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le disponibilità</w:t>
      </w:r>
      <w:r>
        <w:rPr>
          <w:spacing w:val="-8"/>
          <w:sz w:val="24"/>
        </w:rPr>
        <w:t> </w:t>
      </w:r>
      <w:r>
        <w:rPr>
          <w:sz w:val="24"/>
        </w:rPr>
        <w:t>liquide;</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 rapporti</w:t>
      </w:r>
      <w:r>
        <w:rPr>
          <w:spacing w:val="-13"/>
          <w:sz w:val="24"/>
        </w:rPr>
        <w:t> </w:t>
      </w:r>
      <w:r>
        <w:rPr>
          <w:sz w:val="24"/>
        </w:rPr>
        <w:t>intercompany;</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 contratti con gli istituti di credito, ove non esplicitamente</w:t>
      </w:r>
      <w:r>
        <w:rPr>
          <w:spacing w:val="-30"/>
          <w:sz w:val="24"/>
        </w:rPr>
        <w:t> </w:t>
      </w:r>
      <w:r>
        <w:rPr>
          <w:sz w:val="24"/>
        </w:rPr>
        <w:t>inclusi;</w:t>
      </w:r>
    </w:p>
    <w:p>
      <w:pPr>
        <w:pStyle w:val="BodyText"/>
      </w:pPr>
    </w:p>
    <w:p>
      <w:pPr>
        <w:pStyle w:val="ListParagraph"/>
        <w:numPr>
          <w:ilvl w:val="0"/>
          <w:numId w:val="6"/>
        </w:numPr>
        <w:tabs>
          <w:tab w:pos="2126" w:val="left" w:leader="none"/>
          <w:tab w:pos="2127" w:val="left" w:leader="none"/>
        </w:tabs>
        <w:spacing w:line="240" w:lineRule="auto" w:before="0" w:after="0"/>
        <w:ind w:left="2126" w:right="0" w:hanging="708"/>
        <w:jc w:val="left"/>
        <w:rPr>
          <w:sz w:val="24"/>
        </w:rPr>
      </w:pPr>
      <w:r>
        <w:rPr>
          <w:sz w:val="24"/>
        </w:rPr>
        <w:t>i contratti di consulenza, ove non esplicitamente</w:t>
      </w:r>
      <w:r>
        <w:rPr>
          <w:spacing w:val="-29"/>
          <w:sz w:val="24"/>
        </w:rPr>
        <w:t> </w:t>
      </w:r>
      <w:r>
        <w:rPr>
          <w:sz w:val="24"/>
        </w:rPr>
        <w:t>inclusi.</w:t>
      </w:r>
    </w:p>
    <w:p>
      <w:pPr>
        <w:pStyle w:val="BodyText"/>
        <w:spacing w:before="7"/>
        <w:rPr>
          <w:sz w:val="41"/>
        </w:rPr>
      </w:pPr>
    </w:p>
    <w:p>
      <w:pPr>
        <w:pStyle w:val="BodyText"/>
        <w:spacing w:line="480" w:lineRule="auto"/>
        <w:ind w:left="1418" w:right="1518"/>
      </w:pPr>
      <w:r>
        <w:rPr/>
        <w:t>Il prezzo dell’offerta è di Euro 72.000.000 (</w:t>
      </w:r>
      <w:r>
        <w:rPr>
          <w:i/>
        </w:rPr>
        <w:t>settandaduemilioni</w:t>
      </w:r>
      <w:r>
        <w:rPr/>
        <w:t>) da allocarsi sulle singole Società a cura delle Società venditrici da pagarsi alla data di esecuzione del contratto.</w:t>
      </w:r>
    </w:p>
    <w:p>
      <w:pPr>
        <w:pStyle w:val="BodyText"/>
        <w:spacing w:before="201"/>
        <w:ind w:left="1418"/>
      </w:pPr>
      <w:r>
        <w:rPr/>
        <w:t>L’offerta è formulata alle seguenti condizioni:</w:t>
      </w:r>
    </w:p>
    <w:p>
      <w:pPr>
        <w:pStyle w:val="BodyText"/>
        <w:rPr>
          <w:sz w:val="26"/>
        </w:rPr>
      </w:pPr>
    </w:p>
    <w:p>
      <w:pPr>
        <w:pStyle w:val="ListParagraph"/>
        <w:numPr>
          <w:ilvl w:val="0"/>
          <w:numId w:val="6"/>
        </w:numPr>
        <w:tabs>
          <w:tab w:pos="2126" w:val="left" w:leader="none"/>
          <w:tab w:pos="2127" w:val="left" w:leader="none"/>
        </w:tabs>
        <w:spacing w:line="475" w:lineRule="auto" w:before="174" w:after="0"/>
        <w:ind w:left="2126" w:right="1413" w:hanging="708"/>
        <w:jc w:val="left"/>
        <w:rPr>
          <w:sz w:val="24"/>
        </w:rPr>
      </w:pPr>
      <w:r>
        <w:rPr>
          <w:sz w:val="24"/>
        </w:rPr>
        <w:t>presentazione al Tribunale di Alessandria da parte delle Società nei termini di Legge della proposta e dei piani di concordato</w:t>
      </w:r>
      <w:r>
        <w:rPr>
          <w:spacing w:val="-23"/>
          <w:sz w:val="24"/>
        </w:rPr>
        <w:t> </w:t>
      </w:r>
      <w:r>
        <w:rPr>
          <w:sz w:val="24"/>
        </w:rPr>
        <w:t>preventivo;</w:t>
      </w:r>
    </w:p>
    <w:p>
      <w:pPr>
        <w:pStyle w:val="ListParagraph"/>
        <w:numPr>
          <w:ilvl w:val="0"/>
          <w:numId w:val="6"/>
        </w:numPr>
        <w:tabs>
          <w:tab w:pos="2186" w:val="left" w:leader="none"/>
          <w:tab w:pos="2187" w:val="left" w:leader="none"/>
        </w:tabs>
        <w:spacing w:line="472" w:lineRule="auto" w:before="3" w:after="0"/>
        <w:ind w:left="2126" w:right="1420" w:hanging="708"/>
        <w:jc w:val="left"/>
        <w:rPr>
          <w:sz w:val="24"/>
        </w:rPr>
      </w:pPr>
      <w:r>
        <w:rPr>
          <w:sz w:val="24"/>
        </w:rPr>
        <w:t>ammissione da parte del Tribunale di Alessandria delle procedure e mancata revoca dell’ammissione prima del perfezionamento</w:t>
      </w:r>
      <w:r>
        <w:rPr>
          <w:spacing w:val="-11"/>
          <w:sz w:val="24"/>
        </w:rPr>
        <w:t> </w:t>
      </w:r>
      <w:r>
        <w:rPr>
          <w:sz w:val="24"/>
        </w:rPr>
        <w:t>dell’operazione;</w:t>
      </w:r>
    </w:p>
    <w:p>
      <w:pPr>
        <w:pStyle w:val="ListParagraph"/>
        <w:numPr>
          <w:ilvl w:val="0"/>
          <w:numId w:val="6"/>
        </w:numPr>
        <w:tabs>
          <w:tab w:pos="2186" w:val="left" w:leader="none"/>
          <w:tab w:pos="2187" w:val="left" w:leader="none"/>
        </w:tabs>
        <w:spacing w:line="475" w:lineRule="auto" w:before="5" w:after="0"/>
        <w:ind w:left="2126" w:right="1413" w:hanging="708"/>
        <w:jc w:val="left"/>
        <w:rPr>
          <w:sz w:val="24"/>
        </w:rPr>
      </w:pPr>
      <w:r>
        <w:rPr>
          <w:sz w:val="24"/>
        </w:rPr>
        <w:t>svolgimento da parte del Tribunale di Alessandria di un procedimento competitivo ex art.163 bis L.F. con riconoscimento a Versalis di un diritto di pareggio o quantomeno  </w:t>
      </w:r>
      <w:r>
        <w:rPr>
          <w:spacing w:val="42"/>
          <w:sz w:val="24"/>
        </w:rPr>
        <w:t> </w:t>
      </w:r>
      <w:r>
        <w:rPr>
          <w:sz w:val="24"/>
        </w:rPr>
        <w:t>di</w:t>
      </w:r>
    </w:p>
    <w:p>
      <w:pPr>
        <w:spacing w:after="0" w:line="475"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126" w:right="1518"/>
      </w:pPr>
      <w:r>
        <w:rPr/>
        <w:t>effettuare un rilancio rispetto alla provvisoria migliore offerta alternativa che fosse presentata da terzi.</w:t>
      </w:r>
    </w:p>
    <w:p>
      <w:pPr>
        <w:pStyle w:val="BodyText"/>
        <w:spacing w:line="480" w:lineRule="auto" w:before="201"/>
        <w:ind w:left="1418" w:right="1414"/>
        <w:jc w:val="both"/>
      </w:pPr>
      <w:r>
        <w:rPr/>
        <w:t>L’offerta irrevocabile ha validità fino al 30.06.2018 e prevede l’autorizzazione da parte dell’Autorità Antitrust da ottenersi entro il 31.12.2018, pena liberazione da ogni obbligo contrattuale nelle more assunte. Le parti peraltro si sono date atto che, sulla base delle analisi fino ad ora svolte, non sono state individuate giurisdizioni in cui l’operazione sia soggetta ad obblighi di notifiche Antitrust.</w:t>
      </w:r>
    </w:p>
    <w:p>
      <w:pPr>
        <w:pStyle w:val="BodyText"/>
        <w:spacing w:line="480" w:lineRule="auto" w:before="198"/>
        <w:ind w:left="1418" w:right="1420"/>
        <w:jc w:val="both"/>
      </w:pPr>
      <w:r>
        <w:rPr/>
        <w:t>La data di esecuzione corrisponderà al primo giorno lavorativo successivo alla data più lontana nel tempo</w:t>
      </w:r>
      <w:r>
        <w:rPr>
          <w:spacing w:val="-5"/>
        </w:rPr>
        <w:t> </w:t>
      </w:r>
      <w:r>
        <w:rPr/>
        <w:t>tra:</w:t>
      </w:r>
    </w:p>
    <w:p>
      <w:pPr>
        <w:pStyle w:val="ListParagraph"/>
        <w:numPr>
          <w:ilvl w:val="0"/>
          <w:numId w:val="15"/>
        </w:numPr>
        <w:tabs>
          <w:tab w:pos="2126" w:val="left" w:leader="none"/>
          <w:tab w:pos="2127" w:val="left" w:leader="none"/>
        </w:tabs>
        <w:spacing w:line="240" w:lineRule="auto" w:before="198" w:after="0"/>
        <w:ind w:left="2126" w:right="0" w:hanging="708"/>
        <w:jc w:val="both"/>
        <w:rPr>
          <w:sz w:val="24"/>
        </w:rPr>
      </w:pPr>
      <w:r>
        <w:rPr>
          <w:sz w:val="24"/>
        </w:rPr>
        <w:t>data di</w:t>
      </w:r>
      <w:r>
        <w:rPr>
          <w:spacing w:val="-5"/>
          <w:sz w:val="24"/>
        </w:rPr>
        <w:t> </w:t>
      </w:r>
      <w:r>
        <w:rPr>
          <w:sz w:val="24"/>
        </w:rPr>
        <w:t>accettazione;</w:t>
      </w:r>
    </w:p>
    <w:p>
      <w:pPr>
        <w:pStyle w:val="BodyText"/>
        <w:spacing w:before="9"/>
        <w:rPr>
          <w:sz w:val="23"/>
        </w:rPr>
      </w:pPr>
    </w:p>
    <w:p>
      <w:pPr>
        <w:pStyle w:val="ListParagraph"/>
        <w:numPr>
          <w:ilvl w:val="0"/>
          <w:numId w:val="15"/>
        </w:numPr>
        <w:tabs>
          <w:tab w:pos="2126" w:val="left" w:leader="none"/>
          <w:tab w:pos="2127" w:val="left" w:leader="none"/>
        </w:tabs>
        <w:spacing w:line="240" w:lineRule="auto" w:before="1" w:after="0"/>
        <w:ind w:left="2126" w:right="0" w:hanging="708"/>
        <w:jc w:val="both"/>
        <w:rPr>
          <w:sz w:val="24"/>
        </w:rPr>
      </w:pPr>
      <w:r>
        <w:rPr>
          <w:sz w:val="24"/>
        </w:rPr>
        <w:t>data di avveramento della condizione</w:t>
      </w:r>
      <w:r>
        <w:rPr>
          <w:spacing w:val="-17"/>
          <w:sz w:val="24"/>
        </w:rPr>
        <w:t> </w:t>
      </w:r>
      <w:r>
        <w:rPr>
          <w:sz w:val="24"/>
        </w:rPr>
        <w:t>Antitrust;</w:t>
      </w:r>
    </w:p>
    <w:p>
      <w:pPr>
        <w:pStyle w:val="BodyText"/>
        <w:spacing w:before="10"/>
        <w:rPr>
          <w:sz w:val="23"/>
        </w:rPr>
      </w:pPr>
    </w:p>
    <w:p>
      <w:pPr>
        <w:pStyle w:val="ListParagraph"/>
        <w:numPr>
          <w:ilvl w:val="0"/>
          <w:numId w:val="15"/>
        </w:numPr>
        <w:tabs>
          <w:tab w:pos="2126" w:val="left" w:leader="none"/>
          <w:tab w:pos="2127" w:val="left" w:leader="none"/>
        </w:tabs>
        <w:spacing w:line="460" w:lineRule="auto" w:before="0" w:after="0"/>
        <w:ind w:left="2126" w:right="1419" w:hanging="708"/>
        <w:jc w:val="left"/>
        <w:rPr>
          <w:sz w:val="24"/>
        </w:rPr>
      </w:pPr>
      <w:r>
        <w:rPr>
          <w:sz w:val="24"/>
        </w:rPr>
        <w:t>data di completamento della applicazione delle procedure di consultazione con le organizzazioni sindacali ai sensi dell’art. 47 della Legge 428 /</w:t>
      </w:r>
      <w:r>
        <w:rPr>
          <w:spacing w:val="-17"/>
          <w:sz w:val="24"/>
        </w:rPr>
        <w:t> </w:t>
      </w:r>
      <w:r>
        <w:rPr>
          <w:sz w:val="24"/>
        </w:rPr>
        <w:t>1990.</w:t>
      </w:r>
    </w:p>
    <w:p>
      <w:pPr>
        <w:pStyle w:val="BodyText"/>
        <w:spacing w:before="223"/>
        <w:ind w:left="3697" w:right="3695"/>
        <w:jc w:val="center"/>
      </w:pPr>
      <w:r>
        <w:rPr/>
        <w:t>***</w:t>
      </w:r>
    </w:p>
    <w:p>
      <w:pPr>
        <w:pStyle w:val="BodyText"/>
        <w:rPr>
          <w:sz w:val="26"/>
        </w:rPr>
      </w:pPr>
    </w:p>
    <w:p>
      <w:pPr>
        <w:pStyle w:val="BodyText"/>
        <w:spacing w:line="480" w:lineRule="auto" w:before="176"/>
        <w:ind w:left="1418" w:right="1416"/>
        <w:jc w:val="both"/>
      </w:pPr>
      <w:r>
        <w:rPr/>
        <w:t>Successivamente in data 14.02.2018, Versalis ha parzialmente rivisto i termini dell’Offerta del 02.02.2018 a seguito delle trattative e richieste intercorse successivamente all’invio dell’Offerta stessa.</w:t>
      </w:r>
    </w:p>
    <w:p>
      <w:pPr>
        <w:pStyle w:val="BodyText"/>
        <w:spacing w:before="198"/>
        <w:ind w:left="1418"/>
        <w:jc w:val="both"/>
      </w:pPr>
      <w:r>
        <w:rPr/>
        <w:t>I contenuti rivisti dell’integrazione della   proposta sono i seguenti:</w:t>
      </w:r>
    </w:p>
    <w:p>
      <w:pPr>
        <w:pStyle w:val="BodyText"/>
        <w:rPr>
          <w:sz w:val="26"/>
        </w:rPr>
      </w:pPr>
    </w:p>
    <w:p>
      <w:pPr>
        <w:pStyle w:val="ListParagraph"/>
        <w:numPr>
          <w:ilvl w:val="0"/>
          <w:numId w:val="17"/>
        </w:numPr>
        <w:tabs>
          <w:tab w:pos="1418" w:val="left" w:leader="none"/>
          <w:tab w:pos="1419" w:val="left" w:leader="none"/>
        </w:tabs>
        <w:spacing w:line="460" w:lineRule="auto" w:before="178" w:after="0"/>
        <w:ind w:left="1418" w:right="1412" w:hanging="360"/>
        <w:jc w:val="left"/>
        <w:rPr>
          <w:sz w:val="24"/>
        </w:rPr>
      </w:pPr>
      <w:r>
        <w:rPr>
          <w:sz w:val="24"/>
        </w:rPr>
        <w:t>aumento del prezzo offerto da Euro 72.000.000 (</w:t>
      </w:r>
      <w:r>
        <w:rPr>
          <w:i/>
          <w:sz w:val="24"/>
        </w:rPr>
        <w:t>settantaduemilioni</w:t>
      </w:r>
      <w:r>
        <w:rPr>
          <w:sz w:val="24"/>
        </w:rPr>
        <w:t>) a Euro 75.000.000 (</w:t>
      </w:r>
      <w:r>
        <w:rPr>
          <w:i/>
          <w:sz w:val="24"/>
        </w:rPr>
        <w:t>settantaciquemilioni</w:t>
      </w:r>
      <w:r>
        <w:rPr>
          <w:sz w:val="24"/>
        </w:rPr>
        <w:t>);</w:t>
      </w:r>
    </w:p>
    <w:p>
      <w:pPr>
        <w:spacing w:after="0" w:line="46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17"/>
        </w:numPr>
        <w:tabs>
          <w:tab w:pos="1418" w:val="left" w:leader="none"/>
          <w:tab w:pos="1419" w:val="left" w:leader="none"/>
        </w:tabs>
        <w:spacing w:line="460" w:lineRule="auto" w:before="78" w:after="0"/>
        <w:ind w:left="1418" w:right="1413" w:hanging="360"/>
        <w:jc w:val="left"/>
        <w:rPr>
          <w:sz w:val="24"/>
        </w:rPr>
      </w:pPr>
      <w:r>
        <w:rPr>
          <w:sz w:val="24"/>
        </w:rPr>
        <w:t>previsione di un ulteriore porzione di prezzo di un importo massimo di Euro 20.000.000 (</w:t>
      </w:r>
      <w:r>
        <w:rPr>
          <w:i/>
          <w:sz w:val="24"/>
        </w:rPr>
        <w:t>ventimilioni</w:t>
      </w:r>
      <w:r>
        <w:rPr>
          <w:sz w:val="24"/>
        </w:rPr>
        <w:t>) sulla base di un meccanismo di </w:t>
      </w:r>
      <w:r>
        <w:rPr>
          <w:i/>
          <w:sz w:val="24"/>
        </w:rPr>
        <w:t>earn out</w:t>
      </w:r>
      <w:r>
        <w:rPr>
          <w:i/>
          <w:spacing w:val="44"/>
          <w:sz w:val="24"/>
        </w:rPr>
        <w:t> </w:t>
      </w:r>
      <w:r>
        <w:rPr>
          <w:sz w:val="24"/>
        </w:rPr>
        <w:t>condizionato:</w:t>
      </w:r>
    </w:p>
    <w:p>
      <w:pPr>
        <w:pStyle w:val="ListParagraph"/>
        <w:numPr>
          <w:ilvl w:val="1"/>
          <w:numId w:val="17"/>
        </w:numPr>
        <w:tabs>
          <w:tab w:pos="2127" w:val="left" w:leader="none"/>
        </w:tabs>
        <w:spacing w:line="477" w:lineRule="auto" w:before="19" w:after="0"/>
        <w:ind w:left="2138" w:right="1418" w:hanging="360"/>
        <w:jc w:val="both"/>
        <w:rPr>
          <w:sz w:val="24"/>
        </w:rPr>
      </w:pPr>
      <w:r>
        <w:rPr>
          <w:sz w:val="24"/>
        </w:rPr>
        <w:t>alla stipula di nuovi contratti entro il 31.03.2024 aventi ad oggetto la concessione di nuove licenze relative alla tecnologia PROESA® per la produzione di bioetanolo di seconda generazione;</w:t>
      </w:r>
    </w:p>
    <w:p>
      <w:pPr>
        <w:pStyle w:val="ListParagraph"/>
        <w:numPr>
          <w:ilvl w:val="1"/>
          <w:numId w:val="17"/>
        </w:numPr>
        <w:tabs>
          <w:tab w:pos="2127" w:val="left" w:leader="none"/>
        </w:tabs>
        <w:spacing w:line="475" w:lineRule="auto" w:before="1" w:after="0"/>
        <w:ind w:left="2138" w:right="1412" w:hanging="360"/>
        <w:jc w:val="both"/>
        <w:rPr>
          <w:sz w:val="24"/>
        </w:rPr>
      </w:pPr>
      <w:r>
        <w:rPr>
          <w:sz w:val="24"/>
        </w:rPr>
        <w:t>ad un corrispettivo complessivo previsto per i nuovi contratti di licenza a fronte della concessione delle nuove licenze di oltre Euro 220.000.000</w:t>
      </w:r>
      <w:r>
        <w:rPr>
          <w:spacing w:val="-24"/>
          <w:sz w:val="24"/>
        </w:rPr>
        <w:t> </w:t>
      </w:r>
      <w:r>
        <w:rPr>
          <w:sz w:val="24"/>
        </w:rPr>
        <w:t>(</w:t>
      </w:r>
      <w:r>
        <w:rPr>
          <w:i/>
          <w:sz w:val="24"/>
        </w:rPr>
        <w:t>duecentoventimilioni</w:t>
      </w:r>
      <w:r>
        <w:rPr>
          <w:sz w:val="24"/>
        </w:rPr>
        <w:t>).</w:t>
      </w:r>
    </w:p>
    <w:p>
      <w:pPr>
        <w:pStyle w:val="BodyText"/>
        <w:spacing w:line="480" w:lineRule="auto" w:before="204"/>
        <w:ind w:left="1418" w:right="1415"/>
        <w:jc w:val="both"/>
      </w:pPr>
      <w:r>
        <w:rPr/>
        <w:t>L’offerente riconoscerà alla Società un importo pari al 30% del corrispettivo complessivo eccedente il corrispettivo minimo di Euro 220.000.000 (</w:t>
      </w:r>
      <w:r>
        <w:rPr>
          <w:i/>
        </w:rPr>
        <w:t>ducentoventimilioni</w:t>
      </w:r>
      <w:r>
        <w:rPr/>
        <w:t>), fermo restando le misure massime dell’</w:t>
      </w:r>
      <w:r>
        <w:rPr>
          <w:i/>
        </w:rPr>
        <w:t>earn </w:t>
      </w:r>
      <w:r>
        <w:rPr/>
        <w:t>out in Euro 20.000.000 (</w:t>
      </w:r>
      <w:r>
        <w:rPr>
          <w:i/>
        </w:rPr>
        <w:t>ventimilioni</w:t>
      </w:r>
      <w:r>
        <w:rPr/>
        <w:t>).</w:t>
      </w:r>
    </w:p>
    <w:p>
      <w:pPr>
        <w:pStyle w:val="BodyText"/>
        <w:spacing w:line="480" w:lineRule="auto" w:before="199"/>
        <w:ind w:left="1418" w:right="1412"/>
        <w:jc w:val="both"/>
      </w:pPr>
      <w:r>
        <w:rPr/>
        <w:t>L’offerente pagherà l’eventuale importo dell’</w:t>
      </w:r>
      <w:r>
        <w:rPr>
          <w:i/>
        </w:rPr>
        <w:t>earn out </w:t>
      </w:r>
      <w:r>
        <w:rPr/>
        <w:t>entro il 31.05 di ciascun anno solare quindi fino a 31.05.2024, avendo a riferimento i nuovi contratti di licenza stipulati entro il 31 marzo precedente.</w:t>
      </w:r>
    </w:p>
    <w:p>
      <w:pPr>
        <w:pStyle w:val="BodyText"/>
        <w:spacing w:line="480" w:lineRule="auto" w:before="201"/>
        <w:ind w:left="1418" w:right="1419"/>
        <w:jc w:val="both"/>
      </w:pPr>
      <w:r>
        <w:rPr/>
        <w:t>La medesima offerta integrativa del 14.02.2018 include tra i beni e i rapporti inclusi nell’offerta il contratto con Shell Trading Rotterdam BV.</w:t>
      </w:r>
    </w:p>
    <w:p>
      <w:pPr>
        <w:pStyle w:val="BodyText"/>
        <w:spacing w:line="480" w:lineRule="auto" w:before="198"/>
        <w:ind w:left="1418" w:right="1414"/>
        <w:jc w:val="both"/>
      </w:pPr>
      <w:r>
        <w:rPr/>
        <w:t>Viene dichiarato altresì incluso il progetto Setha con la relativa agevolazione concessa a IBP del MiSE senza peraltro assunzione dei debiti delle aziende BIO, indicando espressamente tra questi l’assunzione dell’obbligo di rimborso del finanziamento agevolato con oneri ipotizzati di circa Euro 9 milioni (</w:t>
      </w:r>
      <w:r>
        <w:rPr>
          <w:i/>
        </w:rPr>
        <w:t>novemilioni</w:t>
      </w:r>
      <w:r>
        <w:rPr/>
        <w:t>).</w:t>
      </w:r>
    </w:p>
    <w:p>
      <w:pPr>
        <w:pStyle w:val="BodyText"/>
        <w:spacing w:before="198"/>
        <w:ind w:left="1418"/>
        <w:jc w:val="both"/>
      </w:pPr>
      <w:r>
        <w:rPr/>
        <w:t>Versalis si dichiara disponibile a valutare l’assunzione dell’obbligo di rimborso, qualora: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18"/>
        </w:numPr>
        <w:tabs>
          <w:tab w:pos="2126" w:val="left" w:leader="none"/>
          <w:tab w:pos="2127" w:val="left" w:leader="none"/>
        </w:tabs>
        <w:spacing w:line="240" w:lineRule="auto" w:before="100" w:after="0"/>
        <w:ind w:left="2126" w:right="0" w:hanging="708"/>
        <w:jc w:val="left"/>
        <w:rPr>
          <w:sz w:val="24"/>
        </w:rPr>
      </w:pPr>
      <w:r>
        <w:rPr>
          <w:sz w:val="24"/>
        </w:rPr>
        <w:t>il trasferimento dell’agevolazione fosse approvato dal</w:t>
      </w:r>
      <w:r>
        <w:rPr>
          <w:spacing w:val="-10"/>
          <w:sz w:val="24"/>
        </w:rPr>
        <w:t> </w:t>
      </w:r>
      <w:r>
        <w:rPr>
          <w:sz w:val="24"/>
        </w:rPr>
        <w:t>Ministero;</w:t>
      </w:r>
    </w:p>
    <w:p>
      <w:pPr>
        <w:pStyle w:val="BodyText"/>
        <w:rPr>
          <w:sz w:val="26"/>
        </w:rPr>
      </w:pPr>
    </w:p>
    <w:p>
      <w:pPr>
        <w:pStyle w:val="ListParagraph"/>
        <w:numPr>
          <w:ilvl w:val="0"/>
          <w:numId w:val="18"/>
        </w:numPr>
        <w:tabs>
          <w:tab w:pos="2126" w:val="left" w:leader="none"/>
          <w:tab w:pos="2127" w:val="left" w:leader="none"/>
        </w:tabs>
        <w:spacing w:line="480" w:lineRule="auto" w:before="179" w:after="0"/>
        <w:ind w:left="2126" w:right="1413" w:hanging="708"/>
        <w:jc w:val="both"/>
        <w:rPr>
          <w:sz w:val="24"/>
        </w:rPr>
      </w:pPr>
      <w:r>
        <w:rPr>
          <w:sz w:val="24"/>
        </w:rPr>
        <w:t>vi sia ancora possibilità di accedere alle agevolazioni previste per Euro 2.200.000 come finanziamento in conto capitale a fondo perduto ed Euro 5 milioni come finanziamento a tasso</w:t>
      </w:r>
      <w:r>
        <w:rPr>
          <w:spacing w:val="-3"/>
          <w:sz w:val="24"/>
        </w:rPr>
        <w:t> </w:t>
      </w:r>
      <w:r>
        <w:rPr>
          <w:sz w:val="24"/>
        </w:rPr>
        <w:t>agevolato;</w:t>
      </w:r>
    </w:p>
    <w:p>
      <w:pPr>
        <w:pStyle w:val="ListParagraph"/>
        <w:numPr>
          <w:ilvl w:val="0"/>
          <w:numId w:val="18"/>
        </w:numPr>
        <w:tabs>
          <w:tab w:pos="2126" w:val="left" w:leader="none"/>
          <w:tab w:pos="2127" w:val="left" w:leader="none"/>
        </w:tabs>
        <w:spacing w:line="480" w:lineRule="auto" w:before="200" w:after="0"/>
        <w:ind w:left="2126" w:right="1412" w:hanging="708"/>
        <w:jc w:val="both"/>
        <w:rPr>
          <w:sz w:val="24"/>
        </w:rPr>
      </w:pPr>
      <w:r>
        <w:rPr>
          <w:sz w:val="24"/>
        </w:rPr>
        <w:t>i fondi dei quali la società ha già fruito siano stati utilizzati sono per gli scopi e nei termini previsti dal decreto per la concessione del finanziamento e nella nota MiSE di  trasmissione del</w:t>
      </w:r>
      <w:r>
        <w:rPr>
          <w:spacing w:val="-9"/>
          <w:sz w:val="24"/>
        </w:rPr>
        <w:t> </w:t>
      </w:r>
      <w:r>
        <w:rPr>
          <w:sz w:val="24"/>
        </w:rPr>
        <w:t>Decreto;</w:t>
      </w:r>
    </w:p>
    <w:p>
      <w:pPr>
        <w:pStyle w:val="ListParagraph"/>
        <w:numPr>
          <w:ilvl w:val="0"/>
          <w:numId w:val="18"/>
        </w:numPr>
        <w:tabs>
          <w:tab w:pos="2126" w:val="left" w:leader="none"/>
          <w:tab w:pos="2127" w:val="left" w:leader="none"/>
        </w:tabs>
        <w:spacing w:line="660" w:lineRule="auto" w:before="199" w:after="0"/>
        <w:ind w:left="2126" w:right="1452" w:hanging="708"/>
        <w:jc w:val="both"/>
        <w:rPr>
          <w:sz w:val="24"/>
        </w:rPr>
      </w:pPr>
      <w:r>
        <w:rPr>
          <w:sz w:val="24"/>
        </w:rPr>
        <w:t>il prezzo dell’Offerta sia ridotto di Euro 7 milioni (</w:t>
      </w:r>
      <w:r>
        <w:rPr>
          <w:i/>
          <w:sz w:val="24"/>
        </w:rPr>
        <w:t>settemilioni</w:t>
      </w:r>
      <w:r>
        <w:rPr>
          <w:sz w:val="24"/>
        </w:rPr>
        <w:t>), portando il corrispettivo da Euro 75 milioni (</w:t>
      </w:r>
      <w:r>
        <w:rPr>
          <w:i/>
          <w:sz w:val="24"/>
        </w:rPr>
        <w:t>settantacinquemilioni</w:t>
      </w:r>
      <w:r>
        <w:rPr>
          <w:sz w:val="24"/>
        </w:rPr>
        <w:t>) a Euro 68 milioni</w:t>
      </w:r>
      <w:r>
        <w:rPr>
          <w:spacing w:val="-22"/>
          <w:sz w:val="24"/>
        </w:rPr>
        <w:t> </w:t>
      </w:r>
      <w:r>
        <w:rPr>
          <w:sz w:val="24"/>
        </w:rPr>
        <w:t>(</w:t>
      </w:r>
      <w:r>
        <w:rPr>
          <w:i/>
          <w:sz w:val="24"/>
        </w:rPr>
        <w:t>sessantottomilioni</w:t>
      </w:r>
      <w:r>
        <w:rPr>
          <w:sz w:val="24"/>
        </w:rPr>
        <w:t>).</w:t>
      </w:r>
    </w:p>
    <w:p>
      <w:pPr>
        <w:pStyle w:val="BodyText"/>
        <w:spacing w:line="267" w:lineRule="exact"/>
        <w:ind w:left="3697" w:right="3695"/>
        <w:jc w:val="center"/>
      </w:pPr>
      <w:r>
        <w:rPr/>
        <w:t>***</w:t>
      </w:r>
    </w:p>
    <w:p>
      <w:pPr>
        <w:pStyle w:val="BodyText"/>
        <w:rPr>
          <w:sz w:val="26"/>
        </w:rPr>
      </w:pPr>
    </w:p>
    <w:p>
      <w:pPr>
        <w:pStyle w:val="BodyText"/>
        <w:spacing w:line="480" w:lineRule="auto" w:before="177"/>
        <w:ind w:left="1418" w:right="1518"/>
      </w:pPr>
      <w:r>
        <w:rPr/>
        <w:t>Infine, in data 21 febbraio 2018 Versalis ha trasmesso la propria offerta definitiva con alcune modificazioni rispetto a quella sopra analizzata.</w:t>
      </w:r>
    </w:p>
    <w:p>
      <w:pPr>
        <w:pStyle w:val="BodyText"/>
        <w:spacing w:before="201"/>
        <w:ind w:left="1418"/>
      </w:pPr>
      <w:r>
        <w:rPr/>
        <w:t>Tali modificazioni riguardano:</w:t>
      </w:r>
    </w:p>
    <w:p>
      <w:pPr>
        <w:pStyle w:val="BodyText"/>
        <w:rPr>
          <w:sz w:val="26"/>
        </w:rPr>
      </w:pPr>
    </w:p>
    <w:p>
      <w:pPr>
        <w:pStyle w:val="ListParagraph"/>
        <w:numPr>
          <w:ilvl w:val="0"/>
          <w:numId w:val="19"/>
        </w:numPr>
        <w:tabs>
          <w:tab w:pos="2126" w:val="left" w:leader="none"/>
          <w:tab w:pos="2127" w:val="left" w:leader="none"/>
        </w:tabs>
        <w:spacing w:line="472" w:lineRule="auto" w:before="176" w:after="0"/>
        <w:ind w:left="2126" w:right="1418" w:hanging="708"/>
        <w:jc w:val="both"/>
        <w:rPr>
          <w:sz w:val="24"/>
        </w:rPr>
      </w:pPr>
      <w:r>
        <w:rPr>
          <w:sz w:val="24"/>
        </w:rPr>
        <w:t>la specificazione sul magazzino, la cui entità viene definita sulla base di quanto indicato nei bilanci di verifica del 31.12.2017, senza meccanismo di aggiustamento prezzo in caso di differenze qualora il magazzino sia stato utilizzato nell’ambito dell’attività ordinaria  della</w:t>
      </w:r>
      <w:r>
        <w:rPr>
          <w:spacing w:val="-6"/>
          <w:sz w:val="24"/>
        </w:rPr>
        <w:t> </w:t>
      </w:r>
      <w:r>
        <w:rPr>
          <w:sz w:val="24"/>
        </w:rPr>
        <w:t>società;</w:t>
      </w:r>
    </w:p>
    <w:p>
      <w:pPr>
        <w:pStyle w:val="ListParagraph"/>
        <w:numPr>
          <w:ilvl w:val="0"/>
          <w:numId w:val="19"/>
        </w:numPr>
        <w:tabs>
          <w:tab w:pos="2126" w:val="left" w:leader="none"/>
          <w:tab w:pos="2127" w:val="left" w:leader="none"/>
        </w:tabs>
        <w:spacing w:line="470" w:lineRule="auto" w:before="7" w:after="0"/>
        <w:ind w:left="2126" w:right="1413" w:hanging="708"/>
        <w:jc w:val="both"/>
        <w:rPr>
          <w:sz w:val="24"/>
        </w:rPr>
      </w:pPr>
      <w:r>
        <w:rPr>
          <w:sz w:val="24"/>
        </w:rPr>
        <w:t>l’aggiustamento del prezzo base, qualora le rate previste dal contratto di leasing relativo alla centrale elettrica risultassero inferiori ad Euro 18,6 milioni (importo massimo dell’impegno assunto da</w:t>
      </w:r>
      <w:r>
        <w:rPr>
          <w:spacing w:val="-9"/>
          <w:sz w:val="24"/>
        </w:rPr>
        <w:t> </w:t>
      </w:r>
      <w:r>
        <w:rPr>
          <w:sz w:val="24"/>
        </w:rPr>
        <w:t>Versalis);</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19"/>
        </w:numPr>
        <w:tabs>
          <w:tab w:pos="2126" w:val="left" w:leader="none"/>
          <w:tab w:pos="2127" w:val="left" w:leader="none"/>
        </w:tabs>
        <w:spacing w:line="240" w:lineRule="auto" w:before="78" w:after="0"/>
        <w:ind w:left="2126" w:right="0" w:hanging="708"/>
        <w:jc w:val="both"/>
        <w:rPr>
          <w:sz w:val="24"/>
        </w:rPr>
      </w:pPr>
      <w:r>
        <w:rPr>
          <w:sz w:val="24"/>
        </w:rPr>
        <w:t>il termine di validità dell’offerta è esteso fino al</w:t>
      </w:r>
      <w:r>
        <w:rPr>
          <w:spacing w:val="-7"/>
          <w:sz w:val="24"/>
        </w:rPr>
        <w:t> </w:t>
      </w:r>
      <w:r>
        <w:rPr>
          <w:sz w:val="24"/>
        </w:rPr>
        <w:t>31.7.2018.</w:t>
      </w:r>
    </w:p>
    <w:p>
      <w:pPr>
        <w:pStyle w:val="BodyText"/>
        <w:spacing w:before="9"/>
        <w:rPr>
          <w:sz w:val="23"/>
        </w:rPr>
      </w:pPr>
    </w:p>
    <w:p>
      <w:pPr>
        <w:pStyle w:val="BodyText"/>
        <w:spacing w:line="480" w:lineRule="auto"/>
        <w:ind w:left="1418" w:right="1414"/>
        <w:jc w:val="both"/>
      </w:pPr>
      <w:r>
        <w:rPr/>
        <w:t>In esito al deposito in data 22.02.2018 del piano e della proposta concordataria con allegata documentazione relativamente alla procedura di concordato di IBP S.r.l. il Tribunale di Alessandria – Ufficio Fallimenti, ha concesso a IBP S.r.l. un termine di giorni 15 per specificare il contenuto e le modalità attuative del diritto di pareggio o di rilancio previsto nella proposta irrevocabile di acquisto.</w:t>
      </w:r>
    </w:p>
    <w:p>
      <w:pPr>
        <w:pStyle w:val="BodyText"/>
        <w:spacing w:line="480" w:lineRule="auto"/>
        <w:ind w:left="1418" w:right="2220"/>
      </w:pPr>
      <w:r>
        <w:rPr/>
        <w:t>La Società ha depositato memoria autorizzata a firma dei propri Legali datata 20.03.2018. Le considerazioni finali di detta memoria so di seguito trascritte:</w:t>
      </w:r>
    </w:p>
    <w:p>
      <w:pPr>
        <w:spacing w:line="480" w:lineRule="auto" w:before="0"/>
        <w:ind w:left="1418" w:right="1411" w:firstLine="0"/>
        <w:jc w:val="both"/>
        <w:rPr>
          <w:i/>
          <w:sz w:val="24"/>
        </w:rPr>
      </w:pPr>
      <w:r>
        <w:rPr>
          <w:i/>
          <w:sz w:val="24"/>
        </w:rPr>
        <w:t>“Pur manifestando la propria preferenza per l’attribuzione del “diritto di pareggio”, così come concesso </w:t>
      </w:r>
      <w:r>
        <w:rPr>
          <w:i/>
          <w:sz w:val="24"/>
        </w:rPr>
        <w:t>rispettivamente dai Tribunali di Udine e di Biella, rispetto a quello di “rilancio”, Versalis si è comunque rimessa alla decisione finale del Tribunale in merito, subordinando solo la propria offerta a che il Tribunale le attribuisca almeno uni dei suddetti diritti, indicandolo espressamente tra le condizioni del redigendo bando di gara. Tale richiesta pare legittima e in linea con il dato normativo tenuto altresì conto del lavoro preliminare  svolto dall’offerente al fine di valorizzare le aziende che saranno oggetto di una futura procedura competitiva.”</w:t>
      </w:r>
    </w:p>
    <w:p>
      <w:pPr>
        <w:spacing w:line="480" w:lineRule="auto" w:before="0"/>
        <w:ind w:left="1418" w:right="1412" w:firstLine="0"/>
        <w:jc w:val="both"/>
        <w:rPr>
          <w:i/>
          <w:sz w:val="24"/>
        </w:rPr>
      </w:pPr>
      <w:r>
        <w:rPr>
          <w:sz w:val="24"/>
        </w:rPr>
        <w:t>Da ultimo sul tema, la società Versalis ha depositato lettera datata 22.03.2018 con la quale ha dichiarato </w:t>
      </w:r>
      <w:r>
        <w:rPr>
          <w:i/>
          <w:sz w:val="24"/>
        </w:rPr>
        <w:t>“che l’Offerta è da intendersi confermata – oltre che nel caso di concessione del diritto di pareggio o di </w:t>
      </w:r>
      <w:r>
        <w:rPr>
          <w:i/>
          <w:sz w:val="24"/>
        </w:rPr>
        <w:t>rilancio - anche nel caso in cui fosse concesso alla nostra Società di esercitare il diritto di rilancio nell’ambito di una gara (a due) da svolgersi avanti al Giudice Delegato con l’aggiudicatario provvisorio (fermo restando che, come previsto dall’Offerta, non viene assunto dalla nostra Società alcun impegno, neppur implicito in merito ad eventuali rilanci). In ogni caso Versalis si riserva di valutare se partecipare alla gara (a due) anche tenuto conto del  contenuto dell’Offerta dell’aggiudicatario</w:t>
      </w:r>
      <w:r>
        <w:rPr>
          <w:i/>
          <w:spacing w:val="-13"/>
          <w:sz w:val="24"/>
        </w:rPr>
        <w:t> </w:t>
      </w:r>
      <w:r>
        <w:rPr>
          <w:i/>
          <w:sz w:val="24"/>
        </w:rPr>
        <w:t>provvisorio.”</w:t>
      </w:r>
    </w:p>
    <w:p>
      <w:pPr>
        <w:pStyle w:val="BodyText"/>
        <w:spacing w:line="480" w:lineRule="auto"/>
        <w:ind w:left="1418" w:right="1420"/>
        <w:jc w:val="both"/>
      </w:pPr>
      <w:r>
        <w:rPr/>
        <w:t>Nessun provvedimento risulta essere stato emesso in esito alle precisazioni depositate sopra illustrate.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1"/>
          <w:numId w:val="3"/>
        </w:numPr>
        <w:tabs>
          <w:tab w:pos="2126" w:val="left" w:leader="none"/>
          <w:tab w:pos="2127" w:val="left" w:leader="none"/>
        </w:tabs>
        <w:spacing w:line="240" w:lineRule="auto" w:before="100" w:after="0"/>
        <w:ind w:left="2126" w:right="0" w:hanging="708"/>
        <w:jc w:val="left"/>
      </w:pPr>
      <w:bookmarkStart w:name="_bookmark24" w:id="48"/>
      <w:bookmarkEnd w:id="48"/>
      <w:r>
        <w:rPr>
          <w:b w:val="0"/>
        </w:rPr>
      </w:r>
      <w:bookmarkStart w:name="_bookmark24" w:id="49"/>
      <w:bookmarkEnd w:id="49"/>
      <w:r>
        <w:rPr/>
        <w:t>LA</w:t>
      </w:r>
      <w:r>
        <w:rPr/>
        <w:t> RIPARTIZIONE DEL PREZZO OFFERTO DA</w:t>
      </w:r>
      <w:r>
        <w:rPr>
          <w:spacing w:val="-17"/>
        </w:rPr>
        <w:t> </w:t>
      </w:r>
      <w:r>
        <w:rPr/>
        <w:t>VERSALIS</w:t>
      </w:r>
    </w:p>
    <w:p>
      <w:pPr>
        <w:pStyle w:val="BodyText"/>
        <w:rPr>
          <w:b/>
          <w:sz w:val="26"/>
        </w:rPr>
      </w:pPr>
    </w:p>
    <w:p>
      <w:pPr>
        <w:pStyle w:val="ListParagraph"/>
        <w:numPr>
          <w:ilvl w:val="2"/>
          <w:numId w:val="3"/>
        </w:numPr>
        <w:tabs>
          <w:tab w:pos="2126" w:val="left" w:leader="none"/>
          <w:tab w:pos="2127" w:val="left" w:leader="none"/>
        </w:tabs>
        <w:spacing w:line="240" w:lineRule="auto" w:before="176" w:after="0"/>
        <w:ind w:left="2126" w:right="0" w:hanging="708"/>
        <w:jc w:val="left"/>
        <w:rPr>
          <w:b/>
          <w:sz w:val="24"/>
        </w:rPr>
      </w:pPr>
      <w:bookmarkStart w:name="_bookmark25" w:id="50"/>
      <w:bookmarkEnd w:id="50"/>
      <w:r>
        <w:rPr/>
      </w:r>
      <w:bookmarkStart w:name="_bookmark25" w:id="51"/>
      <w:bookmarkEnd w:id="51"/>
      <w:r>
        <w:rPr>
          <w:b/>
          <w:sz w:val="24"/>
        </w:rPr>
        <w:t>La</w:t>
      </w:r>
      <w:r>
        <w:rPr>
          <w:b/>
          <w:sz w:val="24"/>
        </w:rPr>
        <w:t> perizia tecnica Ing.</w:t>
      </w:r>
      <w:r>
        <w:rPr>
          <w:b/>
          <w:spacing w:val="-10"/>
          <w:sz w:val="24"/>
        </w:rPr>
        <w:t> </w:t>
      </w:r>
      <w:r>
        <w:rPr>
          <w:b/>
          <w:sz w:val="24"/>
        </w:rPr>
        <w:t>Braccio</w:t>
      </w:r>
    </w:p>
    <w:p>
      <w:pPr>
        <w:pStyle w:val="BodyText"/>
        <w:spacing w:before="1"/>
        <w:rPr>
          <w:b/>
        </w:rPr>
      </w:pPr>
    </w:p>
    <w:p>
      <w:pPr>
        <w:pStyle w:val="BodyText"/>
        <w:spacing w:line="480" w:lineRule="auto" w:before="1"/>
        <w:ind w:left="1418" w:right="1416"/>
        <w:jc w:val="both"/>
      </w:pPr>
      <w:r>
        <w:rPr/>
        <w:t>La Società M&amp;G Finanziaria S.p.A. ha commissionato all’Ing. Giacobbe Braccio, dirigente di ENEA, al dott. Vito Pignatelli e alla dott.ssa Isabella De Bari una perizia tecnica afferente il settore di biocarburanti di seconda generazione e le attività del Gruppo Bio.</w:t>
      </w:r>
    </w:p>
    <w:p>
      <w:pPr>
        <w:pStyle w:val="BodyText"/>
        <w:spacing w:before="199"/>
        <w:ind w:left="1418"/>
      </w:pPr>
      <w:r>
        <w:rPr/>
        <w:t>La perizia si è articolata su 8 punti:</w:t>
      </w:r>
    </w:p>
    <w:p>
      <w:pPr>
        <w:pStyle w:val="BodyText"/>
        <w:rPr>
          <w:sz w:val="26"/>
        </w:rPr>
      </w:pPr>
    </w:p>
    <w:p>
      <w:pPr>
        <w:pStyle w:val="ListParagraph"/>
        <w:numPr>
          <w:ilvl w:val="0"/>
          <w:numId w:val="20"/>
        </w:numPr>
        <w:tabs>
          <w:tab w:pos="1846" w:val="left" w:leader="none"/>
          <w:tab w:pos="1847" w:val="left" w:leader="none"/>
        </w:tabs>
        <w:spacing w:line="480" w:lineRule="auto" w:before="176" w:after="0"/>
        <w:ind w:left="1846" w:right="1418" w:hanging="428"/>
        <w:jc w:val="left"/>
        <w:rPr>
          <w:sz w:val="24"/>
        </w:rPr>
      </w:pPr>
      <w:r>
        <w:rPr>
          <w:sz w:val="24"/>
        </w:rPr>
        <w:t>Introduzione del settore dei biocarburanti: descrizione delle principali tipologie e stato di sviluppo diviso per aeree</w:t>
      </w:r>
      <w:r>
        <w:rPr>
          <w:spacing w:val="-12"/>
          <w:sz w:val="24"/>
        </w:rPr>
        <w:t> </w:t>
      </w:r>
      <w:r>
        <w:rPr>
          <w:sz w:val="24"/>
        </w:rPr>
        <w:t>geografiche.</w:t>
      </w:r>
    </w:p>
    <w:p>
      <w:pPr>
        <w:pStyle w:val="ListParagraph"/>
        <w:numPr>
          <w:ilvl w:val="0"/>
          <w:numId w:val="20"/>
        </w:numPr>
        <w:tabs>
          <w:tab w:pos="1846" w:val="left" w:leader="none"/>
          <w:tab w:pos="1847" w:val="left" w:leader="none"/>
        </w:tabs>
        <w:spacing w:line="480" w:lineRule="auto" w:before="201" w:after="0"/>
        <w:ind w:left="1846" w:right="1417" w:hanging="428"/>
        <w:jc w:val="left"/>
        <w:rPr>
          <w:sz w:val="24"/>
        </w:rPr>
      </w:pPr>
      <w:r>
        <w:rPr>
          <w:sz w:val="24"/>
        </w:rPr>
        <w:t>Indicazione delle normative sia vigenti che in fase di sviluppo a supporto dello sviluppo dei biocarburanti nelle varie</w:t>
      </w:r>
      <w:r>
        <w:rPr>
          <w:spacing w:val="-24"/>
          <w:sz w:val="24"/>
        </w:rPr>
        <w:t> </w:t>
      </w:r>
      <w:r>
        <w:rPr>
          <w:sz w:val="24"/>
        </w:rPr>
        <w:t>geografiche.</w:t>
      </w:r>
    </w:p>
    <w:p>
      <w:pPr>
        <w:pStyle w:val="ListParagraph"/>
        <w:numPr>
          <w:ilvl w:val="0"/>
          <w:numId w:val="20"/>
        </w:numPr>
        <w:tabs>
          <w:tab w:pos="1846" w:val="left" w:leader="none"/>
          <w:tab w:pos="1847" w:val="left" w:leader="none"/>
        </w:tabs>
        <w:spacing w:line="480" w:lineRule="auto" w:before="199" w:after="0"/>
        <w:ind w:left="1846" w:right="1418" w:hanging="428"/>
        <w:jc w:val="left"/>
        <w:rPr>
          <w:sz w:val="24"/>
        </w:rPr>
      </w:pPr>
      <w:r>
        <w:rPr>
          <w:sz w:val="24"/>
        </w:rPr>
        <w:t>Considerazione su altre Società che hanno attività nel campo dei biocarburanti comparabili al GRUPPO BIO, loro attività e stato dello</w:t>
      </w:r>
      <w:r>
        <w:rPr>
          <w:spacing w:val="-16"/>
          <w:sz w:val="24"/>
        </w:rPr>
        <w:t> </w:t>
      </w:r>
      <w:r>
        <w:rPr>
          <w:sz w:val="24"/>
        </w:rPr>
        <w:t>sviluppo.</w:t>
      </w:r>
    </w:p>
    <w:p>
      <w:pPr>
        <w:pStyle w:val="ListParagraph"/>
        <w:numPr>
          <w:ilvl w:val="0"/>
          <w:numId w:val="20"/>
        </w:numPr>
        <w:tabs>
          <w:tab w:pos="1847" w:val="left" w:leader="none"/>
        </w:tabs>
        <w:spacing w:line="480" w:lineRule="auto" w:before="199" w:after="0"/>
        <w:ind w:left="1846" w:right="1419" w:hanging="428"/>
        <w:jc w:val="both"/>
        <w:rPr>
          <w:sz w:val="24"/>
        </w:rPr>
      </w:pPr>
      <w:r>
        <w:rPr>
          <w:sz w:val="24"/>
        </w:rPr>
        <w:t>Descrizione delle parti caratteristiche che caratterizzano una azienda nel settore (ricerca, tecnologia, ingegneria, vendita, relazioni pubbliche dimostrazione industriale) e descrizione  di queste attività nel GRUPPO</w:t>
      </w:r>
      <w:r>
        <w:rPr>
          <w:spacing w:val="-16"/>
          <w:sz w:val="24"/>
        </w:rPr>
        <w:t> </w:t>
      </w:r>
      <w:r>
        <w:rPr>
          <w:sz w:val="24"/>
        </w:rPr>
        <w:t>BIO.</w:t>
      </w:r>
    </w:p>
    <w:p>
      <w:pPr>
        <w:pStyle w:val="ListParagraph"/>
        <w:numPr>
          <w:ilvl w:val="0"/>
          <w:numId w:val="20"/>
        </w:numPr>
        <w:tabs>
          <w:tab w:pos="1846" w:val="left" w:leader="none"/>
          <w:tab w:pos="1847" w:val="left" w:leader="none"/>
        </w:tabs>
        <w:spacing w:line="480" w:lineRule="auto" w:before="202" w:after="0"/>
        <w:ind w:left="1846" w:right="1417" w:hanging="428"/>
        <w:jc w:val="left"/>
        <w:rPr>
          <w:sz w:val="24"/>
        </w:rPr>
      </w:pPr>
      <w:r>
        <w:rPr>
          <w:sz w:val="24"/>
        </w:rPr>
        <w:t>GRUPPO BIO. Posizionamento rispetto alla concorrenza (descritta in 3) e analisi dei pregi e dei difetti dell’organizzazione GRUPPO</w:t>
      </w:r>
      <w:r>
        <w:rPr>
          <w:spacing w:val="-10"/>
          <w:sz w:val="24"/>
        </w:rPr>
        <w:t> </w:t>
      </w:r>
      <w:r>
        <w:rPr>
          <w:sz w:val="24"/>
        </w:rPr>
        <w:t>BIO.</w:t>
      </w:r>
    </w:p>
    <w:p>
      <w:pPr>
        <w:pStyle w:val="ListParagraph"/>
        <w:numPr>
          <w:ilvl w:val="0"/>
          <w:numId w:val="20"/>
        </w:numPr>
        <w:tabs>
          <w:tab w:pos="1846" w:val="left" w:leader="none"/>
          <w:tab w:pos="1847" w:val="left" w:leader="none"/>
        </w:tabs>
        <w:spacing w:line="480" w:lineRule="auto" w:before="199" w:after="0"/>
        <w:ind w:left="1846" w:right="1418" w:hanging="428"/>
        <w:jc w:val="left"/>
        <w:rPr>
          <w:sz w:val="24"/>
        </w:rPr>
      </w:pPr>
      <w:r>
        <w:rPr>
          <w:sz w:val="24"/>
        </w:rPr>
        <w:t>Crescentino. Dettaglio dell’impianto, sue caratteristiche principali e sua importanza per lo sviluppo industriale della tecnologia. Valutazione dell’investimento</w:t>
      </w:r>
      <w:r>
        <w:rPr>
          <w:spacing w:val="-22"/>
          <w:sz w:val="24"/>
        </w:rPr>
        <w:t> </w:t>
      </w:r>
      <w:r>
        <w:rPr>
          <w:sz w:val="24"/>
        </w:rPr>
        <w:t>fatto.</w:t>
      </w:r>
    </w:p>
    <w:p>
      <w:pPr>
        <w:spacing w:after="0" w:line="48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20"/>
        </w:numPr>
        <w:tabs>
          <w:tab w:pos="1847" w:val="left" w:leader="none"/>
        </w:tabs>
        <w:spacing w:line="480" w:lineRule="auto" w:before="100" w:after="0"/>
        <w:ind w:left="1846" w:right="1419" w:hanging="428"/>
        <w:jc w:val="both"/>
        <w:rPr>
          <w:sz w:val="24"/>
        </w:rPr>
      </w:pPr>
      <w:r>
        <w:rPr>
          <w:sz w:val="24"/>
        </w:rPr>
        <w:t>Crescentino. Costo di rimpiazzo minimo per chi volesse ad oggi dimostrare la tecnologia dell’etanolo cellulosico su scala industriale (la scala ritenuta necessaria non necessariamente quella di</w:t>
      </w:r>
      <w:r>
        <w:rPr>
          <w:spacing w:val="-11"/>
          <w:sz w:val="24"/>
        </w:rPr>
        <w:t> </w:t>
      </w:r>
      <w:r>
        <w:rPr>
          <w:sz w:val="24"/>
        </w:rPr>
        <w:t>Crescentino).</w:t>
      </w:r>
    </w:p>
    <w:p>
      <w:pPr>
        <w:pStyle w:val="ListParagraph"/>
        <w:numPr>
          <w:ilvl w:val="0"/>
          <w:numId w:val="20"/>
        </w:numPr>
        <w:tabs>
          <w:tab w:pos="1847" w:val="left" w:leader="none"/>
        </w:tabs>
        <w:spacing w:line="480" w:lineRule="auto" w:before="201" w:after="0"/>
        <w:ind w:left="1846" w:right="1417" w:hanging="428"/>
        <w:jc w:val="both"/>
        <w:rPr>
          <w:sz w:val="24"/>
        </w:rPr>
      </w:pPr>
      <w:r>
        <w:rPr>
          <w:sz w:val="24"/>
        </w:rPr>
        <w:t>Analisi e valutazione del numero probabile delle licenze vendibili da GRUPPO BIO nei prossimi cinque anni se viene mantenuta l’unitarietà. Possibilmente una valutazione anno per anno con qualche considerazione a</w:t>
      </w:r>
      <w:r>
        <w:rPr>
          <w:spacing w:val="-17"/>
          <w:sz w:val="24"/>
        </w:rPr>
        <w:t> </w:t>
      </w:r>
      <w:r>
        <w:rPr>
          <w:sz w:val="24"/>
        </w:rPr>
        <w:t>supporto.</w:t>
      </w:r>
    </w:p>
    <w:p>
      <w:pPr>
        <w:pStyle w:val="BodyText"/>
        <w:spacing w:line="480" w:lineRule="auto" w:before="198"/>
        <w:ind w:left="1418" w:right="1415"/>
        <w:jc w:val="both"/>
      </w:pPr>
      <w:r>
        <w:rPr/>
        <w:t>Dopo aver trattato a) una introduzione del settore, b) l’indicazione delle normative vigenti e in fase di sviluppo a supporto dei biocarburanti e c) le società che hanno attività comparabili al Gruppo BIO; il Perito giunge ad affermare che il “perimetro BIO” del Gruppo Mossi &amp; Ghisolfi è caratterizzato da una forte legame di unitarietà tecnico economica, integrando le necessarie componenti: le funzioni di ricerca, sviluppo tecnologico, ingegnerizzazione, dimostrazione industriale, vendita dei prodotti e know how e pubbliche relazioni.</w:t>
      </w:r>
    </w:p>
    <w:p>
      <w:pPr>
        <w:pStyle w:val="BodyText"/>
        <w:spacing w:line="480" w:lineRule="auto" w:before="198"/>
        <w:ind w:left="1418" w:right="1418"/>
        <w:jc w:val="both"/>
      </w:pPr>
      <w:r>
        <w:rPr/>
        <w:t>Le considerazioni sopra riportate confermano come l’unitarietà dei rami aziendali in esame sia fondamentale per costituire un’attività economica in grado di massimizzare, in forza della sua completezza, il proprio valore.</w:t>
      </w:r>
    </w:p>
    <w:p>
      <w:pPr>
        <w:pStyle w:val="BodyText"/>
        <w:spacing w:line="480" w:lineRule="auto" w:before="201"/>
        <w:ind w:left="1418" w:right="1415"/>
        <w:jc w:val="both"/>
      </w:pPr>
      <w:r>
        <w:rPr/>
        <w:t>Successivamente la perizia si focalizza sul posizionamento rispetto alla concorrenza dell’azienda unitaria del Gruppo BIO analizzando i pregi e i difetti dell’organigramma del Gruppo.</w:t>
      </w:r>
    </w:p>
    <w:p>
      <w:pPr>
        <w:pStyle w:val="BodyText"/>
        <w:spacing w:line="480" w:lineRule="auto" w:before="199"/>
        <w:ind w:left="1418" w:right="1416"/>
        <w:jc w:val="both"/>
      </w:pPr>
      <w:r>
        <w:rPr/>
        <w:t>In prosieguo, sempre  nella logica di rappresentare la realtà unitaria delle aziende del Gruppo  BIO rispetto a realtà comparabili, la perizia ricostruisce  un valore totale  dell’ investimento </w:t>
      </w:r>
      <w:r>
        <w:rPr>
          <w:spacing w:val="47"/>
        </w:rPr>
        <w:t> </w:t>
      </w:r>
      <w:r>
        <w:rPr/>
        <w:t>fatto</w:t>
      </w:r>
    </w:p>
    <w:p>
      <w:pPr>
        <w:pStyle w:val="BodyText"/>
        <w:spacing w:line="480" w:lineRule="auto"/>
        <w:ind w:left="1418" w:right="1411"/>
        <w:jc w:val="both"/>
      </w:pPr>
      <w:r>
        <w:rPr/>
        <w:t>– ricomprensivo del costo dell’impianto di produzione dell’energia elettrica – nell’ordine di Euro 170 – 190 milioni e un costo di rimpiazzo minimo per il solo impianto pilota dimostrativo       (di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6"/>
        <w:jc w:val="both"/>
      </w:pPr>
      <w:r>
        <w:rPr/>
        <w:t>taglia più piccola rispetto a quello effettivamente realizzato) di circa Euro 30 – 40 milioni (senza  il costo dell’impianto di produzione dell’energia</w:t>
      </w:r>
      <w:r>
        <w:rPr>
          <w:spacing w:val="-9"/>
        </w:rPr>
        <w:t> </w:t>
      </w:r>
      <w:r>
        <w:rPr/>
        <w:t>elettrica).</w:t>
      </w:r>
    </w:p>
    <w:p>
      <w:pPr>
        <w:pStyle w:val="BodyText"/>
        <w:spacing w:line="480" w:lineRule="auto" w:before="201"/>
        <w:ind w:left="1418" w:right="1413"/>
        <w:jc w:val="both"/>
      </w:pPr>
      <w:r>
        <w:rPr/>
        <w:t>L’ultimo capitolo della perizia ha riguardato l’analisi e valutazione del numero probabile delle licenze vendibili dal Gruppo BIO nei prossimi cinque anni se viene mantenuta l’unitarietà.</w:t>
      </w:r>
    </w:p>
    <w:p>
      <w:pPr>
        <w:pStyle w:val="BodyText"/>
        <w:spacing w:line="480" w:lineRule="auto" w:before="199"/>
        <w:ind w:left="1418" w:right="1415"/>
        <w:jc w:val="both"/>
      </w:pPr>
      <w:r>
        <w:rPr/>
        <w:t>In forza della valutazione di scenari prospettici alternativi la perizia asserisce che quello probabilmente più attendibile è quello che prevede vendibili 21 licenze per la realizzazione di nuovi impianti di produzione di etanolo da cellulosa.</w:t>
      </w:r>
    </w:p>
    <w:p>
      <w:pPr>
        <w:pStyle w:val="BodyText"/>
        <w:spacing w:line="480" w:lineRule="auto" w:before="199"/>
        <w:ind w:left="1418" w:right="1422"/>
        <w:jc w:val="both"/>
      </w:pPr>
      <w:r>
        <w:rPr/>
        <w:t>Vien altresì precisato che tutte le considerazioni e valutazioni economiche hanno significato solo  a patto che le attività del “Gruppo Bio” riprendano in tempi brevi e in modo</w:t>
      </w:r>
      <w:r>
        <w:rPr>
          <w:spacing w:val="-10"/>
        </w:rPr>
        <w:t> </w:t>
      </w:r>
      <w:r>
        <w:rPr/>
        <w:t>stabile.</w:t>
      </w:r>
    </w:p>
    <w:p>
      <w:pPr>
        <w:pStyle w:val="BodyText"/>
        <w:spacing w:line="480" w:lineRule="auto" w:before="201"/>
        <w:ind w:left="1418" w:right="1422"/>
        <w:jc w:val="both"/>
      </w:pPr>
      <w:r>
        <w:rPr/>
        <w:t>I sottoscritti Asseveratori ritengono l’analisi completa e coerente e dotata di adeguata terzietà di visione.</w:t>
      </w:r>
    </w:p>
    <w:p>
      <w:pPr>
        <w:pStyle w:val="BodyText"/>
        <w:rPr>
          <w:sz w:val="26"/>
        </w:rPr>
      </w:pPr>
    </w:p>
    <w:p>
      <w:pPr>
        <w:pStyle w:val="BodyText"/>
        <w:spacing w:before="9"/>
        <w:rPr>
          <w:sz w:val="36"/>
        </w:rPr>
      </w:pPr>
    </w:p>
    <w:p>
      <w:pPr>
        <w:pStyle w:val="Heading2"/>
        <w:jc w:val="both"/>
      </w:pPr>
      <w:bookmarkStart w:name="_bookmark26" w:id="52"/>
      <w:bookmarkEnd w:id="52"/>
      <w:r>
        <w:rPr>
          <w:b w:val="0"/>
        </w:rPr>
      </w:r>
      <w:r>
        <w:rPr/>
        <w:t>3.3.2.   Il parere valutativo dei proff. Mario Cattaneo e Giovanni Petrella</w:t>
      </w:r>
    </w:p>
    <w:p>
      <w:pPr>
        <w:pStyle w:val="BodyText"/>
        <w:spacing w:before="10"/>
        <w:rPr>
          <w:b/>
          <w:sz w:val="23"/>
        </w:rPr>
      </w:pPr>
    </w:p>
    <w:p>
      <w:pPr>
        <w:pStyle w:val="BodyText"/>
        <w:spacing w:line="480" w:lineRule="auto"/>
        <w:ind w:left="1418" w:right="1414"/>
        <w:jc w:val="both"/>
      </w:pPr>
      <w:r>
        <w:rPr/>
        <w:t>In parallelo all’acquisizione dell’elaborato peritale tecnico dell’Ing. Braccio e del suo team, M&amp;G Finanziaria ha conferito ai Proff. Mario Cattaneo e Giovanni Petrella il seguente incarico:</w:t>
      </w:r>
    </w:p>
    <w:p>
      <w:pPr>
        <w:spacing w:line="480" w:lineRule="auto" w:before="198"/>
        <w:ind w:left="1418" w:right="1499" w:firstLine="0"/>
        <w:jc w:val="both"/>
        <w:rPr>
          <w:i/>
          <w:sz w:val="24"/>
        </w:rPr>
      </w:pPr>
      <w:r>
        <w:rPr>
          <w:sz w:val="24"/>
        </w:rPr>
        <w:t>“</w:t>
      </w:r>
      <w:r>
        <w:rPr>
          <w:i/>
          <w:sz w:val="24"/>
        </w:rPr>
        <w:t>In particolare, sulla base della documentazione che Vi verrà fornita da tali Società, nonché da Mediobanca </w:t>
      </w:r>
      <w:r>
        <w:rPr>
          <w:i/>
          <w:sz w:val="24"/>
        </w:rPr>
        <w:t>quale advisor finanziario delle Società Bio, e da quello che riterrete opportuno o necessario chiedere alle stesse Società Bio o che potrete rinvenire presso enti o istituzioni specializzate, Vi chiediamo</w:t>
      </w:r>
      <w:r>
        <w:rPr>
          <w:i/>
          <w:spacing w:val="-17"/>
          <w:sz w:val="24"/>
        </w:rPr>
        <w:t> </w:t>
      </w:r>
      <w:r>
        <w:rPr>
          <w:i/>
          <w:sz w:val="24"/>
        </w:rPr>
        <w:t>di:</w:t>
      </w:r>
    </w:p>
    <w:p>
      <w:pPr>
        <w:pStyle w:val="ListParagraph"/>
        <w:numPr>
          <w:ilvl w:val="0"/>
          <w:numId w:val="21"/>
        </w:numPr>
        <w:tabs>
          <w:tab w:pos="2126" w:val="left" w:leader="none"/>
          <w:tab w:pos="2127" w:val="left" w:leader="none"/>
        </w:tabs>
        <w:spacing w:line="482" w:lineRule="auto" w:before="37" w:after="0"/>
        <w:ind w:left="2126" w:right="1495" w:hanging="708"/>
        <w:jc w:val="left"/>
        <w:rPr>
          <w:i/>
          <w:sz w:val="24"/>
        </w:rPr>
      </w:pPr>
      <w:r>
        <w:rPr>
          <w:i/>
          <w:sz w:val="24"/>
        </w:rPr>
        <w:t>verificare la sussistenza di un legame di unitarietà economico-tecnico tra le entità che costituiscono il </w:t>
      </w:r>
      <w:r>
        <w:rPr>
          <w:i/>
          <w:sz w:val="24"/>
        </w:rPr>
        <w:t>Perimetro Bio, nell’ottica della continuità aziendale dello</w:t>
      </w:r>
      <w:r>
        <w:rPr>
          <w:i/>
          <w:spacing w:val="-14"/>
          <w:sz w:val="24"/>
        </w:rPr>
        <w:t> </w:t>
      </w:r>
      <w:r>
        <w:rPr>
          <w:i/>
          <w:sz w:val="24"/>
        </w:rPr>
        <w:t>stesso;</w:t>
      </w:r>
    </w:p>
    <w:p>
      <w:pPr>
        <w:pStyle w:val="ListParagraph"/>
        <w:numPr>
          <w:ilvl w:val="0"/>
          <w:numId w:val="21"/>
        </w:numPr>
        <w:tabs>
          <w:tab w:pos="2126" w:val="left" w:leader="none"/>
          <w:tab w:pos="2127" w:val="left" w:leader="none"/>
        </w:tabs>
        <w:spacing w:line="267" w:lineRule="exact" w:before="0" w:after="0"/>
        <w:ind w:left="2126" w:right="0" w:hanging="708"/>
        <w:jc w:val="both"/>
        <w:rPr>
          <w:i/>
          <w:sz w:val="24"/>
        </w:rPr>
      </w:pPr>
      <w:r>
        <w:rPr>
          <w:i/>
          <w:sz w:val="24"/>
        </w:rPr>
        <w:t>stimare il valore economico dell’intero Perimetro Bio, anche alla luce del piano     </w:t>
      </w:r>
      <w:r>
        <w:rPr>
          <w:i/>
          <w:spacing w:val="45"/>
          <w:sz w:val="24"/>
        </w:rPr>
        <w:t> </w:t>
      </w:r>
      <w:r>
        <w:rPr>
          <w:i/>
          <w:sz w:val="24"/>
        </w:rPr>
        <w:t>industriale redatto dal</w:t>
      </w:r>
    </w:p>
    <w:p>
      <w:pPr>
        <w:spacing w:after="0" w:line="267" w:lineRule="exact"/>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2126" w:right="1501" w:firstLine="0"/>
        <w:jc w:val="both"/>
        <w:rPr>
          <w:i/>
          <w:sz w:val="24"/>
        </w:rPr>
      </w:pPr>
      <w:r>
        <w:rPr>
          <w:i/>
          <w:sz w:val="24"/>
        </w:rPr>
        <w:t>management del debitore affiancato da Mediobanca in qualità di advisor finanziario ai fini del processo </w:t>
      </w:r>
      <w:r>
        <w:rPr>
          <w:i/>
          <w:sz w:val="24"/>
        </w:rPr>
        <w:t>di sollecitazione delle offerte di acquisto, ovvero utilizzando ulteriori elementi valutativi ritenuti più opportuni;</w:t>
      </w:r>
    </w:p>
    <w:p>
      <w:pPr>
        <w:pStyle w:val="ListParagraph"/>
        <w:numPr>
          <w:ilvl w:val="0"/>
          <w:numId w:val="21"/>
        </w:numPr>
        <w:tabs>
          <w:tab w:pos="2126" w:val="left" w:leader="none"/>
          <w:tab w:pos="2127" w:val="left" w:leader="none"/>
        </w:tabs>
        <w:spacing w:line="480" w:lineRule="auto" w:before="0" w:after="0"/>
        <w:ind w:left="2126" w:right="1493" w:hanging="708"/>
        <w:jc w:val="both"/>
        <w:rPr>
          <w:i/>
          <w:sz w:val="24"/>
        </w:rPr>
      </w:pPr>
      <w:r>
        <w:rPr>
          <w:i/>
          <w:sz w:val="24"/>
        </w:rPr>
        <w:t>indicare, tenuto conto del valore economico del Perimetro Bio, delle sinergie, nonché di elementi informativi </w:t>
      </w:r>
      <w:r>
        <w:rPr>
          <w:i/>
          <w:sz w:val="24"/>
        </w:rPr>
        <w:t>derivanti dalle eventuali offerte pervenute, quale possa essere la ripartizione di tale valore sulle singole entità titolari dei beni che costituiscono il Perimetro</w:t>
      </w:r>
      <w:r>
        <w:rPr>
          <w:i/>
          <w:spacing w:val="-18"/>
          <w:sz w:val="24"/>
        </w:rPr>
        <w:t> </w:t>
      </w:r>
      <w:r>
        <w:rPr>
          <w:i/>
          <w:sz w:val="24"/>
        </w:rPr>
        <w:t>Bio.</w:t>
      </w:r>
    </w:p>
    <w:p>
      <w:pPr>
        <w:spacing w:line="482" w:lineRule="auto" w:before="230"/>
        <w:ind w:left="1418" w:right="1501" w:firstLine="0"/>
        <w:jc w:val="both"/>
        <w:rPr>
          <w:sz w:val="24"/>
        </w:rPr>
      </w:pPr>
      <w:r>
        <w:rPr>
          <w:i/>
          <w:sz w:val="24"/>
        </w:rPr>
        <w:t>Come concordato, il Vostro incarico di stima dovrà svolgersi in collegamento e tenendo conto delle specifiche </w:t>
      </w:r>
      <w:r>
        <w:rPr>
          <w:i/>
          <w:sz w:val="24"/>
        </w:rPr>
        <w:t>valutazioni tecniche dell’Ing. Giacobbe Braccio al quale abbiamo conferito idoneo incarico professionale.</w:t>
      </w:r>
      <w:r>
        <w:rPr>
          <w:sz w:val="24"/>
        </w:rPr>
        <w:t>”</w:t>
      </w:r>
    </w:p>
    <w:p>
      <w:pPr>
        <w:pStyle w:val="BodyText"/>
        <w:spacing w:line="480" w:lineRule="auto" w:before="227"/>
        <w:ind w:left="1418" w:right="1491"/>
        <w:jc w:val="both"/>
      </w:pPr>
      <w:r>
        <w:rPr/>
        <w:t>Con riferimento al primo quesito, i due valutatori condividono il “forte legame di unitarietà tecnico economica” specificato a pag. 18 della perizia dell’Ing. Braccio e del suo team e corroborano la valutazione del “perimetro BIO” secondo una prospettiva unitaria attraverso l’analisi della interdipendenza contabile in essere all’interno del “perimetro BIO”, con la controllata M&amp;G Finanziaria e con le altre società appartenenti al Gruppo M&amp;G.</w:t>
      </w:r>
    </w:p>
    <w:p>
      <w:pPr>
        <w:pStyle w:val="BodyText"/>
        <w:spacing w:line="480" w:lineRule="auto" w:before="230"/>
        <w:ind w:left="1418" w:right="1497"/>
        <w:jc w:val="both"/>
      </w:pPr>
      <w:r>
        <w:rPr/>
        <w:t>Quanto al secondo quesito, la stima del valore economico alla quale sono pervenuti i due valutatori identificando l</w:t>
      </w:r>
      <w:r>
        <w:rPr>
          <w:i/>
        </w:rPr>
        <w:t>’enterprise value </w:t>
      </w:r>
      <w:r>
        <w:rPr/>
        <w:t>di Biochemtex S.p.A., Beta Renewables S.p.A, Italian Bio Products S.r.l., IBP Energia S.r.l., è stata effettuata riferendosi al 01.01.2018, considerando:</w:t>
      </w:r>
    </w:p>
    <w:p>
      <w:pPr>
        <w:pStyle w:val="ListParagraph"/>
        <w:numPr>
          <w:ilvl w:val="0"/>
          <w:numId w:val="22"/>
        </w:numPr>
        <w:tabs>
          <w:tab w:pos="2127" w:val="left" w:leader="none"/>
        </w:tabs>
        <w:spacing w:line="240" w:lineRule="auto" w:before="229" w:after="0"/>
        <w:ind w:left="2126" w:right="0" w:hanging="708"/>
        <w:jc w:val="both"/>
        <w:rPr>
          <w:sz w:val="24"/>
        </w:rPr>
      </w:pPr>
      <w:r>
        <w:rPr>
          <w:sz w:val="24"/>
        </w:rPr>
        <w:t>le quattro entità come soggetti distinti secondo una prospettiva</w:t>
      </w:r>
      <w:r>
        <w:rPr>
          <w:spacing w:val="-25"/>
          <w:sz w:val="24"/>
        </w:rPr>
        <w:t> </w:t>
      </w:r>
      <w:r>
        <w:rPr>
          <w:sz w:val="24"/>
        </w:rPr>
        <w:t>atomistica;</w:t>
      </w:r>
    </w:p>
    <w:p>
      <w:pPr>
        <w:pStyle w:val="BodyText"/>
      </w:pPr>
    </w:p>
    <w:p>
      <w:pPr>
        <w:pStyle w:val="ListParagraph"/>
        <w:numPr>
          <w:ilvl w:val="0"/>
          <w:numId w:val="22"/>
        </w:numPr>
        <w:tabs>
          <w:tab w:pos="2127" w:val="left" w:leader="none"/>
        </w:tabs>
        <w:spacing w:line="475" w:lineRule="auto" w:before="0" w:after="0"/>
        <w:ind w:left="2126" w:right="1492" w:hanging="708"/>
        <w:jc w:val="both"/>
        <w:rPr>
          <w:sz w:val="24"/>
        </w:rPr>
      </w:pPr>
      <w:r>
        <w:rPr>
          <w:sz w:val="24"/>
        </w:rPr>
        <w:t>le quattro entità come un complesso unico benché organizzato in diversi soggetti giuridici, secondo una prospettiva</w:t>
      </w:r>
      <w:r>
        <w:rPr>
          <w:spacing w:val="-20"/>
          <w:sz w:val="24"/>
        </w:rPr>
        <w:t> </w:t>
      </w:r>
      <w:r>
        <w:rPr>
          <w:sz w:val="24"/>
        </w:rPr>
        <w:t>unitaria.</w:t>
      </w:r>
    </w:p>
    <w:p>
      <w:pPr>
        <w:pStyle w:val="BodyText"/>
        <w:spacing w:before="10"/>
        <w:rPr>
          <w:sz w:val="20"/>
        </w:rPr>
      </w:pPr>
    </w:p>
    <w:p>
      <w:pPr>
        <w:pStyle w:val="BodyText"/>
        <w:ind w:left="1418"/>
        <w:jc w:val="both"/>
      </w:pPr>
      <w:r>
        <w:rPr/>
        <w:t>I metodi di valutazione utilizzati sono stati:</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0"/>
          <w:numId w:val="22"/>
        </w:numPr>
        <w:tabs>
          <w:tab w:pos="2127" w:val="left" w:leader="none"/>
        </w:tabs>
        <w:spacing w:line="240" w:lineRule="auto" w:before="100" w:after="0"/>
        <w:ind w:left="2126" w:right="0" w:hanging="708"/>
        <w:jc w:val="both"/>
        <w:rPr>
          <w:sz w:val="24"/>
        </w:rPr>
      </w:pPr>
      <w:r>
        <w:rPr>
          <w:sz w:val="24"/>
        </w:rPr>
        <w:t>il metodo basato sui flussi di cassa attualizzati (Discounted Cash Flow</w:t>
      </w:r>
      <w:r>
        <w:rPr>
          <w:spacing w:val="-22"/>
          <w:sz w:val="24"/>
        </w:rPr>
        <w:t> </w:t>
      </w:r>
      <w:r>
        <w:rPr>
          <w:sz w:val="24"/>
        </w:rPr>
        <w:t>-DCF);</w:t>
      </w:r>
    </w:p>
    <w:p>
      <w:pPr>
        <w:pStyle w:val="BodyText"/>
      </w:pPr>
    </w:p>
    <w:p>
      <w:pPr>
        <w:pStyle w:val="ListParagraph"/>
        <w:numPr>
          <w:ilvl w:val="0"/>
          <w:numId w:val="22"/>
        </w:numPr>
        <w:tabs>
          <w:tab w:pos="2127" w:val="left" w:leader="none"/>
        </w:tabs>
        <w:spacing w:line="240" w:lineRule="auto" w:before="0" w:after="0"/>
        <w:ind w:left="2126" w:right="0" w:hanging="708"/>
        <w:jc w:val="both"/>
        <w:rPr>
          <w:sz w:val="24"/>
        </w:rPr>
      </w:pPr>
      <w:r>
        <w:rPr>
          <w:sz w:val="24"/>
        </w:rPr>
        <w:t>il metodo dei multipli di mercato come metodo di</w:t>
      </w:r>
      <w:r>
        <w:rPr>
          <w:spacing w:val="-6"/>
          <w:sz w:val="24"/>
        </w:rPr>
        <w:t> </w:t>
      </w:r>
      <w:r>
        <w:rPr>
          <w:sz w:val="24"/>
        </w:rPr>
        <w:t>controllo.</w:t>
      </w:r>
    </w:p>
    <w:p>
      <w:pPr>
        <w:pStyle w:val="BodyText"/>
        <w:rPr>
          <w:sz w:val="28"/>
        </w:rPr>
      </w:pPr>
    </w:p>
    <w:p>
      <w:pPr>
        <w:pStyle w:val="BodyText"/>
        <w:rPr>
          <w:sz w:val="28"/>
        </w:rPr>
      </w:pPr>
    </w:p>
    <w:p>
      <w:pPr>
        <w:pStyle w:val="BodyText"/>
        <w:spacing w:line="480" w:lineRule="auto" w:before="182"/>
        <w:ind w:left="1418" w:right="1494"/>
        <w:jc w:val="both"/>
      </w:pPr>
      <w:r>
        <w:rPr/>
        <w:t>I business plan esaminati sono quelli predisposti e forniti da M&amp;G Finanziaria affiancata da Mediobanca in qualità di advisor finanziario ai fini del processo di sollecitazione delle offerte di acquisto, riguardanti il “perimetro BIO” nel quinquennio 2018-2022.</w:t>
      </w:r>
    </w:p>
    <w:p>
      <w:pPr>
        <w:pStyle w:val="BodyText"/>
        <w:spacing w:line="480" w:lineRule="auto"/>
        <w:ind w:left="1418" w:right="1518"/>
      </w:pPr>
      <w:r>
        <w:rPr/>
        <w:t>Il primo business plan è stato predisposto nell’ottobre 2017, il secondo è l’aggiornamento al febbraio 2018.</w:t>
      </w:r>
    </w:p>
    <w:p>
      <w:pPr>
        <w:pStyle w:val="BodyText"/>
        <w:ind w:left="1418"/>
        <w:jc w:val="both"/>
      </w:pPr>
      <w:r>
        <w:rPr/>
        <w:t>Il business plan 2018, in prospettiva integrata, è stato sviluppato su tre scenari:</w:t>
      </w:r>
    </w:p>
    <w:p>
      <w:pPr>
        <w:pStyle w:val="BodyText"/>
        <w:spacing w:before="11"/>
        <w:rPr>
          <w:sz w:val="23"/>
        </w:rPr>
      </w:pPr>
    </w:p>
    <w:p>
      <w:pPr>
        <w:pStyle w:val="ListParagraph"/>
        <w:numPr>
          <w:ilvl w:val="0"/>
          <w:numId w:val="23"/>
        </w:numPr>
        <w:tabs>
          <w:tab w:pos="2127" w:val="left" w:leader="none"/>
        </w:tabs>
        <w:spacing w:line="240" w:lineRule="auto" w:before="0" w:after="0"/>
        <w:ind w:left="2126" w:right="0" w:hanging="708"/>
        <w:jc w:val="both"/>
        <w:rPr>
          <w:sz w:val="24"/>
        </w:rPr>
      </w:pPr>
      <w:r>
        <w:rPr>
          <w:sz w:val="24"/>
        </w:rPr>
        <w:t>prevede 21 impianti venduti e </w:t>
      </w:r>
      <w:r>
        <w:rPr>
          <w:i/>
          <w:sz w:val="24"/>
        </w:rPr>
        <w:t>revenues  </w:t>
      </w:r>
      <w:r>
        <w:rPr>
          <w:sz w:val="24"/>
        </w:rPr>
        <w:t>pari a 171 milioni di</w:t>
      </w:r>
      <w:r>
        <w:rPr>
          <w:spacing w:val="-17"/>
          <w:sz w:val="24"/>
        </w:rPr>
        <w:t> </w:t>
      </w:r>
      <w:r>
        <w:rPr>
          <w:sz w:val="24"/>
        </w:rPr>
        <w:t>euro;</w:t>
      </w:r>
    </w:p>
    <w:p>
      <w:pPr>
        <w:pStyle w:val="BodyText"/>
        <w:spacing w:before="11"/>
        <w:rPr>
          <w:sz w:val="23"/>
        </w:rPr>
      </w:pPr>
    </w:p>
    <w:p>
      <w:pPr>
        <w:pStyle w:val="ListParagraph"/>
        <w:numPr>
          <w:ilvl w:val="0"/>
          <w:numId w:val="23"/>
        </w:numPr>
        <w:tabs>
          <w:tab w:pos="2127" w:val="left" w:leader="none"/>
        </w:tabs>
        <w:spacing w:line="240" w:lineRule="auto" w:before="0" w:after="0"/>
        <w:ind w:left="2126" w:right="0" w:hanging="708"/>
        <w:jc w:val="both"/>
        <w:rPr>
          <w:sz w:val="24"/>
        </w:rPr>
      </w:pPr>
      <w:r>
        <w:rPr>
          <w:sz w:val="24"/>
        </w:rPr>
        <w:t>prevede 29 impianti venduti e </w:t>
      </w:r>
      <w:r>
        <w:rPr>
          <w:i/>
          <w:sz w:val="24"/>
        </w:rPr>
        <w:t>revenues </w:t>
      </w:r>
      <w:r>
        <w:rPr>
          <w:sz w:val="24"/>
        </w:rPr>
        <w:t>pari a 249 milioni di</w:t>
      </w:r>
      <w:r>
        <w:rPr>
          <w:spacing w:val="-19"/>
          <w:sz w:val="24"/>
        </w:rPr>
        <w:t> </w:t>
      </w:r>
      <w:r>
        <w:rPr>
          <w:sz w:val="24"/>
        </w:rPr>
        <w:t>euro;</w:t>
      </w:r>
    </w:p>
    <w:p>
      <w:pPr>
        <w:pStyle w:val="BodyText"/>
      </w:pPr>
    </w:p>
    <w:p>
      <w:pPr>
        <w:pStyle w:val="ListParagraph"/>
        <w:numPr>
          <w:ilvl w:val="0"/>
          <w:numId w:val="23"/>
        </w:numPr>
        <w:tabs>
          <w:tab w:pos="2127" w:val="left" w:leader="none"/>
        </w:tabs>
        <w:spacing w:line="240" w:lineRule="auto" w:before="0" w:after="0"/>
        <w:ind w:left="2126" w:right="0" w:hanging="708"/>
        <w:jc w:val="both"/>
        <w:rPr>
          <w:sz w:val="24"/>
        </w:rPr>
      </w:pPr>
      <w:r>
        <w:rPr>
          <w:sz w:val="24"/>
        </w:rPr>
        <w:t>prevede 34 impianti venduti e </w:t>
      </w:r>
      <w:r>
        <w:rPr>
          <w:i/>
          <w:sz w:val="24"/>
        </w:rPr>
        <w:t>revenues </w:t>
      </w:r>
      <w:r>
        <w:rPr>
          <w:sz w:val="24"/>
        </w:rPr>
        <w:t>pari a 308 milioni di</w:t>
      </w:r>
      <w:r>
        <w:rPr>
          <w:spacing w:val="-19"/>
          <w:sz w:val="24"/>
        </w:rPr>
        <w:t> </w:t>
      </w:r>
      <w:r>
        <w:rPr>
          <w:sz w:val="24"/>
        </w:rPr>
        <w:t>euro.</w:t>
      </w:r>
    </w:p>
    <w:p>
      <w:pPr>
        <w:pStyle w:val="BodyText"/>
        <w:spacing w:before="10"/>
        <w:rPr>
          <w:sz w:val="23"/>
        </w:rPr>
      </w:pPr>
    </w:p>
    <w:p>
      <w:pPr>
        <w:pStyle w:val="BodyText"/>
        <w:spacing w:line="480" w:lineRule="auto" w:before="1"/>
        <w:ind w:left="1418" w:right="1518"/>
      </w:pPr>
      <w:r>
        <w:rPr/>
        <w:t>Il business plan 2018 in prospettiva ottimistica è stato sviluppato – previa previsione di un investimento di Euro 40 milioni  per un importo pilota – con tre scenari:</w:t>
      </w:r>
    </w:p>
    <w:p>
      <w:pPr>
        <w:pStyle w:val="ListParagraph"/>
        <w:numPr>
          <w:ilvl w:val="0"/>
          <w:numId w:val="24"/>
        </w:numPr>
        <w:tabs>
          <w:tab w:pos="2127" w:val="left" w:leader="none"/>
        </w:tabs>
        <w:spacing w:line="240" w:lineRule="auto" w:before="0" w:after="0"/>
        <w:ind w:left="2126" w:right="0" w:hanging="708"/>
        <w:jc w:val="both"/>
        <w:rPr>
          <w:sz w:val="24"/>
        </w:rPr>
      </w:pPr>
      <w:r>
        <w:rPr>
          <w:sz w:val="24"/>
        </w:rPr>
        <w:t>prevede 16 impianti venduti e </w:t>
      </w:r>
      <w:r>
        <w:rPr>
          <w:i/>
          <w:sz w:val="24"/>
        </w:rPr>
        <w:t>revenues </w:t>
      </w:r>
      <w:r>
        <w:rPr>
          <w:sz w:val="24"/>
        </w:rPr>
        <w:t>pari a 148 milioni di</w:t>
      </w:r>
      <w:r>
        <w:rPr>
          <w:spacing w:val="-19"/>
          <w:sz w:val="24"/>
        </w:rPr>
        <w:t> </w:t>
      </w:r>
      <w:r>
        <w:rPr>
          <w:sz w:val="24"/>
        </w:rPr>
        <w:t>euro;</w:t>
      </w:r>
    </w:p>
    <w:p>
      <w:pPr>
        <w:pStyle w:val="BodyText"/>
        <w:spacing w:before="11"/>
        <w:rPr>
          <w:sz w:val="23"/>
        </w:rPr>
      </w:pPr>
    </w:p>
    <w:p>
      <w:pPr>
        <w:pStyle w:val="ListParagraph"/>
        <w:numPr>
          <w:ilvl w:val="0"/>
          <w:numId w:val="24"/>
        </w:numPr>
        <w:tabs>
          <w:tab w:pos="2127" w:val="left" w:leader="none"/>
        </w:tabs>
        <w:spacing w:line="240" w:lineRule="auto" w:before="0" w:after="0"/>
        <w:ind w:left="2126" w:right="0" w:hanging="708"/>
        <w:jc w:val="both"/>
        <w:rPr>
          <w:sz w:val="24"/>
        </w:rPr>
      </w:pPr>
      <w:r>
        <w:rPr>
          <w:sz w:val="24"/>
        </w:rPr>
        <w:t>prevede 20 impianti venduti e </w:t>
      </w:r>
      <w:r>
        <w:rPr>
          <w:i/>
          <w:sz w:val="24"/>
        </w:rPr>
        <w:t>revenues </w:t>
      </w:r>
      <w:r>
        <w:rPr>
          <w:sz w:val="24"/>
        </w:rPr>
        <w:t>pari a 180 milioni di</w:t>
      </w:r>
      <w:r>
        <w:rPr>
          <w:spacing w:val="-19"/>
          <w:sz w:val="24"/>
        </w:rPr>
        <w:t> </w:t>
      </w:r>
      <w:r>
        <w:rPr>
          <w:sz w:val="24"/>
        </w:rPr>
        <w:t>euro;</w:t>
      </w:r>
    </w:p>
    <w:p>
      <w:pPr>
        <w:pStyle w:val="BodyText"/>
        <w:spacing w:before="11"/>
        <w:rPr>
          <w:sz w:val="23"/>
        </w:rPr>
      </w:pPr>
    </w:p>
    <w:p>
      <w:pPr>
        <w:pStyle w:val="ListParagraph"/>
        <w:numPr>
          <w:ilvl w:val="0"/>
          <w:numId w:val="24"/>
        </w:numPr>
        <w:tabs>
          <w:tab w:pos="2127" w:val="left" w:leader="none"/>
        </w:tabs>
        <w:spacing w:line="240" w:lineRule="auto" w:before="0" w:after="0"/>
        <w:ind w:left="2126" w:right="0" w:hanging="708"/>
        <w:jc w:val="both"/>
        <w:rPr>
          <w:sz w:val="24"/>
        </w:rPr>
      </w:pPr>
      <w:r>
        <w:rPr>
          <w:sz w:val="24"/>
        </w:rPr>
        <w:t>prevede 22 impianti venduti e </w:t>
      </w:r>
      <w:r>
        <w:rPr>
          <w:i/>
          <w:sz w:val="24"/>
        </w:rPr>
        <w:t>revenues </w:t>
      </w:r>
      <w:r>
        <w:rPr>
          <w:sz w:val="24"/>
        </w:rPr>
        <w:t>pari a 215 milioni di</w:t>
      </w:r>
      <w:r>
        <w:rPr>
          <w:spacing w:val="-19"/>
          <w:sz w:val="24"/>
        </w:rPr>
        <w:t> </w:t>
      </w:r>
      <w:r>
        <w:rPr>
          <w:sz w:val="24"/>
        </w:rPr>
        <w:t>euro.</w:t>
      </w:r>
    </w:p>
    <w:p>
      <w:pPr>
        <w:pStyle w:val="BodyText"/>
        <w:spacing w:before="11"/>
        <w:rPr>
          <w:sz w:val="23"/>
        </w:rPr>
      </w:pPr>
    </w:p>
    <w:p>
      <w:pPr>
        <w:pStyle w:val="BodyText"/>
        <w:ind w:left="1418"/>
        <w:jc w:val="both"/>
      </w:pPr>
      <w:r>
        <w:rPr/>
        <w:t>Lo scenario utilizzato dagli esperti è quello più prudenziale.</w:t>
      </w:r>
    </w:p>
    <w:p>
      <w:pPr>
        <w:pStyle w:val="BodyText"/>
      </w:pPr>
    </w:p>
    <w:p>
      <w:pPr>
        <w:pStyle w:val="BodyText"/>
        <w:ind w:left="1418"/>
        <w:jc w:val="both"/>
      </w:pPr>
      <w:r>
        <w:rPr/>
        <w:t>Il tasso di attuazione utilizzato per scontare i flussi è pari al 9,58%.</w:t>
      </w:r>
    </w:p>
    <w:p>
      <w:pPr>
        <w:pStyle w:val="BodyText"/>
        <w:spacing w:before="10"/>
        <w:rPr>
          <w:sz w:val="23"/>
        </w:rPr>
      </w:pPr>
    </w:p>
    <w:p>
      <w:pPr>
        <w:pStyle w:val="BodyText"/>
        <w:spacing w:line="480" w:lineRule="auto" w:before="1"/>
        <w:ind w:left="1418" w:right="1492"/>
        <w:jc w:val="both"/>
      </w:pPr>
      <w:r>
        <w:rPr/>
        <w:t>Il terminal value è stato stimato per le aziende Biochemtex S.p.A. (BCT), Beta Renewables S.p.A (BRN), Italian Bio Products S.r.l. (IBP), mentre per IBP Energia S.r.l. (IBPE) si è tenuto conto dei canoni di locazione associati al contratto d’affitto del ramo d’azienda.</w:t>
      </w:r>
    </w:p>
    <w:p>
      <w:pPr>
        <w:pStyle w:val="BodyText"/>
        <w:ind w:left="1418"/>
        <w:jc w:val="both"/>
      </w:pPr>
      <w:r>
        <w:rPr/>
        <w:t>Le tabelle riassuntive di valore son le seguenti:</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pPr>
      <w:r>
        <w:rPr/>
        <w:t>In prospettiva atomistica:</w:t>
      </w:r>
    </w:p>
    <w:p>
      <w:pPr>
        <w:pStyle w:val="BodyText"/>
        <w:spacing w:before="9"/>
        <w:rPr>
          <w:sz w:val="23"/>
        </w:rPr>
      </w:pPr>
    </w:p>
    <w:tbl>
      <w:tblPr>
        <w:tblW w:w="0" w:type="auto"/>
        <w:jc w:val="left"/>
        <w:tblInd w:w="183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803"/>
        <w:gridCol w:w="848"/>
        <w:gridCol w:w="786"/>
        <w:gridCol w:w="854"/>
        <w:gridCol w:w="879"/>
        <w:gridCol w:w="1889"/>
      </w:tblGrid>
      <w:tr>
        <w:trPr>
          <w:trHeight w:val="357" w:hRule="exact"/>
        </w:trPr>
        <w:tc>
          <w:tcPr>
            <w:tcW w:w="2803" w:type="dxa"/>
          </w:tcPr>
          <w:p>
            <w:pPr/>
          </w:p>
        </w:tc>
        <w:tc>
          <w:tcPr>
            <w:tcW w:w="848" w:type="dxa"/>
          </w:tcPr>
          <w:p>
            <w:pPr>
              <w:pStyle w:val="TableParagraph"/>
              <w:spacing w:before="0"/>
              <w:ind w:left="201"/>
              <w:jc w:val="left"/>
              <w:rPr>
                <w:rFonts w:ascii="Georgia"/>
                <w:b/>
                <w:sz w:val="18"/>
              </w:rPr>
            </w:pPr>
            <w:r>
              <w:rPr>
                <w:rFonts w:ascii="Georgia"/>
                <w:b/>
                <w:color w:val="1F4E79"/>
                <w:sz w:val="18"/>
              </w:rPr>
              <w:t>BCT</w:t>
            </w:r>
          </w:p>
        </w:tc>
        <w:tc>
          <w:tcPr>
            <w:tcW w:w="786" w:type="dxa"/>
          </w:tcPr>
          <w:p>
            <w:pPr>
              <w:pStyle w:val="TableParagraph"/>
              <w:spacing w:before="0"/>
              <w:ind w:left="203"/>
              <w:jc w:val="left"/>
              <w:rPr>
                <w:rFonts w:ascii="Georgia"/>
                <w:b/>
                <w:sz w:val="18"/>
              </w:rPr>
            </w:pPr>
            <w:r>
              <w:rPr>
                <w:rFonts w:ascii="Georgia"/>
                <w:b/>
                <w:color w:val="1F4E79"/>
                <w:sz w:val="18"/>
              </w:rPr>
              <w:t>BRN</w:t>
            </w:r>
          </w:p>
        </w:tc>
        <w:tc>
          <w:tcPr>
            <w:tcW w:w="854" w:type="dxa"/>
          </w:tcPr>
          <w:p>
            <w:pPr>
              <w:pStyle w:val="TableParagraph"/>
              <w:spacing w:before="0"/>
              <w:ind w:left="124"/>
              <w:jc w:val="left"/>
              <w:rPr>
                <w:rFonts w:ascii="Georgia"/>
                <w:b/>
                <w:sz w:val="18"/>
              </w:rPr>
            </w:pPr>
            <w:r>
              <w:rPr>
                <w:rFonts w:ascii="Georgia"/>
                <w:b/>
                <w:color w:val="1F4E79"/>
                <w:w w:val="105"/>
                <w:sz w:val="18"/>
              </w:rPr>
              <w:t>IBP</w:t>
            </w:r>
          </w:p>
        </w:tc>
        <w:tc>
          <w:tcPr>
            <w:tcW w:w="879" w:type="dxa"/>
          </w:tcPr>
          <w:p>
            <w:pPr>
              <w:pStyle w:val="TableParagraph"/>
              <w:spacing w:before="0"/>
              <w:ind w:left="120"/>
              <w:jc w:val="left"/>
              <w:rPr>
                <w:rFonts w:ascii="Georgia"/>
                <w:b/>
                <w:sz w:val="18"/>
              </w:rPr>
            </w:pPr>
            <w:r>
              <w:rPr>
                <w:rFonts w:ascii="Georgia"/>
                <w:b/>
                <w:color w:val="1F4E79"/>
                <w:w w:val="110"/>
                <w:sz w:val="18"/>
              </w:rPr>
              <w:t>IBPE</w:t>
            </w:r>
          </w:p>
        </w:tc>
        <w:tc>
          <w:tcPr>
            <w:tcW w:w="1889" w:type="dxa"/>
          </w:tcPr>
          <w:p>
            <w:pPr>
              <w:pStyle w:val="TableParagraph"/>
              <w:spacing w:before="0"/>
              <w:ind w:left="235"/>
              <w:jc w:val="left"/>
              <w:rPr>
                <w:rFonts w:ascii="Georgia"/>
                <w:b/>
                <w:sz w:val="18"/>
              </w:rPr>
            </w:pPr>
            <w:r>
              <w:rPr>
                <w:rFonts w:ascii="Georgia"/>
                <w:b/>
                <w:color w:val="1F4E79"/>
                <w:w w:val="110"/>
                <w:sz w:val="18"/>
              </w:rPr>
              <w:t>Perimetro Bio</w:t>
            </w:r>
          </w:p>
        </w:tc>
      </w:tr>
      <w:tr>
        <w:trPr>
          <w:trHeight w:val="497" w:hRule="exact"/>
        </w:trPr>
        <w:tc>
          <w:tcPr>
            <w:tcW w:w="2803" w:type="dxa"/>
          </w:tcPr>
          <w:p>
            <w:pPr>
              <w:pStyle w:val="TableParagraph"/>
              <w:spacing w:before="152"/>
              <w:ind w:left="200"/>
              <w:jc w:val="left"/>
              <w:rPr>
                <w:rFonts w:ascii="Georgia"/>
                <w:sz w:val="20"/>
              </w:rPr>
            </w:pPr>
            <w:r>
              <w:rPr>
                <w:rFonts w:ascii="Georgia"/>
                <w:color w:val="1F4E79"/>
                <w:sz w:val="20"/>
              </w:rPr>
              <w:t>EBITDA</w:t>
            </w:r>
          </w:p>
        </w:tc>
        <w:tc>
          <w:tcPr>
            <w:tcW w:w="848" w:type="dxa"/>
          </w:tcPr>
          <w:p>
            <w:pPr>
              <w:pStyle w:val="TableParagraph"/>
              <w:spacing w:before="152"/>
              <w:ind w:left="201"/>
              <w:jc w:val="left"/>
              <w:rPr>
                <w:rFonts w:ascii="Georgia"/>
                <w:sz w:val="20"/>
              </w:rPr>
            </w:pPr>
            <w:r>
              <w:rPr>
                <w:rFonts w:ascii="Georgia"/>
                <w:sz w:val="20"/>
              </w:rPr>
              <w:t>7,5</w:t>
            </w:r>
          </w:p>
        </w:tc>
        <w:tc>
          <w:tcPr>
            <w:tcW w:w="786" w:type="dxa"/>
          </w:tcPr>
          <w:p>
            <w:pPr>
              <w:pStyle w:val="TableParagraph"/>
              <w:spacing w:before="152"/>
              <w:ind w:left="203"/>
              <w:jc w:val="left"/>
              <w:rPr>
                <w:rFonts w:ascii="Georgia"/>
                <w:sz w:val="20"/>
              </w:rPr>
            </w:pPr>
            <w:r>
              <w:rPr>
                <w:rFonts w:ascii="Georgia"/>
                <w:sz w:val="20"/>
              </w:rPr>
              <w:t>11,2</w:t>
            </w:r>
          </w:p>
        </w:tc>
        <w:tc>
          <w:tcPr>
            <w:tcW w:w="854" w:type="dxa"/>
          </w:tcPr>
          <w:p>
            <w:pPr>
              <w:pStyle w:val="TableParagraph"/>
              <w:spacing w:before="152"/>
              <w:ind w:left="124"/>
              <w:jc w:val="left"/>
              <w:rPr>
                <w:rFonts w:ascii="Georgia"/>
                <w:sz w:val="20"/>
              </w:rPr>
            </w:pPr>
            <w:r>
              <w:rPr>
                <w:rFonts w:ascii="Georgia"/>
                <w:sz w:val="20"/>
              </w:rPr>
              <w:t>6,3</w:t>
            </w:r>
          </w:p>
        </w:tc>
        <w:tc>
          <w:tcPr>
            <w:tcW w:w="879" w:type="dxa"/>
          </w:tcPr>
          <w:p>
            <w:pPr>
              <w:pStyle w:val="TableParagraph"/>
              <w:spacing w:before="152"/>
              <w:ind w:left="120"/>
              <w:jc w:val="left"/>
              <w:rPr>
                <w:rFonts w:ascii="Georgia"/>
                <w:sz w:val="20"/>
              </w:rPr>
            </w:pPr>
            <w:r>
              <w:rPr>
                <w:rFonts w:ascii="Georgia"/>
                <w:sz w:val="20"/>
              </w:rPr>
              <w:t>7,1</w:t>
            </w:r>
          </w:p>
        </w:tc>
        <w:tc>
          <w:tcPr>
            <w:tcW w:w="1889" w:type="dxa"/>
          </w:tcPr>
          <w:p>
            <w:pPr>
              <w:pStyle w:val="TableParagraph"/>
              <w:spacing w:before="152"/>
              <w:ind w:left="235"/>
              <w:jc w:val="left"/>
              <w:rPr>
                <w:rFonts w:ascii="Georgia"/>
                <w:sz w:val="20"/>
              </w:rPr>
            </w:pPr>
            <w:r>
              <w:rPr>
                <w:rFonts w:ascii="Georgia"/>
                <w:sz w:val="20"/>
              </w:rPr>
              <w:t>32,1</w:t>
            </w:r>
          </w:p>
        </w:tc>
      </w:tr>
      <w:tr>
        <w:trPr>
          <w:trHeight w:val="575" w:hRule="exact"/>
        </w:trPr>
        <w:tc>
          <w:tcPr>
            <w:tcW w:w="2803" w:type="dxa"/>
          </w:tcPr>
          <w:p>
            <w:pPr>
              <w:pStyle w:val="TableParagraph"/>
              <w:spacing w:before="116"/>
              <w:ind w:left="200"/>
              <w:jc w:val="left"/>
              <w:rPr>
                <w:rFonts w:ascii="Georgia"/>
                <w:sz w:val="20"/>
              </w:rPr>
            </w:pPr>
            <w:r>
              <w:rPr>
                <w:rFonts w:ascii="Georgia"/>
                <w:color w:val="1F4E79"/>
                <w:sz w:val="20"/>
              </w:rPr>
              <w:t>Flussi a piano</w:t>
            </w:r>
          </w:p>
        </w:tc>
        <w:tc>
          <w:tcPr>
            <w:tcW w:w="848" w:type="dxa"/>
          </w:tcPr>
          <w:p>
            <w:pPr>
              <w:pStyle w:val="TableParagraph"/>
              <w:spacing w:before="9"/>
              <w:jc w:val="left"/>
              <w:rPr>
                <w:sz w:val="21"/>
              </w:rPr>
            </w:pPr>
          </w:p>
          <w:p>
            <w:pPr>
              <w:pStyle w:val="TableParagraph"/>
              <w:spacing w:before="1"/>
              <w:ind w:left="201"/>
              <w:jc w:val="left"/>
              <w:rPr>
                <w:rFonts w:ascii="Georgia"/>
                <w:sz w:val="20"/>
              </w:rPr>
            </w:pPr>
            <w:r>
              <w:rPr>
                <w:rFonts w:ascii="Georgia"/>
                <w:sz w:val="20"/>
              </w:rPr>
              <w:t>(5,9)</w:t>
            </w:r>
          </w:p>
        </w:tc>
        <w:tc>
          <w:tcPr>
            <w:tcW w:w="786" w:type="dxa"/>
          </w:tcPr>
          <w:p>
            <w:pPr>
              <w:pStyle w:val="TableParagraph"/>
              <w:spacing w:before="9"/>
              <w:jc w:val="left"/>
              <w:rPr>
                <w:sz w:val="21"/>
              </w:rPr>
            </w:pPr>
          </w:p>
          <w:p>
            <w:pPr>
              <w:pStyle w:val="TableParagraph"/>
              <w:spacing w:before="1"/>
              <w:ind w:left="203"/>
              <w:jc w:val="left"/>
              <w:rPr>
                <w:rFonts w:ascii="Georgia"/>
                <w:sz w:val="20"/>
              </w:rPr>
            </w:pPr>
            <w:r>
              <w:rPr>
                <w:rFonts w:ascii="Georgia"/>
                <w:sz w:val="20"/>
              </w:rPr>
              <w:t>11,1</w:t>
            </w:r>
          </w:p>
        </w:tc>
        <w:tc>
          <w:tcPr>
            <w:tcW w:w="854" w:type="dxa"/>
          </w:tcPr>
          <w:p>
            <w:pPr>
              <w:pStyle w:val="TableParagraph"/>
              <w:spacing w:before="9"/>
              <w:jc w:val="left"/>
              <w:rPr>
                <w:sz w:val="21"/>
              </w:rPr>
            </w:pPr>
          </w:p>
          <w:p>
            <w:pPr>
              <w:pStyle w:val="TableParagraph"/>
              <w:spacing w:before="1"/>
              <w:ind w:left="124"/>
              <w:jc w:val="left"/>
              <w:rPr>
                <w:rFonts w:ascii="Georgia"/>
                <w:sz w:val="20"/>
              </w:rPr>
            </w:pPr>
            <w:r>
              <w:rPr>
                <w:rFonts w:ascii="Georgia"/>
                <w:sz w:val="20"/>
              </w:rPr>
              <w:t>(11,3)</w:t>
            </w:r>
          </w:p>
        </w:tc>
        <w:tc>
          <w:tcPr>
            <w:tcW w:w="879" w:type="dxa"/>
          </w:tcPr>
          <w:p>
            <w:pPr>
              <w:pStyle w:val="TableParagraph"/>
              <w:spacing w:before="9"/>
              <w:jc w:val="left"/>
              <w:rPr>
                <w:sz w:val="21"/>
              </w:rPr>
            </w:pPr>
          </w:p>
          <w:p>
            <w:pPr>
              <w:pStyle w:val="TableParagraph"/>
              <w:spacing w:before="1"/>
              <w:ind w:left="120"/>
              <w:jc w:val="left"/>
              <w:rPr>
                <w:rFonts w:ascii="Georgia"/>
                <w:sz w:val="20"/>
              </w:rPr>
            </w:pPr>
            <w:r>
              <w:rPr>
                <w:rFonts w:ascii="Georgia"/>
                <w:sz w:val="20"/>
              </w:rPr>
              <w:t>18,9</w:t>
            </w:r>
          </w:p>
        </w:tc>
        <w:tc>
          <w:tcPr>
            <w:tcW w:w="1889" w:type="dxa"/>
          </w:tcPr>
          <w:p>
            <w:pPr>
              <w:pStyle w:val="TableParagraph"/>
              <w:spacing w:before="9"/>
              <w:jc w:val="left"/>
              <w:rPr>
                <w:sz w:val="21"/>
              </w:rPr>
            </w:pPr>
          </w:p>
          <w:p>
            <w:pPr>
              <w:pStyle w:val="TableParagraph"/>
              <w:spacing w:before="1"/>
              <w:ind w:left="235"/>
              <w:jc w:val="left"/>
              <w:rPr>
                <w:rFonts w:ascii="Georgia"/>
                <w:sz w:val="20"/>
              </w:rPr>
            </w:pPr>
            <w:r>
              <w:rPr>
                <w:rFonts w:ascii="Georgia"/>
                <w:sz w:val="20"/>
              </w:rPr>
              <w:t>12,7</w:t>
            </w:r>
          </w:p>
        </w:tc>
      </w:tr>
      <w:tr>
        <w:trPr>
          <w:trHeight w:val="558" w:hRule="exact"/>
        </w:trPr>
        <w:tc>
          <w:tcPr>
            <w:tcW w:w="2803" w:type="dxa"/>
          </w:tcPr>
          <w:p>
            <w:pPr>
              <w:pStyle w:val="TableParagraph"/>
              <w:spacing w:before="101"/>
              <w:ind w:left="200"/>
              <w:jc w:val="left"/>
              <w:rPr>
                <w:rFonts w:ascii="Georgia"/>
                <w:sz w:val="20"/>
              </w:rPr>
            </w:pPr>
            <w:r>
              <w:rPr>
                <w:rFonts w:ascii="Georgia"/>
                <w:color w:val="1F4E79"/>
                <w:sz w:val="20"/>
              </w:rPr>
              <w:t>Terminal Value</w:t>
            </w:r>
          </w:p>
        </w:tc>
        <w:tc>
          <w:tcPr>
            <w:tcW w:w="848" w:type="dxa"/>
          </w:tcPr>
          <w:p>
            <w:pPr>
              <w:pStyle w:val="TableParagraph"/>
              <w:spacing w:before="5"/>
              <w:jc w:val="left"/>
              <w:rPr>
                <w:sz w:val="20"/>
              </w:rPr>
            </w:pPr>
          </w:p>
          <w:p>
            <w:pPr>
              <w:pStyle w:val="TableParagraph"/>
              <w:spacing w:before="0"/>
              <w:ind w:left="201"/>
              <w:jc w:val="left"/>
              <w:rPr>
                <w:rFonts w:ascii="Georgia"/>
                <w:sz w:val="20"/>
              </w:rPr>
            </w:pPr>
            <w:r>
              <w:rPr>
                <w:rFonts w:ascii="Georgia"/>
                <w:sz w:val="20"/>
              </w:rPr>
              <w:t>23,6</w:t>
            </w:r>
          </w:p>
        </w:tc>
        <w:tc>
          <w:tcPr>
            <w:tcW w:w="786" w:type="dxa"/>
          </w:tcPr>
          <w:p>
            <w:pPr>
              <w:pStyle w:val="TableParagraph"/>
              <w:spacing w:before="5"/>
              <w:jc w:val="left"/>
              <w:rPr>
                <w:sz w:val="20"/>
              </w:rPr>
            </w:pPr>
          </w:p>
          <w:p>
            <w:pPr>
              <w:pStyle w:val="TableParagraph"/>
              <w:spacing w:before="0"/>
              <w:ind w:left="203"/>
              <w:jc w:val="left"/>
              <w:rPr>
                <w:rFonts w:ascii="Georgia"/>
                <w:sz w:val="20"/>
              </w:rPr>
            </w:pPr>
            <w:r>
              <w:rPr>
                <w:rFonts w:ascii="Georgia"/>
                <w:sz w:val="20"/>
              </w:rPr>
              <w:t>15,0</w:t>
            </w:r>
          </w:p>
        </w:tc>
        <w:tc>
          <w:tcPr>
            <w:tcW w:w="854" w:type="dxa"/>
          </w:tcPr>
          <w:p>
            <w:pPr>
              <w:pStyle w:val="TableParagraph"/>
              <w:spacing w:before="5"/>
              <w:jc w:val="left"/>
              <w:rPr>
                <w:sz w:val="20"/>
              </w:rPr>
            </w:pPr>
          </w:p>
          <w:p>
            <w:pPr>
              <w:pStyle w:val="TableParagraph"/>
              <w:spacing w:before="0"/>
              <w:ind w:left="124"/>
              <w:jc w:val="left"/>
              <w:rPr>
                <w:rFonts w:ascii="Georgia"/>
                <w:sz w:val="20"/>
              </w:rPr>
            </w:pPr>
            <w:r>
              <w:rPr>
                <w:rFonts w:ascii="Georgia"/>
                <w:sz w:val="20"/>
              </w:rPr>
              <w:t>(5,9)</w:t>
            </w:r>
          </w:p>
        </w:tc>
        <w:tc>
          <w:tcPr>
            <w:tcW w:w="879" w:type="dxa"/>
          </w:tcPr>
          <w:p>
            <w:pPr>
              <w:pStyle w:val="TableParagraph"/>
              <w:spacing w:before="5"/>
              <w:jc w:val="left"/>
              <w:rPr>
                <w:sz w:val="20"/>
              </w:rPr>
            </w:pPr>
          </w:p>
          <w:p>
            <w:pPr>
              <w:pStyle w:val="TableParagraph"/>
              <w:spacing w:before="0"/>
              <w:ind w:left="120"/>
              <w:jc w:val="left"/>
              <w:rPr>
                <w:rFonts w:ascii="Georgia"/>
                <w:sz w:val="20"/>
              </w:rPr>
            </w:pPr>
            <w:r>
              <w:rPr>
                <w:rFonts w:ascii="Georgia"/>
                <w:sz w:val="20"/>
              </w:rPr>
              <w:t>16,3</w:t>
            </w:r>
          </w:p>
        </w:tc>
        <w:tc>
          <w:tcPr>
            <w:tcW w:w="1889" w:type="dxa"/>
          </w:tcPr>
          <w:p>
            <w:pPr>
              <w:pStyle w:val="TableParagraph"/>
              <w:spacing w:before="5"/>
              <w:jc w:val="left"/>
              <w:rPr>
                <w:sz w:val="20"/>
              </w:rPr>
            </w:pPr>
          </w:p>
          <w:p>
            <w:pPr>
              <w:pStyle w:val="TableParagraph"/>
              <w:spacing w:before="0"/>
              <w:ind w:left="235"/>
              <w:jc w:val="left"/>
              <w:rPr>
                <w:rFonts w:ascii="Georgia"/>
                <w:sz w:val="20"/>
              </w:rPr>
            </w:pPr>
            <w:r>
              <w:rPr>
                <w:rFonts w:ascii="Georgia"/>
                <w:sz w:val="20"/>
              </w:rPr>
              <w:t>49,0</w:t>
            </w:r>
          </w:p>
        </w:tc>
      </w:tr>
      <w:tr>
        <w:trPr>
          <w:trHeight w:val="558" w:hRule="exact"/>
        </w:trPr>
        <w:tc>
          <w:tcPr>
            <w:tcW w:w="2803" w:type="dxa"/>
          </w:tcPr>
          <w:p>
            <w:pPr>
              <w:pStyle w:val="TableParagraph"/>
              <w:spacing w:before="100"/>
              <w:ind w:left="200"/>
              <w:jc w:val="left"/>
              <w:rPr>
                <w:rFonts w:ascii="Georgia"/>
                <w:b/>
                <w:sz w:val="20"/>
              </w:rPr>
            </w:pPr>
            <w:r>
              <w:rPr>
                <w:rFonts w:ascii="Georgia"/>
                <w:b/>
                <w:color w:val="1F4E79"/>
                <w:w w:val="105"/>
                <w:sz w:val="20"/>
              </w:rPr>
              <w:t>Enterprise Value (EV)</w:t>
            </w:r>
          </w:p>
        </w:tc>
        <w:tc>
          <w:tcPr>
            <w:tcW w:w="848" w:type="dxa"/>
          </w:tcPr>
          <w:p>
            <w:pPr>
              <w:pStyle w:val="TableParagraph"/>
              <w:spacing w:before="4"/>
              <w:jc w:val="left"/>
              <w:rPr>
                <w:sz w:val="20"/>
              </w:rPr>
            </w:pPr>
          </w:p>
          <w:p>
            <w:pPr>
              <w:pStyle w:val="TableParagraph"/>
              <w:spacing w:before="0"/>
              <w:ind w:left="201"/>
              <w:jc w:val="left"/>
              <w:rPr>
                <w:rFonts w:ascii="Georgia"/>
                <w:b/>
                <w:sz w:val="20"/>
              </w:rPr>
            </w:pPr>
            <w:r>
              <w:rPr>
                <w:rFonts w:ascii="Georgia"/>
                <w:b/>
                <w:sz w:val="20"/>
              </w:rPr>
              <w:t>17,7</w:t>
            </w:r>
          </w:p>
        </w:tc>
        <w:tc>
          <w:tcPr>
            <w:tcW w:w="786" w:type="dxa"/>
          </w:tcPr>
          <w:p>
            <w:pPr>
              <w:pStyle w:val="TableParagraph"/>
              <w:spacing w:before="4"/>
              <w:jc w:val="left"/>
              <w:rPr>
                <w:sz w:val="20"/>
              </w:rPr>
            </w:pPr>
          </w:p>
          <w:p>
            <w:pPr>
              <w:pStyle w:val="TableParagraph"/>
              <w:spacing w:before="0"/>
              <w:ind w:left="203"/>
              <w:jc w:val="left"/>
              <w:rPr>
                <w:rFonts w:ascii="Georgia"/>
                <w:b/>
                <w:sz w:val="20"/>
              </w:rPr>
            </w:pPr>
            <w:r>
              <w:rPr>
                <w:rFonts w:ascii="Georgia"/>
                <w:b/>
                <w:sz w:val="20"/>
              </w:rPr>
              <w:t>26,1</w:t>
            </w:r>
          </w:p>
        </w:tc>
        <w:tc>
          <w:tcPr>
            <w:tcW w:w="854" w:type="dxa"/>
          </w:tcPr>
          <w:p>
            <w:pPr>
              <w:pStyle w:val="TableParagraph"/>
              <w:spacing w:before="4"/>
              <w:jc w:val="left"/>
              <w:rPr>
                <w:sz w:val="20"/>
              </w:rPr>
            </w:pPr>
          </w:p>
          <w:p>
            <w:pPr>
              <w:pStyle w:val="TableParagraph"/>
              <w:spacing w:before="0"/>
              <w:ind w:left="124"/>
              <w:jc w:val="left"/>
              <w:rPr>
                <w:rFonts w:ascii="Georgia"/>
                <w:b/>
                <w:sz w:val="20"/>
              </w:rPr>
            </w:pPr>
            <w:r>
              <w:rPr>
                <w:rFonts w:ascii="Georgia"/>
                <w:b/>
                <w:w w:val="105"/>
                <w:sz w:val="20"/>
              </w:rPr>
              <w:t>(17,2)</w:t>
            </w:r>
          </w:p>
        </w:tc>
        <w:tc>
          <w:tcPr>
            <w:tcW w:w="879" w:type="dxa"/>
          </w:tcPr>
          <w:p>
            <w:pPr>
              <w:pStyle w:val="TableParagraph"/>
              <w:spacing w:before="4"/>
              <w:jc w:val="left"/>
              <w:rPr>
                <w:sz w:val="20"/>
              </w:rPr>
            </w:pPr>
          </w:p>
          <w:p>
            <w:pPr>
              <w:pStyle w:val="TableParagraph"/>
              <w:spacing w:before="0"/>
              <w:ind w:left="120"/>
              <w:jc w:val="left"/>
              <w:rPr>
                <w:rFonts w:ascii="Georgia"/>
                <w:b/>
                <w:sz w:val="20"/>
              </w:rPr>
            </w:pPr>
            <w:r>
              <w:rPr>
                <w:rFonts w:ascii="Georgia"/>
                <w:b/>
                <w:sz w:val="20"/>
              </w:rPr>
              <w:t>35,1</w:t>
            </w:r>
          </w:p>
        </w:tc>
        <w:tc>
          <w:tcPr>
            <w:tcW w:w="1889" w:type="dxa"/>
          </w:tcPr>
          <w:p>
            <w:pPr>
              <w:pStyle w:val="TableParagraph"/>
              <w:spacing w:before="4"/>
              <w:jc w:val="left"/>
              <w:rPr>
                <w:sz w:val="20"/>
              </w:rPr>
            </w:pPr>
          </w:p>
          <w:p>
            <w:pPr>
              <w:pStyle w:val="TableParagraph"/>
              <w:spacing w:before="0"/>
              <w:ind w:left="235"/>
              <w:jc w:val="left"/>
              <w:rPr>
                <w:rFonts w:ascii="Georgia"/>
                <w:b/>
                <w:sz w:val="20"/>
              </w:rPr>
            </w:pPr>
            <w:r>
              <w:rPr>
                <w:rFonts w:ascii="Georgia"/>
                <w:b/>
                <w:sz w:val="20"/>
              </w:rPr>
              <w:t>61,7</w:t>
            </w:r>
          </w:p>
        </w:tc>
      </w:tr>
      <w:tr>
        <w:trPr>
          <w:trHeight w:val="556" w:hRule="exact"/>
        </w:trPr>
        <w:tc>
          <w:tcPr>
            <w:tcW w:w="2803" w:type="dxa"/>
          </w:tcPr>
          <w:p>
            <w:pPr>
              <w:pStyle w:val="TableParagraph"/>
              <w:spacing w:before="101"/>
              <w:ind w:left="200"/>
              <w:jc w:val="left"/>
              <w:rPr>
                <w:rFonts w:ascii="Georgia"/>
                <w:sz w:val="20"/>
              </w:rPr>
            </w:pPr>
            <w:r>
              <w:rPr>
                <w:rFonts w:ascii="Georgia"/>
                <w:color w:val="1F4E79"/>
                <w:sz w:val="20"/>
              </w:rPr>
              <w:t>EV/EBITDA</w:t>
            </w:r>
          </w:p>
        </w:tc>
        <w:tc>
          <w:tcPr>
            <w:tcW w:w="848" w:type="dxa"/>
          </w:tcPr>
          <w:p>
            <w:pPr>
              <w:pStyle w:val="TableParagraph"/>
              <w:spacing w:before="3"/>
              <w:jc w:val="left"/>
              <w:rPr>
                <w:sz w:val="20"/>
              </w:rPr>
            </w:pPr>
          </w:p>
          <w:p>
            <w:pPr>
              <w:pStyle w:val="TableParagraph"/>
              <w:spacing w:before="0"/>
              <w:ind w:left="201"/>
              <w:jc w:val="left"/>
              <w:rPr>
                <w:rFonts w:ascii="Georgia"/>
                <w:sz w:val="20"/>
              </w:rPr>
            </w:pPr>
            <w:r>
              <w:rPr>
                <w:rFonts w:ascii="Georgia"/>
                <w:sz w:val="20"/>
              </w:rPr>
              <w:t>2,4 x</w:t>
            </w:r>
          </w:p>
        </w:tc>
        <w:tc>
          <w:tcPr>
            <w:tcW w:w="786" w:type="dxa"/>
          </w:tcPr>
          <w:p>
            <w:pPr>
              <w:pStyle w:val="TableParagraph"/>
              <w:spacing w:before="3"/>
              <w:jc w:val="left"/>
              <w:rPr>
                <w:sz w:val="20"/>
              </w:rPr>
            </w:pPr>
          </w:p>
          <w:p>
            <w:pPr>
              <w:pStyle w:val="TableParagraph"/>
              <w:spacing w:before="0"/>
              <w:ind w:left="203"/>
              <w:jc w:val="left"/>
              <w:rPr>
                <w:rFonts w:ascii="Georgia"/>
                <w:sz w:val="20"/>
              </w:rPr>
            </w:pPr>
            <w:r>
              <w:rPr>
                <w:rFonts w:ascii="Georgia"/>
                <w:sz w:val="20"/>
              </w:rPr>
              <w:t>2,3 x</w:t>
            </w:r>
          </w:p>
        </w:tc>
        <w:tc>
          <w:tcPr>
            <w:tcW w:w="854" w:type="dxa"/>
          </w:tcPr>
          <w:p>
            <w:pPr>
              <w:pStyle w:val="TableParagraph"/>
              <w:spacing w:before="3"/>
              <w:jc w:val="left"/>
              <w:rPr>
                <w:sz w:val="20"/>
              </w:rPr>
            </w:pPr>
          </w:p>
          <w:p>
            <w:pPr>
              <w:pStyle w:val="TableParagraph"/>
              <w:spacing w:before="0"/>
              <w:ind w:left="124"/>
              <w:jc w:val="left"/>
              <w:rPr>
                <w:rFonts w:ascii="Georgia"/>
                <w:sz w:val="20"/>
              </w:rPr>
            </w:pPr>
            <w:r>
              <w:rPr>
                <w:rFonts w:ascii="Georgia"/>
                <w:sz w:val="20"/>
              </w:rPr>
              <w:t>-2,7 x</w:t>
            </w:r>
          </w:p>
        </w:tc>
        <w:tc>
          <w:tcPr>
            <w:tcW w:w="879" w:type="dxa"/>
          </w:tcPr>
          <w:p>
            <w:pPr>
              <w:pStyle w:val="TableParagraph"/>
              <w:spacing w:before="3"/>
              <w:jc w:val="left"/>
              <w:rPr>
                <w:sz w:val="20"/>
              </w:rPr>
            </w:pPr>
          </w:p>
          <w:p>
            <w:pPr>
              <w:pStyle w:val="TableParagraph"/>
              <w:spacing w:before="0"/>
              <w:ind w:left="120"/>
              <w:jc w:val="left"/>
              <w:rPr>
                <w:rFonts w:ascii="Georgia"/>
                <w:sz w:val="20"/>
              </w:rPr>
            </w:pPr>
            <w:r>
              <w:rPr>
                <w:rFonts w:ascii="Georgia"/>
                <w:sz w:val="20"/>
              </w:rPr>
              <w:t>4,9 x</w:t>
            </w:r>
          </w:p>
        </w:tc>
        <w:tc>
          <w:tcPr>
            <w:tcW w:w="1889" w:type="dxa"/>
          </w:tcPr>
          <w:p>
            <w:pPr>
              <w:pStyle w:val="TableParagraph"/>
              <w:spacing w:before="3"/>
              <w:jc w:val="left"/>
              <w:rPr>
                <w:sz w:val="20"/>
              </w:rPr>
            </w:pPr>
          </w:p>
          <w:p>
            <w:pPr>
              <w:pStyle w:val="TableParagraph"/>
              <w:spacing w:before="0"/>
              <w:ind w:left="235"/>
              <w:jc w:val="left"/>
              <w:rPr>
                <w:rFonts w:ascii="Georgia"/>
                <w:sz w:val="20"/>
              </w:rPr>
            </w:pPr>
            <w:r>
              <w:rPr>
                <w:rFonts w:ascii="Georgia"/>
                <w:sz w:val="20"/>
              </w:rPr>
              <w:t>1,9 x</w:t>
            </w:r>
          </w:p>
        </w:tc>
      </w:tr>
      <w:tr>
        <w:trPr>
          <w:trHeight w:val="318" w:hRule="exact"/>
        </w:trPr>
        <w:tc>
          <w:tcPr>
            <w:tcW w:w="2803" w:type="dxa"/>
          </w:tcPr>
          <w:p>
            <w:pPr>
              <w:pStyle w:val="TableParagraph"/>
              <w:spacing w:before="99"/>
              <w:ind w:left="200"/>
              <w:jc w:val="left"/>
              <w:rPr>
                <w:rFonts w:ascii="Georgia"/>
                <w:sz w:val="20"/>
              </w:rPr>
            </w:pPr>
            <w:r>
              <w:rPr>
                <w:rFonts w:ascii="Georgia"/>
                <w:color w:val="1F4E79"/>
                <w:sz w:val="20"/>
              </w:rPr>
              <w:t>Cash &amp; CE (C&amp;CE)</w:t>
            </w:r>
          </w:p>
        </w:tc>
        <w:tc>
          <w:tcPr>
            <w:tcW w:w="848" w:type="dxa"/>
          </w:tcPr>
          <w:p>
            <w:pPr/>
          </w:p>
        </w:tc>
        <w:tc>
          <w:tcPr>
            <w:tcW w:w="786" w:type="dxa"/>
          </w:tcPr>
          <w:p>
            <w:pPr/>
          </w:p>
        </w:tc>
        <w:tc>
          <w:tcPr>
            <w:tcW w:w="854" w:type="dxa"/>
          </w:tcPr>
          <w:p>
            <w:pPr/>
          </w:p>
        </w:tc>
        <w:tc>
          <w:tcPr>
            <w:tcW w:w="879" w:type="dxa"/>
          </w:tcPr>
          <w:p>
            <w:pPr/>
          </w:p>
        </w:tc>
        <w:tc>
          <w:tcPr>
            <w:tcW w:w="1889" w:type="dxa"/>
          </w:tcPr>
          <w:p>
            <w:pPr/>
          </w:p>
        </w:tc>
      </w:tr>
      <w:tr>
        <w:trPr>
          <w:trHeight w:val="319" w:hRule="exact"/>
        </w:trPr>
        <w:tc>
          <w:tcPr>
            <w:tcW w:w="2803" w:type="dxa"/>
          </w:tcPr>
          <w:p>
            <w:pPr/>
          </w:p>
        </w:tc>
        <w:tc>
          <w:tcPr>
            <w:tcW w:w="848" w:type="dxa"/>
          </w:tcPr>
          <w:p>
            <w:pPr>
              <w:pStyle w:val="TableParagraph"/>
              <w:spacing w:line="218" w:lineRule="exact" w:before="0"/>
              <w:ind w:left="201"/>
              <w:jc w:val="left"/>
              <w:rPr>
                <w:rFonts w:ascii="Georgia"/>
                <w:sz w:val="20"/>
              </w:rPr>
            </w:pPr>
            <w:r>
              <w:rPr>
                <w:rFonts w:ascii="Georgia"/>
                <w:sz w:val="20"/>
              </w:rPr>
              <w:t>9,7</w:t>
            </w:r>
          </w:p>
        </w:tc>
        <w:tc>
          <w:tcPr>
            <w:tcW w:w="786" w:type="dxa"/>
          </w:tcPr>
          <w:p>
            <w:pPr>
              <w:pStyle w:val="TableParagraph"/>
              <w:spacing w:line="218" w:lineRule="exact" w:before="0"/>
              <w:ind w:left="203"/>
              <w:jc w:val="left"/>
              <w:rPr>
                <w:rFonts w:ascii="Georgia"/>
                <w:sz w:val="20"/>
              </w:rPr>
            </w:pPr>
            <w:r>
              <w:rPr>
                <w:rFonts w:ascii="Georgia"/>
                <w:sz w:val="20"/>
              </w:rPr>
              <w:t>0,1</w:t>
            </w:r>
          </w:p>
        </w:tc>
        <w:tc>
          <w:tcPr>
            <w:tcW w:w="854" w:type="dxa"/>
          </w:tcPr>
          <w:p>
            <w:pPr>
              <w:pStyle w:val="TableParagraph"/>
              <w:spacing w:line="218" w:lineRule="exact" w:before="0"/>
              <w:ind w:left="124"/>
              <w:jc w:val="left"/>
              <w:rPr>
                <w:rFonts w:ascii="Georgia"/>
                <w:sz w:val="20"/>
              </w:rPr>
            </w:pPr>
            <w:r>
              <w:rPr>
                <w:rFonts w:ascii="Georgia"/>
                <w:sz w:val="20"/>
              </w:rPr>
              <w:t>13,4</w:t>
            </w:r>
          </w:p>
        </w:tc>
        <w:tc>
          <w:tcPr>
            <w:tcW w:w="879" w:type="dxa"/>
          </w:tcPr>
          <w:p>
            <w:pPr>
              <w:pStyle w:val="TableParagraph"/>
              <w:spacing w:line="218" w:lineRule="exact" w:before="0"/>
              <w:ind w:left="120"/>
              <w:jc w:val="left"/>
              <w:rPr>
                <w:rFonts w:ascii="Georgia"/>
                <w:sz w:val="20"/>
              </w:rPr>
            </w:pPr>
            <w:r>
              <w:rPr>
                <w:rFonts w:ascii="Georgia"/>
                <w:w w:val="99"/>
                <w:sz w:val="20"/>
              </w:rPr>
              <w:t>-</w:t>
            </w:r>
          </w:p>
        </w:tc>
        <w:tc>
          <w:tcPr>
            <w:tcW w:w="1889" w:type="dxa"/>
          </w:tcPr>
          <w:p>
            <w:pPr>
              <w:pStyle w:val="TableParagraph"/>
              <w:spacing w:line="218" w:lineRule="exact" w:before="0"/>
              <w:ind w:left="235"/>
              <w:jc w:val="left"/>
              <w:rPr>
                <w:rFonts w:ascii="Georgia"/>
                <w:sz w:val="20"/>
              </w:rPr>
            </w:pPr>
            <w:r>
              <w:rPr>
                <w:rFonts w:ascii="Georgia"/>
                <w:sz w:val="20"/>
              </w:rPr>
              <w:t>23,3</w:t>
            </w:r>
          </w:p>
        </w:tc>
      </w:tr>
      <w:tr>
        <w:trPr>
          <w:trHeight w:val="328" w:hRule="exact"/>
        </w:trPr>
        <w:tc>
          <w:tcPr>
            <w:tcW w:w="2803" w:type="dxa"/>
          </w:tcPr>
          <w:p>
            <w:pPr>
              <w:pStyle w:val="TableParagraph"/>
              <w:spacing w:before="101"/>
              <w:ind w:left="200"/>
              <w:jc w:val="left"/>
              <w:rPr>
                <w:rFonts w:ascii="Georgia"/>
                <w:b/>
                <w:sz w:val="20"/>
              </w:rPr>
            </w:pPr>
            <w:r>
              <w:rPr>
                <w:rFonts w:ascii="Georgia"/>
                <w:b/>
                <w:color w:val="1F4E79"/>
                <w:sz w:val="20"/>
              </w:rPr>
              <w:t>EV + C&amp;CE</w:t>
            </w:r>
          </w:p>
        </w:tc>
        <w:tc>
          <w:tcPr>
            <w:tcW w:w="848" w:type="dxa"/>
          </w:tcPr>
          <w:p>
            <w:pPr>
              <w:pStyle w:val="TableParagraph"/>
              <w:spacing w:before="101"/>
              <w:ind w:left="201"/>
              <w:jc w:val="left"/>
              <w:rPr>
                <w:rFonts w:ascii="Georgia"/>
                <w:b/>
                <w:sz w:val="20"/>
              </w:rPr>
            </w:pPr>
            <w:r>
              <w:rPr>
                <w:rFonts w:ascii="Georgia"/>
                <w:b/>
                <w:sz w:val="20"/>
              </w:rPr>
              <w:t>27,4</w:t>
            </w:r>
          </w:p>
        </w:tc>
        <w:tc>
          <w:tcPr>
            <w:tcW w:w="786" w:type="dxa"/>
          </w:tcPr>
          <w:p>
            <w:pPr>
              <w:pStyle w:val="TableParagraph"/>
              <w:spacing w:before="101"/>
              <w:ind w:left="203"/>
              <w:jc w:val="left"/>
              <w:rPr>
                <w:rFonts w:ascii="Georgia"/>
                <w:b/>
                <w:sz w:val="20"/>
              </w:rPr>
            </w:pPr>
            <w:r>
              <w:rPr>
                <w:rFonts w:ascii="Georgia"/>
                <w:b/>
                <w:sz w:val="20"/>
              </w:rPr>
              <w:t>26,2</w:t>
            </w:r>
          </w:p>
        </w:tc>
        <w:tc>
          <w:tcPr>
            <w:tcW w:w="854" w:type="dxa"/>
          </w:tcPr>
          <w:p>
            <w:pPr>
              <w:pStyle w:val="TableParagraph"/>
              <w:spacing w:before="101"/>
              <w:ind w:left="124"/>
              <w:jc w:val="left"/>
              <w:rPr>
                <w:rFonts w:ascii="Georgia"/>
                <w:b/>
                <w:sz w:val="20"/>
              </w:rPr>
            </w:pPr>
            <w:r>
              <w:rPr>
                <w:rFonts w:ascii="Georgia"/>
                <w:b/>
                <w:w w:val="105"/>
                <w:sz w:val="20"/>
              </w:rPr>
              <w:t>(3,8)</w:t>
            </w:r>
          </w:p>
        </w:tc>
        <w:tc>
          <w:tcPr>
            <w:tcW w:w="879" w:type="dxa"/>
          </w:tcPr>
          <w:p>
            <w:pPr>
              <w:pStyle w:val="TableParagraph"/>
              <w:spacing w:before="101"/>
              <w:ind w:left="120"/>
              <w:jc w:val="left"/>
              <w:rPr>
                <w:rFonts w:ascii="Georgia"/>
                <w:b/>
                <w:sz w:val="20"/>
              </w:rPr>
            </w:pPr>
            <w:r>
              <w:rPr>
                <w:rFonts w:ascii="Georgia"/>
                <w:b/>
                <w:sz w:val="20"/>
              </w:rPr>
              <w:t>35,1</w:t>
            </w:r>
          </w:p>
        </w:tc>
        <w:tc>
          <w:tcPr>
            <w:tcW w:w="1889" w:type="dxa"/>
          </w:tcPr>
          <w:p>
            <w:pPr>
              <w:pStyle w:val="TableParagraph"/>
              <w:spacing w:before="101"/>
              <w:ind w:left="235"/>
              <w:jc w:val="left"/>
              <w:rPr>
                <w:rFonts w:ascii="Georgia"/>
                <w:b/>
                <w:sz w:val="20"/>
              </w:rPr>
            </w:pPr>
            <w:r>
              <w:rPr>
                <w:rFonts w:ascii="Georgia"/>
                <w:b/>
                <w:sz w:val="20"/>
              </w:rPr>
              <w:t>85,0</w:t>
            </w:r>
          </w:p>
        </w:tc>
      </w:tr>
    </w:tbl>
    <w:p>
      <w:pPr>
        <w:pStyle w:val="BodyText"/>
        <w:rPr>
          <w:sz w:val="26"/>
        </w:rPr>
      </w:pPr>
    </w:p>
    <w:p>
      <w:pPr>
        <w:pStyle w:val="BodyText"/>
        <w:rPr>
          <w:sz w:val="26"/>
        </w:rPr>
      </w:pPr>
    </w:p>
    <w:p>
      <w:pPr>
        <w:pStyle w:val="BodyText"/>
        <w:rPr>
          <w:sz w:val="26"/>
        </w:rPr>
      </w:pPr>
    </w:p>
    <w:p>
      <w:pPr>
        <w:pStyle w:val="BodyText"/>
        <w:spacing w:before="163"/>
        <w:ind w:left="1418"/>
      </w:pPr>
      <w:r>
        <w:rPr/>
        <w:t>In prospettiva integrata:</w:t>
      </w:r>
    </w:p>
    <w:p>
      <w:pPr>
        <w:pStyle w:val="BodyText"/>
        <w:rPr>
          <w:sz w:val="20"/>
        </w:rPr>
      </w:pPr>
    </w:p>
    <w:p>
      <w:pPr>
        <w:pStyle w:val="BodyText"/>
        <w:spacing w:before="2"/>
        <w:rPr>
          <w:sz w:val="22"/>
        </w:rPr>
      </w:pPr>
    </w:p>
    <w:tbl>
      <w:tblPr>
        <w:tblW w:w="0" w:type="auto"/>
        <w:jc w:val="left"/>
        <w:tblInd w:w="183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896"/>
        <w:gridCol w:w="767"/>
        <w:gridCol w:w="786"/>
        <w:gridCol w:w="776"/>
        <w:gridCol w:w="944"/>
        <w:gridCol w:w="1971"/>
      </w:tblGrid>
      <w:tr>
        <w:trPr>
          <w:trHeight w:val="515" w:hRule="exact"/>
        </w:trPr>
        <w:tc>
          <w:tcPr>
            <w:tcW w:w="2896" w:type="dxa"/>
          </w:tcPr>
          <w:p>
            <w:pPr/>
          </w:p>
        </w:tc>
        <w:tc>
          <w:tcPr>
            <w:tcW w:w="767" w:type="dxa"/>
            <w:tcBorders>
              <w:bottom w:val="single" w:sz="4" w:space="0" w:color="2D74B5"/>
            </w:tcBorders>
          </w:tcPr>
          <w:p>
            <w:pPr>
              <w:pStyle w:val="TableParagraph"/>
              <w:spacing w:before="0"/>
              <w:ind w:left="108"/>
              <w:jc w:val="left"/>
              <w:rPr>
                <w:rFonts w:ascii="Georgia"/>
                <w:b/>
                <w:sz w:val="18"/>
              </w:rPr>
            </w:pPr>
            <w:r>
              <w:rPr>
                <w:rFonts w:ascii="Georgia"/>
                <w:b/>
                <w:color w:val="1F4E79"/>
                <w:sz w:val="18"/>
              </w:rPr>
              <w:t>BCT</w:t>
            </w:r>
          </w:p>
        </w:tc>
        <w:tc>
          <w:tcPr>
            <w:tcW w:w="786" w:type="dxa"/>
            <w:tcBorders>
              <w:bottom w:val="single" w:sz="4" w:space="0" w:color="2D74B5"/>
            </w:tcBorders>
          </w:tcPr>
          <w:p>
            <w:pPr>
              <w:pStyle w:val="TableParagraph"/>
              <w:spacing w:before="0"/>
              <w:ind w:left="190"/>
              <w:jc w:val="left"/>
              <w:rPr>
                <w:rFonts w:ascii="Georgia"/>
                <w:b/>
                <w:sz w:val="18"/>
              </w:rPr>
            </w:pPr>
            <w:r>
              <w:rPr>
                <w:rFonts w:ascii="Georgia"/>
                <w:b/>
                <w:color w:val="1F4E79"/>
                <w:sz w:val="18"/>
              </w:rPr>
              <w:t>BRN</w:t>
            </w:r>
          </w:p>
        </w:tc>
        <w:tc>
          <w:tcPr>
            <w:tcW w:w="776" w:type="dxa"/>
            <w:tcBorders>
              <w:bottom w:val="single" w:sz="4" w:space="0" w:color="2D74B5"/>
            </w:tcBorders>
          </w:tcPr>
          <w:p>
            <w:pPr>
              <w:pStyle w:val="TableParagraph"/>
              <w:spacing w:before="0"/>
              <w:ind w:left="112"/>
              <w:jc w:val="left"/>
              <w:rPr>
                <w:rFonts w:ascii="Georgia"/>
                <w:b/>
                <w:sz w:val="18"/>
              </w:rPr>
            </w:pPr>
            <w:r>
              <w:rPr>
                <w:rFonts w:ascii="Georgia"/>
                <w:b/>
                <w:color w:val="1F4E79"/>
                <w:w w:val="105"/>
                <w:sz w:val="18"/>
              </w:rPr>
              <w:t>IBP</w:t>
            </w:r>
          </w:p>
        </w:tc>
        <w:tc>
          <w:tcPr>
            <w:tcW w:w="944" w:type="dxa"/>
            <w:tcBorders>
              <w:bottom w:val="single" w:sz="4" w:space="0" w:color="2D74B5"/>
            </w:tcBorders>
          </w:tcPr>
          <w:p>
            <w:pPr>
              <w:pStyle w:val="TableParagraph"/>
              <w:spacing w:before="0"/>
              <w:ind w:left="186"/>
              <w:jc w:val="left"/>
              <w:rPr>
                <w:rFonts w:ascii="Georgia"/>
                <w:b/>
                <w:sz w:val="18"/>
              </w:rPr>
            </w:pPr>
            <w:r>
              <w:rPr>
                <w:rFonts w:ascii="Georgia"/>
                <w:b/>
                <w:color w:val="1F4E79"/>
                <w:w w:val="110"/>
                <w:sz w:val="18"/>
              </w:rPr>
              <w:t>IBPE</w:t>
            </w:r>
          </w:p>
        </w:tc>
        <w:tc>
          <w:tcPr>
            <w:tcW w:w="1971" w:type="dxa"/>
            <w:tcBorders>
              <w:bottom w:val="single" w:sz="4" w:space="0" w:color="2D74B5"/>
            </w:tcBorders>
          </w:tcPr>
          <w:p>
            <w:pPr>
              <w:pStyle w:val="TableParagraph"/>
              <w:spacing w:before="0"/>
              <w:ind w:left="235"/>
              <w:jc w:val="left"/>
              <w:rPr>
                <w:rFonts w:ascii="Georgia"/>
                <w:b/>
                <w:sz w:val="18"/>
              </w:rPr>
            </w:pPr>
            <w:r>
              <w:rPr>
                <w:rFonts w:ascii="Georgia"/>
                <w:b/>
                <w:color w:val="1F4E79"/>
                <w:w w:val="110"/>
                <w:sz w:val="18"/>
              </w:rPr>
              <w:t>Perimetro Bio</w:t>
            </w:r>
          </w:p>
        </w:tc>
      </w:tr>
      <w:tr>
        <w:trPr>
          <w:trHeight w:val="470" w:hRule="exact"/>
        </w:trPr>
        <w:tc>
          <w:tcPr>
            <w:tcW w:w="2896" w:type="dxa"/>
          </w:tcPr>
          <w:p>
            <w:pPr>
              <w:pStyle w:val="TableParagraph"/>
              <w:spacing w:before="4"/>
              <w:ind w:left="200"/>
              <w:jc w:val="left"/>
              <w:rPr>
                <w:rFonts w:ascii="Georgia"/>
                <w:sz w:val="20"/>
              </w:rPr>
            </w:pPr>
            <w:r>
              <w:rPr>
                <w:rFonts w:ascii="Georgia"/>
                <w:color w:val="1F4E79"/>
                <w:sz w:val="20"/>
              </w:rPr>
              <w:t>EBITDA</w:t>
            </w:r>
          </w:p>
        </w:tc>
        <w:tc>
          <w:tcPr>
            <w:tcW w:w="767" w:type="dxa"/>
            <w:tcBorders>
              <w:top w:val="single" w:sz="4" w:space="0" w:color="2D74B5"/>
              <w:bottom w:val="single" w:sz="4" w:space="0" w:color="2D74B5"/>
            </w:tcBorders>
          </w:tcPr>
          <w:p>
            <w:pPr>
              <w:pStyle w:val="TableParagraph"/>
              <w:spacing w:line="226" w:lineRule="exact" w:before="0"/>
              <w:ind w:left="108"/>
              <w:jc w:val="left"/>
              <w:rPr>
                <w:rFonts w:ascii="Georgia"/>
                <w:sz w:val="20"/>
              </w:rPr>
            </w:pPr>
            <w:r>
              <w:rPr>
                <w:rFonts w:ascii="Georgia"/>
                <w:sz w:val="20"/>
              </w:rPr>
              <w:t>12,1</w:t>
            </w:r>
          </w:p>
        </w:tc>
        <w:tc>
          <w:tcPr>
            <w:tcW w:w="786" w:type="dxa"/>
            <w:tcBorders>
              <w:top w:val="single" w:sz="4" w:space="0" w:color="2D74B5"/>
              <w:bottom w:val="single" w:sz="4" w:space="0" w:color="2D74B5"/>
            </w:tcBorders>
          </w:tcPr>
          <w:p>
            <w:pPr>
              <w:pStyle w:val="TableParagraph"/>
              <w:spacing w:line="226" w:lineRule="exact" w:before="0"/>
              <w:ind w:left="190"/>
              <w:jc w:val="left"/>
              <w:rPr>
                <w:rFonts w:ascii="Georgia"/>
                <w:sz w:val="20"/>
              </w:rPr>
            </w:pPr>
            <w:r>
              <w:rPr>
                <w:rFonts w:ascii="Georgia"/>
                <w:sz w:val="20"/>
              </w:rPr>
              <w:t>17,0</w:t>
            </w:r>
          </w:p>
        </w:tc>
        <w:tc>
          <w:tcPr>
            <w:tcW w:w="776" w:type="dxa"/>
            <w:tcBorders>
              <w:top w:val="single" w:sz="4" w:space="0" w:color="2D74B5"/>
              <w:bottom w:val="single" w:sz="4" w:space="0" w:color="2D74B5"/>
            </w:tcBorders>
          </w:tcPr>
          <w:p>
            <w:pPr>
              <w:pStyle w:val="TableParagraph"/>
              <w:spacing w:line="226" w:lineRule="exact" w:before="0"/>
              <w:ind w:left="112"/>
              <w:jc w:val="left"/>
              <w:rPr>
                <w:rFonts w:ascii="Georgia"/>
                <w:sz w:val="20"/>
              </w:rPr>
            </w:pPr>
            <w:r>
              <w:rPr>
                <w:rFonts w:ascii="Georgia"/>
                <w:sz w:val="20"/>
              </w:rPr>
              <w:t>16,1</w:t>
            </w:r>
          </w:p>
        </w:tc>
        <w:tc>
          <w:tcPr>
            <w:tcW w:w="944" w:type="dxa"/>
            <w:tcBorders>
              <w:top w:val="single" w:sz="4" w:space="0" w:color="2D74B5"/>
              <w:bottom w:val="single" w:sz="4" w:space="0" w:color="2D74B5"/>
            </w:tcBorders>
          </w:tcPr>
          <w:p>
            <w:pPr>
              <w:pStyle w:val="TableParagraph"/>
              <w:spacing w:line="226" w:lineRule="exact" w:before="0"/>
              <w:ind w:left="186"/>
              <w:jc w:val="left"/>
              <w:rPr>
                <w:rFonts w:ascii="Georgia"/>
                <w:sz w:val="20"/>
              </w:rPr>
            </w:pPr>
            <w:r>
              <w:rPr>
                <w:rFonts w:ascii="Georgia"/>
                <w:sz w:val="20"/>
              </w:rPr>
              <w:t>7,1</w:t>
            </w:r>
          </w:p>
        </w:tc>
        <w:tc>
          <w:tcPr>
            <w:tcW w:w="1971" w:type="dxa"/>
            <w:tcBorders>
              <w:top w:val="single" w:sz="4" w:space="0" w:color="2D74B5"/>
              <w:bottom w:val="single" w:sz="4" w:space="0" w:color="2D74B5"/>
            </w:tcBorders>
          </w:tcPr>
          <w:p>
            <w:pPr>
              <w:pStyle w:val="TableParagraph"/>
              <w:spacing w:line="226" w:lineRule="exact" w:before="0"/>
              <w:ind w:left="235"/>
              <w:jc w:val="left"/>
              <w:rPr>
                <w:rFonts w:ascii="Georgia"/>
                <w:sz w:val="20"/>
              </w:rPr>
            </w:pPr>
            <w:r>
              <w:rPr>
                <w:rFonts w:ascii="Georgia"/>
                <w:sz w:val="20"/>
              </w:rPr>
              <w:t>52,4</w:t>
            </w:r>
          </w:p>
        </w:tc>
      </w:tr>
      <w:tr>
        <w:trPr>
          <w:trHeight w:val="566" w:hRule="exact"/>
        </w:trPr>
        <w:tc>
          <w:tcPr>
            <w:tcW w:w="2896" w:type="dxa"/>
          </w:tcPr>
          <w:p>
            <w:pPr>
              <w:pStyle w:val="TableParagraph"/>
              <w:spacing w:before="4"/>
              <w:ind w:left="200"/>
              <w:jc w:val="left"/>
              <w:rPr>
                <w:rFonts w:ascii="Georgia"/>
                <w:sz w:val="20"/>
              </w:rPr>
            </w:pPr>
            <w:r>
              <w:rPr>
                <w:rFonts w:ascii="Georgia"/>
                <w:color w:val="1F4E79"/>
                <w:sz w:val="20"/>
              </w:rPr>
              <w:t>Flussi a piano</w:t>
            </w:r>
          </w:p>
        </w:tc>
        <w:tc>
          <w:tcPr>
            <w:tcW w:w="767" w:type="dxa"/>
            <w:tcBorders>
              <w:top w:val="single" w:sz="4" w:space="0" w:color="2D74B5"/>
              <w:bottom w:val="single" w:sz="4" w:space="0" w:color="2D74B5"/>
            </w:tcBorders>
          </w:tcPr>
          <w:p>
            <w:pPr>
              <w:pStyle w:val="TableParagraph"/>
              <w:spacing w:before="128"/>
              <w:ind w:left="108"/>
              <w:jc w:val="left"/>
              <w:rPr>
                <w:rFonts w:ascii="Georgia"/>
                <w:sz w:val="20"/>
              </w:rPr>
            </w:pPr>
            <w:r>
              <w:rPr>
                <w:rFonts w:ascii="Georgia"/>
                <w:sz w:val="20"/>
              </w:rPr>
              <w:t>38,4</w:t>
            </w:r>
          </w:p>
        </w:tc>
        <w:tc>
          <w:tcPr>
            <w:tcW w:w="786" w:type="dxa"/>
            <w:tcBorders>
              <w:top w:val="single" w:sz="4" w:space="0" w:color="2D74B5"/>
              <w:bottom w:val="single" w:sz="4" w:space="0" w:color="2D74B5"/>
            </w:tcBorders>
          </w:tcPr>
          <w:p>
            <w:pPr>
              <w:pStyle w:val="TableParagraph"/>
              <w:spacing w:before="128"/>
              <w:ind w:left="190"/>
              <w:jc w:val="left"/>
              <w:rPr>
                <w:rFonts w:ascii="Georgia"/>
                <w:sz w:val="20"/>
              </w:rPr>
            </w:pPr>
            <w:r>
              <w:rPr>
                <w:rFonts w:ascii="Georgia"/>
                <w:sz w:val="20"/>
              </w:rPr>
              <w:t>20,5</w:t>
            </w:r>
          </w:p>
        </w:tc>
        <w:tc>
          <w:tcPr>
            <w:tcW w:w="776" w:type="dxa"/>
            <w:tcBorders>
              <w:top w:val="single" w:sz="4" w:space="0" w:color="2D74B5"/>
              <w:bottom w:val="single" w:sz="4" w:space="0" w:color="2D74B5"/>
            </w:tcBorders>
          </w:tcPr>
          <w:p>
            <w:pPr>
              <w:pStyle w:val="TableParagraph"/>
              <w:spacing w:before="128"/>
              <w:ind w:left="112"/>
              <w:jc w:val="left"/>
              <w:rPr>
                <w:rFonts w:ascii="Georgia"/>
                <w:sz w:val="20"/>
              </w:rPr>
            </w:pPr>
            <w:r>
              <w:rPr>
                <w:rFonts w:ascii="Georgia"/>
                <w:sz w:val="20"/>
              </w:rPr>
              <w:t>2,9</w:t>
            </w:r>
          </w:p>
        </w:tc>
        <w:tc>
          <w:tcPr>
            <w:tcW w:w="944" w:type="dxa"/>
            <w:tcBorders>
              <w:top w:val="single" w:sz="4" w:space="0" w:color="2D74B5"/>
              <w:bottom w:val="single" w:sz="4" w:space="0" w:color="2D74B5"/>
            </w:tcBorders>
          </w:tcPr>
          <w:p>
            <w:pPr>
              <w:pStyle w:val="TableParagraph"/>
              <w:spacing w:before="128"/>
              <w:ind w:left="186"/>
              <w:jc w:val="left"/>
              <w:rPr>
                <w:rFonts w:ascii="Georgia"/>
                <w:sz w:val="20"/>
              </w:rPr>
            </w:pPr>
            <w:r>
              <w:rPr>
                <w:rFonts w:ascii="Georgia"/>
                <w:sz w:val="20"/>
              </w:rPr>
              <w:t>18,9</w:t>
            </w:r>
          </w:p>
        </w:tc>
        <w:tc>
          <w:tcPr>
            <w:tcW w:w="1971" w:type="dxa"/>
            <w:tcBorders>
              <w:top w:val="single" w:sz="4" w:space="0" w:color="2D74B5"/>
              <w:bottom w:val="single" w:sz="4" w:space="0" w:color="2D74B5"/>
            </w:tcBorders>
          </w:tcPr>
          <w:p>
            <w:pPr>
              <w:pStyle w:val="TableParagraph"/>
              <w:spacing w:before="128"/>
              <w:ind w:left="235"/>
              <w:jc w:val="left"/>
              <w:rPr>
                <w:rFonts w:ascii="Georgia"/>
                <w:sz w:val="20"/>
              </w:rPr>
            </w:pPr>
            <w:r>
              <w:rPr>
                <w:rFonts w:ascii="Georgia"/>
                <w:sz w:val="20"/>
              </w:rPr>
              <w:t>80,7</w:t>
            </w:r>
          </w:p>
        </w:tc>
      </w:tr>
      <w:tr>
        <w:trPr>
          <w:trHeight w:val="569" w:hRule="exact"/>
        </w:trPr>
        <w:tc>
          <w:tcPr>
            <w:tcW w:w="2896" w:type="dxa"/>
          </w:tcPr>
          <w:p>
            <w:pPr>
              <w:pStyle w:val="TableParagraph"/>
              <w:spacing w:before="6"/>
              <w:ind w:left="200"/>
              <w:jc w:val="left"/>
              <w:rPr>
                <w:rFonts w:ascii="Georgia"/>
                <w:sz w:val="20"/>
              </w:rPr>
            </w:pPr>
            <w:r>
              <w:rPr>
                <w:rFonts w:ascii="Georgia"/>
                <w:color w:val="1F4E79"/>
                <w:sz w:val="20"/>
              </w:rPr>
              <w:t>Terminal Value</w:t>
            </w:r>
          </w:p>
        </w:tc>
        <w:tc>
          <w:tcPr>
            <w:tcW w:w="767" w:type="dxa"/>
            <w:tcBorders>
              <w:top w:val="single" w:sz="4" w:space="0" w:color="2D74B5"/>
              <w:bottom w:val="single" w:sz="4" w:space="0" w:color="2D74B5"/>
            </w:tcBorders>
          </w:tcPr>
          <w:p>
            <w:pPr>
              <w:pStyle w:val="TableParagraph"/>
              <w:spacing w:before="131"/>
              <w:ind w:left="108"/>
              <w:jc w:val="left"/>
              <w:rPr>
                <w:rFonts w:ascii="Georgia"/>
                <w:sz w:val="20"/>
              </w:rPr>
            </w:pPr>
            <w:r>
              <w:rPr>
                <w:rFonts w:ascii="Georgia"/>
                <w:sz w:val="20"/>
              </w:rPr>
              <w:t>20,6</w:t>
            </w:r>
          </w:p>
        </w:tc>
        <w:tc>
          <w:tcPr>
            <w:tcW w:w="786" w:type="dxa"/>
            <w:tcBorders>
              <w:top w:val="single" w:sz="4" w:space="0" w:color="2D74B5"/>
              <w:bottom w:val="single" w:sz="4" w:space="0" w:color="2D74B5"/>
            </w:tcBorders>
          </w:tcPr>
          <w:p>
            <w:pPr>
              <w:pStyle w:val="TableParagraph"/>
              <w:spacing w:before="131"/>
              <w:ind w:left="190"/>
              <w:jc w:val="left"/>
              <w:rPr>
                <w:rFonts w:ascii="Georgia"/>
                <w:sz w:val="20"/>
              </w:rPr>
            </w:pPr>
            <w:r>
              <w:rPr>
                <w:rFonts w:ascii="Georgia"/>
                <w:sz w:val="20"/>
              </w:rPr>
              <w:t>24,3</w:t>
            </w:r>
          </w:p>
        </w:tc>
        <w:tc>
          <w:tcPr>
            <w:tcW w:w="776" w:type="dxa"/>
            <w:tcBorders>
              <w:top w:val="single" w:sz="4" w:space="0" w:color="2D74B5"/>
              <w:bottom w:val="single" w:sz="4" w:space="0" w:color="2D74B5"/>
            </w:tcBorders>
          </w:tcPr>
          <w:p>
            <w:pPr>
              <w:pStyle w:val="TableParagraph"/>
              <w:spacing w:before="131"/>
              <w:ind w:left="112"/>
              <w:jc w:val="left"/>
              <w:rPr>
                <w:rFonts w:ascii="Georgia"/>
                <w:sz w:val="20"/>
              </w:rPr>
            </w:pPr>
            <w:r>
              <w:rPr>
                <w:rFonts w:ascii="Georgia"/>
                <w:sz w:val="20"/>
              </w:rPr>
              <w:t>48,2</w:t>
            </w:r>
          </w:p>
        </w:tc>
        <w:tc>
          <w:tcPr>
            <w:tcW w:w="944" w:type="dxa"/>
            <w:tcBorders>
              <w:top w:val="single" w:sz="4" w:space="0" w:color="2D74B5"/>
              <w:bottom w:val="single" w:sz="4" w:space="0" w:color="2D74B5"/>
            </w:tcBorders>
          </w:tcPr>
          <w:p>
            <w:pPr>
              <w:pStyle w:val="TableParagraph"/>
              <w:spacing w:before="131"/>
              <w:ind w:left="186"/>
              <w:jc w:val="left"/>
              <w:rPr>
                <w:rFonts w:ascii="Georgia"/>
                <w:sz w:val="20"/>
              </w:rPr>
            </w:pPr>
            <w:r>
              <w:rPr>
                <w:rFonts w:ascii="Georgia"/>
                <w:sz w:val="20"/>
              </w:rPr>
              <w:t>16,3</w:t>
            </w:r>
          </w:p>
        </w:tc>
        <w:tc>
          <w:tcPr>
            <w:tcW w:w="1971" w:type="dxa"/>
            <w:tcBorders>
              <w:top w:val="single" w:sz="4" w:space="0" w:color="2D74B5"/>
              <w:bottom w:val="single" w:sz="4" w:space="0" w:color="2D74B5"/>
            </w:tcBorders>
          </w:tcPr>
          <w:p>
            <w:pPr>
              <w:pStyle w:val="TableParagraph"/>
              <w:spacing w:before="131"/>
              <w:ind w:left="235"/>
              <w:jc w:val="left"/>
              <w:rPr>
                <w:rFonts w:ascii="Georgia"/>
                <w:sz w:val="20"/>
              </w:rPr>
            </w:pPr>
            <w:r>
              <w:rPr>
                <w:rFonts w:ascii="Georgia"/>
                <w:sz w:val="20"/>
              </w:rPr>
              <w:t>109,4</w:t>
            </w:r>
          </w:p>
        </w:tc>
      </w:tr>
      <w:tr>
        <w:trPr>
          <w:trHeight w:val="566" w:hRule="exact"/>
        </w:trPr>
        <w:tc>
          <w:tcPr>
            <w:tcW w:w="2896" w:type="dxa"/>
          </w:tcPr>
          <w:p>
            <w:pPr>
              <w:pStyle w:val="TableParagraph"/>
              <w:spacing w:before="4"/>
              <w:ind w:left="200"/>
              <w:jc w:val="left"/>
              <w:rPr>
                <w:rFonts w:ascii="Georgia"/>
                <w:b/>
                <w:sz w:val="20"/>
              </w:rPr>
            </w:pPr>
            <w:r>
              <w:rPr>
                <w:rFonts w:ascii="Georgia"/>
                <w:b/>
                <w:color w:val="1F4E79"/>
                <w:w w:val="105"/>
                <w:sz w:val="20"/>
              </w:rPr>
              <w:t>Enterprise Value (EV)</w:t>
            </w:r>
          </w:p>
        </w:tc>
        <w:tc>
          <w:tcPr>
            <w:tcW w:w="767" w:type="dxa"/>
            <w:tcBorders>
              <w:top w:val="single" w:sz="4" w:space="0" w:color="2D74B5"/>
              <w:bottom w:val="single" w:sz="4" w:space="0" w:color="2D74B5"/>
            </w:tcBorders>
          </w:tcPr>
          <w:p>
            <w:pPr>
              <w:pStyle w:val="TableParagraph"/>
              <w:spacing w:before="126"/>
              <w:ind w:left="108"/>
              <w:jc w:val="left"/>
              <w:rPr>
                <w:rFonts w:ascii="Georgia"/>
                <w:b/>
                <w:sz w:val="20"/>
              </w:rPr>
            </w:pPr>
            <w:r>
              <w:rPr>
                <w:rFonts w:ascii="Georgia"/>
                <w:b/>
                <w:sz w:val="20"/>
              </w:rPr>
              <w:t>59,0</w:t>
            </w:r>
          </w:p>
        </w:tc>
        <w:tc>
          <w:tcPr>
            <w:tcW w:w="786" w:type="dxa"/>
            <w:tcBorders>
              <w:top w:val="single" w:sz="4" w:space="0" w:color="2D74B5"/>
              <w:bottom w:val="single" w:sz="4" w:space="0" w:color="2D74B5"/>
            </w:tcBorders>
          </w:tcPr>
          <w:p>
            <w:pPr>
              <w:pStyle w:val="TableParagraph"/>
              <w:spacing w:before="126"/>
              <w:ind w:left="190"/>
              <w:jc w:val="left"/>
              <w:rPr>
                <w:rFonts w:ascii="Georgia"/>
                <w:b/>
                <w:sz w:val="20"/>
              </w:rPr>
            </w:pPr>
            <w:r>
              <w:rPr>
                <w:rFonts w:ascii="Georgia"/>
                <w:b/>
                <w:sz w:val="20"/>
              </w:rPr>
              <w:t>44,7</w:t>
            </w:r>
          </w:p>
        </w:tc>
        <w:tc>
          <w:tcPr>
            <w:tcW w:w="776" w:type="dxa"/>
            <w:tcBorders>
              <w:top w:val="single" w:sz="4" w:space="0" w:color="2D74B5"/>
              <w:bottom w:val="single" w:sz="4" w:space="0" w:color="2D74B5"/>
            </w:tcBorders>
          </w:tcPr>
          <w:p>
            <w:pPr>
              <w:pStyle w:val="TableParagraph"/>
              <w:spacing w:before="126"/>
              <w:ind w:left="112"/>
              <w:jc w:val="left"/>
              <w:rPr>
                <w:rFonts w:ascii="Georgia"/>
                <w:b/>
                <w:sz w:val="20"/>
              </w:rPr>
            </w:pPr>
            <w:r>
              <w:rPr>
                <w:rFonts w:ascii="Georgia"/>
                <w:b/>
                <w:sz w:val="20"/>
              </w:rPr>
              <w:t>51,2</w:t>
            </w:r>
          </w:p>
        </w:tc>
        <w:tc>
          <w:tcPr>
            <w:tcW w:w="944" w:type="dxa"/>
            <w:tcBorders>
              <w:top w:val="single" w:sz="4" w:space="0" w:color="2D74B5"/>
              <w:bottom w:val="single" w:sz="4" w:space="0" w:color="2D74B5"/>
            </w:tcBorders>
          </w:tcPr>
          <w:p>
            <w:pPr>
              <w:pStyle w:val="TableParagraph"/>
              <w:spacing w:before="126"/>
              <w:ind w:left="186"/>
              <w:jc w:val="left"/>
              <w:rPr>
                <w:rFonts w:ascii="Georgia"/>
                <w:b/>
                <w:sz w:val="20"/>
              </w:rPr>
            </w:pPr>
            <w:r>
              <w:rPr>
                <w:rFonts w:ascii="Georgia"/>
                <w:b/>
                <w:sz w:val="20"/>
              </w:rPr>
              <w:t>35,1</w:t>
            </w:r>
          </w:p>
        </w:tc>
        <w:tc>
          <w:tcPr>
            <w:tcW w:w="1971" w:type="dxa"/>
            <w:tcBorders>
              <w:top w:val="single" w:sz="4" w:space="0" w:color="2D74B5"/>
              <w:bottom w:val="single" w:sz="4" w:space="0" w:color="2D74B5"/>
            </w:tcBorders>
          </w:tcPr>
          <w:p>
            <w:pPr>
              <w:pStyle w:val="TableParagraph"/>
              <w:spacing w:before="126"/>
              <w:ind w:left="235"/>
              <w:jc w:val="left"/>
              <w:rPr>
                <w:rFonts w:ascii="Georgia"/>
                <w:b/>
                <w:sz w:val="20"/>
              </w:rPr>
            </w:pPr>
            <w:r>
              <w:rPr>
                <w:rFonts w:ascii="Georgia"/>
                <w:b/>
                <w:w w:val="105"/>
                <w:sz w:val="20"/>
              </w:rPr>
              <w:t>190,1</w:t>
            </w:r>
          </w:p>
        </w:tc>
      </w:tr>
      <w:tr>
        <w:trPr>
          <w:trHeight w:val="569" w:hRule="exact"/>
        </w:trPr>
        <w:tc>
          <w:tcPr>
            <w:tcW w:w="2896" w:type="dxa"/>
          </w:tcPr>
          <w:p>
            <w:pPr>
              <w:pStyle w:val="TableParagraph"/>
              <w:spacing w:before="4"/>
              <w:ind w:left="200"/>
              <w:jc w:val="left"/>
              <w:rPr>
                <w:rFonts w:ascii="Georgia"/>
                <w:sz w:val="20"/>
              </w:rPr>
            </w:pPr>
            <w:r>
              <w:rPr>
                <w:rFonts w:ascii="Georgia"/>
                <w:color w:val="1F4E79"/>
                <w:sz w:val="20"/>
              </w:rPr>
              <w:t>EV/EBITDA</w:t>
            </w:r>
          </w:p>
        </w:tc>
        <w:tc>
          <w:tcPr>
            <w:tcW w:w="767" w:type="dxa"/>
            <w:tcBorders>
              <w:top w:val="single" w:sz="4" w:space="0" w:color="2D74B5"/>
              <w:bottom w:val="single" w:sz="4" w:space="0" w:color="2D74B5"/>
            </w:tcBorders>
          </w:tcPr>
          <w:p>
            <w:pPr>
              <w:pStyle w:val="TableParagraph"/>
              <w:spacing w:before="128"/>
              <w:ind w:left="108"/>
              <w:jc w:val="left"/>
              <w:rPr>
                <w:rFonts w:ascii="Georgia"/>
                <w:sz w:val="20"/>
              </w:rPr>
            </w:pPr>
            <w:r>
              <w:rPr>
                <w:rFonts w:ascii="Georgia"/>
                <w:sz w:val="20"/>
              </w:rPr>
              <w:t>4,9 x</w:t>
            </w:r>
          </w:p>
        </w:tc>
        <w:tc>
          <w:tcPr>
            <w:tcW w:w="786" w:type="dxa"/>
            <w:tcBorders>
              <w:top w:val="single" w:sz="4" w:space="0" w:color="2D74B5"/>
              <w:bottom w:val="single" w:sz="4" w:space="0" w:color="2D74B5"/>
            </w:tcBorders>
          </w:tcPr>
          <w:p>
            <w:pPr>
              <w:pStyle w:val="TableParagraph"/>
              <w:spacing w:before="128"/>
              <w:ind w:left="190"/>
              <w:jc w:val="left"/>
              <w:rPr>
                <w:rFonts w:ascii="Georgia"/>
                <w:sz w:val="20"/>
              </w:rPr>
            </w:pPr>
            <w:r>
              <w:rPr>
                <w:rFonts w:ascii="Georgia"/>
                <w:sz w:val="20"/>
              </w:rPr>
              <w:t>2,6 x</w:t>
            </w:r>
          </w:p>
        </w:tc>
        <w:tc>
          <w:tcPr>
            <w:tcW w:w="776" w:type="dxa"/>
            <w:tcBorders>
              <w:top w:val="single" w:sz="4" w:space="0" w:color="2D74B5"/>
              <w:bottom w:val="single" w:sz="4" w:space="0" w:color="2D74B5"/>
            </w:tcBorders>
          </w:tcPr>
          <w:p>
            <w:pPr>
              <w:pStyle w:val="TableParagraph"/>
              <w:spacing w:before="128"/>
              <w:ind w:left="112"/>
              <w:jc w:val="left"/>
              <w:rPr>
                <w:rFonts w:ascii="Georgia"/>
                <w:sz w:val="20"/>
              </w:rPr>
            </w:pPr>
            <w:r>
              <w:rPr>
                <w:rFonts w:ascii="Georgia"/>
                <w:sz w:val="20"/>
              </w:rPr>
              <w:t>3,2 x</w:t>
            </w:r>
          </w:p>
        </w:tc>
        <w:tc>
          <w:tcPr>
            <w:tcW w:w="944" w:type="dxa"/>
            <w:tcBorders>
              <w:top w:val="single" w:sz="4" w:space="0" w:color="2D74B5"/>
              <w:bottom w:val="single" w:sz="4" w:space="0" w:color="2D74B5"/>
            </w:tcBorders>
          </w:tcPr>
          <w:p>
            <w:pPr>
              <w:pStyle w:val="TableParagraph"/>
              <w:spacing w:before="128"/>
              <w:ind w:left="186"/>
              <w:jc w:val="left"/>
              <w:rPr>
                <w:rFonts w:ascii="Georgia"/>
                <w:sz w:val="20"/>
              </w:rPr>
            </w:pPr>
            <w:r>
              <w:rPr>
                <w:rFonts w:ascii="Georgia"/>
                <w:sz w:val="20"/>
              </w:rPr>
              <w:t>4,9 x</w:t>
            </w:r>
          </w:p>
        </w:tc>
        <w:tc>
          <w:tcPr>
            <w:tcW w:w="1971" w:type="dxa"/>
            <w:tcBorders>
              <w:top w:val="single" w:sz="4" w:space="0" w:color="2D74B5"/>
              <w:bottom w:val="single" w:sz="4" w:space="0" w:color="2D74B5"/>
            </w:tcBorders>
          </w:tcPr>
          <w:p>
            <w:pPr>
              <w:pStyle w:val="TableParagraph"/>
              <w:spacing w:before="128"/>
              <w:ind w:left="235"/>
              <w:jc w:val="left"/>
              <w:rPr>
                <w:rFonts w:ascii="Georgia"/>
                <w:sz w:val="20"/>
              </w:rPr>
            </w:pPr>
            <w:r>
              <w:rPr>
                <w:rFonts w:ascii="Georgia"/>
                <w:sz w:val="20"/>
              </w:rPr>
              <w:t>3,6 x</w:t>
            </w:r>
          </w:p>
        </w:tc>
      </w:tr>
      <w:tr>
        <w:trPr>
          <w:trHeight w:val="470" w:hRule="exact"/>
        </w:trPr>
        <w:tc>
          <w:tcPr>
            <w:tcW w:w="2896" w:type="dxa"/>
          </w:tcPr>
          <w:p>
            <w:pPr>
              <w:pStyle w:val="TableParagraph"/>
              <w:spacing w:before="4"/>
              <w:ind w:left="200"/>
              <w:jc w:val="left"/>
              <w:rPr>
                <w:rFonts w:ascii="Georgia"/>
                <w:sz w:val="20"/>
              </w:rPr>
            </w:pPr>
            <w:r>
              <w:rPr>
                <w:rFonts w:ascii="Georgia"/>
                <w:color w:val="1F4E79"/>
                <w:sz w:val="20"/>
              </w:rPr>
              <w:t>Cash &amp; CE (C&amp;CE)</w:t>
            </w:r>
          </w:p>
        </w:tc>
        <w:tc>
          <w:tcPr>
            <w:tcW w:w="767" w:type="dxa"/>
            <w:tcBorders>
              <w:top w:val="single" w:sz="4" w:space="0" w:color="2D74B5"/>
              <w:bottom w:val="single" w:sz="4" w:space="0" w:color="2D74B5"/>
            </w:tcBorders>
          </w:tcPr>
          <w:p>
            <w:pPr>
              <w:pStyle w:val="TableParagraph"/>
              <w:spacing w:before="25"/>
              <w:ind w:left="108"/>
              <w:jc w:val="left"/>
              <w:rPr>
                <w:rFonts w:ascii="Georgia"/>
                <w:sz w:val="20"/>
              </w:rPr>
            </w:pPr>
            <w:r>
              <w:rPr>
                <w:rFonts w:ascii="Georgia"/>
                <w:sz w:val="20"/>
              </w:rPr>
              <w:t>9,7</w:t>
            </w:r>
          </w:p>
        </w:tc>
        <w:tc>
          <w:tcPr>
            <w:tcW w:w="786" w:type="dxa"/>
            <w:tcBorders>
              <w:top w:val="single" w:sz="4" w:space="0" w:color="2D74B5"/>
              <w:bottom w:val="single" w:sz="4" w:space="0" w:color="2D74B5"/>
            </w:tcBorders>
          </w:tcPr>
          <w:p>
            <w:pPr>
              <w:pStyle w:val="TableParagraph"/>
              <w:spacing w:before="25"/>
              <w:ind w:left="190"/>
              <w:jc w:val="left"/>
              <w:rPr>
                <w:rFonts w:ascii="Georgia"/>
                <w:sz w:val="20"/>
              </w:rPr>
            </w:pPr>
            <w:r>
              <w:rPr>
                <w:rFonts w:ascii="Georgia"/>
                <w:sz w:val="20"/>
              </w:rPr>
              <w:t>0,1</w:t>
            </w:r>
          </w:p>
        </w:tc>
        <w:tc>
          <w:tcPr>
            <w:tcW w:w="776" w:type="dxa"/>
            <w:tcBorders>
              <w:top w:val="single" w:sz="4" w:space="0" w:color="2D74B5"/>
              <w:bottom w:val="single" w:sz="4" w:space="0" w:color="2D74B5"/>
            </w:tcBorders>
          </w:tcPr>
          <w:p>
            <w:pPr>
              <w:pStyle w:val="TableParagraph"/>
              <w:spacing w:before="25"/>
              <w:ind w:left="112"/>
              <w:jc w:val="left"/>
              <w:rPr>
                <w:rFonts w:ascii="Georgia"/>
                <w:sz w:val="20"/>
              </w:rPr>
            </w:pPr>
            <w:r>
              <w:rPr>
                <w:rFonts w:ascii="Georgia"/>
                <w:sz w:val="20"/>
              </w:rPr>
              <w:t>13,4</w:t>
            </w:r>
          </w:p>
        </w:tc>
        <w:tc>
          <w:tcPr>
            <w:tcW w:w="944" w:type="dxa"/>
            <w:tcBorders>
              <w:top w:val="single" w:sz="4" w:space="0" w:color="2D74B5"/>
              <w:bottom w:val="single" w:sz="4" w:space="0" w:color="2D74B5"/>
            </w:tcBorders>
          </w:tcPr>
          <w:p>
            <w:pPr>
              <w:pStyle w:val="TableParagraph"/>
              <w:spacing w:before="25"/>
              <w:ind w:left="186"/>
              <w:jc w:val="left"/>
              <w:rPr>
                <w:rFonts w:ascii="Georgia"/>
                <w:sz w:val="20"/>
              </w:rPr>
            </w:pPr>
            <w:r>
              <w:rPr>
                <w:rFonts w:ascii="Georgia"/>
                <w:w w:val="99"/>
                <w:sz w:val="20"/>
              </w:rPr>
              <w:t>-</w:t>
            </w:r>
          </w:p>
        </w:tc>
        <w:tc>
          <w:tcPr>
            <w:tcW w:w="1971" w:type="dxa"/>
            <w:tcBorders>
              <w:top w:val="single" w:sz="4" w:space="0" w:color="2D74B5"/>
              <w:bottom w:val="single" w:sz="4" w:space="0" w:color="2D74B5"/>
            </w:tcBorders>
          </w:tcPr>
          <w:p>
            <w:pPr>
              <w:pStyle w:val="TableParagraph"/>
              <w:spacing w:before="25"/>
              <w:ind w:left="235"/>
              <w:jc w:val="left"/>
              <w:rPr>
                <w:rFonts w:ascii="Georgia"/>
                <w:sz w:val="20"/>
              </w:rPr>
            </w:pPr>
            <w:r>
              <w:rPr>
                <w:rFonts w:ascii="Georgia"/>
                <w:sz w:val="20"/>
              </w:rPr>
              <w:t>23,3</w:t>
            </w:r>
          </w:p>
        </w:tc>
      </w:tr>
      <w:tr>
        <w:trPr>
          <w:trHeight w:val="569" w:hRule="exact"/>
        </w:trPr>
        <w:tc>
          <w:tcPr>
            <w:tcW w:w="2896" w:type="dxa"/>
          </w:tcPr>
          <w:p>
            <w:pPr>
              <w:pStyle w:val="TableParagraph"/>
              <w:spacing w:before="4"/>
              <w:ind w:left="200"/>
              <w:jc w:val="left"/>
              <w:rPr>
                <w:rFonts w:ascii="Georgia"/>
                <w:b/>
                <w:sz w:val="20"/>
              </w:rPr>
            </w:pPr>
            <w:r>
              <w:rPr>
                <w:rFonts w:ascii="Georgia"/>
                <w:b/>
                <w:color w:val="1F4E79"/>
                <w:sz w:val="20"/>
              </w:rPr>
              <w:t>EV + C&amp;CE</w:t>
            </w:r>
          </w:p>
        </w:tc>
        <w:tc>
          <w:tcPr>
            <w:tcW w:w="767" w:type="dxa"/>
            <w:tcBorders>
              <w:top w:val="single" w:sz="4" w:space="0" w:color="2D74B5"/>
              <w:bottom w:val="single" w:sz="4" w:space="0" w:color="2D74B5"/>
            </w:tcBorders>
          </w:tcPr>
          <w:p>
            <w:pPr>
              <w:pStyle w:val="TableParagraph"/>
              <w:spacing w:before="128"/>
              <w:ind w:left="108"/>
              <w:jc w:val="left"/>
              <w:rPr>
                <w:rFonts w:ascii="Georgia"/>
                <w:b/>
                <w:sz w:val="20"/>
              </w:rPr>
            </w:pPr>
            <w:r>
              <w:rPr>
                <w:rFonts w:ascii="Georgia"/>
                <w:b/>
                <w:sz w:val="20"/>
              </w:rPr>
              <w:t>68,7</w:t>
            </w:r>
          </w:p>
        </w:tc>
        <w:tc>
          <w:tcPr>
            <w:tcW w:w="786" w:type="dxa"/>
            <w:tcBorders>
              <w:top w:val="single" w:sz="4" w:space="0" w:color="2D74B5"/>
              <w:bottom w:val="single" w:sz="4" w:space="0" w:color="2D74B5"/>
            </w:tcBorders>
          </w:tcPr>
          <w:p>
            <w:pPr>
              <w:pStyle w:val="TableParagraph"/>
              <w:spacing w:before="128"/>
              <w:ind w:left="190"/>
              <w:jc w:val="left"/>
              <w:rPr>
                <w:rFonts w:ascii="Georgia"/>
                <w:b/>
                <w:sz w:val="20"/>
              </w:rPr>
            </w:pPr>
            <w:r>
              <w:rPr>
                <w:rFonts w:ascii="Georgia"/>
                <w:b/>
                <w:w w:val="105"/>
                <w:sz w:val="20"/>
              </w:rPr>
              <w:t>44,8</w:t>
            </w:r>
          </w:p>
        </w:tc>
        <w:tc>
          <w:tcPr>
            <w:tcW w:w="776" w:type="dxa"/>
            <w:tcBorders>
              <w:top w:val="single" w:sz="4" w:space="0" w:color="2D74B5"/>
              <w:bottom w:val="single" w:sz="4" w:space="0" w:color="2D74B5"/>
            </w:tcBorders>
          </w:tcPr>
          <w:p>
            <w:pPr>
              <w:pStyle w:val="TableParagraph"/>
              <w:spacing w:before="128"/>
              <w:ind w:left="112"/>
              <w:jc w:val="left"/>
              <w:rPr>
                <w:rFonts w:ascii="Georgia"/>
                <w:b/>
                <w:sz w:val="20"/>
              </w:rPr>
            </w:pPr>
            <w:r>
              <w:rPr>
                <w:rFonts w:ascii="Georgia"/>
                <w:b/>
                <w:w w:val="105"/>
                <w:sz w:val="20"/>
              </w:rPr>
              <w:t>64,6</w:t>
            </w:r>
          </w:p>
        </w:tc>
        <w:tc>
          <w:tcPr>
            <w:tcW w:w="944" w:type="dxa"/>
            <w:tcBorders>
              <w:top w:val="single" w:sz="4" w:space="0" w:color="2D74B5"/>
              <w:bottom w:val="single" w:sz="4" w:space="0" w:color="2D74B5"/>
            </w:tcBorders>
          </w:tcPr>
          <w:p>
            <w:pPr>
              <w:pStyle w:val="TableParagraph"/>
              <w:spacing w:before="128"/>
              <w:ind w:left="186"/>
              <w:jc w:val="left"/>
              <w:rPr>
                <w:rFonts w:ascii="Georgia"/>
                <w:b/>
                <w:sz w:val="20"/>
              </w:rPr>
            </w:pPr>
            <w:r>
              <w:rPr>
                <w:rFonts w:ascii="Georgia"/>
                <w:b/>
                <w:sz w:val="20"/>
              </w:rPr>
              <w:t>35,1</w:t>
            </w:r>
          </w:p>
        </w:tc>
        <w:tc>
          <w:tcPr>
            <w:tcW w:w="1971" w:type="dxa"/>
            <w:tcBorders>
              <w:top w:val="single" w:sz="4" w:space="0" w:color="2D74B5"/>
              <w:bottom w:val="single" w:sz="4" w:space="0" w:color="2D74B5"/>
            </w:tcBorders>
          </w:tcPr>
          <w:p>
            <w:pPr>
              <w:pStyle w:val="TableParagraph"/>
              <w:spacing w:before="128"/>
              <w:ind w:left="235"/>
              <w:jc w:val="left"/>
              <w:rPr>
                <w:rFonts w:ascii="Georgia"/>
                <w:b/>
                <w:sz w:val="20"/>
              </w:rPr>
            </w:pPr>
            <w:r>
              <w:rPr>
                <w:rFonts w:ascii="Georgia"/>
                <w:b/>
                <w:sz w:val="20"/>
              </w:rPr>
              <w:t>213,3</w:t>
            </w:r>
          </w:p>
        </w:tc>
      </w:tr>
    </w:tbl>
    <w:p>
      <w:pPr>
        <w:pStyle w:val="BodyText"/>
        <w:rPr>
          <w:sz w:val="20"/>
        </w:rPr>
      </w:pPr>
    </w:p>
    <w:p>
      <w:pPr>
        <w:pStyle w:val="BodyText"/>
        <w:rPr>
          <w:sz w:val="20"/>
        </w:rPr>
      </w:pPr>
    </w:p>
    <w:p>
      <w:pPr>
        <w:pStyle w:val="BodyText"/>
        <w:spacing w:before="8"/>
        <w:rPr>
          <w:sz w:val="22"/>
        </w:rPr>
      </w:pPr>
    </w:p>
    <w:p>
      <w:pPr>
        <w:pStyle w:val="BodyText"/>
        <w:spacing w:line="357" w:lineRule="auto" w:before="100"/>
        <w:ind w:left="1418" w:right="1518"/>
      </w:pPr>
      <w:r>
        <w:rPr/>
        <w:t>I valutatori hanno poi effettuato un’analisi degli intervalli di valore economico e una “</w:t>
      </w:r>
      <w:r>
        <w:rPr>
          <w:i/>
        </w:rPr>
        <w:t>sensitivity </w:t>
      </w:r>
      <w:r>
        <w:rPr>
          <w:i/>
        </w:rPr>
        <w:t>analysis” </w:t>
      </w:r>
      <w:r>
        <w:rPr/>
        <w:t>confermando i valori sopra riportati.</w:t>
      </w:r>
    </w:p>
    <w:p>
      <w:pPr>
        <w:spacing w:after="0" w:line="357"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360" w:lineRule="auto" w:before="100"/>
        <w:ind w:left="1418" w:right="1518"/>
      </w:pPr>
      <w:r>
        <w:rPr/>
        <w:t>Attraverso la differenza tra le due serie di valori sopra riportati è stato poi determinato un valore delle sinergie come segue:</w:t>
      </w:r>
    </w:p>
    <w:p>
      <w:pPr>
        <w:pStyle w:val="BodyText"/>
        <w:rPr>
          <w:sz w:val="20"/>
        </w:rPr>
      </w:pPr>
    </w:p>
    <w:p>
      <w:pPr>
        <w:pStyle w:val="BodyText"/>
        <w:spacing w:before="8"/>
        <w:rPr>
          <w:sz w:val="15"/>
        </w:rPr>
      </w:pPr>
    </w:p>
    <w:tbl>
      <w:tblPr>
        <w:tblW w:w="0" w:type="auto"/>
        <w:jc w:val="left"/>
        <w:tblInd w:w="183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129"/>
        <w:gridCol w:w="616"/>
        <w:gridCol w:w="683"/>
        <w:gridCol w:w="785"/>
        <w:gridCol w:w="887"/>
        <w:gridCol w:w="2042"/>
      </w:tblGrid>
      <w:tr>
        <w:trPr>
          <w:trHeight w:val="515" w:hRule="exact"/>
        </w:trPr>
        <w:tc>
          <w:tcPr>
            <w:tcW w:w="3129" w:type="dxa"/>
          </w:tcPr>
          <w:p>
            <w:pPr/>
          </w:p>
        </w:tc>
        <w:tc>
          <w:tcPr>
            <w:tcW w:w="616" w:type="dxa"/>
            <w:tcBorders>
              <w:bottom w:val="single" w:sz="4" w:space="0" w:color="2D74B5"/>
            </w:tcBorders>
          </w:tcPr>
          <w:p>
            <w:pPr>
              <w:pStyle w:val="TableParagraph"/>
              <w:spacing w:before="0"/>
              <w:ind w:left="107"/>
              <w:jc w:val="left"/>
              <w:rPr>
                <w:rFonts w:ascii="Georgia"/>
                <w:b/>
                <w:sz w:val="18"/>
              </w:rPr>
            </w:pPr>
            <w:r>
              <w:rPr>
                <w:rFonts w:ascii="Georgia"/>
                <w:b/>
                <w:color w:val="1F4E79"/>
                <w:sz w:val="18"/>
              </w:rPr>
              <w:t>BCT</w:t>
            </w:r>
          </w:p>
        </w:tc>
        <w:tc>
          <w:tcPr>
            <w:tcW w:w="683" w:type="dxa"/>
            <w:tcBorders>
              <w:bottom w:val="single" w:sz="4" w:space="0" w:color="2D74B5"/>
            </w:tcBorders>
          </w:tcPr>
          <w:p>
            <w:pPr>
              <w:pStyle w:val="TableParagraph"/>
              <w:spacing w:before="0"/>
              <w:ind w:left="109"/>
              <w:jc w:val="left"/>
              <w:rPr>
                <w:rFonts w:ascii="Georgia"/>
                <w:b/>
                <w:sz w:val="18"/>
              </w:rPr>
            </w:pPr>
            <w:r>
              <w:rPr>
                <w:rFonts w:ascii="Georgia"/>
                <w:b/>
                <w:color w:val="1F4E79"/>
                <w:sz w:val="18"/>
              </w:rPr>
              <w:t>BRN</w:t>
            </w:r>
          </w:p>
        </w:tc>
        <w:tc>
          <w:tcPr>
            <w:tcW w:w="785" w:type="dxa"/>
            <w:tcBorders>
              <w:bottom w:val="single" w:sz="4" w:space="0" w:color="2D74B5"/>
            </w:tcBorders>
          </w:tcPr>
          <w:p>
            <w:pPr>
              <w:pStyle w:val="TableParagraph"/>
              <w:spacing w:before="0"/>
              <w:ind w:left="134"/>
              <w:jc w:val="left"/>
              <w:rPr>
                <w:rFonts w:ascii="Georgia"/>
                <w:b/>
                <w:sz w:val="18"/>
              </w:rPr>
            </w:pPr>
            <w:r>
              <w:rPr>
                <w:rFonts w:ascii="Georgia"/>
                <w:b/>
                <w:color w:val="1F4E79"/>
                <w:w w:val="105"/>
                <w:sz w:val="18"/>
              </w:rPr>
              <w:t>IBP</w:t>
            </w:r>
          </w:p>
        </w:tc>
        <w:tc>
          <w:tcPr>
            <w:tcW w:w="887" w:type="dxa"/>
            <w:tcBorders>
              <w:bottom w:val="single" w:sz="4" w:space="0" w:color="2D74B5"/>
            </w:tcBorders>
          </w:tcPr>
          <w:p>
            <w:pPr>
              <w:pStyle w:val="TableParagraph"/>
              <w:spacing w:before="0"/>
              <w:ind w:left="199"/>
              <w:jc w:val="left"/>
              <w:rPr>
                <w:rFonts w:ascii="Georgia"/>
                <w:b/>
                <w:sz w:val="18"/>
              </w:rPr>
            </w:pPr>
            <w:r>
              <w:rPr>
                <w:rFonts w:ascii="Georgia"/>
                <w:b/>
                <w:color w:val="1F4E79"/>
                <w:w w:val="110"/>
                <w:sz w:val="18"/>
              </w:rPr>
              <w:t>IBPE</w:t>
            </w:r>
          </w:p>
        </w:tc>
        <w:tc>
          <w:tcPr>
            <w:tcW w:w="2042" w:type="dxa"/>
            <w:tcBorders>
              <w:bottom w:val="single" w:sz="4" w:space="0" w:color="2D74B5"/>
            </w:tcBorders>
          </w:tcPr>
          <w:p>
            <w:pPr>
              <w:pStyle w:val="TableParagraph"/>
              <w:spacing w:before="0"/>
              <w:ind w:left="165"/>
              <w:jc w:val="left"/>
              <w:rPr>
                <w:rFonts w:ascii="Georgia"/>
                <w:b/>
                <w:sz w:val="18"/>
              </w:rPr>
            </w:pPr>
            <w:r>
              <w:rPr>
                <w:rFonts w:ascii="Georgia"/>
                <w:b/>
                <w:color w:val="1F4E79"/>
                <w:w w:val="110"/>
                <w:sz w:val="18"/>
              </w:rPr>
              <w:t>Perimetro Bio</w:t>
            </w:r>
          </w:p>
        </w:tc>
      </w:tr>
      <w:tr>
        <w:trPr>
          <w:trHeight w:val="217" w:hRule="exact"/>
        </w:trPr>
        <w:tc>
          <w:tcPr>
            <w:tcW w:w="3129" w:type="dxa"/>
          </w:tcPr>
          <w:p>
            <w:pPr>
              <w:pStyle w:val="TableParagraph"/>
              <w:spacing w:before="4"/>
              <w:ind w:left="200"/>
              <w:jc w:val="left"/>
              <w:rPr>
                <w:rFonts w:ascii="Georgia"/>
                <w:sz w:val="20"/>
              </w:rPr>
            </w:pPr>
            <w:r>
              <w:rPr>
                <w:rFonts w:ascii="Georgia"/>
                <w:color w:val="1F4E79"/>
                <w:sz w:val="20"/>
              </w:rPr>
              <w:t>EV in prospettiva stand-alone</w:t>
            </w:r>
          </w:p>
        </w:tc>
        <w:tc>
          <w:tcPr>
            <w:tcW w:w="616" w:type="dxa"/>
            <w:tcBorders>
              <w:top w:val="single" w:sz="4" w:space="0" w:color="2D74B5"/>
            </w:tcBorders>
          </w:tcPr>
          <w:p>
            <w:pPr/>
          </w:p>
        </w:tc>
        <w:tc>
          <w:tcPr>
            <w:tcW w:w="683" w:type="dxa"/>
            <w:tcBorders>
              <w:top w:val="single" w:sz="4" w:space="0" w:color="2D74B5"/>
            </w:tcBorders>
          </w:tcPr>
          <w:p>
            <w:pPr/>
          </w:p>
        </w:tc>
        <w:tc>
          <w:tcPr>
            <w:tcW w:w="785" w:type="dxa"/>
            <w:tcBorders>
              <w:top w:val="single" w:sz="4" w:space="0" w:color="2D74B5"/>
            </w:tcBorders>
          </w:tcPr>
          <w:p>
            <w:pPr/>
          </w:p>
        </w:tc>
        <w:tc>
          <w:tcPr>
            <w:tcW w:w="887" w:type="dxa"/>
            <w:tcBorders>
              <w:top w:val="single" w:sz="4" w:space="0" w:color="2D74B5"/>
            </w:tcBorders>
          </w:tcPr>
          <w:p>
            <w:pPr/>
          </w:p>
        </w:tc>
        <w:tc>
          <w:tcPr>
            <w:tcW w:w="2042" w:type="dxa"/>
            <w:tcBorders>
              <w:top w:val="single" w:sz="4" w:space="0" w:color="2D74B5"/>
            </w:tcBorders>
          </w:tcPr>
          <w:p>
            <w:pPr/>
          </w:p>
        </w:tc>
      </w:tr>
      <w:tr>
        <w:trPr>
          <w:trHeight w:val="400" w:hRule="exact"/>
        </w:trPr>
        <w:tc>
          <w:tcPr>
            <w:tcW w:w="3129" w:type="dxa"/>
          </w:tcPr>
          <w:p>
            <w:pPr/>
          </w:p>
        </w:tc>
        <w:tc>
          <w:tcPr>
            <w:tcW w:w="616" w:type="dxa"/>
            <w:tcBorders>
              <w:bottom w:val="single" w:sz="4" w:space="0" w:color="2D74B5"/>
            </w:tcBorders>
          </w:tcPr>
          <w:p>
            <w:pPr>
              <w:pStyle w:val="TableParagraph"/>
              <w:spacing w:line="190" w:lineRule="exact" w:before="0"/>
              <w:ind w:left="107"/>
              <w:jc w:val="left"/>
              <w:rPr>
                <w:rFonts w:ascii="Georgia"/>
                <w:sz w:val="18"/>
              </w:rPr>
            </w:pPr>
            <w:r>
              <w:rPr>
                <w:rFonts w:ascii="Georgia"/>
                <w:sz w:val="18"/>
              </w:rPr>
              <w:t>17,7</w:t>
            </w:r>
          </w:p>
        </w:tc>
        <w:tc>
          <w:tcPr>
            <w:tcW w:w="683" w:type="dxa"/>
            <w:tcBorders>
              <w:bottom w:val="single" w:sz="4" w:space="0" w:color="2D74B5"/>
            </w:tcBorders>
          </w:tcPr>
          <w:p>
            <w:pPr>
              <w:pStyle w:val="TableParagraph"/>
              <w:spacing w:line="190" w:lineRule="exact" w:before="0"/>
              <w:ind w:left="109"/>
              <w:jc w:val="left"/>
              <w:rPr>
                <w:rFonts w:ascii="Georgia"/>
                <w:sz w:val="18"/>
              </w:rPr>
            </w:pPr>
            <w:r>
              <w:rPr>
                <w:rFonts w:ascii="Georgia"/>
                <w:sz w:val="18"/>
              </w:rPr>
              <w:t>26,1</w:t>
            </w:r>
          </w:p>
        </w:tc>
        <w:tc>
          <w:tcPr>
            <w:tcW w:w="785" w:type="dxa"/>
            <w:tcBorders>
              <w:bottom w:val="single" w:sz="4" w:space="0" w:color="2D74B5"/>
            </w:tcBorders>
          </w:tcPr>
          <w:p>
            <w:pPr>
              <w:pStyle w:val="TableParagraph"/>
              <w:spacing w:line="190" w:lineRule="exact" w:before="0"/>
              <w:ind w:left="134"/>
              <w:jc w:val="left"/>
              <w:rPr>
                <w:rFonts w:ascii="Georgia"/>
                <w:sz w:val="18"/>
              </w:rPr>
            </w:pPr>
            <w:r>
              <w:rPr>
                <w:rFonts w:ascii="Georgia"/>
                <w:sz w:val="18"/>
              </w:rPr>
              <w:t>(17,2)</w:t>
            </w:r>
          </w:p>
        </w:tc>
        <w:tc>
          <w:tcPr>
            <w:tcW w:w="887" w:type="dxa"/>
            <w:tcBorders>
              <w:bottom w:val="single" w:sz="4" w:space="0" w:color="2D74B5"/>
            </w:tcBorders>
          </w:tcPr>
          <w:p>
            <w:pPr>
              <w:pStyle w:val="TableParagraph"/>
              <w:spacing w:line="190" w:lineRule="exact" w:before="0"/>
              <w:ind w:left="199"/>
              <w:jc w:val="left"/>
              <w:rPr>
                <w:rFonts w:ascii="Georgia"/>
                <w:sz w:val="18"/>
              </w:rPr>
            </w:pPr>
            <w:r>
              <w:rPr>
                <w:rFonts w:ascii="Georgia"/>
                <w:sz w:val="18"/>
              </w:rPr>
              <w:t>35,1</w:t>
            </w:r>
          </w:p>
        </w:tc>
        <w:tc>
          <w:tcPr>
            <w:tcW w:w="2042" w:type="dxa"/>
            <w:tcBorders>
              <w:bottom w:val="single" w:sz="4" w:space="0" w:color="2D74B5"/>
            </w:tcBorders>
          </w:tcPr>
          <w:p>
            <w:pPr>
              <w:pStyle w:val="TableParagraph"/>
              <w:spacing w:line="190" w:lineRule="exact" w:before="0"/>
              <w:ind w:left="165"/>
              <w:jc w:val="left"/>
              <w:rPr>
                <w:rFonts w:ascii="Georgia"/>
                <w:sz w:val="18"/>
              </w:rPr>
            </w:pPr>
            <w:r>
              <w:rPr>
                <w:rFonts w:ascii="Georgia"/>
                <w:sz w:val="18"/>
              </w:rPr>
              <w:t>61,7</w:t>
            </w:r>
          </w:p>
        </w:tc>
      </w:tr>
      <w:tr>
        <w:trPr>
          <w:trHeight w:val="211" w:hRule="exact"/>
        </w:trPr>
        <w:tc>
          <w:tcPr>
            <w:tcW w:w="3129" w:type="dxa"/>
          </w:tcPr>
          <w:p>
            <w:pPr>
              <w:pStyle w:val="TableParagraph"/>
              <w:spacing w:before="4"/>
              <w:ind w:left="200"/>
              <w:jc w:val="left"/>
              <w:rPr>
                <w:rFonts w:ascii="Georgia"/>
                <w:sz w:val="20"/>
              </w:rPr>
            </w:pPr>
            <w:r>
              <w:rPr>
                <w:rFonts w:ascii="Georgia"/>
                <w:color w:val="1F4E79"/>
                <w:sz w:val="20"/>
              </w:rPr>
              <w:t>EV in prospettiva integrata</w:t>
            </w:r>
          </w:p>
        </w:tc>
        <w:tc>
          <w:tcPr>
            <w:tcW w:w="616" w:type="dxa"/>
            <w:tcBorders>
              <w:top w:val="single" w:sz="4" w:space="0" w:color="2D74B5"/>
            </w:tcBorders>
          </w:tcPr>
          <w:p>
            <w:pPr/>
          </w:p>
        </w:tc>
        <w:tc>
          <w:tcPr>
            <w:tcW w:w="683" w:type="dxa"/>
            <w:tcBorders>
              <w:top w:val="single" w:sz="4" w:space="0" w:color="2D74B5"/>
            </w:tcBorders>
          </w:tcPr>
          <w:p>
            <w:pPr/>
          </w:p>
        </w:tc>
        <w:tc>
          <w:tcPr>
            <w:tcW w:w="785" w:type="dxa"/>
            <w:tcBorders>
              <w:top w:val="single" w:sz="4" w:space="0" w:color="2D74B5"/>
            </w:tcBorders>
          </w:tcPr>
          <w:p>
            <w:pPr/>
          </w:p>
        </w:tc>
        <w:tc>
          <w:tcPr>
            <w:tcW w:w="887" w:type="dxa"/>
            <w:tcBorders>
              <w:top w:val="single" w:sz="4" w:space="0" w:color="2D74B5"/>
            </w:tcBorders>
          </w:tcPr>
          <w:p>
            <w:pPr/>
          </w:p>
        </w:tc>
        <w:tc>
          <w:tcPr>
            <w:tcW w:w="2042" w:type="dxa"/>
            <w:tcBorders>
              <w:top w:val="single" w:sz="4" w:space="0" w:color="2D74B5"/>
            </w:tcBorders>
          </w:tcPr>
          <w:p>
            <w:pPr/>
          </w:p>
        </w:tc>
      </w:tr>
      <w:tr>
        <w:trPr>
          <w:trHeight w:val="397" w:hRule="exact"/>
        </w:trPr>
        <w:tc>
          <w:tcPr>
            <w:tcW w:w="3129" w:type="dxa"/>
          </w:tcPr>
          <w:p>
            <w:pPr/>
          </w:p>
        </w:tc>
        <w:tc>
          <w:tcPr>
            <w:tcW w:w="616" w:type="dxa"/>
            <w:tcBorders>
              <w:bottom w:val="single" w:sz="4" w:space="0" w:color="2D74B5"/>
            </w:tcBorders>
          </w:tcPr>
          <w:p>
            <w:pPr>
              <w:pStyle w:val="TableParagraph"/>
              <w:spacing w:line="184" w:lineRule="exact" w:before="0"/>
              <w:ind w:left="107"/>
              <w:jc w:val="left"/>
              <w:rPr>
                <w:rFonts w:ascii="Georgia"/>
                <w:sz w:val="18"/>
              </w:rPr>
            </w:pPr>
            <w:r>
              <w:rPr>
                <w:rFonts w:ascii="Georgia"/>
                <w:sz w:val="18"/>
              </w:rPr>
              <w:t>59,0</w:t>
            </w:r>
          </w:p>
        </w:tc>
        <w:tc>
          <w:tcPr>
            <w:tcW w:w="683" w:type="dxa"/>
            <w:tcBorders>
              <w:bottom w:val="single" w:sz="4" w:space="0" w:color="2D74B5"/>
            </w:tcBorders>
          </w:tcPr>
          <w:p>
            <w:pPr>
              <w:pStyle w:val="TableParagraph"/>
              <w:spacing w:line="184" w:lineRule="exact" w:before="0"/>
              <w:ind w:left="109"/>
              <w:jc w:val="left"/>
              <w:rPr>
                <w:rFonts w:ascii="Georgia"/>
                <w:sz w:val="18"/>
              </w:rPr>
            </w:pPr>
            <w:r>
              <w:rPr>
                <w:rFonts w:ascii="Georgia"/>
                <w:sz w:val="18"/>
              </w:rPr>
              <w:t>44,7</w:t>
            </w:r>
          </w:p>
        </w:tc>
        <w:tc>
          <w:tcPr>
            <w:tcW w:w="785" w:type="dxa"/>
            <w:tcBorders>
              <w:bottom w:val="single" w:sz="4" w:space="0" w:color="2D74B5"/>
            </w:tcBorders>
          </w:tcPr>
          <w:p>
            <w:pPr>
              <w:pStyle w:val="TableParagraph"/>
              <w:spacing w:line="184" w:lineRule="exact" w:before="0"/>
              <w:ind w:left="134"/>
              <w:jc w:val="left"/>
              <w:rPr>
                <w:rFonts w:ascii="Georgia"/>
                <w:sz w:val="18"/>
              </w:rPr>
            </w:pPr>
            <w:r>
              <w:rPr>
                <w:rFonts w:ascii="Georgia"/>
                <w:sz w:val="18"/>
              </w:rPr>
              <w:t>51,2</w:t>
            </w:r>
          </w:p>
        </w:tc>
        <w:tc>
          <w:tcPr>
            <w:tcW w:w="887" w:type="dxa"/>
            <w:tcBorders>
              <w:bottom w:val="single" w:sz="4" w:space="0" w:color="2D74B5"/>
            </w:tcBorders>
          </w:tcPr>
          <w:p>
            <w:pPr>
              <w:pStyle w:val="TableParagraph"/>
              <w:spacing w:line="184" w:lineRule="exact" w:before="0"/>
              <w:ind w:left="199"/>
              <w:jc w:val="left"/>
              <w:rPr>
                <w:rFonts w:ascii="Georgia"/>
                <w:sz w:val="18"/>
              </w:rPr>
            </w:pPr>
            <w:r>
              <w:rPr>
                <w:rFonts w:ascii="Georgia"/>
                <w:sz w:val="18"/>
              </w:rPr>
              <w:t>35,1</w:t>
            </w:r>
          </w:p>
        </w:tc>
        <w:tc>
          <w:tcPr>
            <w:tcW w:w="2042" w:type="dxa"/>
            <w:tcBorders>
              <w:bottom w:val="single" w:sz="4" w:space="0" w:color="2D74B5"/>
            </w:tcBorders>
          </w:tcPr>
          <w:p>
            <w:pPr>
              <w:pStyle w:val="TableParagraph"/>
              <w:spacing w:line="184" w:lineRule="exact" w:before="0"/>
              <w:ind w:left="165"/>
              <w:jc w:val="left"/>
              <w:rPr>
                <w:rFonts w:ascii="Georgia"/>
                <w:sz w:val="18"/>
              </w:rPr>
            </w:pPr>
            <w:r>
              <w:rPr>
                <w:rFonts w:ascii="Georgia"/>
                <w:sz w:val="18"/>
              </w:rPr>
              <w:t>190,1</w:t>
            </w:r>
          </w:p>
        </w:tc>
      </w:tr>
      <w:tr>
        <w:trPr>
          <w:trHeight w:val="934" w:hRule="exact"/>
        </w:trPr>
        <w:tc>
          <w:tcPr>
            <w:tcW w:w="3129" w:type="dxa"/>
          </w:tcPr>
          <w:p>
            <w:pPr>
              <w:pStyle w:val="TableParagraph"/>
              <w:spacing w:before="0"/>
              <w:jc w:val="left"/>
              <w:rPr>
                <w:sz w:val="22"/>
              </w:rPr>
            </w:pPr>
          </w:p>
          <w:p>
            <w:pPr>
              <w:pStyle w:val="TableParagraph"/>
              <w:spacing w:before="3"/>
              <w:jc w:val="left"/>
              <w:rPr>
                <w:sz w:val="19"/>
              </w:rPr>
            </w:pPr>
          </w:p>
          <w:p>
            <w:pPr>
              <w:pStyle w:val="TableParagraph"/>
              <w:spacing w:before="0"/>
              <w:ind w:left="200"/>
              <w:jc w:val="left"/>
              <w:rPr>
                <w:rFonts w:ascii="Georgia"/>
                <w:b/>
                <w:sz w:val="20"/>
              </w:rPr>
            </w:pPr>
            <w:r>
              <w:rPr>
                <w:rFonts w:ascii="Georgia"/>
                <w:b/>
                <w:color w:val="1F4E79"/>
                <w:w w:val="105"/>
                <w:sz w:val="20"/>
              </w:rPr>
              <w:t>Valore delle sinergie</w:t>
            </w:r>
          </w:p>
        </w:tc>
        <w:tc>
          <w:tcPr>
            <w:tcW w:w="616" w:type="dxa"/>
            <w:tcBorders>
              <w:top w:val="single" w:sz="4" w:space="0" w:color="2D74B5"/>
              <w:bottom w:val="single" w:sz="4" w:space="0" w:color="2D74B5"/>
            </w:tcBorders>
          </w:tcPr>
          <w:p>
            <w:pPr>
              <w:pStyle w:val="TableParagraph"/>
              <w:spacing w:before="0"/>
              <w:jc w:val="left"/>
              <w:rPr>
                <w:sz w:val="20"/>
              </w:rPr>
            </w:pPr>
          </w:p>
          <w:p>
            <w:pPr>
              <w:pStyle w:val="TableParagraph"/>
              <w:spacing w:before="7"/>
              <w:jc w:val="left"/>
              <w:rPr>
                <w:sz w:val="18"/>
              </w:rPr>
            </w:pPr>
          </w:p>
          <w:p>
            <w:pPr>
              <w:pStyle w:val="TableParagraph"/>
              <w:spacing w:before="0"/>
              <w:ind w:left="107"/>
              <w:jc w:val="left"/>
              <w:rPr>
                <w:rFonts w:ascii="Georgia"/>
                <w:b/>
                <w:sz w:val="18"/>
              </w:rPr>
            </w:pPr>
            <w:r>
              <w:rPr>
                <w:rFonts w:ascii="Georgia"/>
                <w:b/>
                <w:w w:val="105"/>
                <w:sz w:val="18"/>
              </w:rPr>
              <w:t>41,4</w:t>
            </w:r>
          </w:p>
        </w:tc>
        <w:tc>
          <w:tcPr>
            <w:tcW w:w="683" w:type="dxa"/>
            <w:tcBorders>
              <w:top w:val="single" w:sz="4" w:space="0" w:color="2D74B5"/>
              <w:bottom w:val="single" w:sz="4" w:space="0" w:color="2D74B5"/>
            </w:tcBorders>
          </w:tcPr>
          <w:p>
            <w:pPr>
              <w:pStyle w:val="TableParagraph"/>
              <w:spacing w:before="0"/>
              <w:jc w:val="left"/>
              <w:rPr>
                <w:sz w:val="20"/>
              </w:rPr>
            </w:pPr>
          </w:p>
          <w:p>
            <w:pPr>
              <w:pStyle w:val="TableParagraph"/>
              <w:spacing w:before="7"/>
              <w:jc w:val="left"/>
              <w:rPr>
                <w:sz w:val="18"/>
              </w:rPr>
            </w:pPr>
          </w:p>
          <w:p>
            <w:pPr>
              <w:pStyle w:val="TableParagraph"/>
              <w:spacing w:before="0"/>
              <w:ind w:left="109"/>
              <w:jc w:val="left"/>
              <w:rPr>
                <w:rFonts w:ascii="Georgia"/>
                <w:b/>
                <w:sz w:val="18"/>
              </w:rPr>
            </w:pPr>
            <w:r>
              <w:rPr>
                <w:rFonts w:ascii="Georgia"/>
                <w:b/>
                <w:w w:val="105"/>
                <w:sz w:val="18"/>
              </w:rPr>
              <w:t>18,6</w:t>
            </w:r>
          </w:p>
        </w:tc>
        <w:tc>
          <w:tcPr>
            <w:tcW w:w="785" w:type="dxa"/>
            <w:tcBorders>
              <w:top w:val="single" w:sz="4" w:space="0" w:color="2D74B5"/>
              <w:bottom w:val="single" w:sz="4" w:space="0" w:color="2D74B5"/>
            </w:tcBorders>
          </w:tcPr>
          <w:p>
            <w:pPr>
              <w:pStyle w:val="TableParagraph"/>
              <w:spacing w:before="0"/>
              <w:jc w:val="left"/>
              <w:rPr>
                <w:sz w:val="20"/>
              </w:rPr>
            </w:pPr>
          </w:p>
          <w:p>
            <w:pPr>
              <w:pStyle w:val="TableParagraph"/>
              <w:spacing w:before="7"/>
              <w:jc w:val="left"/>
              <w:rPr>
                <w:sz w:val="18"/>
              </w:rPr>
            </w:pPr>
          </w:p>
          <w:p>
            <w:pPr>
              <w:pStyle w:val="TableParagraph"/>
              <w:spacing w:before="0"/>
              <w:ind w:left="134"/>
              <w:jc w:val="left"/>
              <w:rPr>
                <w:rFonts w:ascii="Georgia"/>
                <w:b/>
                <w:sz w:val="18"/>
              </w:rPr>
            </w:pPr>
            <w:r>
              <w:rPr>
                <w:rFonts w:ascii="Georgia"/>
                <w:b/>
                <w:w w:val="105"/>
                <w:sz w:val="18"/>
              </w:rPr>
              <w:t>68,4</w:t>
            </w:r>
          </w:p>
        </w:tc>
        <w:tc>
          <w:tcPr>
            <w:tcW w:w="887" w:type="dxa"/>
            <w:tcBorders>
              <w:top w:val="single" w:sz="4" w:space="0" w:color="2D74B5"/>
              <w:bottom w:val="single" w:sz="4" w:space="0" w:color="2D74B5"/>
            </w:tcBorders>
          </w:tcPr>
          <w:p>
            <w:pPr>
              <w:pStyle w:val="TableParagraph"/>
              <w:spacing w:before="0"/>
              <w:jc w:val="left"/>
              <w:rPr>
                <w:sz w:val="20"/>
              </w:rPr>
            </w:pPr>
          </w:p>
          <w:p>
            <w:pPr>
              <w:pStyle w:val="TableParagraph"/>
              <w:spacing w:before="7"/>
              <w:jc w:val="left"/>
              <w:rPr>
                <w:sz w:val="18"/>
              </w:rPr>
            </w:pPr>
          </w:p>
          <w:p>
            <w:pPr>
              <w:pStyle w:val="TableParagraph"/>
              <w:spacing w:before="0"/>
              <w:ind w:left="199"/>
              <w:jc w:val="left"/>
              <w:rPr>
                <w:rFonts w:ascii="Georgia"/>
                <w:b/>
                <w:sz w:val="18"/>
              </w:rPr>
            </w:pPr>
            <w:r>
              <w:rPr>
                <w:rFonts w:ascii="Georgia"/>
                <w:b/>
                <w:sz w:val="18"/>
              </w:rPr>
              <w:t>-</w:t>
            </w:r>
          </w:p>
        </w:tc>
        <w:tc>
          <w:tcPr>
            <w:tcW w:w="2042" w:type="dxa"/>
            <w:tcBorders>
              <w:top w:val="single" w:sz="4" w:space="0" w:color="2D74B5"/>
              <w:bottom w:val="single" w:sz="4" w:space="0" w:color="2D74B5"/>
            </w:tcBorders>
          </w:tcPr>
          <w:p>
            <w:pPr>
              <w:pStyle w:val="TableParagraph"/>
              <w:spacing w:before="0"/>
              <w:jc w:val="left"/>
              <w:rPr>
                <w:sz w:val="20"/>
              </w:rPr>
            </w:pPr>
          </w:p>
          <w:p>
            <w:pPr>
              <w:pStyle w:val="TableParagraph"/>
              <w:spacing w:before="7"/>
              <w:jc w:val="left"/>
              <w:rPr>
                <w:sz w:val="18"/>
              </w:rPr>
            </w:pPr>
          </w:p>
          <w:p>
            <w:pPr>
              <w:pStyle w:val="TableParagraph"/>
              <w:spacing w:before="0"/>
              <w:ind w:left="165"/>
              <w:jc w:val="left"/>
              <w:rPr>
                <w:rFonts w:ascii="Georgia"/>
                <w:b/>
                <w:sz w:val="18"/>
              </w:rPr>
            </w:pPr>
            <w:r>
              <w:rPr>
                <w:rFonts w:ascii="Georgia"/>
                <w:b/>
                <w:w w:val="105"/>
                <w:sz w:val="18"/>
              </w:rPr>
              <w:t>128,4</w:t>
            </w:r>
          </w:p>
        </w:tc>
      </w:tr>
    </w:tbl>
    <w:p>
      <w:pPr>
        <w:pStyle w:val="BodyText"/>
        <w:rPr>
          <w:sz w:val="20"/>
        </w:rPr>
      </w:pPr>
    </w:p>
    <w:p>
      <w:pPr>
        <w:pStyle w:val="BodyText"/>
        <w:spacing w:before="5"/>
        <w:rPr>
          <w:sz w:val="16"/>
        </w:rPr>
      </w:pPr>
    </w:p>
    <w:p>
      <w:pPr>
        <w:pStyle w:val="BodyText"/>
        <w:spacing w:before="100"/>
        <w:ind w:left="1418"/>
      </w:pPr>
      <w:r>
        <w:rPr/>
        <w:t>Da ultimo i valutatori sono pervenuti alla ipotesi di ripartizione, su base integrata, sotto riportata.</w:t>
      </w:r>
    </w:p>
    <w:p>
      <w:pPr>
        <w:pStyle w:val="BodyText"/>
        <w:rPr>
          <w:sz w:val="20"/>
        </w:rPr>
      </w:pPr>
    </w:p>
    <w:p>
      <w:pPr>
        <w:pStyle w:val="BodyText"/>
        <w:rPr>
          <w:sz w:val="20"/>
        </w:rPr>
      </w:pPr>
    </w:p>
    <w:p>
      <w:pPr>
        <w:pStyle w:val="BodyText"/>
        <w:spacing w:before="9" w:after="1"/>
        <w:rPr>
          <w:sz w:val="16"/>
        </w:rPr>
      </w:pPr>
    </w:p>
    <w:tbl>
      <w:tblPr>
        <w:tblW w:w="0" w:type="auto"/>
        <w:jc w:val="left"/>
        <w:tblInd w:w="183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485"/>
        <w:gridCol w:w="972"/>
        <w:gridCol w:w="972"/>
        <w:gridCol w:w="994"/>
        <w:gridCol w:w="974"/>
        <w:gridCol w:w="1744"/>
      </w:tblGrid>
      <w:tr>
        <w:trPr>
          <w:trHeight w:val="515" w:hRule="exact"/>
        </w:trPr>
        <w:tc>
          <w:tcPr>
            <w:tcW w:w="2485" w:type="dxa"/>
          </w:tcPr>
          <w:p>
            <w:pPr/>
          </w:p>
        </w:tc>
        <w:tc>
          <w:tcPr>
            <w:tcW w:w="972" w:type="dxa"/>
            <w:tcBorders>
              <w:bottom w:val="single" w:sz="4" w:space="0" w:color="2D74B5"/>
            </w:tcBorders>
          </w:tcPr>
          <w:p>
            <w:pPr>
              <w:pStyle w:val="TableParagraph"/>
              <w:spacing w:before="0"/>
              <w:ind w:left="108"/>
              <w:jc w:val="left"/>
              <w:rPr>
                <w:rFonts w:ascii="Georgia"/>
                <w:b/>
                <w:sz w:val="18"/>
              </w:rPr>
            </w:pPr>
            <w:r>
              <w:rPr>
                <w:rFonts w:ascii="Georgia"/>
                <w:b/>
                <w:color w:val="1F4E79"/>
                <w:sz w:val="18"/>
              </w:rPr>
              <w:t>BCT</w:t>
            </w:r>
          </w:p>
        </w:tc>
        <w:tc>
          <w:tcPr>
            <w:tcW w:w="972" w:type="dxa"/>
            <w:tcBorders>
              <w:bottom w:val="single" w:sz="4" w:space="0" w:color="2D74B5"/>
            </w:tcBorders>
          </w:tcPr>
          <w:p>
            <w:pPr>
              <w:pStyle w:val="TableParagraph"/>
              <w:spacing w:before="0"/>
              <w:ind w:left="110"/>
              <w:jc w:val="left"/>
              <w:rPr>
                <w:rFonts w:ascii="Georgia"/>
                <w:b/>
                <w:sz w:val="18"/>
              </w:rPr>
            </w:pPr>
            <w:r>
              <w:rPr>
                <w:rFonts w:ascii="Georgia"/>
                <w:b/>
                <w:color w:val="1F4E79"/>
                <w:sz w:val="18"/>
              </w:rPr>
              <w:t>BRN</w:t>
            </w:r>
          </w:p>
        </w:tc>
        <w:tc>
          <w:tcPr>
            <w:tcW w:w="994" w:type="dxa"/>
            <w:tcBorders>
              <w:bottom w:val="single" w:sz="4" w:space="0" w:color="2D74B5"/>
            </w:tcBorders>
          </w:tcPr>
          <w:p>
            <w:pPr>
              <w:pStyle w:val="TableParagraph"/>
              <w:spacing w:before="0"/>
              <w:ind w:left="110"/>
              <w:jc w:val="left"/>
              <w:rPr>
                <w:rFonts w:ascii="Georgia"/>
                <w:b/>
                <w:sz w:val="18"/>
              </w:rPr>
            </w:pPr>
            <w:r>
              <w:rPr>
                <w:rFonts w:ascii="Georgia"/>
                <w:b/>
                <w:color w:val="1F4E79"/>
                <w:w w:val="105"/>
                <w:sz w:val="18"/>
              </w:rPr>
              <w:t>IBP</w:t>
            </w:r>
          </w:p>
        </w:tc>
        <w:tc>
          <w:tcPr>
            <w:tcW w:w="974" w:type="dxa"/>
            <w:tcBorders>
              <w:bottom w:val="single" w:sz="4" w:space="0" w:color="2D74B5"/>
            </w:tcBorders>
          </w:tcPr>
          <w:p>
            <w:pPr>
              <w:pStyle w:val="TableParagraph"/>
              <w:spacing w:before="0"/>
              <w:ind w:left="110"/>
              <w:jc w:val="left"/>
              <w:rPr>
                <w:rFonts w:ascii="Georgia"/>
                <w:b/>
                <w:sz w:val="18"/>
              </w:rPr>
            </w:pPr>
            <w:r>
              <w:rPr>
                <w:rFonts w:ascii="Georgia"/>
                <w:b/>
                <w:color w:val="1F4E79"/>
                <w:w w:val="110"/>
                <w:sz w:val="18"/>
              </w:rPr>
              <w:t>IBPE</w:t>
            </w:r>
          </w:p>
        </w:tc>
        <w:tc>
          <w:tcPr>
            <w:tcW w:w="1744" w:type="dxa"/>
            <w:tcBorders>
              <w:bottom w:val="single" w:sz="4" w:space="0" w:color="2D74B5"/>
            </w:tcBorders>
          </w:tcPr>
          <w:p>
            <w:pPr>
              <w:pStyle w:val="TableParagraph"/>
              <w:spacing w:before="0"/>
              <w:ind w:left="109"/>
              <w:jc w:val="left"/>
              <w:rPr>
                <w:rFonts w:ascii="Georgia"/>
                <w:b/>
                <w:sz w:val="18"/>
              </w:rPr>
            </w:pPr>
            <w:r>
              <w:rPr>
                <w:rFonts w:ascii="Georgia"/>
                <w:b/>
                <w:color w:val="1F4E79"/>
                <w:w w:val="110"/>
                <w:sz w:val="18"/>
              </w:rPr>
              <w:t>Perimetro Bio</w:t>
            </w:r>
          </w:p>
        </w:tc>
      </w:tr>
      <w:tr>
        <w:trPr>
          <w:trHeight w:val="732" w:hRule="exact"/>
        </w:trPr>
        <w:tc>
          <w:tcPr>
            <w:tcW w:w="2485" w:type="dxa"/>
          </w:tcPr>
          <w:p>
            <w:pPr>
              <w:pStyle w:val="TableParagraph"/>
              <w:tabs>
                <w:tab w:pos="1872" w:val="left" w:leader="none"/>
              </w:tabs>
              <w:spacing w:line="278" w:lineRule="auto" w:before="1"/>
              <w:ind w:left="200" w:right="109"/>
              <w:jc w:val="left"/>
              <w:rPr>
                <w:rFonts w:ascii="Georgia"/>
                <w:sz w:val="20"/>
              </w:rPr>
            </w:pPr>
            <w:r>
              <w:rPr>
                <w:rFonts w:ascii="Georgia"/>
                <w:color w:val="1F4E79"/>
                <w:sz w:val="20"/>
              </w:rPr>
              <w:t>Enterprise</w:t>
              <w:tab/>
            </w:r>
            <w:r>
              <w:rPr>
                <w:rFonts w:ascii="Georgia"/>
                <w:color w:val="1F4E79"/>
                <w:w w:val="95"/>
                <w:sz w:val="20"/>
              </w:rPr>
              <w:t>Value </w:t>
            </w:r>
            <w:r>
              <w:rPr>
                <w:rFonts w:ascii="Georgia"/>
                <w:color w:val="1F4E79"/>
                <w:sz w:val="20"/>
              </w:rPr>
              <w:t>(Eurom)</w:t>
            </w:r>
          </w:p>
        </w:tc>
        <w:tc>
          <w:tcPr>
            <w:tcW w:w="972" w:type="dxa"/>
            <w:tcBorders>
              <w:top w:val="single" w:sz="4" w:space="0" w:color="2D74B5"/>
              <w:bottom w:val="single" w:sz="4" w:space="0" w:color="2D74B5"/>
            </w:tcBorders>
          </w:tcPr>
          <w:p>
            <w:pPr>
              <w:pStyle w:val="TableParagraph"/>
              <w:spacing w:line="226" w:lineRule="exact" w:before="0"/>
              <w:ind w:left="108"/>
              <w:jc w:val="left"/>
              <w:rPr>
                <w:rFonts w:ascii="Georgia"/>
                <w:sz w:val="20"/>
              </w:rPr>
            </w:pPr>
            <w:r>
              <w:rPr>
                <w:rFonts w:ascii="Georgia"/>
                <w:sz w:val="20"/>
              </w:rPr>
              <w:t>59,0</w:t>
            </w:r>
          </w:p>
        </w:tc>
        <w:tc>
          <w:tcPr>
            <w:tcW w:w="972" w:type="dxa"/>
            <w:tcBorders>
              <w:top w:val="single" w:sz="4" w:space="0" w:color="2D74B5"/>
              <w:bottom w:val="single" w:sz="4" w:space="0" w:color="2D74B5"/>
            </w:tcBorders>
          </w:tcPr>
          <w:p>
            <w:pPr>
              <w:pStyle w:val="TableParagraph"/>
              <w:spacing w:line="226" w:lineRule="exact" w:before="0"/>
              <w:ind w:left="110"/>
              <w:jc w:val="left"/>
              <w:rPr>
                <w:rFonts w:ascii="Georgia"/>
                <w:sz w:val="20"/>
              </w:rPr>
            </w:pPr>
            <w:r>
              <w:rPr>
                <w:rFonts w:ascii="Georgia"/>
                <w:sz w:val="20"/>
              </w:rPr>
              <w:t>44,7</w:t>
            </w:r>
          </w:p>
        </w:tc>
        <w:tc>
          <w:tcPr>
            <w:tcW w:w="994" w:type="dxa"/>
            <w:tcBorders>
              <w:top w:val="single" w:sz="4" w:space="0" w:color="2D74B5"/>
              <w:bottom w:val="single" w:sz="4" w:space="0" w:color="2D74B5"/>
            </w:tcBorders>
          </w:tcPr>
          <w:p>
            <w:pPr>
              <w:pStyle w:val="TableParagraph"/>
              <w:spacing w:line="226" w:lineRule="exact" w:before="0"/>
              <w:ind w:left="110"/>
              <w:jc w:val="left"/>
              <w:rPr>
                <w:rFonts w:ascii="Georgia"/>
                <w:sz w:val="20"/>
              </w:rPr>
            </w:pPr>
            <w:r>
              <w:rPr>
                <w:rFonts w:ascii="Georgia"/>
                <w:sz w:val="20"/>
              </w:rPr>
              <w:t>51,2</w:t>
            </w:r>
          </w:p>
        </w:tc>
        <w:tc>
          <w:tcPr>
            <w:tcW w:w="974" w:type="dxa"/>
            <w:tcBorders>
              <w:top w:val="single" w:sz="4" w:space="0" w:color="2D74B5"/>
              <w:bottom w:val="single" w:sz="4" w:space="0" w:color="2D74B5"/>
            </w:tcBorders>
          </w:tcPr>
          <w:p>
            <w:pPr>
              <w:pStyle w:val="TableParagraph"/>
              <w:spacing w:line="226" w:lineRule="exact" w:before="0"/>
              <w:ind w:left="110"/>
              <w:jc w:val="left"/>
              <w:rPr>
                <w:rFonts w:ascii="Georgia"/>
                <w:sz w:val="20"/>
              </w:rPr>
            </w:pPr>
            <w:r>
              <w:rPr>
                <w:rFonts w:ascii="Georgia"/>
                <w:sz w:val="20"/>
              </w:rPr>
              <w:t>35,1</w:t>
            </w:r>
          </w:p>
        </w:tc>
        <w:tc>
          <w:tcPr>
            <w:tcW w:w="1744" w:type="dxa"/>
            <w:tcBorders>
              <w:top w:val="single" w:sz="4" w:space="0" w:color="2D74B5"/>
              <w:bottom w:val="single" w:sz="4" w:space="0" w:color="2D74B5"/>
            </w:tcBorders>
          </w:tcPr>
          <w:p>
            <w:pPr>
              <w:pStyle w:val="TableParagraph"/>
              <w:spacing w:line="226" w:lineRule="exact" w:before="0"/>
              <w:ind w:left="109"/>
              <w:jc w:val="left"/>
              <w:rPr>
                <w:rFonts w:ascii="Georgia"/>
                <w:sz w:val="20"/>
              </w:rPr>
            </w:pPr>
            <w:r>
              <w:rPr>
                <w:rFonts w:ascii="Georgia"/>
                <w:sz w:val="20"/>
              </w:rPr>
              <w:t>190,1</w:t>
            </w:r>
          </w:p>
        </w:tc>
      </w:tr>
      <w:tr>
        <w:trPr>
          <w:trHeight w:val="473" w:hRule="exact"/>
        </w:trPr>
        <w:tc>
          <w:tcPr>
            <w:tcW w:w="2485" w:type="dxa"/>
          </w:tcPr>
          <w:p>
            <w:pPr>
              <w:pStyle w:val="TableParagraph"/>
              <w:spacing w:before="6"/>
              <w:ind w:left="200"/>
              <w:jc w:val="left"/>
              <w:rPr>
                <w:rFonts w:ascii="Georgia"/>
                <w:b/>
                <w:sz w:val="20"/>
              </w:rPr>
            </w:pPr>
            <w:r>
              <w:rPr>
                <w:rFonts w:ascii="Georgia"/>
                <w:b/>
                <w:color w:val="1F4E79"/>
                <w:sz w:val="20"/>
              </w:rPr>
              <w:t>Peso (%)</w:t>
            </w:r>
          </w:p>
        </w:tc>
        <w:tc>
          <w:tcPr>
            <w:tcW w:w="972" w:type="dxa"/>
            <w:tcBorders>
              <w:top w:val="single" w:sz="4" w:space="0" w:color="2D74B5"/>
              <w:bottom w:val="single" w:sz="4" w:space="0" w:color="2D74B5"/>
            </w:tcBorders>
          </w:tcPr>
          <w:p>
            <w:pPr>
              <w:pStyle w:val="TableParagraph"/>
              <w:spacing w:before="1"/>
              <w:ind w:left="108"/>
              <w:jc w:val="left"/>
              <w:rPr>
                <w:rFonts w:ascii="Georgia"/>
                <w:b/>
                <w:sz w:val="20"/>
              </w:rPr>
            </w:pPr>
            <w:r>
              <w:rPr>
                <w:rFonts w:ascii="Georgia"/>
                <w:b/>
                <w:sz w:val="20"/>
              </w:rPr>
              <w:t>31,05%</w:t>
            </w:r>
          </w:p>
        </w:tc>
        <w:tc>
          <w:tcPr>
            <w:tcW w:w="972" w:type="dxa"/>
            <w:tcBorders>
              <w:top w:val="single" w:sz="4" w:space="0" w:color="2D74B5"/>
              <w:bottom w:val="single" w:sz="4" w:space="0" w:color="2D74B5"/>
            </w:tcBorders>
          </w:tcPr>
          <w:p>
            <w:pPr>
              <w:pStyle w:val="TableParagraph"/>
              <w:spacing w:before="1"/>
              <w:ind w:left="110"/>
              <w:jc w:val="left"/>
              <w:rPr>
                <w:rFonts w:ascii="Georgia"/>
                <w:b/>
                <w:sz w:val="20"/>
              </w:rPr>
            </w:pPr>
            <w:r>
              <w:rPr>
                <w:rFonts w:ascii="Georgia"/>
                <w:b/>
                <w:sz w:val="20"/>
              </w:rPr>
              <w:t>23,54%</w:t>
            </w:r>
          </w:p>
        </w:tc>
        <w:tc>
          <w:tcPr>
            <w:tcW w:w="994" w:type="dxa"/>
            <w:tcBorders>
              <w:top w:val="single" w:sz="4" w:space="0" w:color="2D74B5"/>
              <w:bottom w:val="single" w:sz="4" w:space="0" w:color="2D74B5"/>
            </w:tcBorders>
          </w:tcPr>
          <w:p>
            <w:pPr>
              <w:pStyle w:val="TableParagraph"/>
              <w:spacing w:before="1"/>
              <w:ind w:left="110"/>
              <w:jc w:val="left"/>
              <w:rPr>
                <w:rFonts w:ascii="Georgia"/>
                <w:b/>
                <w:sz w:val="20"/>
              </w:rPr>
            </w:pPr>
            <w:r>
              <w:rPr>
                <w:rFonts w:ascii="Georgia"/>
                <w:b/>
                <w:sz w:val="20"/>
              </w:rPr>
              <w:t>26,92%</w:t>
            </w:r>
          </w:p>
        </w:tc>
        <w:tc>
          <w:tcPr>
            <w:tcW w:w="974" w:type="dxa"/>
            <w:tcBorders>
              <w:top w:val="single" w:sz="4" w:space="0" w:color="2D74B5"/>
              <w:bottom w:val="single" w:sz="4" w:space="0" w:color="2D74B5"/>
            </w:tcBorders>
          </w:tcPr>
          <w:p>
            <w:pPr>
              <w:pStyle w:val="TableParagraph"/>
              <w:spacing w:before="1"/>
              <w:ind w:left="110"/>
              <w:jc w:val="left"/>
              <w:rPr>
                <w:rFonts w:ascii="Georgia"/>
                <w:b/>
                <w:sz w:val="20"/>
              </w:rPr>
            </w:pPr>
            <w:r>
              <w:rPr>
                <w:rFonts w:ascii="Georgia"/>
                <w:b/>
                <w:sz w:val="20"/>
              </w:rPr>
              <w:t>18,49%</w:t>
            </w:r>
          </w:p>
        </w:tc>
        <w:tc>
          <w:tcPr>
            <w:tcW w:w="1744" w:type="dxa"/>
            <w:tcBorders>
              <w:top w:val="single" w:sz="4" w:space="0" w:color="2D74B5"/>
              <w:bottom w:val="single" w:sz="4" w:space="0" w:color="2D74B5"/>
            </w:tcBorders>
          </w:tcPr>
          <w:p>
            <w:pPr>
              <w:pStyle w:val="TableParagraph"/>
              <w:spacing w:before="1"/>
              <w:ind w:left="109"/>
              <w:jc w:val="left"/>
              <w:rPr>
                <w:rFonts w:ascii="Georgia"/>
                <w:b/>
                <w:sz w:val="20"/>
              </w:rPr>
            </w:pPr>
            <w:r>
              <w:rPr>
                <w:rFonts w:ascii="Georgia"/>
                <w:b/>
                <w:sz w:val="20"/>
              </w:rPr>
              <w:t>100%</w:t>
            </w:r>
          </w:p>
        </w:tc>
      </w:tr>
      <w:tr>
        <w:trPr>
          <w:trHeight w:val="931" w:hRule="exact"/>
        </w:trPr>
        <w:tc>
          <w:tcPr>
            <w:tcW w:w="2485" w:type="dxa"/>
          </w:tcPr>
          <w:p>
            <w:pPr>
              <w:pStyle w:val="TableParagraph"/>
              <w:spacing w:before="0"/>
              <w:jc w:val="left"/>
              <w:rPr>
                <w:sz w:val="22"/>
              </w:rPr>
            </w:pPr>
          </w:p>
          <w:p>
            <w:pPr>
              <w:pStyle w:val="TableParagraph"/>
              <w:spacing w:before="3"/>
              <w:jc w:val="left"/>
              <w:rPr>
                <w:sz w:val="19"/>
              </w:rPr>
            </w:pPr>
          </w:p>
          <w:p>
            <w:pPr>
              <w:pStyle w:val="TableParagraph"/>
              <w:spacing w:before="0"/>
              <w:ind w:left="200"/>
              <w:jc w:val="left"/>
              <w:rPr>
                <w:rFonts w:ascii="Georgia"/>
                <w:sz w:val="20"/>
              </w:rPr>
            </w:pPr>
            <w:r>
              <w:rPr>
                <w:rFonts w:ascii="Georgia"/>
                <w:color w:val="1F4E79"/>
                <w:sz w:val="20"/>
              </w:rPr>
              <w:t>EV + C&amp;CE (Eurom)</w:t>
            </w:r>
          </w:p>
        </w:tc>
        <w:tc>
          <w:tcPr>
            <w:tcW w:w="972"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108"/>
              <w:jc w:val="left"/>
              <w:rPr>
                <w:rFonts w:ascii="Georgia"/>
                <w:sz w:val="20"/>
              </w:rPr>
            </w:pPr>
            <w:r>
              <w:rPr>
                <w:rFonts w:ascii="Georgia"/>
                <w:sz w:val="20"/>
              </w:rPr>
              <w:t>68,7</w:t>
            </w:r>
          </w:p>
        </w:tc>
        <w:tc>
          <w:tcPr>
            <w:tcW w:w="972"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110"/>
              <w:jc w:val="left"/>
              <w:rPr>
                <w:rFonts w:ascii="Georgia"/>
                <w:sz w:val="20"/>
              </w:rPr>
            </w:pPr>
            <w:r>
              <w:rPr>
                <w:rFonts w:ascii="Georgia"/>
                <w:sz w:val="20"/>
              </w:rPr>
              <w:t>44,8</w:t>
            </w:r>
          </w:p>
        </w:tc>
        <w:tc>
          <w:tcPr>
            <w:tcW w:w="994"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110"/>
              <w:jc w:val="left"/>
              <w:rPr>
                <w:rFonts w:ascii="Georgia"/>
                <w:sz w:val="20"/>
              </w:rPr>
            </w:pPr>
            <w:r>
              <w:rPr>
                <w:rFonts w:ascii="Georgia"/>
                <w:sz w:val="20"/>
              </w:rPr>
              <w:t>64,6</w:t>
            </w:r>
          </w:p>
        </w:tc>
        <w:tc>
          <w:tcPr>
            <w:tcW w:w="974"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110"/>
              <w:jc w:val="left"/>
              <w:rPr>
                <w:rFonts w:ascii="Georgia"/>
                <w:sz w:val="20"/>
              </w:rPr>
            </w:pPr>
            <w:r>
              <w:rPr>
                <w:rFonts w:ascii="Georgia"/>
                <w:sz w:val="20"/>
              </w:rPr>
              <w:t>35,1</w:t>
            </w:r>
          </w:p>
        </w:tc>
        <w:tc>
          <w:tcPr>
            <w:tcW w:w="1744" w:type="dxa"/>
            <w:tcBorders>
              <w:top w:val="single" w:sz="4" w:space="0" w:color="2D74B5"/>
              <w:bottom w:val="single" w:sz="4" w:space="0" w:color="2D74B5"/>
            </w:tcBorders>
          </w:tcPr>
          <w:p>
            <w:pPr>
              <w:pStyle w:val="TableParagraph"/>
              <w:spacing w:before="0"/>
              <w:jc w:val="left"/>
              <w:rPr>
                <w:sz w:val="22"/>
              </w:rPr>
            </w:pPr>
          </w:p>
          <w:p>
            <w:pPr>
              <w:pStyle w:val="TableParagraph"/>
              <w:spacing w:before="9"/>
              <w:jc w:val="left"/>
              <w:rPr>
                <w:sz w:val="18"/>
              </w:rPr>
            </w:pPr>
          </w:p>
          <w:p>
            <w:pPr>
              <w:pStyle w:val="TableParagraph"/>
              <w:spacing w:before="1"/>
              <w:ind w:left="109"/>
              <w:jc w:val="left"/>
              <w:rPr>
                <w:rFonts w:ascii="Georgia"/>
                <w:sz w:val="20"/>
              </w:rPr>
            </w:pPr>
            <w:r>
              <w:rPr>
                <w:rFonts w:ascii="Georgia"/>
                <w:sz w:val="20"/>
              </w:rPr>
              <w:t>213,3</w:t>
            </w:r>
          </w:p>
        </w:tc>
      </w:tr>
      <w:tr>
        <w:trPr>
          <w:trHeight w:val="473" w:hRule="exact"/>
        </w:trPr>
        <w:tc>
          <w:tcPr>
            <w:tcW w:w="2485" w:type="dxa"/>
          </w:tcPr>
          <w:p>
            <w:pPr>
              <w:pStyle w:val="TableParagraph"/>
              <w:spacing w:before="6"/>
              <w:ind w:left="200"/>
              <w:jc w:val="left"/>
              <w:rPr>
                <w:rFonts w:ascii="Georgia"/>
                <w:b/>
                <w:sz w:val="20"/>
              </w:rPr>
            </w:pPr>
            <w:r>
              <w:rPr>
                <w:rFonts w:ascii="Georgia"/>
                <w:b/>
                <w:color w:val="1F4E79"/>
                <w:sz w:val="20"/>
              </w:rPr>
              <w:t>Peso (%)</w:t>
            </w:r>
          </w:p>
        </w:tc>
        <w:tc>
          <w:tcPr>
            <w:tcW w:w="972" w:type="dxa"/>
            <w:tcBorders>
              <w:top w:val="single" w:sz="4" w:space="0" w:color="2D74B5"/>
              <w:bottom w:val="single" w:sz="4" w:space="0" w:color="2D74B5"/>
            </w:tcBorders>
          </w:tcPr>
          <w:p>
            <w:pPr>
              <w:pStyle w:val="TableParagraph"/>
              <w:spacing w:before="1"/>
              <w:ind w:left="108"/>
              <w:jc w:val="left"/>
              <w:rPr>
                <w:rFonts w:ascii="Georgia"/>
                <w:b/>
                <w:sz w:val="20"/>
              </w:rPr>
            </w:pPr>
            <w:r>
              <w:rPr>
                <w:rFonts w:ascii="Georgia"/>
                <w:b/>
                <w:sz w:val="20"/>
              </w:rPr>
              <w:t>32,22%</w:t>
            </w:r>
          </w:p>
        </w:tc>
        <w:tc>
          <w:tcPr>
            <w:tcW w:w="972" w:type="dxa"/>
            <w:tcBorders>
              <w:top w:val="single" w:sz="4" w:space="0" w:color="2D74B5"/>
              <w:bottom w:val="single" w:sz="4" w:space="0" w:color="2D74B5"/>
            </w:tcBorders>
          </w:tcPr>
          <w:p>
            <w:pPr>
              <w:pStyle w:val="TableParagraph"/>
              <w:spacing w:before="1"/>
              <w:ind w:left="110"/>
              <w:jc w:val="left"/>
              <w:rPr>
                <w:rFonts w:ascii="Georgia"/>
                <w:b/>
                <w:sz w:val="20"/>
              </w:rPr>
            </w:pPr>
            <w:r>
              <w:rPr>
                <w:rFonts w:ascii="Georgia"/>
                <w:b/>
                <w:sz w:val="20"/>
              </w:rPr>
              <w:t>21,01%</w:t>
            </w:r>
          </w:p>
        </w:tc>
        <w:tc>
          <w:tcPr>
            <w:tcW w:w="994" w:type="dxa"/>
            <w:tcBorders>
              <w:top w:val="single" w:sz="4" w:space="0" w:color="2D74B5"/>
              <w:bottom w:val="single" w:sz="4" w:space="0" w:color="2D74B5"/>
            </w:tcBorders>
          </w:tcPr>
          <w:p>
            <w:pPr>
              <w:pStyle w:val="TableParagraph"/>
              <w:spacing w:before="1"/>
              <w:ind w:left="110"/>
              <w:jc w:val="left"/>
              <w:rPr>
                <w:rFonts w:ascii="Georgia"/>
                <w:b/>
                <w:sz w:val="20"/>
              </w:rPr>
            </w:pPr>
            <w:r>
              <w:rPr>
                <w:rFonts w:ascii="Georgia"/>
                <w:b/>
                <w:sz w:val="20"/>
              </w:rPr>
              <w:t>30,29%</w:t>
            </w:r>
          </w:p>
        </w:tc>
        <w:tc>
          <w:tcPr>
            <w:tcW w:w="974" w:type="dxa"/>
            <w:tcBorders>
              <w:top w:val="single" w:sz="4" w:space="0" w:color="2D74B5"/>
              <w:bottom w:val="single" w:sz="4" w:space="0" w:color="2D74B5"/>
            </w:tcBorders>
          </w:tcPr>
          <w:p>
            <w:pPr>
              <w:pStyle w:val="TableParagraph"/>
              <w:spacing w:before="1"/>
              <w:ind w:left="110"/>
              <w:jc w:val="left"/>
              <w:rPr>
                <w:rFonts w:ascii="Georgia"/>
                <w:b/>
                <w:sz w:val="20"/>
              </w:rPr>
            </w:pPr>
            <w:r>
              <w:rPr>
                <w:rFonts w:ascii="Georgia"/>
                <w:b/>
                <w:sz w:val="20"/>
              </w:rPr>
              <w:t>16,47%</w:t>
            </w:r>
          </w:p>
        </w:tc>
        <w:tc>
          <w:tcPr>
            <w:tcW w:w="1744" w:type="dxa"/>
            <w:tcBorders>
              <w:top w:val="single" w:sz="4" w:space="0" w:color="2D74B5"/>
              <w:bottom w:val="single" w:sz="4" w:space="0" w:color="2D74B5"/>
            </w:tcBorders>
          </w:tcPr>
          <w:p>
            <w:pPr>
              <w:pStyle w:val="TableParagraph"/>
              <w:spacing w:before="1"/>
              <w:ind w:left="109"/>
              <w:jc w:val="left"/>
              <w:rPr>
                <w:rFonts w:ascii="Georgia"/>
                <w:b/>
                <w:sz w:val="20"/>
              </w:rPr>
            </w:pPr>
            <w:r>
              <w:rPr>
                <w:rFonts w:ascii="Georgia"/>
                <w:b/>
                <w:sz w:val="20"/>
              </w:rPr>
              <w:t>100%</w:t>
            </w:r>
          </w:p>
        </w:tc>
      </w:tr>
    </w:tbl>
    <w:p>
      <w:pPr>
        <w:pStyle w:val="BodyText"/>
        <w:rPr>
          <w:sz w:val="20"/>
        </w:rPr>
      </w:pPr>
    </w:p>
    <w:p>
      <w:pPr>
        <w:pStyle w:val="BodyText"/>
        <w:spacing w:before="5"/>
        <w:rPr>
          <w:sz w:val="19"/>
        </w:rPr>
      </w:pPr>
    </w:p>
    <w:p>
      <w:pPr>
        <w:pStyle w:val="BodyText"/>
        <w:spacing w:line="276" w:lineRule="auto" w:before="100"/>
        <w:ind w:left="1418" w:right="1518"/>
        <w:rPr>
          <w:i/>
        </w:rPr>
      </w:pPr>
      <w:r>
        <w:rPr/>
        <w:t>Da ultimo i valutatori hanno considerato diverse specificazioni del modello di valutazione che hanno condotto all’identificazione di un intervallo di </w:t>
      </w:r>
      <w:r>
        <w:rPr>
          <w:i/>
        </w:rPr>
        <w:t>enterprise value </w:t>
      </w:r>
      <w:r>
        <w:rPr/>
        <w:t>e quindi di ripartizione</w:t>
      </w:r>
      <w:r>
        <w:rPr>
          <w:i/>
        </w:rPr>
        <w:t>.</w:t>
      </w:r>
    </w:p>
    <w:p>
      <w:pPr>
        <w:pStyle w:val="BodyText"/>
        <w:spacing w:before="200"/>
        <w:ind w:left="1418"/>
      </w:pPr>
      <w:r>
        <w:rPr/>
        <w:t>Le variabili che hanno definito l’intervallo sono le seguenti:</w:t>
      </w:r>
    </w:p>
    <w:p>
      <w:pPr>
        <w:pStyle w:val="BodyText"/>
        <w:rPr>
          <w:sz w:val="26"/>
        </w:rPr>
      </w:pPr>
    </w:p>
    <w:p>
      <w:pPr>
        <w:pStyle w:val="ListParagraph"/>
        <w:numPr>
          <w:ilvl w:val="0"/>
          <w:numId w:val="22"/>
        </w:numPr>
        <w:tabs>
          <w:tab w:pos="2126" w:val="left" w:leader="none"/>
          <w:tab w:pos="2127" w:val="left" w:leader="none"/>
        </w:tabs>
        <w:spacing w:line="240" w:lineRule="auto" w:before="174" w:after="0"/>
        <w:ind w:left="2126" w:right="0" w:hanging="708"/>
        <w:jc w:val="left"/>
        <w:rPr>
          <w:sz w:val="24"/>
        </w:rPr>
      </w:pPr>
      <w:r>
        <w:rPr>
          <w:sz w:val="24"/>
        </w:rPr>
        <w:t>prezzo del bioetanolo inferiore del</w:t>
      </w:r>
      <w:r>
        <w:rPr>
          <w:spacing w:val="-17"/>
          <w:sz w:val="24"/>
        </w:rPr>
        <w:t> </w:t>
      </w:r>
      <w:r>
        <w:rPr>
          <w:sz w:val="24"/>
        </w:rPr>
        <w:t>20%;</w:t>
      </w:r>
    </w:p>
    <w:p>
      <w:pPr>
        <w:pStyle w:val="BodyText"/>
      </w:pPr>
    </w:p>
    <w:p>
      <w:pPr>
        <w:pStyle w:val="ListParagraph"/>
        <w:numPr>
          <w:ilvl w:val="0"/>
          <w:numId w:val="22"/>
        </w:numPr>
        <w:tabs>
          <w:tab w:pos="2126" w:val="left" w:leader="none"/>
          <w:tab w:pos="2127" w:val="left" w:leader="none"/>
        </w:tabs>
        <w:spacing w:line="240" w:lineRule="auto" w:before="0" w:after="0"/>
        <w:ind w:left="2126" w:right="0" w:hanging="708"/>
        <w:jc w:val="left"/>
        <w:rPr>
          <w:sz w:val="24"/>
        </w:rPr>
      </w:pPr>
      <w:r>
        <w:rPr>
          <w:sz w:val="24"/>
        </w:rPr>
        <w:t>utilizzo di una struttura finanziaria integrata di mezzi</w:t>
      </w:r>
      <w:r>
        <w:rPr>
          <w:spacing w:val="-23"/>
          <w:sz w:val="24"/>
        </w:rPr>
        <w:t> </w:t>
      </w:r>
      <w:r>
        <w:rPr>
          <w:sz w:val="24"/>
        </w:rPr>
        <w:t>propri;</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0"/>
          <w:numId w:val="22"/>
        </w:numPr>
        <w:tabs>
          <w:tab w:pos="2126" w:val="left" w:leader="none"/>
          <w:tab w:pos="2127" w:val="left" w:leader="none"/>
        </w:tabs>
        <w:spacing w:line="475" w:lineRule="auto" w:before="100" w:after="0"/>
        <w:ind w:left="1418" w:right="1414" w:firstLine="0"/>
        <w:jc w:val="left"/>
        <w:rPr>
          <w:sz w:val="24"/>
        </w:rPr>
      </w:pPr>
      <w:r>
        <w:rPr>
          <w:sz w:val="24"/>
        </w:rPr>
        <w:t>impiego del modello di Gordon per la stima del </w:t>
      </w:r>
      <w:r>
        <w:rPr>
          <w:i/>
          <w:sz w:val="24"/>
        </w:rPr>
        <w:t>terminal value</w:t>
      </w:r>
      <w:r>
        <w:rPr>
          <w:sz w:val="24"/>
        </w:rPr>
        <w:t>, senza obsolescenza della tecnologia.</w:t>
      </w:r>
    </w:p>
    <w:p>
      <w:pPr>
        <w:pStyle w:val="BodyText"/>
        <w:spacing w:before="204"/>
        <w:ind w:left="1418"/>
        <w:rPr>
          <w:i/>
        </w:rPr>
      </w:pPr>
      <w:r>
        <w:rPr/>
        <w:t>I risultati degli intervalli sono i seguenti in termini di ripartizione dell’</w:t>
      </w:r>
      <w:r>
        <w:rPr>
          <w:i/>
        </w:rPr>
        <w:t>enterprise value:</w:t>
      </w:r>
    </w:p>
    <w:p>
      <w:pPr>
        <w:pStyle w:val="BodyText"/>
        <w:spacing w:before="5"/>
        <w:rPr>
          <w:i/>
          <w:sz w:val="21"/>
        </w:rPr>
      </w:pPr>
    </w:p>
    <w:tbl>
      <w:tblPr>
        <w:tblW w:w="0" w:type="auto"/>
        <w:jc w:val="left"/>
        <w:tblInd w:w="1630"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110"/>
        <w:gridCol w:w="1406"/>
        <w:gridCol w:w="1708"/>
        <w:gridCol w:w="1697"/>
        <w:gridCol w:w="1238"/>
      </w:tblGrid>
      <w:tr>
        <w:trPr>
          <w:trHeight w:val="249" w:hRule="exact"/>
        </w:trPr>
        <w:tc>
          <w:tcPr>
            <w:tcW w:w="2110" w:type="dxa"/>
          </w:tcPr>
          <w:p>
            <w:pPr/>
          </w:p>
        </w:tc>
        <w:tc>
          <w:tcPr>
            <w:tcW w:w="1406" w:type="dxa"/>
          </w:tcPr>
          <w:p>
            <w:pPr>
              <w:pStyle w:val="TableParagraph"/>
              <w:spacing w:before="0"/>
              <w:ind w:left="367"/>
              <w:jc w:val="left"/>
              <w:rPr>
                <w:rFonts w:ascii="Georgia"/>
                <w:b/>
                <w:sz w:val="18"/>
              </w:rPr>
            </w:pPr>
            <w:r>
              <w:rPr>
                <w:rFonts w:ascii="Georgia"/>
                <w:b/>
                <w:color w:val="1F4E79"/>
                <w:sz w:val="18"/>
              </w:rPr>
              <w:t>BCT</w:t>
            </w:r>
          </w:p>
        </w:tc>
        <w:tc>
          <w:tcPr>
            <w:tcW w:w="1708" w:type="dxa"/>
          </w:tcPr>
          <w:p>
            <w:pPr>
              <w:pStyle w:val="TableParagraph"/>
              <w:spacing w:before="0"/>
              <w:ind w:left="495" w:right="486"/>
              <w:jc w:val="center"/>
              <w:rPr>
                <w:rFonts w:ascii="Georgia"/>
                <w:b/>
                <w:sz w:val="18"/>
              </w:rPr>
            </w:pPr>
            <w:r>
              <w:rPr>
                <w:rFonts w:ascii="Georgia"/>
                <w:b/>
                <w:color w:val="1F4E79"/>
                <w:sz w:val="18"/>
              </w:rPr>
              <w:t>BRN</w:t>
            </w:r>
          </w:p>
        </w:tc>
        <w:tc>
          <w:tcPr>
            <w:tcW w:w="1697" w:type="dxa"/>
          </w:tcPr>
          <w:p>
            <w:pPr>
              <w:pStyle w:val="TableParagraph"/>
              <w:spacing w:before="0"/>
              <w:ind w:left="496" w:right="479"/>
              <w:jc w:val="center"/>
              <w:rPr>
                <w:rFonts w:ascii="Georgia"/>
                <w:b/>
                <w:sz w:val="18"/>
              </w:rPr>
            </w:pPr>
            <w:r>
              <w:rPr>
                <w:rFonts w:ascii="Georgia"/>
                <w:b/>
                <w:color w:val="1F4E79"/>
                <w:w w:val="105"/>
                <w:sz w:val="18"/>
              </w:rPr>
              <w:t>IBP</w:t>
            </w:r>
          </w:p>
        </w:tc>
        <w:tc>
          <w:tcPr>
            <w:tcW w:w="1238" w:type="dxa"/>
          </w:tcPr>
          <w:p>
            <w:pPr>
              <w:pStyle w:val="TableParagraph"/>
              <w:spacing w:before="0"/>
              <w:ind w:right="133"/>
              <w:rPr>
                <w:rFonts w:ascii="Georgia"/>
                <w:b/>
                <w:sz w:val="18"/>
              </w:rPr>
            </w:pPr>
            <w:r>
              <w:rPr>
                <w:rFonts w:ascii="Georgia"/>
                <w:b/>
                <w:color w:val="1F4E79"/>
                <w:sz w:val="18"/>
              </w:rPr>
              <w:t>IBPE</w:t>
            </w:r>
          </w:p>
        </w:tc>
      </w:tr>
      <w:tr>
        <w:trPr>
          <w:trHeight w:val="305" w:hRule="exact"/>
        </w:trPr>
        <w:tc>
          <w:tcPr>
            <w:tcW w:w="2110" w:type="dxa"/>
          </w:tcPr>
          <w:p>
            <w:pPr>
              <w:pStyle w:val="TableParagraph"/>
              <w:spacing w:before="81"/>
              <w:ind w:left="50"/>
              <w:jc w:val="left"/>
              <w:rPr>
                <w:rFonts w:ascii="Georgia"/>
                <w:b/>
                <w:sz w:val="18"/>
              </w:rPr>
            </w:pPr>
            <w:r>
              <w:rPr>
                <w:rFonts w:ascii="Georgia"/>
                <w:b/>
                <w:color w:val="1F4E79"/>
                <w:w w:val="105"/>
                <w:sz w:val="18"/>
              </w:rPr>
              <w:t>Bioetanolo -20%</w:t>
            </w:r>
          </w:p>
        </w:tc>
        <w:tc>
          <w:tcPr>
            <w:tcW w:w="1406" w:type="dxa"/>
          </w:tcPr>
          <w:p>
            <w:pPr>
              <w:pStyle w:val="TableParagraph"/>
              <w:spacing w:before="44"/>
              <w:ind w:left="230"/>
              <w:jc w:val="left"/>
              <w:rPr>
                <w:rFonts w:ascii="Georgia"/>
                <w:sz w:val="20"/>
              </w:rPr>
            </w:pPr>
            <w:r>
              <w:rPr>
                <w:rFonts w:ascii="Georgia"/>
                <w:sz w:val="20"/>
              </w:rPr>
              <w:t>38,72%</w:t>
            </w:r>
          </w:p>
        </w:tc>
        <w:tc>
          <w:tcPr>
            <w:tcW w:w="1708" w:type="dxa"/>
          </w:tcPr>
          <w:p>
            <w:pPr>
              <w:pStyle w:val="TableParagraph"/>
              <w:spacing w:before="44"/>
              <w:ind w:left="495" w:right="496"/>
              <w:jc w:val="center"/>
              <w:rPr>
                <w:rFonts w:ascii="Georgia"/>
                <w:sz w:val="20"/>
              </w:rPr>
            </w:pPr>
            <w:r>
              <w:rPr>
                <w:rFonts w:ascii="Georgia"/>
                <w:sz w:val="20"/>
              </w:rPr>
              <w:t>29,36%</w:t>
            </w:r>
          </w:p>
        </w:tc>
        <w:tc>
          <w:tcPr>
            <w:tcW w:w="1697" w:type="dxa"/>
          </w:tcPr>
          <w:p>
            <w:pPr>
              <w:pStyle w:val="TableParagraph"/>
              <w:spacing w:before="44"/>
              <w:ind w:left="495" w:right="494"/>
              <w:jc w:val="center"/>
              <w:rPr>
                <w:rFonts w:ascii="Georgia"/>
                <w:sz w:val="20"/>
              </w:rPr>
            </w:pPr>
            <w:r>
              <w:rPr>
                <w:rFonts w:ascii="Georgia"/>
                <w:sz w:val="20"/>
              </w:rPr>
              <w:t>8,85%</w:t>
            </w:r>
          </w:p>
        </w:tc>
        <w:tc>
          <w:tcPr>
            <w:tcW w:w="1238" w:type="dxa"/>
          </w:tcPr>
          <w:p>
            <w:pPr>
              <w:pStyle w:val="TableParagraph"/>
              <w:spacing w:before="44"/>
              <w:ind w:right="48"/>
              <w:rPr>
                <w:rFonts w:ascii="Georgia"/>
                <w:sz w:val="20"/>
              </w:rPr>
            </w:pPr>
            <w:r>
              <w:rPr>
                <w:rFonts w:ascii="Georgia"/>
                <w:sz w:val="20"/>
              </w:rPr>
              <w:t>23,06%</w:t>
            </w:r>
          </w:p>
        </w:tc>
      </w:tr>
      <w:tr>
        <w:trPr>
          <w:trHeight w:val="281" w:hRule="exact"/>
        </w:trPr>
        <w:tc>
          <w:tcPr>
            <w:tcW w:w="2110" w:type="dxa"/>
          </w:tcPr>
          <w:p>
            <w:pPr>
              <w:pStyle w:val="TableParagraph"/>
              <w:spacing w:before="55"/>
              <w:ind w:left="50"/>
              <w:jc w:val="left"/>
              <w:rPr>
                <w:rFonts w:ascii="Georgia"/>
                <w:b/>
                <w:sz w:val="18"/>
              </w:rPr>
            </w:pPr>
            <w:r>
              <w:rPr>
                <w:rFonts w:ascii="Georgia"/>
                <w:b/>
                <w:color w:val="1F4E79"/>
                <w:w w:val="105"/>
                <w:sz w:val="18"/>
              </w:rPr>
              <w:t>Leva assente</w:t>
            </w:r>
          </w:p>
        </w:tc>
        <w:tc>
          <w:tcPr>
            <w:tcW w:w="1406" w:type="dxa"/>
          </w:tcPr>
          <w:p>
            <w:pPr>
              <w:pStyle w:val="TableParagraph"/>
              <w:spacing w:before="18"/>
              <w:ind w:left="227"/>
              <w:jc w:val="left"/>
              <w:rPr>
                <w:rFonts w:ascii="Georgia"/>
                <w:sz w:val="20"/>
              </w:rPr>
            </w:pPr>
            <w:r>
              <w:rPr>
                <w:rFonts w:ascii="Georgia"/>
                <w:sz w:val="20"/>
              </w:rPr>
              <w:t>32,29%</w:t>
            </w:r>
          </w:p>
        </w:tc>
        <w:tc>
          <w:tcPr>
            <w:tcW w:w="1708" w:type="dxa"/>
          </w:tcPr>
          <w:p>
            <w:pPr>
              <w:pStyle w:val="TableParagraph"/>
              <w:spacing w:before="18"/>
              <w:ind w:left="495" w:right="496"/>
              <w:jc w:val="center"/>
              <w:rPr>
                <w:rFonts w:ascii="Georgia"/>
                <w:sz w:val="20"/>
              </w:rPr>
            </w:pPr>
            <w:r>
              <w:rPr>
                <w:rFonts w:ascii="Georgia"/>
                <w:sz w:val="20"/>
              </w:rPr>
              <w:t>24,05%</w:t>
            </w:r>
          </w:p>
        </w:tc>
        <w:tc>
          <w:tcPr>
            <w:tcW w:w="1697" w:type="dxa"/>
          </w:tcPr>
          <w:p>
            <w:pPr>
              <w:pStyle w:val="TableParagraph"/>
              <w:spacing w:before="18"/>
              <w:ind w:left="494" w:right="494"/>
              <w:jc w:val="center"/>
              <w:rPr>
                <w:rFonts w:ascii="Georgia"/>
                <w:sz w:val="20"/>
              </w:rPr>
            </w:pPr>
            <w:r>
              <w:rPr>
                <w:rFonts w:ascii="Georgia"/>
                <w:sz w:val="20"/>
              </w:rPr>
              <w:t>24,52%</w:t>
            </w:r>
          </w:p>
        </w:tc>
        <w:tc>
          <w:tcPr>
            <w:tcW w:w="1238" w:type="dxa"/>
          </w:tcPr>
          <w:p>
            <w:pPr>
              <w:pStyle w:val="TableParagraph"/>
              <w:spacing w:before="18"/>
              <w:ind w:right="75"/>
              <w:rPr>
                <w:rFonts w:ascii="Georgia"/>
                <w:sz w:val="20"/>
              </w:rPr>
            </w:pPr>
            <w:r>
              <w:rPr>
                <w:rFonts w:ascii="Georgia"/>
                <w:sz w:val="20"/>
              </w:rPr>
              <w:t>19,14%</w:t>
            </w:r>
          </w:p>
        </w:tc>
      </w:tr>
      <w:tr>
        <w:trPr>
          <w:trHeight w:val="281" w:hRule="exact"/>
        </w:trPr>
        <w:tc>
          <w:tcPr>
            <w:tcW w:w="2110" w:type="dxa"/>
          </w:tcPr>
          <w:p>
            <w:pPr>
              <w:pStyle w:val="TableParagraph"/>
              <w:spacing w:before="57"/>
              <w:ind w:left="50"/>
              <w:jc w:val="left"/>
              <w:rPr>
                <w:rFonts w:ascii="Georgia"/>
                <w:b/>
                <w:i/>
                <w:sz w:val="18"/>
              </w:rPr>
            </w:pPr>
            <w:r>
              <w:rPr>
                <w:rFonts w:ascii="Georgia"/>
                <w:b/>
                <w:color w:val="1F4E79"/>
                <w:w w:val="105"/>
                <w:sz w:val="18"/>
              </w:rPr>
              <w:t>Leva </w:t>
            </w:r>
            <w:r>
              <w:rPr>
                <w:rFonts w:ascii="Georgia"/>
                <w:b/>
                <w:i/>
                <w:color w:val="1F4E79"/>
                <w:w w:val="105"/>
                <w:sz w:val="18"/>
              </w:rPr>
              <w:t>comparables</w:t>
            </w:r>
          </w:p>
        </w:tc>
        <w:tc>
          <w:tcPr>
            <w:tcW w:w="1406" w:type="dxa"/>
          </w:tcPr>
          <w:p>
            <w:pPr>
              <w:pStyle w:val="TableParagraph"/>
              <w:spacing w:before="20"/>
              <w:ind w:left="239"/>
              <w:jc w:val="left"/>
              <w:rPr>
                <w:rFonts w:ascii="Georgia"/>
                <w:sz w:val="20"/>
              </w:rPr>
            </w:pPr>
            <w:r>
              <w:rPr>
                <w:rFonts w:ascii="Georgia"/>
                <w:sz w:val="20"/>
              </w:rPr>
              <w:t>31,05%</w:t>
            </w:r>
          </w:p>
        </w:tc>
        <w:tc>
          <w:tcPr>
            <w:tcW w:w="1708" w:type="dxa"/>
          </w:tcPr>
          <w:p>
            <w:pPr>
              <w:pStyle w:val="TableParagraph"/>
              <w:spacing w:before="20"/>
              <w:ind w:left="495" w:right="495"/>
              <w:jc w:val="center"/>
              <w:rPr>
                <w:rFonts w:ascii="Georgia"/>
                <w:sz w:val="20"/>
              </w:rPr>
            </w:pPr>
            <w:r>
              <w:rPr>
                <w:rFonts w:ascii="Georgia"/>
                <w:sz w:val="20"/>
              </w:rPr>
              <w:t>23,54%</w:t>
            </w:r>
          </w:p>
        </w:tc>
        <w:tc>
          <w:tcPr>
            <w:tcW w:w="1697" w:type="dxa"/>
          </w:tcPr>
          <w:p>
            <w:pPr>
              <w:pStyle w:val="TableParagraph"/>
              <w:spacing w:before="20"/>
              <w:ind w:left="496" w:right="494"/>
              <w:jc w:val="center"/>
              <w:rPr>
                <w:rFonts w:ascii="Georgia"/>
                <w:sz w:val="20"/>
              </w:rPr>
            </w:pPr>
            <w:r>
              <w:rPr>
                <w:rFonts w:ascii="Georgia"/>
                <w:sz w:val="20"/>
              </w:rPr>
              <w:t>26,92%</w:t>
            </w:r>
          </w:p>
        </w:tc>
        <w:tc>
          <w:tcPr>
            <w:tcW w:w="1238" w:type="dxa"/>
          </w:tcPr>
          <w:p>
            <w:pPr>
              <w:pStyle w:val="TableParagraph"/>
              <w:spacing w:before="20"/>
              <w:ind w:right="60"/>
              <w:rPr>
                <w:rFonts w:ascii="Georgia"/>
                <w:sz w:val="20"/>
              </w:rPr>
            </w:pPr>
            <w:r>
              <w:rPr>
                <w:rFonts w:ascii="Georgia"/>
                <w:sz w:val="20"/>
              </w:rPr>
              <w:t>18,49%</w:t>
            </w:r>
          </w:p>
        </w:tc>
      </w:tr>
      <w:tr>
        <w:trPr>
          <w:trHeight w:val="260" w:hRule="exact"/>
        </w:trPr>
        <w:tc>
          <w:tcPr>
            <w:tcW w:w="2110" w:type="dxa"/>
          </w:tcPr>
          <w:p>
            <w:pPr>
              <w:pStyle w:val="TableParagraph"/>
              <w:spacing w:before="55"/>
              <w:ind w:left="50"/>
              <w:jc w:val="left"/>
              <w:rPr>
                <w:rFonts w:ascii="Georgia"/>
                <w:b/>
                <w:sz w:val="18"/>
              </w:rPr>
            </w:pPr>
            <w:r>
              <w:rPr>
                <w:rFonts w:ascii="Georgia"/>
                <w:b/>
                <w:color w:val="1F4E79"/>
                <w:w w:val="105"/>
                <w:sz w:val="18"/>
              </w:rPr>
              <w:t>Gordon Model</w:t>
            </w:r>
          </w:p>
        </w:tc>
        <w:tc>
          <w:tcPr>
            <w:tcW w:w="1406" w:type="dxa"/>
          </w:tcPr>
          <w:p>
            <w:pPr>
              <w:pStyle w:val="TableParagraph"/>
              <w:spacing w:before="18"/>
              <w:ind w:left="235"/>
              <w:jc w:val="left"/>
              <w:rPr>
                <w:rFonts w:ascii="Georgia"/>
                <w:sz w:val="20"/>
              </w:rPr>
            </w:pPr>
            <w:r>
              <w:rPr>
                <w:rFonts w:ascii="Georgia"/>
                <w:sz w:val="20"/>
              </w:rPr>
              <w:t>36,37%</w:t>
            </w:r>
          </w:p>
        </w:tc>
        <w:tc>
          <w:tcPr>
            <w:tcW w:w="1708" w:type="dxa"/>
          </w:tcPr>
          <w:p>
            <w:pPr>
              <w:pStyle w:val="TableParagraph"/>
              <w:spacing w:before="18"/>
              <w:ind w:left="495" w:right="496"/>
              <w:jc w:val="center"/>
              <w:rPr>
                <w:rFonts w:ascii="Georgia"/>
                <w:sz w:val="20"/>
              </w:rPr>
            </w:pPr>
            <w:r>
              <w:rPr>
                <w:rFonts w:ascii="Georgia"/>
                <w:sz w:val="20"/>
              </w:rPr>
              <w:t>34,04%</w:t>
            </w:r>
          </w:p>
        </w:tc>
        <w:tc>
          <w:tcPr>
            <w:tcW w:w="1697" w:type="dxa"/>
          </w:tcPr>
          <w:p>
            <w:pPr>
              <w:pStyle w:val="TableParagraph"/>
              <w:spacing w:before="18"/>
              <w:ind w:left="496" w:right="494"/>
              <w:jc w:val="center"/>
              <w:rPr>
                <w:rFonts w:ascii="Georgia"/>
                <w:sz w:val="20"/>
              </w:rPr>
            </w:pPr>
            <w:r>
              <w:rPr>
                <w:rFonts w:ascii="Georgia"/>
                <w:sz w:val="20"/>
              </w:rPr>
              <w:t>15,59%</w:t>
            </w:r>
          </w:p>
        </w:tc>
        <w:tc>
          <w:tcPr>
            <w:tcW w:w="1238" w:type="dxa"/>
          </w:tcPr>
          <w:p>
            <w:pPr>
              <w:pStyle w:val="TableParagraph"/>
              <w:spacing w:before="18"/>
              <w:ind w:right="53"/>
              <w:rPr>
                <w:rFonts w:ascii="Georgia"/>
                <w:sz w:val="20"/>
              </w:rPr>
            </w:pPr>
            <w:r>
              <w:rPr>
                <w:rFonts w:ascii="Georgia"/>
                <w:sz w:val="20"/>
              </w:rPr>
              <w:t>14,00%</w:t>
            </w:r>
          </w:p>
        </w:tc>
      </w:tr>
    </w:tbl>
    <w:p>
      <w:pPr>
        <w:pStyle w:val="BodyText"/>
        <w:spacing w:before="3"/>
        <w:rPr>
          <w:i/>
          <w:sz w:val="23"/>
        </w:rPr>
      </w:pPr>
    </w:p>
    <w:p>
      <w:pPr>
        <w:pStyle w:val="BodyText"/>
        <w:ind w:left="1418"/>
      </w:pPr>
      <w:r>
        <w:rPr/>
        <w:t>I sottoscritti attestatori non hanno osservazioni in ordine ai risultati a cui pervengono i valutatori.</w:t>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Heading1"/>
        <w:numPr>
          <w:ilvl w:val="0"/>
          <w:numId w:val="24"/>
        </w:numPr>
        <w:tabs>
          <w:tab w:pos="2127" w:val="left" w:leader="none"/>
        </w:tabs>
        <w:spacing w:line="240" w:lineRule="auto" w:before="174" w:after="0"/>
        <w:ind w:left="2126" w:right="0" w:hanging="348"/>
        <w:jc w:val="left"/>
      </w:pPr>
      <w:bookmarkStart w:name="_bookmark27" w:id="53"/>
      <w:bookmarkEnd w:id="53"/>
      <w:r>
        <w:rPr>
          <w:b w:val="0"/>
        </w:rPr>
      </w:r>
      <w:bookmarkStart w:name="_bookmark27" w:id="54"/>
      <w:bookmarkEnd w:id="54"/>
      <w:r>
        <w:rPr/>
        <w:t>LA</w:t>
      </w:r>
      <w:r>
        <w:rPr/>
        <w:t> VERIDICITA’ DEI DATI</w:t>
      </w:r>
      <w:r>
        <w:rPr>
          <w:spacing w:val="-3"/>
        </w:rPr>
        <w:t> </w:t>
      </w:r>
      <w:r>
        <w:rPr/>
        <w:t>AZIENDALI</w:t>
      </w:r>
    </w:p>
    <w:p>
      <w:pPr>
        <w:pStyle w:val="BodyText"/>
        <w:spacing w:before="10"/>
        <w:rPr>
          <w:b/>
          <w:sz w:val="45"/>
        </w:rPr>
      </w:pPr>
    </w:p>
    <w:p>
      <w:pPr>
        <w:pStyle w:val="Heading2"/>
        <w:numPr>
          <w:ilvl w:val="1"/>
          <w:numId w:val="25"/>
        </w:numPr>
        <w:tabs>
          <w:tab w:pos="2126" w:val="left" w:leader="none"/>
          <w:tab w:pos="2127" w:val="left" w:leader="none"/>
        </w:tabs>
        <w:spacing w:line="240" w:lineRule="auto" w:before="0" w:after="0"/>
        <w:ind w:left="2126" w:right="0" w:hanging="708"/>
        <w:jc w:val="left"/>
      </w:pPr>
      <w:bookmarkStart w:name="_bookmark28" w:id="55"/>
      <w:bookmarkEnd w:id="55"/>
      <w:r>
        <w:rPr>
          <w:b w:val="0"/>
        </w:rPr>
      </w:r>
      <w:bookmarkStart w:name="_bookmark28" w:id="56"/>
      <w:bookmarkEnd w:id="56"/>
      <w:r>
        <w:rPr/>
        <w:t>P</w:t>
      </w:r>
      <w:r>
        <w:rPr/>
        <w:t>REMESSA SULLA TIPOLOGIA DEI CONTROLLI</w:t>
      </w:r>
      <w:r>
        <w:rPr>
          <w:spacing w:val="-25"/>
        </w:rPr>
        <w:t> </w:t>
      </w:r>
      <w:r>
        <w:rPr/>
        <w:t>OPERATI</w:t>
      </w:r>
    </w:p>
    <w:p>
      <w:pPr>
        <w:pStyle w:val="BodyText"/>
        <w:spacing w:before="11"/>
        <w:rPr>
          <w:b/>
          <w:sz w:val="23"/>
        </w:rPr>
      </w:pPr>
    </w:p>
    <w:p>
      <w:pPr>
        <w:pStyle w:val="BodyText"/>
        <w:spacing w:line="480" w:lineRule="auto"/>
        <w:ind w:left="1418" w:right="1231"/>
      </w:pPr>
      <w:r>
        <w:rPr/>
        <w:t>L’esame della veridicità dei dati aziendali rappresenta il passaggio preliminare e propedeutico rispetto alla verifica sulla fattibilità del piano. Tra le due dimensioni della attestazione sussiste un nesso funzionale rilevante, dato che non può esservi alcun ragionevole giudizio previsionale sui risultati del piano in mancanza della verifica delle risultanze economico-patrimoniali di partenza. Il tema della attestazione di veridicità dei dati aziendali richiede preliminarmente di affrontare tre questioni.</w:t>
      </w:r>
    </w:p>
    <w:p>
      <w:pPr>
        <w:pStyle w:val="BodyText"/>
        <w:spacing w:line="480" w:lineRule="auto"/>
        <w:ind w:left="1418" w:right="1409"/>
        <w:jc w:val="both"/>
      </w:pPr>
      <w:r>
        <w:rPr/>
        <w:t>In primo luogo, pur non sussistendo una norma esplicita che imponga l’accertamento di condizioni di regolarità contabile (intesa come </w:t>
      </w:r>
      <w:r>
        <w:rPr>
          <w:i/>
        </w:rPr>
        <w:t>compliance </w:t>
      </w:r>
      <w:r>
        <w:rPr/>
        <w:t>rispetto ai criteri legali che presidiano la corretta rilevazione dei fatti di gestione nelle scritture contabili e nei rendiconti periodici), è indubbio che, quantomeno per le poste rilevanti che sono alla base del piano (sia esso  finalizzato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7"/>
        <w:jc w:val="both"/>
      </w:pPr>
      <w:r>
        <w:rPr/>
        <w:t>alla liquidazione od al risanamento), lo svolgimento di un processo di revisione e di verifica analitica di corrispondenza tra le rilevazioni contabili ed i fatti aziendali sottostanti rappresenta la via idonea a formulare una attestazione dotata di fondatezza ed attendibilità.</w:t>
      </w:r>
    </w:p>
    <w:p>
      <w:pPr>
        <w:pStyle w:val="BodyText"/>
        <w:spacing w:line="480" w:lineRule="auto"/>
        <w:ind w:left="1418" w:right="1413"/>
        <w:jc w:val="both"/>
      </w:pPr>
      <w:r>
        <w:rPr/>
        <w:t>Va da sé che il compito dell’attestatore non possa essere “dilatato” sino a comprendere l’obbligo di svolgere una vera e propria “certificazione” di correttezza e regolarità “assoluta” della contabilità dell’impresa debitrice (essendo a ciò istituzionalmente e per espresse disposizioni di legge deputati i professionisti a vario titolo presenti nel “sistema” dei controlli aziendali). In questo senso, va sempre ricordato che il parametro-base che indirizza e delimita il giudizio professionale sulla veridicità dei dati aziendali può essere ricercato nella coerenza e sostenibilità dei valori rappresentati nella situazione economico patrimoniale di partenza rispetto alle indicazioni programmatiche delineate nel piano (di risanamento o liquidatorio).</w:t>
      </w:r>
    </w:p>
    <w:p>
      <w:pPr>
        <w:pStyle w:val="BodyText"/>
        <w:spacing w:line="480" w:lineRule="auto"/>
        <w:ind w:left="1418" w:right="1419"/>
        <w:jc w:val="both"/>
      </w:pPr>
      <w:r>
        <w:rPr/>
        <w:t>In secondo luogo, va ricordato che la nozione di dati aziendali (ai quali si riferisce l’attestazione del professionista) non può essere interpretata con esclusivo riferimento ai dati contabili.</w:t>
      </w:r>
    </w:p>
    <w:p>
      <w:pPr>
        <w:pStyle w:val="BodyText"/>
        <w:spacing w:line="480" w:lineRule="auto"/>
        <w:ind w:left="1418" w:right="1414"/>
        <w:jc w:val="both"/>
      </w:pPr>
      <w:r>
        <w:rPr/>
        <w:t>E’ il caso tipico dei piani concordatari per liquidazione nei quali, muovendo dalle situazioni contabili di partenza vengono prospettate alcune rettifiche nell’ottica di rappresentare l’effettiva realizzabilità delle attività e l’effettivo ammontare delle passività sociali, tenendo conto altresì di eventuali rischi futuri ed oneri incrementali.</w:t>
      </w:r>
    </w:p>
    <w:p>
      <w:pPr>
        <w:pStyle w:val="BodyText"/>
        <w:spacing w:line="480" w:lineRule="auto"/>
        <w:ind w:left="1418" w:right="1409"/>
        <w:jc w:val="both"/>
      </w:pPr>
      <w:r>
        <w:rPr/>
        <w:t>In queste situazioni, l’attestazione non è riferita ai dati contabili in senso stretto ma piuttosto ai dati aziendali (di provenienza contabile) che accolgono le rettifiche e stime extra-contabili finalizzate ad offrire la rappresentazione aggiornata dell’attivo realizzabile da destinare al soddisfacimento dei creditori.</w:t>
      </w:r>
    </w:p>
    <w:p>
      <w:pPr>
        <w:pStyle w:val="BodyText"/>
        <w:spacing w:line="480" w:lineRule="auto"/>
        <w:ind w:left="1418" w:right="1415"/>
        <w:jc w:val="both"/>
      </w:pPr>
      <w:r>
        <w:rPr/>
        <w:t>Nel quadro delineato, considerato che il finalismo del piano in esame è di natura liquidatoria, il parametro di riferimento cui ancorare il giudizio di “veridicità” è costituito dai valori di  presunto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realizzo per le attività e di estinzione per le passività (i criteri di valutazione da adottare in fase di liquidazione sono previsti dal principio contabile OIC n. 5).</w:t>
      </w:r>
    </w:p>
    <w:p>
      <w:pPr>
        <w:pStyle w:val="BodyText"/>
        <w:spacing w:line="480" w:lineRule="auto"/>
        <w:ind w:left="1418" w:right="1418"/>
        <w:jc w:val="both"/>
      </w:pPr>
      <w:r>
        <w:rPr/>
        <w:t>Hanno quindi assunto particolare rilievo le verifiche volte ad accertare sia l’effettiva esistenza di ciascuna posta rappresentata nel piano, sia l’attendibilità e la sostenibilità dei valori di realizzo attribuiti ai valori delle singole attività.</w:t>
      </w:r>
    </w:p>
    <w:p>
      <w:pPr>
        <w:pStyle w:val="BodyText"/>
        <w:spacing w:line="480" w:lineRule="auto"/>
        <w:ind w:left="1418" w:right="1411"/>
        <w:jc w:val="both"/>
      </w:pPr>
      <w:r>
        <w:rPr/>
        <w:t>In questo quadro, nella esecuzione dei propri controlli, gli scriventi hanno utilizzato, nei termini di cui si dirà in sede di analisi delle singole poste, i principi di revisione approvati dal Consiglio Nazionale dei Dottori Commercialisti ed Esperti Contabili e degli I.S.A. – International Standards on Auditing – Principi di Revisione Internazionali emessi</w:t>
      </w:r>
      <w:r>
        <w:rPr>
          <w:spacing w:val="-15"/>
        </w:rPr>
        <w:t> </w:t>
      </w:r>
      <w:r>
        <w:rPr/>
        <w:t>dall’Ifac.</w:t>
      </w:r>
    </w:p>
    <w:p>
      <w:pPr>
        <w:pStyle w:val="BodyText"/>
        <w:spacing w:line="480" w:lineRule="auto"/>
        <w:ind w:left="1418" w:right="1411"/>
        <w:jc w:val="both"/>
      </w:pPr>
      <w:r>
        <w:rPr/>
        <w:t>L’esigenza di applicare le tecniche di revisione contabile (anche in termini di organizzazione del lavoro, formalizzazione documentale dei diversi gradi del processo di revisione ed ottenimento di opportune attestazioni da parte della Direzione dell’impresa), è stata graduata ed adeguata rispetto alla situazione concreta.</w:t>
      </w:r>
    </w:p>
    <w:p>
      <w:pPr>
        <w:pStyle w:val="BodyText"/>
        <w:spacing w:line="480" w:lineRule="auto"/>
        <w:ind w:left="1418" w:right="1415"/>
        <w:jc w:val="both"/>
      </w:pPr>
      <w:r>
        <w:rPr/>
        <w:t>Occorre tenere in debita considerazione che la società ricorrente, cosi come anche previsto dai principi di attestazione, al fine di favorire un migliore processo di analisi e verifica dei dati e delle informazioni a supporto della redazione del piano concordatario, in data 16 marzo 2018 ha conferito alla Società Deloitte Financial Advisory S.r.l. in particolare alla Divisione forensic nella persona del partner incaricato dott.ssa Oriana Roncarolo, un incarico avente ad oggetto il supporto professionale per l’effettuazione di attività tecnica di natura perlopiù, ricostruttiva, documentale e contabile, funzionali esclusivamente agli adempimenti della procedura concorsuale per le società del c.d. “Polo Bio “. Nello specifico Deloitte, definito il perimetro di approfondimento delle attività demandatele da parte della Società e dei suoi advisor, si è  occupata: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26"/>
        </w:numPr>
        <w:tabs>
          <w:tab w:pos="2127" w:val="left" w:leader="none"/>
        </w:tabs>
        <w:spacing w:line="470" w:lineRule="auto" w:before="78" w:after="0"/>
        <w:ind w:left="2138" w:right="1416" w:hanging="360"/>
        <w:jc w:val="both"/>
        <w:rPr>
          <w:sz w:val="24"/>
        </w:rPr>
      </w:pPr>
      <w:r>
        <w:rPr>
          <w:sz w:val="24"/>
        </w:rPr>
        <w:t>dell’identificazione e descrizione delle principali operazioni intercompany di varia natura avvenute nell’arco temporale 2013/2017, con relativa descrizione degli effetti economici e finanziari così come segnalati e ricostruiti dalla</w:t>
      </w:r>
      <w:r>
        <w:rPr>
          <w:spacing w:val="-23"/>
          <w:sz w:val="24"/>
        </w:rPr>
        <w:t> </w:t>
      </w:r>
      <w:r>
        <w:rPr>
          <w:sz w:val="24"/>
        </w:rPr>
        <w:t>Società;</w:t>
      </w:r>
    </w:p>
    <w:p>
      <w:pPr>
        <w:pStyle w:val="ListParagraph"/>
        <w:numPr>
          <w:ilvl w:val="0"/>
          <w:numId w:val="26"/>
        </w:numPr>
        <w:tabs>
          <w:tab w:pos="2127" w:val="left" w:leader="none"/>
        </w:tabs>
        <w:spacing w:line="470" w:lineRule="auto" w:before="10" w:after="0"/>
        <w:ind w:left="2138" w:right="1418" w:hanging="360"/>
        <w:jc w:val="both"/>
        <w:rPr>
          <w:sz w:val="24"/>
        </w:rPr>
      </w:pPr>
      <w:r>
        <w:rPr>
          <w:sz w:val="24"/>
        </w:rPr>
        <w:t>dell’identificazione e ricostruzione fattuale delle operazioni di natura finanziaria poste in essere dalle società da e verso altre entità del Gruppo, così come segnalate e ricostruite dalla Società</w:t>
      </w:r>
      <w:r>
        <w:rPr>
          <w:spacing w:val="-4"/>
          <w:sz w:val="24"/>
        </w:rPr>
        <w:t> </w:t>
      </w:r>
      <w:r>
        <w:rPr>
          <w:sz w:val="24"/>
        </w:rPr>
        <w:t>medesima;</w:t>
      </w:r>
    </w:p>
    <w:p>
      <w:pPr>
        <w:pStyle w:val="ListParagraph"/>
        <w:numPr>
          <w:ilvl w:val="0"/>
          <w:numId w:val="26"/>
        </w:numPr>
        <w:tabs>
          <w:tab w:pos="2127" w:val="left" w:leader="none"/>
        </w:tabs>
        <w:spacing w:line="477" w:lineRule="auto" w:before="10" w:after="0"/>
        <w:ind w:left="2138" w:right="1411" w:hanging="360"/>
        <w:jc w:val="both"/>
        <w:rPr>
          <w:sz w:val="24"/>
        </w:rPr>
      </w:pPr>
      <w:r>
        <w:rPr>
          <w:sz w:val="24"/>
        </w:rPr>
        <w:t>della ricostruzione fattuale (e documentale) di natura tecnico-contabile dell’operazione di realizzazione dell’impianto pilota per la produzione di bioetanolo e dell’annessa centrale  di cogenerazione sito in Crescentino (VC), con (i) descrizione delle risorse finanziarie utilizzate a sostegno dell’investimento con (ii) riferimento agli effetti economici e patrimoniali derivanti da tale operazione. Nell’ambito di tale operazione è stata inoltre svolta un’attività di mappatura delle clausole contrattuali dalle quali potrebbero derivare eventuali rischi in capo alla società in termini di eventuali esborsi</w:t>
      </w:r>
      <w:r>
        <w:rPr>
          <w:spacing w:val="-32"/>
          <w:sz w:val="24"/>
        </w:rPr>
        <w:t> </w:t>
      </w:r>
      <w:r>
        <w:rPr>
          <w:sz w:val="24"/>
        </w:rPr>
        <w:t>finanziari;</w:t>
      </w:r>
    </w:p>
    <w:p>
      <w:pPr>
        <w:pStyle w:val="ListParagraph"/>
        <w:numPr>
          <w:ilvl w:val="0"/>
          <w:numId w:val="26"/>
        </w:numPr>
        <w:tabs>
          <w:tab w:pos="2127" w:val="left" w:leader="none"/>
        </w:tabs>
        <w:spacing w:line="472" w:lineRule="auto" w:before="2" w:after="0"/>
        <w:ind w:left="2138" w:right="1413" w:hanging="360"/>
        <w:jc w:val="both"/>
        <w:rPr>
          <w:sz w:val="24"/>
        </w:rPr>
      </w:pPr>
      <w:r>
        <w:rPr>
          <w:sz w:val="24"/>
        </w:rPr>
        <w:t>del riepilogo e mappatura, sulla base della documentazione messa a disposizione dalla Ricorrente e dagli advisor, dei contratti attivi e passivi di natura per lo più commerciale sottoscritti dalla Ricorrente tutt’ora in corso di esecuzione, con indicazione delle principali clausole e condizioni</w:t>
      </w:r>
      <w:r>
        <w:rPr>
          <w:spacing w:val="-20"/>
          <w:sz w:val="24"/>
        </w:rPr>
        <w:t> </w:t>
      </w:r>
      <w:r>
        <w:rPr>
          <w:sz w:val="24"/>
        </w:rPr>
        <w:t>economiche;</w:t>
      </w:r>
    </w:p>
    <w:p>
      <w:pPr>
        <w:pStyle w:val="ListParagraph"/>
        <w:numPr>
          <w:ilvl w:val="0"/>
          <w:numId w:val="26"/>
        </w:numPr>
        <w:tabs>
          <w:tab w:pos="2127" w:val="left" w:leader="none"/>
        </w:tabs>
        <w:spacing w:line="470" w:lineRule="auto" w:before="8" w:after="0"/>
        <w:ind w:left="2138" w:right="1417" w:hanging="360"/>
        <w:jc w:val="both"/>
        <w:rPr>
          <w:sz w:val="24"/>
        </w:rPr>
      </w:pPr>
      <w:r>
        <w:rPr>
          <w:sz w:val="24"/>
        </w:rPr>
        <w:t>del supporto alla Società e agli advisor verifica delle risposte pervenute a seguito delle lettere di circolarizzazione inviate dalla Società ai fini di accertare i saldi creditori  e debitori risultanti al 15 ottobre</w:t>
      </w:r>
      <w:r>
        <w:rPr>
          <w:spacing w:val="-15"/>
          <w:sz w:val="24"/>
        </w:rPr>
        <w:t> </w:t>
      </w:r>
      <w:r>
        <w:rPr>
          <w:sz w:val="24"/>
        </w:rPr>
        <w:t>2017.</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4"/>
        <w:jc w:val="both"/>
      </w:pPr>
      <w:r>
        <w:rPr/>
        <w:t>Si precisa che l’incarico di Deloitte non costituisce 1) una revisione contabile completa o limitata ai bilanci della società; 2) un esame di dati finanziari previsionali; 3) una valutazione della società  o di specifici elementi dell’attivo e del passivo; 4) un esame del sistema di controllo</w:t>
      </w:r>
      <w:r>
        <w:rPr>
          <w:spacing w:val="-16"/>
        </w:rPr>
        <w:t> </w:t>
      </w:r>
      <w:r>
        <w:rPr/>
        <w:t>interno.</w:t>
      </w:r>
    </w:p>
    <w:p>
      <w:pPr>
        <w:pStyle w:val="BodyText"/>
        <w:spacing w:line="480" w:lineRule="auto"/>
        <w:ind w:left="1418" w:right="1421"/>
        <w:jc w:val="both"/>
      </w:pPr>
      <w:r>
        <w:rPr/>
        <w:t>Al termine delle attività svolte Deloitte ha redatto e consegnato alla società ricorrente più “</w:t>
      </w:r>
      <w:r>
        <w:rPr>
          <w:i/>
        </w:rPr>
        <w:t>deliverables</w:t>
      </w:r>
      <w:r>
        <w:rPr/>
        <w:t>” con le risultanze emerse.</w:t>
      </w:r>
    </w:p>
    <w:p>
      <w:pPr>
        <w:pStyle w:val="BodyText"/>
        <w:spacing w:line="480" w:lineRule="auto"/>
        <w:ind w:left="1418" w:right="1410"/>
        <w:jc w:val="both"/>
      </w:pPr>
      <w:r>
        <w:rPr/>
        <w:t>I sottoscritti hanno ricevuto dal management della Società le risultanze del lavoro svolto da Deloitte con riguardo alla società Biochemtex S.p.A., ne hanno preso visione ed hanno verificato a campione la documentazione e gli esiti del lavoro svolto. Nello specifico, per quanto riguarda le circolarizzazioni, gli scriventi hanno analizzato gli importi delle conferme saldi ove significativi, le ragioni di eventuali </w:t>
      </w:r>
      <w:r>
        <w:rPr>
          <w:i/>
        </w:rPr>
        <w:t>adjustments </w:t>
      </w:r>
      <w:r>
        <w:rPr/>
        <w:t>o riconciliazioni, le procedure alternative con l’analisi della documentazione a supporto dell’esistenza quali contratti, fatture ed incassi successivi al  15 ottobre 2015; per quanto riguarda la mappatura e l’analisi dei contratti attivi e passivi, gli scriventi hanno preso visione dei contratti più significativi rientranti e non rientranti nel perimetro dell’offerta Versalis e verificato la ragionevolezza delle analisi operate sia da Deloitte che dai legali della Società, anche in relazione ad eventuali passività potenziali legate a penalità scaturenti dalle clausole contrattuali o dalla risoluzione anticipata degli</w:t>
      </w:r>
      <w:r>
        <w:rPr>
          <w:spacing w:val="-30"/>
        </w:rPr>
        <w:t> </w:t>
      </w:r>
      <w:r>
        <w:rPr/>
        <w:t>stessi.</w:t>
      </w:r>
    </w:p>
    <w:p>
      <w:pPr>
        <w:pStyle w:val="BodyText"/>
        <w:spacing w:line="480" w:lineRule="auto"/>
        <w:ind w:left="1418" w:right="1410"/>
        <w:jc w:val="both"/>
      </w:pPr>
      <w:r>
        <w:rPr/>
        <w:t>Con riferimento alle verifiche sulle singole poste patrimoniali, gli scriventi hanno provveduto al riscontro dei saldi con la documentazione fornita dalla Società, nonché con la documentazione di provenienza esterna, trovando corretta e sostanziale rappresentazione nei dati contabili esaminati. Tenuto conto di quanto sopra anticipato, ed alla luce delle considerazioni specificamente svolte per ciascuna voce della situazione patrimoniale presentata, gli scriventi ritengono che l'insieme degli accertamenti compiuti e dei riscontri ottenuti rappresentino, nel loro complesso, quanto la diligenza  professionale  potesse  ragionevolmente  richiedere  per  i  fini  richiesti,  ovvero  per la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valutazione circa la veridicità dei dati aziendali. In termini generali, le procedure di verifica effettuate hanno inteso appurare, su base campionaria:</w:t>
      </w: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l’esistenza delle poste</w:t>
      </w:r>
      <w:r>
        <w:rPr>
          <w:spacing w:val="-8"/>
          <w:sz w:val="24"/>
        </w:rPr>
        <w:t> </w:t>
      </w:r>
      <w:r>
        <w:rPr>
          <w:sz w:val="24"/>
        </w:rPr>
        <w:t>contabili;</w:t>
      </w:r>
    </w:p>
    <w:p>
      <w:pPr>
        <w:pStyle w:val="BodyText"/>
      </w:pP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la corretta classificazione delle singole</w:t>
      </w:r>
      <w:r>
        <w:rPr>
          <w:spacing w:val="-20"/>
          <w:sz w:val="24"/>
        </w:rPr>
        <w:t> </w:t>
      </w:r>
      <w:r>
        <w:rPr>
          <w:sz w:val="24"/>
        </w:rPr>
        <w:t>poste;</w:t>
      </w:r>
    </w:p>
    <w:p>
      <w:pPr>
        <w:pStyle w:val="BodyText"/>
        <w:spacing w:before="11"/>
        <w:rPr>
          <w:sz w:val="23"/>
        </w:rPr>
      </w:pP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la recuperabilità delle poste</w:t>
      </w:r>
      <w:r>
        <w:rPr>
          <w:spacing w:val="-15"/>
          <w:sz w:val="24"/>
        </w:rPr>
        <w:t> </w:t>
      </w:r>
      <w:r>
        <w:rPr>
          <w:sz w:val="24"/>
        </w:rPr>
        <w:t>attive;</w:t>
      </w:r>
    </w:p>
    <w:p>
      <w:pPr>
        <w:pStyle w:val="BodyText"/>
      </w:pP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l’esistenza e la completezza delle poste</w:t>
      </w:r>
      <w:r>
        <w:rPr>
          <w:spacing w:val="-14"/>
          <w:sz w:val="24"/>
        </w:rPr>
        <w:t> </w:t>
      </w:r>
      <w:r>
        <w:rPr>
          <w:sz w:val="24"/>
        </w:rPr>
        <w:t>passive.</w:t>
      </w:r>
    </w:p>
    <w:p>
      <w:pPr>
        <w:pStyle w:val="BodyText"/>
        <w:spacing w:before="10"/>
        <w:rPr>
          <w:sz w:val="23"/>
        </w:rPr>
      </w:pPr>
    </w:p>
    <w:p>
      <w:pPr>
        <w:pStyle w:val="BodyText"/>
        <w:spacing w:line="480" w:lineRule="auto"/>
        <w:ind w:left="1418" w:right="1518"/>
      </w:pPr>
      <w:r>
        <w:rPr/>
        <w:t>Si tenga conto che, per alcune voci, è possibile che le procedure e la rispettiva estensione (dimensione del campione e materialità) inizialmente definite, siano state adeguate in relazione a:</w:t>
      </w: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rilevanza e complessità della voce nel</w:t>
      </w:r>
      <w:r>
        <w:rPr>
          <w:spacing w:val="-20"/>
          <w:sz w:val="24"/>
        </w:rPr>
        <w:t> </w:t>
      </w:r>
      <w:r>
        <w:rPr>
          <w:sz w:val="24"/>
        </w:rPr>
        <w:t>bilancio;</w:t>
      </w:r>
    </w:p>
    <w:p>
      <w:pPr>
        <w:pStyle w:val="BodyText"/>
      </w:pP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procedure contabili sottostanti da cui si origina la</w:t>
      </w:r>
      <w:r>
        <w:rPr>
          <w:spacing w:val="-29"/>
          <w:sz w:val="24"/>
        </w:rPr>
        <w:t> </w:t>
      </w:r>
      <w:r>
        <w:rPr>
          <w:sz w:val="24"/>
        </w:rPr>
        <w:t>voce;</w:t>
      </w:r>
    </w:p>
    <w:p>
      <w:pPr>
        <w:pStyle w:val="BodyText"/>
        <w:spacing w:before="10"/>
        <w:rPr>
          <w:sz w:val="23"/>
        </w:rPr>
      </w:pP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composizione della voce in termini di numerosità delle</w:t>
      </w:r>
      <w:r>
        <w:rPr>
          <w:spacing w:val="-26"/>
          <w:sz w:val="24"/>
        </w:rPr>
        <w:t> </w:t>
      </w:r>
      <w:r>
        <w:rPr>
          <w:sz w:val="24"/>
        </w:rPr>
        <w:t>transazioni;</w:t>
      </w:r>
    </w:p>
    <w:p>
      <w:pPr>
        <w:pStyle w:val="BodyText"/>
        <w:spacing w:before="11"/>
        <w:rPr>
          <w:sz w:val="23"/>
        </w:rPr>
      </w:pPr>
    </w:p>
    <w:p>
      <w:pPr>
        <w:pStyle w:val="ListParagraph"/>
        <w:numPr>
          <w:ilvl w:val="0"/>
          <w:numId w:val="27"/>
        </w:numPr>
        <w:tabs>
          <w:tab w:pos="2126" w:val="left" w:leader="none"/>
          <w:tab w:pos="2127" w:val="left" w:leader="none"/>
        </w:tabs>
        <w:spacing w:line="240" w:lineRule="auto" w:before="0" w:after="0"/>
        <w:ind w:left="2126" w:right="0" w:hanging="708"/>
        <w:jc w:val="both"/>
        <w:rPr>
          <w:sz w:val="24"/>
        </w:rPr>
      </w:pPr>
      <w:r>
        <w:rPr>
          <w:sz w:val="24"/>
        </w:rPr>
        <w:t>grado di soggettività nella formazione della voce di</w:t>
      </w:r>
      <w:r>
        <w:rPr>
          <w:spacing w:val="-23"/>
          <w:sz w:val="24"/>
        </w:rPr>
        <w:t> </w:t>
      </w:r>
      <w:r>
        <w:rPr>
          <w:sz w:val="24"/>
        </w:rPr>
        <w:t>bilancio.</w:t>
      </w:r>
    </w:p>
    <w:p>
      <w:pPr>
        <w:pStyle w:val="BodyText"/>
        <w:spacing w:before="11"/>
        <w:rPr>
          <w:sz w:val="23"/>
        </w:rPr>
      </w:pPr>
    </w:p>
    <w:p>
      <w:pPr>
        <w:pStyle w:val="BodyText"/>
        <w:spacing w:line="480" w:lineRule="auto"/>
        <w:ind w:left="1418" w:right="1415"/>
        <w:jc w:val="both"/>
      </w:pPr>
      <w:r>
        <w:rPr/>
        <w:t>Si evidenzia che nel corso dell’intervallo di tempo compreso tra la data di riferimento adottata per la predisposizione della proposta concordataria e la data di effettivo deposito del ricorso ex art. 161, 6° comma, L.F., non risultano scostamenti nelle partite attive o passive tali da determinare significative variazioni nella valorizzazione concordataria dei medesimi valori.</w:t>
      </w:r>
    </w:p>
    <w:p>
      <w:pPr>
        <w:pStyle w:val="BodyText"/>
        <w:spacing w:line="480" w:lineRule="auto"/>
        <w:ind w:left="1418" w:right="1415"/>
        <w:jc w:val="both"/>
      </w:pPr>
      <w:r>
        <w:rPr/>
        <w:t>Si è preso visione inoltre delle relazioni finanziarie mensili previste dal decreto emesso ai sensi e per gli effetti dell’art. 161, 6° comma, L.F., che ha concesso un maggior termine per il deposito della proposta definitiva, del piano di concordato e relativi allegati.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1"/>
          <w:numId w:val="25"/>
        </w:numPr>
        <w:tabs>
          <w:tab w:pos="2127" w:val="left" w:leader="none"/>
        </w:tabs>
        <w:spacing w:line="240" w:lineRule="auto" w:before="100" w:after="0"/>
        <w:ind w:left="2126" w:right="0" w:hanging="708"/>
        <w:jc w:val="both"/>
      </w:pPr>
      <w:bookmarkStart w:name="_bookmark29" w:id="57"/>
      <w:bookmarkEnd w:id="57"/>
      <w:r>
        <w:rPr>
          <w:b w:val="0"/>
        </w:rPr>
      </w:r>
      <w:bookmarkStart w:name="_bookmark29" w:id="58"/>
      <w:bookmarkEnd w:id="58"/>
      <w:r>
        <w:rPr/>
        <w:t>LA</w:t>
      </w:r>
      <w:r>
        <w:rPr/>
        <w:t> SITUAZIONE PATRIMONIALE AL 15 OTTOBRE</w:t>
      </w:r>
      <w:r>
        <w:rPr>
          <w:spacing w:val="-22"/>
        </w:rPr>
        <w:t> </w:t>
      </w:r>
      <w:r>
        <w:rPr/>
        <w:t>2017</w:t>
      </w:r>
    </w:p>
    <w:p>
      <w:pPr>
        <w:pStyle w:val="BodyText"/>
        <w:spacing w:before="11"/>
        <w:rPr>
          <w:b/>
          <w:sz w:val="23"/>
        </w:rPr>
      </w:pPr>
    </w:p>
    <w:p>
      <w:pPr>
        <w:pStyle w:val="BodyText"/>
        <w:spacing w:line="480" w:lineRule="auto"/>
        <w:ind w:left="1418" w:right="1417"/>
        <w:jc w:val="both"/>
      </w:pPr>
      <w:r>
        <w:rPr/>
        <w:t>La situazione patrimoniale al 15 ottobre 2017 è stata redatta dalla Società al fine di fornire dati patrimoniali aggiornati per la predisposizione della domanda di concordato. La versione definitiva è stata messa a disposizione degli scriventi in data 20 aprile 2018.</w:t>
      </w:r>
    </w:p>
    <w:p>
      <w:pPr>
        <w:pStyle w:val="BodyText"/>
        <w:ind w:left="1418"/>
        <w:jc w:val="both"/>
      </w:pPr>
      <w:r>
        <w:rPr/>
        <w:t>La tabella seguente riporta i saldi della situazione patrimoniale.</w:t>
      </w:r>
    </w:p>
    <w:p>
      <w:pPr>
        <w:pStyle w:val="BodyText"/>
        <w:rPr>
          <w:sz w:val="20"/>
        </w:rPr>
      </w:pPr>
    </w:p>
    <w:p>
      <w:pPr>
        <w:pStyle w:val="BodyText"/>
        <w:rPr>
          <w:sz w:val="20"/>
        </w:rPr>
      </w:pPr>
    </w:p>
    <w:p>
      <w:pPr>
        <w:pStyle w:val="BodyText"/>
        <w:spacing w:before="6"/>
        <w:rPr>
          <w:sz w:val="28"/>
        </w:rPr>
      </w:pPr>
      <w:r>
        <w:rPr/>
        <w:drawing>
          <wp:anchor distT="0" distB="0" distL="0" distR="0" allowOverlap="1" layoutInCell="1" locked="0" behindDoc="0" simplePos="0" relativeHeight="1456">
            <wp:simplePos x="0" y="0"/>
            <wp:positionH relativeFrom="page">
              <wp:posOffset>900430</wp:posOffset>
            </wp:positionH>
            <wp:positionV relativeFrom="paragraph">
              <wp:posOffset>229089</wp:posOffset>
            </wp:positionV>
            <wp:extent cx="5772596" cy="3390900"/>
            <wp:effectExtent l="0" t="0" r="0" b="0"/>
            <wp:wrapTopAndBottom/>
            <wp:docPr id="5" name="image3.jpeg" descr=""/>
            <wp:cNvGraphicFramePr>
              <a:graphicFrameLocks noChangeAspect="1"/>
            </wp:cNvGraphicFramePr>
            <a:graphic>
              <a:graphicData uri="http://schemas.openxmlformats.org/drawingml/2006/picture">
                <pic:pic>
                  <pic:nvPicPr>
                    <pic:cNvPr id="6" name="image3.jpeg"/>
                    <pic:cNvPicPr/>
                  </pic:nvPicPr>
                  <pic:blipFill>
                    <a:blip r:embed="rId10" cstate="print"/>
                    <a:stretch>
                      <a:fillRect/>
                    </a:stretch>
                  </pic:blipFill>
                  <pic:spPr>
                    <a:xfrm>
                      <a:off x="0" y="0"/>
                      <a:ext cx="5772596" cy="3390900"/>
                    </a:xfrm>
                    <a:prstGeom prst="rect">
                      <a:avLst/>
                    </a:prstGeom>
                  </pic:spPr>
                </pic:pic>
              </a:graphicData>
            </a:graphic>
          </wp:anchor>
        </w:drawing>
      </w:r>
    </w:p>
    <w:p>
      <w:pPr>
        <w:pStyle w:val="BodyText"/>
        <w:rPr>
          <w:sz w:val="26"/>
        </w:rPr>
      </w:pPr>
    </w:p>
    <w:p>
      <w:pPr>
        <w:pStyle w:val="BodyText"/>
        <w:rPr>
          <w:sz w:val="26"/>
        </w:rPr>
      </w:pPr>
    </w:p>
    <w:p>
      <w:pPr>
        <w:pStyle w:val="BodyText"/>
        <w:spacing w:line="480" w:lineRule="auto" w:before="197"/>
        <w:ind w:left="1418" w:right="1412"/>
        <w:jc w:val="both"/>
      </w:pPr>
      <w:r>
        <w:rPr/>
        <w:t>Ai fini concordatari i redattori del piano hanno ritenuto opportuno, e tale scelta appare condivisibile, apportare alla situazione sopra esposta le ulteriori rettifiche necessarie al fine di esporre l’attivo patrimoniale al suo presumibile valore di realizzo e di esporre il valore del fondo rischi ed oneri legati al piano concordatario della Società. Oltre alle rettifiche effettuate in ottica concordataria non sono emerse evidenze atte ad inficiare le risultanze della situazione contabile.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1"/>
          <w:numId w:val="25"/>
        </w:numPr>
        <w:tabs>
          <w:tab w:pos="2126" w:val="left" w:leader="none"/>
          <w:tab w:pos="2127" w:val="left" w:leader="none"/>
          <w:tab w:pos="3271" w:val="left" w:leader="none"/>
          <w:tab w:pos="4990" w:val="left" w:leader="none"/>
          <w:tab w:pos="5691" w:val="left" w:leader="none"/>
          <w:tab w:pos="7579" w:val="left" w:leader="none"/>
          <w:tab w:pos="8757" w:val="left" w:leader="none"/>
          <w:tab w:pos="10318" w:val="left" w:leader="none"/>
        </w:tabs>
        <w:spacing w:line="480" w:lineRule="auto" w:before="100" w:after="0"/>
        <w:ind w:left="2126" w:right="1416" w:hanging="708"/>
        <w:jc w:val="left"/>
      </w:pPr>
      <w:bookmarkStart w:name="_bookmark30" w:id="59"/>
      <w:bookmarkEnd w:id="59"/>
      <w:r>
        <w:rPr>
          <w:b w:val="0"/>
        </w:rPr>
      </w:r>
      <w:bookmarkStart w:name="_bookmark30" w:id="60"/>
      <w:bookmarkEnd w:id="60"/>
      <w:r>
        <w:rPr/>
        <w:t>ST</w:t>
      </w:r>
      <w:r>
        <w:rPr/>
        <w:t>ATO</w:t>
        <w:tab/>
        <w:t>ANALITICO</w:t>
        <w:tab/>
        <w:t>ED</w:t>
        <w:tab/>
        <w:t>ESTIMATIVO</w:t>
        <w:tab/>
        <w:t>DELLE</w:t>
        <w:tab/>
        <w:t>ATTIVITA’</w:t>
        <w:tab/>
        <w:t>E INDIVIDUAZIONE DELLE</w:t>
      </w:r>
      <w:r>
        <w:rPr>
          <w:spacing w:val="-10"/>
        </w:rPr>
        <w:t> </w:t>
      </w:r>
      <w:r>
        <w:rPr/>
        <w:t>PASSIVITA’</w:t>
      </w:r>
    </w:p>
    <w:p>
      <w:pPr>
        <w:pStyle w:val="BodyText"/>
        <w:rPr>
          <w:b/>
          <w:sz w:val="26"/>
        </w:rPr>
      </w:pPr>
    </w:p>
    <w:p>
      <w:pPr>
        <w:pStyle w:val="BodyText"/>
        <w:spacing w:before="11"/>
        <w:rPr>
          <w:b/>
          <w:sz w:val="21"/>
        </w:rPr>
      </w:pPr>
    </w:p>
    <w:p>
      <w:pPr>
        <w:pStyle w:val="BodyText"/>
        <w:spacing w:line="480" w:lineRule="auto"/>
        <w:ind w:left="1418" w:right="1412"/>
        <w:jc w:val="both"/>
      </w:pPr>
      <w:r>
        <w:rPr/>
        <w:t>Di seguito si procede con l’analisi delle singole voci componenti l’attivo e il passivo concordatario partendo dai valori della situazione contabile al 15.10.17, esaminando le rettifiche concordatarie e i valori rettificati dalla Società in ottica</w:t>
      </w:r>
      <w:r>
        <w:rPr>
          <w:spacing w:val="-24"/>
        </w:rPr>
        <w:t> </w:t>
      </w:r>
      <w:r>
        <w:rPr/>
        <w:t>concordataria.</w:t>
      </w:r>
    </w:p>
    <w:p>
      <w:pPr>
        <w:pStyle w:val="BodyText"/>
        <w:spacing w:line="480" w:lineRule="auto"/>
        <w:ind w:left="1418" w:right="1412"/>
        <w:jc w:val="both"/>
      </w:pPr>
      <w:r>
        <w:rPr/>
        <w:t>Considerato che la Biochemtex svolge attività di </w:t>
      </w:r>
      <w:r>
        <w:rPr>
          <w:i/>
        </w:rPr>
        <w:t>engeneering </w:t>
      </w:r>
      <w:r>
        <w:rPr/>
        <w:t>&amp; </w:t>
      </w:r>
      <w:r>
        <w:rPr>
          <w:i/>
        </w:rPr>
        <w:t>procurement </w:t>
      </w:r>
      <w:r>
        <w:rPr/>
        <w:t>anche a favore di soggetti terzi, oltre ad essere la società del Gruppo Ghisolfi che svolge l’attività di ricerca e sviluppo (individuata anche con l’acronimo anglofono “R&amp;D”), una parte significativa dei valori dell’attivo di Biochemtex è oggetto del perimetro c.d.” Bio” dell’offerta vincolante di Versalis S.p.A. (società del gruppo Eni, nel seguito indicata anche come “Versalis”) datata 2 febbraio 2018, integrata in data 14 febbraio 2018 e perfezionata in data 21 febbraio 2018.</w:t>
      </w:r>
    </w:p>
    <w:p>
      <w:pPr>
        <w:pStyle w:val="BodyText"/>
        <w:spacing w:line="480" w:lineRule="auto"/>
        <w:ind w:left="1418" w:right="1417"/>
        <w:jc w:val="both"/>
      </w:pPr>
      <w:r>
        <w:rPr/>
        <w:t>Sulla base di tale offerta avanzata da Versalis S.p.A., come gli scriventi hanno ampiamente descritto nel paragrafo 3.2 della presente relazione, l’offerente Versalis si offre di acquistare come parte di un’unica e inscindibile operazione le aziende del polo Bio, condotte da Biochemtex, IBP, IBP Energia e Beta Renewables. In particolare, fanno parte dell’offerta, ai sensi del punto 1.2  della stessa, tutti i singoli beni, diritti e rapporti inerenti e/o funzionali alle attività Bio e/o alle tecnologie Bio quali a titolo esemplificativo e non</w:t>
      </w:r>
      <w:r>
        <w:rPr>
          <w:spacing w:val="-24"/>
        </w:rPr>
        <w:t> </w:t>
      </w:r>
      <w:r>
        <w:rPr/>
        <w:t>esaustivo:</w:t>
      </w:r>
    </w:p>
    <w:p>
      <w:pPr>
        <w:pStyle w:val="ListParagraph"/>
        <w:numPr>
          <w:ilvl w:val="0"/>
          <w:numId w:val="28"/>
        </w:numPr>
        <w:tabs>
          <w:tab w:pos="2126" w:val="left" w:leader="none"/>
          <w:tab w:pos="2127" w:val="left" w:leader="none"/>
        </w:tabs>
        <w:spacing w:line="460" w:lineRule="auto" w:before="0" w:after="0"/>
        <w:ind w:left="2138" w:right="1410" w:hanging="360"/>
        <w:jc w:val="left"/>
        <w:rPr>
          <w:sz w:val="24"/>
        </w:rPr>
      </w:pPr>
      <w:r>
        <w:rPr>
          <w:sz w:val="24"/>
        </w:rPr>
        <w:t>diritti di proprietà intellettuale quali brevetti (allegato A dell’offerta), marchi (allegato B dell’offerta);</w:t>
      </w:r>
    </w:p>
    <w:p>
      <w:pPr>
        <w:pStyle w:val="ListParagraph"/>
        <w:numPr>
          <w:ilvl w:val="0"/>
          <w:numId w:val="28"/>
        </w:numPr>
        <w:tabs>
          <w:tab w:pos="2126" w:val="left" w:leader="none"/>
          <w:tab w:pos="2127" w:val="left" w:leader="none"/>
        </w:tabs>
        <w:spacing w:line="240" w:lineRule="auto" w:before="21" w:after="0"/>
        <w:ind w:left="2126" w:right="0" w:hanging="348"/>
        <w:jc w:val="left"/>
        <w:rPr>
          <w:sz w:val="24"/>
        </w:rPr>
      </w:pPr>
      <w:r>
        <w:rPr>
          <w:sz w:val="24"/>
        </w:rPr>
        <w:t>contratti e rapporti inerenti e funzionali al ramo Bio (allegato</w:t>
      </w:r>
      <w:r>
        <w:rPr>
          <w:spacing w:val="-16"/>
          <w:sz w:val="24"/>
        </w:rPr>
        <w:t> </w:t>
      </w:r>
      <w:r>
        <w:rPr>
          <w:sz w:val="24"/>
        </w:rPr>
        <w:t>C);</w:t>
      </w:r>
    </w:p>
    <w:p>
      <w:pPr>
        <w:pStyle w:val="BodyText"/>
        <w:spacing w:before="9"/>
        <w:rPr>
          <w:sz w:val="23"/>
        </w:rPr>
      </w:pPr>
    </w:p>
    <w:p>
      <w:pPr>
        <w:pStyle w:val="ListParagraph"/>
        <w:numPr>
          <w:ilvl w:val="0"/>
          <w:numId w:val="28"/>
        </w:numPr>
        <w:tabs>
          <w:tab w:pos="2126" w:val="left" w:leader="none"/>
          <w:tab w:pos="2127" w:val="left" w:leader="none"/>
        </w:tabs>
        <w:spacing w:line="460" w:lineRule="auto" w:before="0" w:after="0"/>
        <w:ind w:left="2138" w:right="1420" w:hanging="360"/>
        <w:jc w:val="left"/>
        <w:rPr>
          <w:sz w:val="24"/>
        </w:rPr>
      </w:pPr>
      <w:r>
        <w:rPr>
          <w:sz w:val="24"/>
        </w:rPr>
        <w:t>centrale elettrica e relativo contratto di leasing con Unicredit leasing sottoscritto in data  25 ottobre</w:t>
      </w:r>
      <w:r>
        <w:rPr>
          <w:spacing w:val="-6"/>
          <w:sz w:val="24"/>
        </w:rPr>
        <w:t> </w:t>
      </w:r>
      <w:r>
        <w:rPr>
          <w:sz w:val="24"/>
        </w:rPr>
        <w:t>2013;</w:t>
      </w:r>
    </w:p>
    <w:p>
      <w:pPr>
        <w:spacing w:after="0" w:line="46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28"/>
        </w:numPr>
        <w:tabs>
          <w:tab w:pos="2127" w:val="left" w:leader="none"/>
        </w:tabs>
        <w:spacing w:line="460" w:lineRule="auto" w:before="78" w:after="0"/>
        <w:ind w:left="2138" w:right="1414" w:hanging="360"/>
        <w:jc w:val="both"/>
        <w:rPr>
          <w:sz w:val="24"/>
        </w:rPr>
      </w:pPr>
      <w:r>
        <w:rPr>
          <w:sz w:val="24"/>
        </w:rPr>
        <w:t>contratti di lavoro subordinato e i relativi debiti strettamente afferenti il trattamento di fine rapporto e gli oneri connessi a eventuali ferie e permessi maturati e non</w:t>
      </w:r>
      <w:r>
        <w:rPr>
          <w:spacing w:val="-41"/>
          <w:sz w:val="24"/>
        </w:rPr>
        <w:t> </w:t>
      </w:r>
      <w:r>
        <w:rPr>
          <w:sz w:val="24"/>
        </w:rPr>
        <w:t>goduti;</w:t>
      </w:r>
    </w:p>
    <w:p>
      <w:pPr>
        <w:pStyle w:val="ListParagraph"/>
        <w:numPr>
          <w:ilvl w:val="0"/>
          <w:numId w:val="28"/>
        </w:numPr>
        <w:tabs>
          <w:tab w:pos="2127" w:val="left" w:leader="none"/>
        </w:tabs>
        <w:spacing w:line="472" w:lineRule="auto" w:before="21" w:after="0"/>
        <w:ind w:left="2138" w:right="1419" w:hanging="360"/>
        <w:jc w:val="both"/>
        <w:rPr>
          <w:sz w:val="24"/>
        </w:rPr>
      </w:pPr>
      <w:r>
        <w:rPr>
          <w:sz w:val="24"/>
        </w:rPr>
        <w:t>beni immobili con particolare riferimento alla piena proprietà dell’impianto di produzione di bioetanolo sito nell’area industriale di Crescentino, della piena proprietà superficiaria per anni 50 dal 2 agosto 2012 della cabina di decompressione gas metano sita in Crescentino;</w:t>
      </w:r>
    </w:p>
    <w:p>
      <w:pPr>
        <w:pStyle w:val="ListParagraph"/>
        <w:numPr>
          <w:ilvl w:val="0"/>
          <w:numId w:val="28"/>
        </w:numPr>
        <w:tabs>
          <w:tab w:pos="2127" w:val="left" w:leader="none"/>
        </w:tabs>
        <w:spacing w:line="460" w:lineRule="auto" w:before="8" w:after="0"/>
        <w:ind w:left="2138" w:right="1418" w:hanging="360"/>
        <w:jc w:val="both"/>
        <w:rPr>
          <w:sz w:val="24"/>
        </w:rPr>
      </w:pPr>
      <w:r>
        <w:rPr>
          <w:sz w:val="24"/>
        </w:rPr>
        <w:t>le autorizzazioni, permessi, licenze, concessioni inerenti e/o funzionali alle aziende Bio con particolare riferimento alla convezione stipulata tra IBP e Gestore Servizi </w:t>
      </w:r>
      <w:r>
        <w:rPr>
          <w:spacing w:val="55"/>
          <w:sz w:val="24"/>
        </w:rPr>
        <w:t> </w:t>
      </w:r>
      <w:r>
        <w:rPr>
          <w:sz w:val="24"/>
        </w:rPr>
        <w:t>Energetici</w:t>
      </w:r>
    </w:p>
    <w:p>
      <w:pPr>
        <w:pStyle w:val="BodyText"/>
        <w:spacing w:before="21"/>
        <w:ind w:left="2138"/>
      </w:pPr>
      <w:r>
        <w:rPr/>
        <w:t>S.p.A. il 12 maggio 2016;</w:t>
      </w:r>
    </w:p>
    <w:p>
      <w:pPr>
        <w:pStyle w:val="BodyText"/>
        <w:spacing w:before="10"/>
        <w:rPr>
          <w:sz w:val="23"/>
        </w:rPr>
      </w:pPr>
    </w:p>
    <w:p>
      <w:pPr>
        <w:pStyle w:val="ListParagraph"/>
        <w:numPr>
          <w:ilvl w:val="0"/>
          <w:numId w:val="28"/>
        </w:numPr>
        <w:tabs>
          <w:tab w:pos="2127" w:val="left" w:leader="none"/>
        </w:tabs>
        <w:spacing w:line="460" w:lineRule="auto" w:before="0" w:after="0"/>
        <w:ind w:left="2138" w:right="1419" w:hanging="360"/>
        <w:jc w:val="both"/>
        <w:rPr>
          <w:sz w:val="24"/>
        </w:rPr>
      </w:pPr>
      <w:r>
        <w:rPr>
          <w:sz w:val="24"/>
        </w:rPr>
        <w:t>i finanziamenti agevolati ovvero la documentazione i progetti e loro rinnovi (incluso il progetto</w:t>
      </w:r>
      <w:r>
        <w:rPr>
          <w:spacing w:val="-8"/>
          <w:sz w:val="24"/>
        </w:rPr>
        <w:t> </w:t>
      </w:r>
      <w:r>
        <w:rPr>
          <w:sz w:val="24"/>
        </w:rPr>
        <w:t>NER300);</w:t>
      </w:r>
    </w:p>
    <w:p>
      <w:pPr>
        <w:pStyle w:val="ListParagraph"/>
        <w:numPr>
          <w:ilvl w:val="0"/>
          <w:numId w:val="28"/>
        </w:numPr>
        <w:tabs>
          <w:tab w:pos="2126" w:val="left" w:leader="none"/>
          <w:tab w:pos="2127" w:val="left" w:leader="none"/>
        </w:tabs>
        <w:spacing w:line="240" w:lineRule="auto" w:before="21" w:after="0"/>
        <w:ind w:left="2126" w:right="0" w:hanging="348"/>
        <w:jc w:val="left"/>
        <w:rPr>
          <w:sz w:val="24"/>
        </w:rPr>
      </w:pPr>
      <w:r>
        <w:rPr>
          <w:sz w:val="24"/>
        </w:rPr>
        <w:t>il contratto di affitto tra IBP e IBP</w:t>
      </w:r>
      <w:r>
        <w:rPr>
          <w:spacing w:val="-19"/>
          <w:sz w:val="24"/>
        </w:rPr>
        <w:t> </w:t>
      </w:r>
      <w:r>
        <w:rPr>
          <w:sz w:val="24"/>
        </w:rPr>
        <w:t>Energia;</w:t>
      </w:r>
    </w:p>
    <w:p>
      <w:pPr>
        <w:pStyle w:val="BodyText"/>
        <w:spacing w:before="9"/>
        <w:rPr>
          <w:sz w:val="23"/>
        </w:rPr>
      </w:pPr>
    </w:p>
    <w:p>
      <w:pPr>
        <w:pStyle w:val="ListParagraph"/>
        <w:numPr>
          <w:ilvl w:val="0"/>
          <w:numId w:val="28"/>
        </w:numPr>
        <w:tabs>
          <w:tab w:pos="2127" w:val="left" w:leader="none"/>
        </w:tabs>
        <w:spacing w:line="460" w:lineRule="auto" w:before="0" w:after="0"/>
        <w:ind w:left="2138" w:right="1419" w:hanging="360"/>
        <w:jc w:val="both"/>
        <w:rPr>
          <w:sz w:val="24"/>
        </w:rPr>
      </w:pPr>
      <w:r>
        <w:rPr>
          <w:sz w:val="24"/>
        </w:rPr>
        <w:t>gli altri beni ovvero beni, cespiti ivi incluse immobilizzazioni materiali, immateriali, attrezzature, impianti e altri beni che siano inerenti e funzionali alle aziende</w:t>
      </w:r>
      <w:r>
        <w:rPr>
          <w:spacing w:val="-31"/>
          <w:sz w:val="24"/>
        </w:rPr>
        <w:t> </w:t>
      </w:r>
      <w:r>
        <w:rPr>
          <w:sz w:val="24"/>
        </w:rPr>
        <w:t>Bio.</w:t>
      </w:r>
    </w:p>
    <w:p>
      <w:pPr>
        <w:pStyle w:val="BodyText"/>
        <w:spacing w:line="480" w:lineRule="auto" w:before="21"/>
        <w:ind w:left="1418" w:right="1417"/>
        <w:jc w:val="both"/>
      </w:pPr>
      <w:r>
        <w:rPr/>
        <w:t>Giova altresì segnalare che ai fini della valorizzazione concordataria degli asset, i criteri di ripartizione del corrispettivo globale offerto da Versalis al servizio di Biochemtex, sono stati individuati dall’</w:t>
      </w:r>
      <w:r>
        <w:rPr>
          <w:i/>
        </w:rPr>
        <w:t>advisor </w:t>
      </w:r>
      <w:r>
        <w:rPr/>
        <w:t>finanziario Mediobanca alla luce della relazione peritale redatta dal prof. Cattaneo in data 21 febbraio 2018, perizia di cui gli scriventi hanno preso visione.</w:t>
      </w:r>
    </w:p>
    <w:p>
      <w:pPr>
        <w:pStyle w:val="BodyText"/>
        <w:spacing w:line="480" w:lineRule="auto"/>
        <w:ind w:left="1418" w:right="1424"/>
        <w:jc w:val="both"/>
      </w:pPr>
      <w:r>
        <w:rPr/>
        <w:t>I criteri individuati nella ripartizione del corrispettivo globale, ossia facendo riferimento al peso percentuale attribuito alle singole società del perimetro Bio, sono riassunti nella seguente tabella: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after="1"/>
        <w:rPr>
          <w:sz w:val="16"/>
        </w:rPr>
      </w:pPr>
    </w:p>
    <w:p>
      <w:pPr>
        <w:pStyle w:val="BodyText"/>
        <w:ind w:left="1426"/>
        <w:rPr>
          <w:sz w:val="20"/>
        </w:rPr>
      </w:pPr>
      <w:r>
        <w:rPr>
          <w:sz w:val="20"/>
        </w:rPr>
        <w:pict>
          <v:group style="width:453.15pt;height:19.05pt;mso-position-horizontal-relative:char;mso-position-vertical-relative:line" coordorigin="0,0" coordsize="9063,381">
            <v:rect style="position:absolute;left:0;top:0;width:9058;height:376" filled="true" fillcolor="#a9394a" stroked="false">
              <v:fill type="solid"/>
            </v:rect>
            <v:line style="position:absolute" from="7860,185" to="7860,373" stroked="true" strokeweight=".361748pt" strokecolor="#ffffff">
              <v:stroke dashstyle="solid"/>
            </v:line>
            <v:line style="position:absolute" from="7860,181" to="7860,376" stroked="true" strokeweight=".361748pt" strokecolor="#ffffff">
              <v:stroke dashstyle="solid"/>
            </v:line>
            <v:line style="position:absolute" from="7867,185" to="9055,185" stroked="true" strokeweight=".361013pt" strokecolor="#ffffff">
              <v:stroke dashstyle="solid"/>
            </v:line>
            <v:line style="position:absolute" from="7864,185" to="9058,185" stroked="true" strokeweight=".361013pt" strokecolor="#ffffff">
              <v:stroke dashstyle="solid"/>
            </v:line>
            <v:shape style="position:absolute;left:22;top:16;width:490;height:161" type="#_x0000_t202" filled="false" stroked="false">
              <v:textbox inset="0,0,0,0">
                <w:txbxContent>
                  <w:p>
                    <w:pPr>
                      <w:spacing w:line="159" w:lineRule="exact" w:before="0"/>
                      <w:ind w:left="0" w:right="0" w:firstLine="0"/>
                      <w:jc w:val="left"/>
                      <w:rPr>
                        <w:rFonts w:ascii="Times New Roman"/>
                        <w:b/>
                        <w:sz w:val="14"/>
                      </w:rPr>
                    </w:pPr>
                    <w:r>
                      <w:rPr>
                        <w:rFonts w:ascii="Times New Roman"/>
                        <w:b/>
                        <w:color w:val="FFFFFF"/>
                        <w:w w:val="105"/>
                        <w:sz w:val="14"/>
                      </w:rPr>
                      <w:t>Offerta</w:t>
                    </w:r>
                  </w:p>
                </w:txbxContent>
              </v:textbox>
              <w10:wrap type="none"/>
            </v:shape>
            <v:shape style="position:absolute;left:8363;top:204;width:210;height:161" type="#_x0000_t202" filled="false" stroked="false">
              <v:textbox inset="0,0,0,0">
                <w:txbxContent>
                  <w:p>
                    <w:pPr>
                      <w:spacing w:line="159" w:lineRule="exact" w:before="0"/>
                      <w:ind w:left="0" w:right="0" w:firstLine="0"/>
                      <w:jc w:val="left"/>
                      <w:rPr>
                        <w:rFonts w:ascii="Times New Roman" w:hAnsi="Times New Roman"/>
                        <w:b/>
                        <w:sz w:val="14"/>
                      </w:rPr>
                    </w:pPr>
                    <w:r>
                      <w:rPr>
                        <w:rFonts w:ascii="Times New Roman" w:hAnsi="Times New Roman"/>
                        <w:b/>
                        <w:color w:val="FFFFFF"/>
                        <w:w w:val="105"/>
                        <w:sz w:val="14"/>
                      </w:rPr>
                      <w:t>€ k</w:t>
                    </w:r>
                  </w:p>
                </w:txbxContent>
              </v:textbox>
              <w10:wrap type="none"/>
            </v:shape>
          </v:group>
        </w:pict>
      </w:r>
      <w:r>
        <w:rPr>
          <w:sz w:val="20"/>
        </w:rPr>
      </w:r>
    </w:p>
    <w:p>
      <w:pPr>
        <w:pStyle w:val="BodyText"/>
        <w:spacing w:before="9"/>
        <w:rPr>
          <w:sz w:val="14"/>
        </w:rPr>
      </w:pPr>
    </w:p>
    <w:p>
      <w:pPr>
        <w:tabs>
          <w:tab w:pos="3996" w:val="left" w:leader="none"/>
          <w:tab w:pos="9688" w:val="left" w:leader="none"/>
        </w:tabs>
        <w:spacing w:before="0"/>
        <w:ind w:left="1448" w:right="0" w:firstLine="0"/>
        <w:jc w:val="left"/>
        <w:rPr>
          <w:rFonts w:ascii="Times New Roman"/>
          <w:sz w:val="14"/>
        </w:rPr>
      </w:pPr>
      <w:r>
        <w:rPr>
          <w:rFonts w:ascii="Times New Roman"/>
          <w:b/>
          <w:w w:val="105"/>
          <w:sz w:val="14"/>
        </w:rPr>
        <w:t>Prezzo</w:t>
      </w:r>
      <w:r>
        <w:rPr>
          <w:rFonts w:ascii="Times New Roman"/>
          <w:b/>
          <w:spacing w:val="1"/>
          <w:w w:val="105"/>
          <w:sz w:val="14"/>
        </w:rPr>
        <w:t> </w:t>
      </w:r>
      <w:r>
        <w:rPr>
          <w:rFonts w:ascii="Times New Roman"/>
          <w:b/>
          <w:w w:val="105"/>
          <w:sz w:val="14"/>
        </w:rPr>
        <w:t>Base</w:t>
      </w:r>
      <w:r>
        <w:rPr>
          <w:rFonts w:ascii="Times New Roman"/>
          <w:b/>
          <w:w w:val="105"/>
          <w:position w:val="7"/>
          <w:sz w:val="9"/>
        </w:rPr>
        <w:t>(1)</w:t>
        <w:tab/>
      </w:r>
      <w:r>
        <w:rPr>
          <w:rFonts w:ascii="Times New Roman"/>
          <w:w w:val="105"/>
          <w:position w:val="1"/>
          <w:sz w:val="14"/>
        </w:rPr>
        <w:t>Corrispettivo cash</w:t>
      </w:r>
      <w:r>
        <w:rPr>
          <w:rFonts w:ascii="Times New Roman"/>
          <w:spacing w:val="-22"/>
          <w:w w:val="105"/>
          <w:position w:val="1"/>
          <w:sz w:val="14"/>
        </w:rPr>
        <w:t> </w:t>
      </w:r>
      <w:r>
        <w:rPr>
          <w:rFonts w:ascii="Times New Roman"/>
          <w:w w:val="105"/>
          <w:position w:val="1"/>
          <w:sz w:val="14"/>
        </w:rPr>
        <w:t>per</w:t>
      </w:r>
      <w:r>
        <w:rPr>
          <w:rFonts w:ascii="Times New Roman"/>
          <w:spacing w:val="-6"/>
          <w:w w:val="105"/>
          <w:position w:val="1"/>
          <w:sz w:val="14"/>
        </w:rPr>
        <w:t> </w:t>
      </w:r>
      <w:r>
        <w:rPr>
          <w:rFonts w:ascii="Times New Roman"/>
          <w:w w:val="105"/>
          <w:position w:val="1"/>
          <w:sz w:val="14"/>
        </w:rPr>
        <w:t>l'acquisto</w:t>
        <w:tab/>
        <w:t>75.000</w:t>
      </w:r>
    </w:p>
    <w:p>
      <w:pPr>
        <w:tabs>
          <w:tab w:pos="3996" w:val="left" w:leader="none"/>
          <w:tab w:pos="9992" w:val="right" w:leader="none"/>
        </w:tabs>
        <w:spacing w:before="40"/>
        <w:ind w:left="1448" w:right="0" w:firstLine="0"/>
        <w:jc w:val="left"/>
        <w:rPr>
          <w:rFonts w:ascii="Times New Roman" w:hAnsi="Times New Roman"/>
          <w:sz w:val="14"/>
        </w:rPr>
      </w:pPr>
      <w:r>
        <w:rPr>
          <w:rFonts w:ascii="Times New Roman" w:hAnsi="Times New Roman"/>
          <w:b/>
          <w:spacing w:val="-3"/>
          <w:w w:val="105"/>
          <w:sz w:val="14"/>
        </w:rPr>
        <w:t>Aggiustamento </w:t>
      </w:r>
      <w:r>
        <w:rPr>
          <w:rFonts w:ascii="Times New Roman" w:hAnsi="Times New Roman"/>
          <w:b/>
          <w:w w:val="105"/>
          <w:sz w:val="14"/>
        </w:rPr>
        <w:t>Prezzo</w:t>
      </w:r>
      <w:r>
        <w:rPr>
          <w:rFonts w:ascii="Times New Roman" w:hAnsi="Times New Roman"/>
          <w:b/>
          <w:spacing w:val="-4"/>
          <w:w w:val="105"/>
          <w:sz w:val="14"/>
        </w:rPr>
        <w:t> </w:t>
      </w:r>
      <w:r>
        <w:rPr>
          <w:rFonts w:ascii="Times New Roman" w:hAnsi="Times New Roman"/>
          <w:b/>
          <w:w w:val="105"/>
          <w:sz w:val="14"/>
        </w:rPr>
        <w:t>Base</w:t>
      </w:r>
      <w:r>
        <w:rPr>
          <w:rFonts w:ascii="Times New Roman" w:hAnsi="Times New Roman"/>
          <w:b/>
          <w:spacing w:val="4"/>
          <w:w w:val="105"/>
          <w:sz w:val="14"/>
        </w:rPr>
        <w:t> </w:t>
      </w:r>
      <w:r>
        <w:rPr>
          <w:rFonts w:ascii="Times New Roman" w:hAnsi="Times New Roman"/>
          <w:b/>
          <w:w w:val="105"/>
          <w:sz w:val="14"/>
        </w:rPr>
        <w:t>Leasing</w:t>
      </w:r>
      <w:r>
        <w:rPr>
          <w:rFonts w:ascii="Times New Roman" w:hAnsi="Times New Roman"/>
          <w:b/>
          <w:w w:val="105"/>
          <w:position w:val="7"/>
          <w:sz w:val="9"/>
        </w:rPr>
        <w:t>(2)</w:t>
        <w:tab/>
      </w:r>
      <w:r>
        <w:rPr>
          <w:rFonts w:ascii="Times New Roman" w:hAnsi="Times New Roman"/>
          <w:spacing w:val="-3"/>
          <w:w w:val="105"/>
          <w:position w:val="1"/>
          <w:sz w:val="14"/>
        </w:rPr>
        <w:t>Differenza</w:t>
      </w:r>
      <w:r>
        <w:rPr>
          <w:rFonts w:ascii="Times New Roman" w:hAnsi="Times New Roman"/>
          <w:spacing w:val="-4"/>
          <w:w w:val="105"/>
          <w:position w:val="1"/>
          <w:sz w:val="14"/>
        </w:rPr>
        <w:t> </w:t>
      </w:r>
      <w:r>
        <w:rPr>
          <w:rFonts w:ascii="Times New Roman" w:hAnsi="Times New Roman"/>
          <w:w w:val="105"/>
          <w:position w:val="1"/>
          <w:sz w:val="14"/>
        </w:rPr>
        <w:t>tra</w:t>
      </w:r>
      <w:r>
        <w:rPr>
          <w:rFonts w:ascii="Times New Roman" w:hAnsi="Times New Roman"/>
          <w:spacing w:val="-4"/>
          <w:w w:val="105"/>
          <w:position w:val="1"/>
          <w:sz w:val="14"/>
        </w:rPr>
        <w:t> </w:t>
      </w:r>
      <w:r>
        <w:rPr>
          <w:rFonts w:ascii="Times New Roman" w:hAnsi="Times New Roman"/>
          <w:w w:val="105"/>
          <w:position w:val="1"/>
          <w:sz w:val="14"/>
        </w:rPr>
        <w:t>€</w:t>
      </w:r>
      <w:r>
        <w:rPr>
          <w:rFonts w:ascii="Times New Roman" w:hAnsi="Times New Roman"/>
          <w:spacing w:val="-4"/>
          <w:w w:val="105"/>
          <w:position w:val="1"/>
          <w:sz w:val="14"/>
        </w:rPr>
        <w:t> </w:t>
      </w:r>
      <w:r>
        <w:rPr>
          <w:rFonts w:ascii="Times New Roman" w:hAnsi="Times New Roman"/>
          <w:w w:val="105"/>
          <w:position w:val="1"/>
          <w:sz w:val="14"/>
        </w:rPr>
        <w:t>18,6m</w:t>
      </w:r>
      <w:r>
        <w:rPr>
          <w:rFonts w:ascii="Times New Roman" w:hAnsi="Times New Roman"/>
          <w:spacing w:val="-15"/>
          <w:w w:val="105"/>
          <w:position w:val="1"/>
          <w:sz w:val="14"/>
        </w:rPr>
        <w:t> </w:t>
      </w:r>
      <w:r>
        <w:rPr>
          <w:rFonts w:ascii="Times New Roman" w:hAnsi="Times New Roman"/>
          <w:w w:val="105"/>
          <w:position w:val="1"/>
          <w:sz w:val="14"/>
        </w:rPr>
        <w:t>ca.</w:t>
      </w:r>
      <w:r>
        <w:rPr>
          <w:rFonts w:ascii="Times New Roman" w:hAnsi="Times New Roman"/>
          <w:spacing w:val="-4"/>
          <w:w w:val="105"/>
          <w:position w:val="1"/>
          <w:sz w:val="14"/>
        </w:rPr>
        <w:t> </w:t>
      </w:r>
      <w:r>
        <w:rPr>
          <w:rFonts w:ascii="Times New Roman" w:hAnsi="Times New Roman"/>
          <w:w w:val="105"/>
          <w:position w:val="1"/>
          <w:sz w:val="14"/>
        </w:rPr>
        <w:t>ed</w:t>
      </w:r>
      <w:r>
        <w:rPr>
          <w:rFonts w:ascii="Times New Roman" w:hAnsi="Times New Roman"/>
          <w:spacing w:val="-4"/>
          <w:w w:val="105"/>
          <w:position w:val="1"/>
          <w:sz w:val="14"/>
        </w:rPr>
        <w:t> </w:t>
      </w:r>
      <w:r>
        <w:rPr>
          <w:rFonts w:ascii="Times New Roman" w:hAnsi="Times New Roman"/>
          <w:w w:val="105"/>
          <w:position w:val="1"/>
          <w:sz w:val="14"/>
        </w:rPr>
        <w:t>il</w:t>
      </w:r>
      <w:r>
        <w:rPr>
          <w:rFonts w:ascii="Times New Roman" w:hAnsi="Times New Roman"/>
          <w:spacing w:val="-1"/>
          <w:w w:val="105"/>
          <w:position w:val="1"/>
          <w:sz w:val="14"/>
        </w:rPr>
        <w:t> </w:t>
      </w:r>
      <w:r>
        <w:rPr>
          <w:rFonts w:ascii="Times New Roman" w:hAnsi="Times New Roman"/>
          <w:w w:val="105"/>
          <w:position w:val="1"/>
          <w:sz w:val="14"/>
        </w:rPr>
        <w:t>totale</w:t>
      </w:r>
      <w:r>
        <w:rPr>
          <w:rFonts w:ascii="Times New Roman" w:hAnsi="Times New Roman"/>
          <w:spacing w:val="-4"/>
          <w:w w:val="105"/>
          <w:position w:val="1"/>
          <w:sz w:val="14"/>
        </w:rPr>
        <w:t> </w:t>
      </w:r>
      <w:r>
        <w:rPr>
          <w:rFonts w:ascii="Times New Roman" w:hAnsi="Times New Roman"/>
          <w:w w:val="105"/>
          <w:position w:val="1"/>
          <w:sz w:val="14"/>
        </w:rPr>
        <w:t>debito</w:t>
      </w:r>
      <w:r>
        <w:rPr>
          <w:rFonts w:ascii="Times New Roman" w:hAnsi="Times New Roman"/>
          <w:spacing w:val="-4"/>
          <w:w w:val="105"/>
          <w:position w:val="1"/>
          <w:sz w:val="14"/>
        </w:rPr>
        <w:t> </w:t>
      </w:r>
      <w:r>
        <w:rPr>
          <w:rFonts w:ascii="Times New Roman" w:hAnsi="Times New Roman"/>
          <w:w w:val="105"/>
          <w:position w:val="1"/>
          <w:sz w:val="14"/>
        </w:rPr>
        <w:t>a</w:t>
      </w:r>
      <w:r>
        <w:rPr>
          <w:rFonts w:ascii="Times New Roman" w:hAnsi="Times New Roman"/>
          <w:spacing w:val="-4"/>
          <w:w w:val="105"/>
          <w:position w:val="1"/>
          <w:sz w:val="14"/>
        </w:rPr>
        <w:t> </w:t>
      </w:r>
      <w:r>
        <w:rPr>
          <w:rFonts w:ascii="Times New Roman" w:hAnsi="Times New Roman"/>
          <w:w w:val="105"/>
          <w:position w:val="1"/>
          <w:sz w:val="14"/>
        </w:rPr>
        <w:t>scadere</w:t>
      </w:r>
      <w:r>
        <w:rPr>
          <w:rFonts w:ascii="Times New Roman" w:hAnsi="Times New Roman"/>
          <w:spacing w:val="-4"/>
          <w:w w:val="105"/>
          <w:position w:val="1"/>
          <w:sz w:val="14"/>
        </w:rPr>
        <w:t> </w:t>
      </w:r>
      <w:r>
        <w:rPr>
          <w:rFonts w:ascii="Times New Roman" w:hAnsi="Times New Roman"/>
          <w:w w:val="105"/>
          <w:position w:val="1"/>
          <w:sz w:val="14"/>
        </w:rPr>
        <w:t>(capitale</w:t>
      </w:r>
      <w:r>
        <w:rPr>
          <w:rFonts w:ascii="Times New Roman" w:hAnsi="Times New Roman"/>
          <w:spacing w:val="-4"/>
          <w:w w:val="105"/>
          <w:position w:val="1"/>
          <w:sz w:val="14"/>
        </w:rPr>
        <w:t> </w:t>
      </w:r>
      <w:r>
        <w:rPr>
          <w:rFonts w:ascii="Times New Roman" w:hAnsi="Times New Roman"/>
          <w:w w:val="105"/>
          <w:position w:val="1"/>
          <w:sz w:val="14"/>
        </w:rPr>
        <w:t>e</w:t>
      </w:r>
      <w:r>
        <w:rPr>
          <w:rFonts w:ascii="Times New Roman" w:hAnsi="Times New Roman"/>
          <w:spacing w:val="-4"/>
          <w:w w:val="105"/>
          <w:position w:val="1"/>
          <w:sz w:val="14"/>
        </w:rPr>
        <w:t> </w:t>
      </w:r>
      <w:r>
        <w:rPr>
          <w:rFonts w:ascii="Times New Roman" w:hAnsi="Times New Roman"/>
          <w:w w:val="105"/>
          <w:position w:val="1"/>
          <w:sz w:val="14"/>
        </w:rPr>
        <w:t>interessi)</w:t>
      </w:r>
      <w:r>
        <w:rPr>
          <w:rFonts w:ascii="Times New Roman" w:hAnsi="Times New Roman"/>
          <w:spacing w:val="-2"/>
          <w:w w:val="105"/>
          <w:position w:val="1"/>
          <w:sz w:val="14"/>
        </w:rPr>
        <w:t> </w:t>
      </w:r>
      <w:r>
        <w:rPr>
          <w:rFonts w:ascii="Times New Roman" w:hAnsi="Times New Roman"/>
          <w:w w:val="105"/>
          <w:position w:val="1"/>
          <w:sz w:val="14"/>
        </w:rPr>
        <w:t>pari</w:t>
      </w:r>
      <w:r>
        <w:rPr>
          <w:rFonts w:ascii="Times New Roman" w:hAnsi="Times New Roman"/>
          <w:spacing w:val="-1"/>
          <w:w w:val="105"/>
          <w:position w:val="1"/>
          <w:sz w:val="14"/>
        </w:rPr>
        <w:t> </w:t>
      </w:r>
      <w:r>
        <w:rPr>
          <w:rFonts w:ascii="Times New Roman" w:hAnsi="Times New Roman"/>
          <w:w w:val="105"/>
          <w:position w:val="1"/>
          <w:sz w:val="14"/>
        </w:rPr>
        <w:t>ad</w:t>
      </w:r>
      <w:r>
        <w:rPr>
          <w:rFonts w:ascii="Times New Roman" w:hAnsi="Times New Roman"/>
          <w:spacing w:val="-4"/>
          <w:w w:val="105"/>
          <w:position w:val="1"/>
          <w:sz w:val="14"/>
        </w:rPr>
        <w:t> </w:t>
      </w:r>
      <w:r>
        <w:rPr>
          <w:rFonts w:ascii="Times New Roman" w:hAnsi="Times New Roman"/>
          <w:w w:val="105"/>
          <w:position w:val="1"/>
          <w:sz w:val="14"/>
        </w:rPr>
        <w:t>€</w:t>
      </w:r>
      <w:r>
        <w:rPr>
          <w:rFonts w:ascii="Times New Roman" w:hAnsi="Times New Roman"/>
          <w:spacing w:val="-5"/>
          <w:w w:val="105"/>
          <w:position w:val="1"/>
          <w:sz w:val="14"/>
        </w:rPr>
        <w:t> </w:t>
      </w:r>
      <w:r>
        <w:rPr>
          <w:rFonts w:ascii="Times New Roman" w:hAnsi="Times New Roman"/>
          <w:w w:val="105"/>
          <w:position w:val="1"/>
          <w:sz w:val="14"/>
        </w:rPr>
        <w:t>18,0m</w:t>
        <w:tab/>
        <w:t>566</w:t>
      </w:r>
    </w:p>
    <w:p>
      <w:pPr>
        <w:tabs>
          <w:tab w:pos="9862" w:val="left" w:leader="none"/>
        </w:tabs>
        <w:spacing w:before="40"/>
        <w:ind w:left="1448" w:right="0" w:firstLine="0"/>
        <w:jc w:val="left"/>
        <w:rPr>
          <w:rFonts w:ascii="Times New Roman" w:hAnsi="Times New Roman"/>
          <w:sz w:val="14"/>
        </w:rPr>
      </w:pPr>
      <w:r>
        <w:rPr/>
        <w:pict>
          <v:shape style="position:absolute;margin-left:71.321747pt;margin-top:21.271626pt;width:452.95pt;height:9.8pt;mso-position-horizontal-relative:page;mso-position-vertical-relative:paragraph;z-index:1624" type="#_x0000_t202" filled="true" fillcolor="#818285" stroked="false">
            <v:textbox inset="0,0,0,0">
              <w:txbxContent>
                <w:p>
                  <w:pPr>
                    <w:tabs>
                      <w:tab w:pos="8659" w:val="right" w:leader="none"/>
                    </w:tabs>
                    <w:spacing w:before="21"/>
                    <w:ind w:left="21" w:right="0" w:firstLine="0"/>
                    <w:jc w:val="left"/>
                    <w:rPr>
                      <w:rFonts w:ascii="Times New Roman"/>
                      <w:b/>
                      <w:sz w:val="14"/>
                    </w:rPr>
                  </w:pPr>
                  <w:r>
                    <w:rPr>
                      <w:rFonts w:ascii="Times New Roman"/>
                      <w:b/>
                      <w:color w:val="FFFFFF"/>
                      <w:w w:val="105"/>
                      <w:sz w:val="14"/>
                    </w:rPr>
                    <w:t>Offerta</w:t>
                  </w:r>
                  <w:r>
                    <w:rPr>
                      <w:rFonts w:ascii="Times New Roman"/>
                      <w:b/>
                      <w:color w:val="FFFFFF"/>
                      <w:spacing w:val="-1"/>
                      <w:w w:val="105"/>
                      <w:sz w:val="14"/>
                    </w:rPr>
                    <w:t> </w:t>
                  </w:r>
                  <w:r>
                    <w:rPr>
                      <w:rFonts w:ascii="Times New Roman"/>
                      <w:b/>
                      <w:color w:val="FFFFFF"/>
                      <w:w w:val="105"/>
                      <w:sz w:val="14"/>
                    </w:rPr>
                    <w:t>Cash</w:t>
                    <w:tab/>
                    <w:t>75.566</w:t>
                  </w:r>
                </w:p>
              </w:txbxContent>
            </v:textbox>
            <v:fill type="solid"/>
            <w10:wrap type="none"/>
          </v:shape>
        </w:pict>
      </w:r>
      <w:r>
        <w:rPr>
          <w:rFonts w:ascii="Times New Roman" w:hAnsi="Times New Roman"/>
          <w:b/>
          <w:spacing w:val="-3"/>
          <w:w w:val="105"/>
          <w:sz w:val="14"/>
        </w:rPr>
        <w:t>Aggiustamento</w:t>
      </w:r>
      <w:r>
        <w:rPr>
          <w:rFonts w:ascii="Times New Roman" w:hAnsi="Times New Roman"/>
          <w:b/>
          <w:spacing w:val="-6"/>
          <w:w w:val="105"/>
          <w:sz w:val="14"/>
        </w:rPr>
        <w:t> </w:t>
      </w:r>
      <w:r>
        <w:rPr>
          <w:rFonts w:ascii="Times New Roman" w:hAnsi="Times New Roman"/>
          <w:b/>
          <w:w w:val="105"/>
          <w:sz w:val="14"/>
        </w:rPr>
        <w:t>Prezzo</w:t>
      </w:r>
      <w:r>
        <w:rPr>
          <w:rFonts w:ascii="Times New Roman" w:hAnsi="Times New Roman"/>
          <w:b/>
          <w:spacing w:val="-6"/>
          <w:w w:val="105"/>
          <w:sz w:val="14"/>
        </w:rPr>
        <w:t> </w:t>
      </w:r>
      <w:r>
        <w:rPr>
          <w:rFonts w:ascii="Times New Roman" w:hAnsi="Times New Roman"/>
          <w:b/>
          <w:w w:val="105"/>
          <w:sz w:val="14"/>
        </w:rPr>
        <w:t>Base Magazzino</w:t>
      </w:r>
      <w:r>
        <w:rPr>
          <w:rFonts w:ascii="Times New Roman" w:hAnsi="Times New Roman"/>
          <w:b/>
          <w:w w:val="105"/>
          <w:position w:val="7"/>
          <w:sz w:val="9"/>
        </w:rPr>
        <w:t>(3</w:t>
      </w:r>
      <w:r>
        <w:rPr>
          <w:rFonts w:ascii="Times New Roman" w:hAnsi="Times New Roman"/>
          <w:b/>
          <w:spacing w:val="15"/>
          <w:w w:val="105"/>
          <w:position w:val="7"/>
          <w:sz w:val="9"/>
        </w:rPr>
        <w:t> </w:t>
      </w:r>
      <w:r>
        <w:rPr>
          <w:rFonts w:ascii="Times New Roman" w:hAnsi="Times New Roman"/>
          <w:spacing w:val="-3"/>
          <w:w w:val="105"/>
          <w:position w:val="1"/>
          <w:sz w:val="14"/>
        </w:rPr>
        <w:t>Eventuale</w:t>
      </w:r>
      <w:r>
        <w:rPr>
          <w:rFonts w:ascii="Times New Roman" w:hAnsi="Times New Roman"/>
          <w:spacing w:val="-6"/>
          <w:w w:val="105"/>
          <w:position w:val="1"/>
          <w:sz w:val="14"/>
        </w:rPr>
        <w:t> </w:t>
      </w:r>
      <w:r>
        <w:rPr>
          <w:rFonts w:ascii="Times New Roman" w:hAnsi="Times New Roman"/>
          <w:spacing w:val="-3"/>
          <w:w w:val="105"/>
          <w:position w:val="1"/>
          <w:sz w:val="14"/>
        </w:rPr>
        <w:t>utilizzo</w:t>
      </w:r>
      <w:r>
        <w:rPr>
          <w:rFonts w:ascii="Times New Roman" w:hAnsi="Times New Roman"/>
          <w:spacing w:val="-6"/>
          <w:w w:val="105"/>
          <w:position w:val="1"/>
          <w:sz w:val="14"/>
        </w:rPr>
        <w:t> </w:t>
      </w:r>
      <w:r>
        <w:rPr>
          <w:rFonts w:ascii="Times New Roman" w:hAnsi="Times New Roman"/>
          <w:w w:val="105"/>
          <w:position w:val="1"/>
          <w:sz w:val="14"/>
        </w:rPr>
        <w:t>del</w:t>
      </w:r>
      <w:r>
        <w:rPr>
          <w:rFonts w:ascii="Times New Roman" w:hAnsi="Times New Roman"/>
          <w:spacing w:val="-4"/>
          <w:w w:val="105"/>
          <w:position w:val="1"/>
          <w:sz w:val="14"/>
        </w:rPr>
        <w:t> </w:t>
      </w:r>
      <w:r>
        <w:rPr>
          <w:rFonts w:ascii="Times New Roman" w:hAnsi="Times New Roman"/>
          <w:spacing w:val="-5"/>
          <w:w w:val="105"/>
          <w:position w:val="1"/>
          <w:sz w:val="14"/>
        </w:rPr>
        <w:t>magazzino</w:t>
      </w:r>
      <w:r>
        <w:rPr>
          <w:rFonts w:ascii="Times New Roman" w:hAnsi="Times New Roman"/>
          <w:spacing w:val="-6"/>
          <w:w w:val="105"/>
          <w:position w:val="1"/>
          <w:sz w:val="14"/>
        </w:rPr>
        <w:t> </w:t>
      </w:r>
      <w:r>
        <w:rPr>
          <w:rFonts w:ascii="Times New Roman" w:hAnsi="Times New Roman"/>
          <w:spacing w:val="-3"/>
          <w:w w:val="105"/>
          <w:position w:val="1"/>
          <w:sz w:val="14"/>
        </w:rPr>
        <w:t>non</w:t>
      </w:r>
      <w:r>
        <w:rPr>
          <w:rFonts w:ascii="Times New Roman" w:hAnsi="Times New Roman"/>
          <w:spacing w:val="-13"/>
          <w:w w:val="105"/>
          <w:position w:val="1"/>
          <w:sz w:val="14"/>
        </w:rPr>
        <w:t> </w:t>
      </w:r>
      <w:r>
        <w:rPr>
          <w:rFonts w:ascii="Times New Roman" w:hAnsi="Times New Roman"/>
          <w:w w:val="105"/>
          <w:position w:val="1"/>
          <w:sz w:val="14"/>
        </w:rPr>
        <w:t>nell'ambito</w:t>
      </w:r>
      <w:r>
        <w:rPr>
          <w:rFonts w:ascii="Times New Roman" w:hAnsi="Times New Roman"/>
          <w:spacing w:val="-6"/>
          <w:w w:val="105"/>
          <w:position w:val="1"/>
          <w:sz w:val="14"/>
        </w:rPr>
        <w:t> </w:t>
      </w:r>
      <w:r>
        <w:rPr>
          <w:rFonts w:ascii="Times New Roman" w:hAnsi="Times New Roman"/>
          <w:w w:val="105"/>
          <w:position w:val="1"/>
          <w:sz w:val="14"/>
        </w:rPr>
        <w:t>delle</w:t>
      </w:r>
      <w:r>
        <w:rPr>
          <w:rFonts w:ascii="Times New Roman" w:hAnsi="Times New Roman"/>
          <w:spacing w:val="-6"/>
          <w:w w:val="105"/>
          <w:position w:val="1"/>
          <w:sz w:val="14"/>
        </w:rPr>
        <w:t> </w:t>
      </w:r>
      <w:r>
        <w:rPr>
          <w:rFonts w:ascii="Times New Roman" w:hAnsi="Times New Roman"/>
          <w:w w:val="105"/>
          <w:position w:val="1"/>
          <w:sz w:val="14"/>
        </w:rPr>
        <w:t>attività</w:t>
      </w:r>
      <w:r>
        <w:rPr>
          <w:rFonts w:ascii="Times New Roman" w:hAnsi="Times New Roman"/>
          <w:spacing w:val="-6"/>
          <w:w w:val="105"/>
          <w:position w:val="1"/>
          <w:sz w:val="14"/>
        </w:rPr>
        <w:t> </w:t>
      </w:r>
      <w:r>
        <w:rPr>
          <w:rFonts w:ascii="Times New Roman" w:hAnsi="Times New Roman"/>
          <w:w w:val="105"/>
          <w:position w:val="1"/>
          <w:sz w:val="14"/>
        </w:rPr>
        <w:t>ordinarie</w:t>
      </w:r>
      <w:r>
        <w:rPr>
          <w:rFonts w:ascii="Times New Roman" w:hAnsi="Times New Roman"/>
          <w:spacing w:val="-6"/>
          <w:w w:val="105"/>
          <w:position w:val="1"/>
          <w:sz w:val="14"/>
        </w:rPr>
        <w:t> </w:t>
      </w:r>
      <w:r>
        <w:rPr>
          <w:rFonts w:ascii="Times New Roman" w:hAnsi="Times New Roman"/>
          <w:w w:val="105"/>
          <w:position w:val="1"/>
          <w:sz w:val="14"/>
        </w:rPr>
        <w:t>delle</w:t>
      </w:r>
      <w:r>
        <w:rPr>
          <w:rFonts w:ascii="Times New Roman" w:hAnsi="Times New Roman"/>
          <w:spacing w:val="-6"/>
          <w:w w:val="105"/>
          <w:position w:val="1"/>
          <w:sz w:val="14"/>
        </w:rPr>
        <w:t> </w:t>
      </w:r>
      <w:r>
        <w:rPr>
          <w:rFonts w:ascii="Times New Roman" w:hAnsi="Times New Roman"/>
          <w:w w:val="105"/>
          <w:position w:val="1"/>
          <w:sz w:val="14"/>
        </w:rPr>
        <w:t>società</w:t>
        <w:tab/>
      </w:r>
      <w:r>
        <w:rPr>
          <w:rFonts w:ascii="Times New Roman" w:hAnsi="Times New Roman"/>
          <w:color w:val="003366"/>
          <w:w w:val="105"/>
          <w:position w:val="1"/>
          <w:sz w:val="14"/>
        </w:rPr>
        <w:t>-</w:t>
      </w:r>
    </w:p>
    <w:p>
      <w:pPr>
        <w:spacing w:after="0"/>
        <w:jc w:val="left"/>
        <w:rPr>
          <w:rFonts w:ascii="Times New Roman" w:hAnsi="Times New Roman"/>
          <w:sz w:val="14"/>
        </w:rPr>
        <w:sectPr>
          <w:pgSz w:w="11910" w:h="16840"/>
          <w:pgMar w:header="707" w:footer="1025" w:top="1740" w:bottom="1220" w:left="0" w:right="0"/>
        </w:sectPr>
      </w:pPr>
    </w:p>
    <w:p>
      <w:pPr>
        <w:spacing w:before="648"/>
        <w:ind w:left="1448" w:right="0" w:firstLine="0"/>
        <w:jc w:val="left"/>
        <w:rPr>
          <w:rFonts w:ascii="Times New Roman"/>
          <w:b/>
          <w:sz w:val="9"/>
        </w:rPr>
      </w:pPr>
      <w:r>
        <w:rPr>
          <w:rFonts w:ascii="Times New Roman"/>
          <w:b/>
          <w:w w:val="105"/>
          <w:sz w:val="14"/>
        </w:rPr>
        <w:t>Accollo</w:t>
      </w:r>
      <w:r>
        <w:rPr>
          <w:rFonts w:ascii="Times New Roman"/>
          <w:b/>
          <w:spacing w:val="-22"/>
          <w:w w:val="105"/>
          <w:sz w:val="14"/>
        </w:rPr>
        <w:t> </w:t>
      </w:r>
      <w:r>
        <w:rPr>
          <w:rFonts w:ascii="Times New Roman"/>
          <w:b/>
          <w:w w:val="105"/>
          <w:sz w:val="14"/>
        </w:rPr>
        <w:t>leasing</w:t>
      </w:r>
      <w:r>
        <w:rPr>
          <w:rFonts w:ascii="Times New Roman"/>
          <w:b/>
          <w:spacing w:val="-22"/>
          <w:w w:val="105"/>
          <w:sz w:val="14"/>
        </w:rPr>
        <w:t> </w:t>
      </w:r>
      <w:r>
        <w:rPr>
          <w:rFonts w:ascii="Times New Roman"/>
          <w:b/>
          <w:spacing w:val="-4"/>
          <w:w w:val="105"/>
          <w:sz w:val="14"/>
        </w:rPr>
        <w:t>IBP</w:t>
      </w:r>
      <w:r>
        <w:rPr>
          <w:rFonts w:ascii="Times New Roman"/>
          <w:b/>
          <w:spacing w:val="-23"/>
          <w:w w:val="105"/>
          <w:sz w:val="14"/>
        </w:rPr>
        <w:t> </w:t>
      </w:r>
      <w:r>
        <w:rPr>
          <w:rFonts w:ascii="Times New Roman"/>
          <w:b/>
          <w:w w:val="105"/>
          <w:sz w:val="14"/>
        </w:rPr>
        <w:t>Energia</w:t>
      </w:r>
      <w:r>
        <w:rPr>
          <w:rFonts w:ascii="Times New Roman"/>
          <w:b/>
          <w:w w:val="105"/>
          <w:position w:val="7"/>
          <w:sz w:val="9"/>
        </w:rPr>
        <w:t>(4)</w:t>
      </w:r>
    </w:p>
    <w:p>
      <w:pPr>
        <w:spacing w:line="300" w:lineRule="auto" w:before="519"/>
        <w:ind w:left="3136" w:right="0" w:hanging="2404"/>
        <w:jc w:val="left"/>
        <w:rPr>
          <w:rFonts w:ascii="Times New Roman" w:hAnsi="Times New Roman"/>
          <w:sz w:val="9"/>
        </w:rPr>
      </w:pPr>
      <w:r>
        <w:rPr/>
        <w:br w:type="column"/>
      </w:r>
      <w:r>
        <w:rPr>
          <w:rFonts w:ascii="Times New Roman" w:hAnsi="Times New Roman"/>
          <w:w w:val="105"/>
          <w:sz w:val="14"/>
        </w:rPr>
        <w:t>Totale</w:t>
      </w:r>
      <w:r>
        <w:rPr>
          <w:rFonts w:ascii="Times New Roman" w:hAnsi="Times New Roman"/>
          <w:spacing w:val="-6"/>
          <w:w w:val="105"/>
          <w:sz w:val="14"/>
        </w:rPr>
        <w:t> </w:t>
      </w:r>
      <w:r>
        <w:rPr>
          <w:rFonts w:ascii="Times New Roman" w:hAnsi="Times New Roman"/>
          <w:w w:val="105"/>
          <w:sz w:val="14"/>
        </w:rPr>
        <w:t>debito</w:t>
      </w:r>
      <w:r>
        <w:rPr>
          <w:rFonts w:ascii="Times New Roman" w:hAnsi="Times New Roman"/>
          <w:spacing w:val="-6"/>
          <w:w w:val="105"/>
          <w:sz w:val="14"/>
        </w:rPr>
        <w:t> </w:t>
      </w:r>
      <w:r>
        <w:rPr>
          <w:rFonts w:ascii="Times New Roman" w:hAnsi="Times New Roman"/>
          <w:w w:val="105"/>
          <w:sz w:val="14"/>
        </w:rPr>
        <w:t>a</w:t>
      </w:r>
      <w:r>
        <w:rPr>
          <w:rFonts w:ascii="Times New Roman" w:hAnsi="Times New Roman"/>
          <w:spacing w:val="-6"/>
          <w:w w:val="105"/>
          <w:sz w:val="14"/>
        </w:rPr>
        <w:t> </w:t>
      </w:r>
      <w:r>
        <w:rPr>
          <w:rFonts w:ascii="Times New Roman" w:hAnsi="Times New Roman"/>
          <w:w w:val="105"/>
          <w:sz w:val="14"/>
        </w:rPr>
        <w:t>scadere</w:t>
      </w:r>
      <w:r>
        <w:rPr>
          <w:rFonts w:ascii="Times New Roman" w:hAnsi="Times New Roman"/>
          <w:spacing w:val="-6"/>
          <w:w w:val="105"/>
          <w:sz w:val="14"/>
        </w:rPr>
        <w:t> </w:t>
      </w:r>
      <w:r>
        <w:rPr>
          <w:rFonts w:ascii="Times New Roman" w:hAnsi="Times New Roman"/>
          <w:w w:val="105"/>
          <w:sz w:val="14"/>
        </w:rPr>
        <w:t>(capitale</w:t>
      </w:r>
      <w:r>
        <w:rPr>
          <w:rFonts w:ascii="Times New Roman" w:hAnsi="Times New Roman"/>
          <w:spacing w:val="-6"/>
          <w:w w:val="105"/>
          <w:sz w:val="14"/>
        </w:rPr>
        <w:t> </w:t>
      </w:r>
      <w:r>
        <w:rPr>
          <w:rFonts w:ascii="Times New Roman" w:hAnsi="Times New Roman"/>
          <w:w w:val="105"/>
          <w:sz w:val="14"/>
        </w:rPr>
        <w:t>e</w:t>
      </w:r>
      <w:r>
        <w:rPr>
          <w:rFonts w:ascii="Times New Roman" w:hAnsi="Times New Roman"/>
          <w:spacing w:val="-6"/>
          <w:w w:val="105"/>
          <w:sz w:val="14"/>
        </w:rPr>
        <w:t> </w:t>
      </w:r>
      <w:r>
        <w:rPr>
          <w:rFonts w:ascii="Times New Roman" w:hAnsi="Times New Roman"/>
          <w:w w:val="105"/>
          <w:sz w:val="14"/>
        </w:rPr>
        <w:t>interessi),</w:t>
      </w:r>
      <w:r>
        <w:rPr>
          <w:rFonts w:ascii="Times New Roman" w:hAnsi="Times New Roman"/>
          <w:spacing w:val="-6"/>
          <w:w w:val="105"/>
          <w:sz w:val="14"/>
        </w:rPr>
        <w:t> </w:t>
      </w:r>
      <w:r>
        <w:rPr>
          <w:rFonts w:ascii="Times New Roman" w:hAnsi="Times New Roman"/>
          <w:w w:val="105"/>
          <w:sz w:val="14"/>
        </w:rPr>
        <w:t>pari</w:t>
      </w:r>
      <w:r>
        <w:rPr>
          <w:rFonts w:ascii="Times New Roman" w:hAnsi="Times New Roman"/>
          <w:spacing w:val="-3"/>
          <w:w w:val="105"/>
          <w:sz w:val="14"/>
        </w:rPr>
        <w:t> </w:t>
      </w:r>
      <w:r>
        <w:rPr>
          <w:rFonts w:ascii="Times New Roman" w:hAnsi="Times New Roman"/>
          <w:w w:val="105"/>
          <w:sz w:val="14"/>
        </w:rPr>
        <w:t>a</w:t>
      </w:r>
      <w:r>
        <w:rPr>
          <w:rFonts w:ascii="Times New Roman" w:hAnsi="Times New Roman"/>
          <w:spacing w:val="-6"/>
          <w:w w:val="105"/>
          <w:sz w:val="14"/>
        </w:rPr>
        <w:t> </w:t>
      </w:r>
      <w:r>
        <w:rPr>
          <w:rFonts w:ascii="Times New Roman" w:hAnsi="Times New Roman"/>
          <w:w w:val="105"/>
          <w:sz w:val="14"/>
        </w:rPr>
        <w:t>€</w:t>
      </w:r>
      <w:r>
        <w:rPr>
          <w:rFonts w:ascii="Times New Roman" w:hAnsi="Times New Roman"/>
          <w:spacing w:val="-6"/>
          <w:w w:val="105"/>
          <w:sz w:val="14"/>
        </w:rPr>
        <w:t> </w:t>
      </w:r>
      <w:r>
        <w:rPr>
          <w:rFonts w:ascii="Times New Roman" w:hAnsi="Times New Roman"/>
          <w:w w:val="105"/>
          <w:sz w:val="14"/>
        </w:rPr>
        <w:t>18,034</w:t>
      </w:r>
      <w:r>
        <w:rPr>
          <w:rFonts w:ascii="Times New Roman" w:hAnsi="Times New Roman"/>
          <w:spacing w:val="-7"/>
          <w:w w:val="105"/>
          <w:sz w:val="14"/>
        </w:rPr>
        <w:t> </w:t>
      </w:r>
      <w:r>
        <w:rPr>
          <w:rFonts w:ascii="Times New Roman" w:hAnsi="Times New Roman"/>
          <w:w w:val="105"/>
          <w:sz w:val="14"/>
        </w:rPr>
        <w:t>ca.,</w:t>
      </w:r>
      <w:r>
        <w:rPr>
          <w:rFonts w:ascii="Times New Roman" w:hAnsi="Times New Roman"/>
          <w:spacing w:val="-6"/>
          <w:w w:val="105"/>
          <w:sz w:val="14"/>
        </w:rPr>
        <w:t> </w:t>
      </w:r>
      <w:r>
        <w:rPr>
          <w:rFonts w:ascii="Times New Roman" w:hAnsi="Times New Roman"/>
          <w:spacing w:val="-3"/>
          <w:w w:val="105"/>
          <w:sz w:val="14"/>
        </w:rPr>
        <w:t>attualizzato</w:t>
      </w:r>
      <w:r>
        <w:rPr>
          <w:rFonts w:ascii="Times New Roman" w:hAnsi="Times New Roman"/>
          <w:spacing w:val="-6"/>
          <w:w w:val="105"/>
          <w:sz w:val="14"/>
        </w:rPr>
        <w:t> </w:t>
      </w:r>
      <w:r>
        <w:rPr>
          <w:rFonts w:ascii="Times New Roman" w:hAnsi="Times New Roman"/>
          <w:w w:val="105"/>
          <w:sz w:val="14"/>
        </w:rPr>
        <w:t>al</w:t>
      </w:r>
      <w:r>
        <w:rPr>
          <w:rFonts w:ascii="Times New Roman" w:hAnsi="Times New Roman"/>
          <w:spacing w:val="-3"/>
          <w:w w:val="105"/>
          <w:sz w:val="14"/>
        </w:rPr>
        <w:t> </w:t>
      </w:r>
      <w:r>
        <w:rPr>
          <w:rFonts w:ascii="Times New Roman" w:hAnsi="Times New Roman"/>
          <w:w w:val="105"/>
          <w:sz w:val="14"/>
        </w:rPr>
        <w:t>tasso</w:t>
      </w:r>
      <w:r>
        <w:rPr>
          <w:rFonts w:ascii="Times New Roman" w:hAnsi="Times New Roman"/>
          <w:spacing w:val="-6"/>
          <w:w w:val="105"/>
          <w:sz w:val="14"/>
        </w:rPr>
        <w:t> </w:t>
      </w:r>
      <w:r>
        <w:rPr>
          <w:rFonts w:ascii="Times New Roman" w:hAnsi="Times New Roman"/>
          <w:w w:val="105"/>
          <w:sz w:val="14"/>
        </w:rPr>
        <w:t>risk- free</w:t>
      </w:r>
      <w:r>
        <w:rPr>
          <w:rFonts w:ascii="Times New Roman" w:hAnsi="Times New Roman"/>
          <w:spacing w:val="-18"/>
          <w:w w:val="105"/>
          <w:sz w:val="14"/>
        </w:rPr>
        <w:t> </w:t>
      </w:r>
      <w:r>
        <w:rPr>
          <w:rFonts w:ascii="Times New Roman" w:hAnsi="Times New Roman"/>
          <w:spacing w:val="-3"/>
          <w:w w:val="105"/>
          <w:position w:val="7"/>
          <w:sz w:val="9"/>
        </w:rPr>
        <w:t>(5)</w:t>
      </w:r>
    </w:p>
    <w:p>
      <w:pPr>
        <w:spacing w:before="656"/>
        <w:ind w:left="436" w:right="0" w:firstLine="0"/>
        <w:jc w:val="left"/>
        <w:rPr>
          <w:rFonts w:ascii="Times New Roman"/>
          <w:sz w:val="14"/>
        </w:rPr>
      </w:pPr>
      <w:r>
        <w:rPr/>
        <w:br w:type="column"/>
      </w:r>
      <w:r>
        <w:rPr>
          <w:rFonts w:ascii="Times New Roman"/>
          <w:w w:val="105"/>
          <w:sz w:val="14"/>
        </w:rPr>
        <w:t>18.008</w:t>
      </w:r>
    </w:p>
    <w:p>
      <w:pPr>
        <w:spacing w:after="0"/>
        <w:jc w:val="left"/>
        <w:rPr>
          <w:rFonts w:ascii="Times New Roman"/>
          <w:sz w:val="14"/>
        </w:rPr>
        <w:sectPr>
          <w:type w:val="continuous"/>
          <w:pgSz w:w="11910" w:h="16840"/>
          <w:pgMar w:top="1740" w:bottom="280" w:left="0" w:right="0"/>
          <w:cols w:num="3" w:equalWidth="0">
            <w:col w:w="3247" w:space="40"/>
            <w:col w:w="5926" w:space="40"/>
            <w:col w:w="2657"/>
          </w:cols>
        </w:sectPr>
      </w:pPr>
    </w:p>
    <w:p>
      <w:pPr>
        <w:pStyle w:val="BodyText"/>
        <w:spacing w:before="3"/>
        <w:rPr>
          <w:rFonts w:ascii="Times New Roman"/>
          <w:sz w:val="7"/>
        </w:rPr>
      </w:pPr>
    </w:p>
    <w:p>
      <w:pPr>
        <w:pStyle w:val="BodyText"/>
        <w:spacing w:line="195" w:lineRule="exact"/>
        <w:ind w:left="1426"/>
        <w:rPr>
          <w:rFonts w:ascii="Times New Roman"/>
          <w:sz w:val="19"/>
        </w:rPr>
      </w:pPr>
      <w:r>
        <w:rPr>
          <w:rFonts w:ascii="Times New Roman"/>
          <w:position w:val="-3"/>
          <w:sz w:val="19"/>
        </w:rPr>
        <w:pict>
          <v:shape style="width:452.95pt;height:9.8pt;mso-position-horizontal-relative:char;mso-position-vertical-relative:line" type="#_x0000_t202" filled="true" fillcolor="#818285" stroked="false">
            <w10:anchorlock/>
            <v:textbox inset="0,0,0,0">
              <w:txbxContent>
                <w:p>
                  <w:pPr>
                    <w:tabs>
                      <w:tab w:pos="8659" w:val="right" w:leader="none"/>
                    </w:tabs>
                    <w:spacing w:before="21"/>
                    <w:ind w:left="21" w:right="0" w:firstLine="0"/>
                    <w:jc w:val="left"/>
                    <w:rPr>
                      <w:rFonts w:ascii="Times New Roman"/>
                      <w:b/>
                      <w:sz w:val="14"/>
                    </w:rPr>
                  </w:pPr>
                  <w:r>
                    <w:rPr>
                      <w:rFonts w:ascii="Times New Roman"/>
                      <w:b/>
                      <w:color w:val="FFFFFF"/>
                      <w:w w:val="105"/>
                      <w:sz w:val="14"/>
                    </w:rPr>
                    <w:t>Offerta Cash</w:t>
                  </w:r>
                  <w:r>
                    <w:rPr>
                      <w:rFonts w:ascii="Times New Roman"/>
                      <w:b/>
                      <w:color w:val="FFFFFF"/>
                      <w:spacing w:val="-11"/>
                      <w:w w:val="105"/>
                      <w:sz w:val="14"/>
                    </w:rPr>
                    <w:t> </w:t>
                  </w:r>
                  <w:r>
                    <w:rPr>
                      <w:rFonts w:ascii="Times New Roman"/>
                      <w:b/>
                      <w:color w:val="FFFFFF"/>
                      <w:w w:val="105"/>
                      <w:sz w:val="14"/>
                    </w:rPr>
                    <w:t>+</w:t>
                  </w:r>
                  <w:r>
                    <w:rPr>
                      <w:rFonts w:ascii="Times New Roman"/>
                      <w:b/>
                      <w:color w:val="FFFFFF"/>
                      <w:spacing w:val="-4"/>
                      <w:w w:val="105"/>
                      <w:sz w:val="14"/>
                    </w:rPr>
                    <w:t> </w:t>
                  </w:r>
                  <w:r>
                    <w:rPr>
                      <w:rFonts w:ascii="Times New Roman"/>
                      <w:b/>
                      <w:color w:val="FFFFFF"/>
                      <w:w w:val="105"/>
                      <w:sz w:val="14"/>
                    </w:rPr>
                    <w:t>Accollo</w:t>
                    <w:tab/>
                    <w:t>93.574</w:t>
                  </w:r>
                </w:p>
              </w:txbxContent>
            </v:textbox>
            <v:fill type="solid"/>
          </v:shape>
        </w:pict>
      </w:r>
      <w:r>
        <w:rPr>
          <w:rFonts w:ascii="Times New Roman"/>
          <w:position w:val="-3"/>
          <w:sz w:val="19"/>
        </w:rPr>
      </w:r>
    </w:p>
    <w:p>
      <w:pPr>
        <w:pStyle w:val="BodyText"/>
        <w:spacing w:before="2"/>
        <w:rPr>
          <w:rFonts w:ascii="Times New Roman"/>
        </w:rPr>
      </w:pPr>
    </w:p>
    <w:tbl>
      <w:tblPr>
        <w:tblW w:w="0" w:type="auto"/>
        <w:jc w:val="left"/>
        <w:tblInd w:w="1425"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94"/>
        <w:gridCol w:w="1150"/>
        <w:gridCol w:w="1118"/>
        <w:gridCol w:w="1054"/>
        <w:gridCol w:w="552"/>
        <w:gridCol w:w="899"/>
        <w:gridCol w:w="896"/>
        <w:gridCol w:w="896"/>
        <w:gridCol w:w="899"/>
      </w:tblGrid>
      <w:tr>
        <w:trPr>
          <w:trHeight w:val="162" w:hRule="exact"/>
        </w:trPr>
        <w:tc>
          <w:tcPr>
            <w:tcW w:w="1594" w:type="dxa"/>
            <w:tcBorders>
              <w:right w:val="single" w:sz="25" w:space="0" w:color="FFFFFF"/>
            </w:tcBorders>
            <w:shd w:val="clear" w:color="auto" w:fill="A9394A"/>
          </w:tcPr>
          <w:p>
            <w:pPr>
              <w:pStyle w:val="TableParagraph"/>
              <w:spacing w:before="15"/>
              <w:ind w:left="19"/>
              <w:jc w:val="left"/>
              <w:rPr>
                <w:rFonts w:ascii="Times New Roman"/>
                <w:b/>
                <w:sz w:val="12"/>
              </w:rPr>
            </w:pPr>
            <w:r>
              <w:rPr>
                <w:rFonts w:ascii="Times New Roman"/>
                <w:b/>
                <w:color w:val="FFFFFF"/>
                <w:w w:val="105"/>
                <w:sz w:val="12"/>
              </w:rPr>
              <w:t>Allocazione offerta</w:t>
            </w:r>
          </w:p>
        </w:tc>
        <w:tc>
          <w:tcPr>
            <w:tcW w:w="1150" w:type="dxa"/>
            <w:tcBorders>
              <w:left w:val="single" w:sz="25" w:space="0" w:color="FFFFFF"/>
              <w:right w:val="single" w:sz="25" w:space="0" w:color="FFFFFF"/>
            </w:tcBorders>
            <w:shd w:val="clear" w:color="auto" w:fill="A9394A"/>
          </w:tcPr>
          <w:p>
            <w:pPr>
              <w:pStyle w:val="TableParagraph"/>
              <w:spacing w:before="15"/>
              <w:ind w:left="57"/>
              <w:jc w:val="left"/>
              <w:rPr>
                <w:rFonts w:ascii="Times New Roman"/>
                <w:b/>
                <w:sz w:val="12"/>
              </w:rPr>
            </w:pPr>
            <w:r>
              <w:rPr>
                <w:rFonts w:ascii="Times New Roman"/>
                <w:b/>
                <w:color w:val="FFFFFF"/>
                <w:w w:val="105"/>
                <w:sz w:val="12"/>
              </w:rPr>
              <w:t>Enterprise Value</w:t>
            </w:r>
          </w:p>
        </w:tc>
        <w:tc>
          <w:tcPr>
            <w:tcW w:w="1118" w:type="dxa"/>
            <w:tcBorders>
              <w:left w:val="single" w:sz="25" w:space="0" w:color="FFFFFF"/>
              <w:right w:val="single" w:sz="25" w:space="0" w:color="FFFFFF"/>
            </w:tcBorders>
            <w:shd w:val="clear" w:color="auto" w:fill="A9394A"/>
          </w:tcPr>
          <w:p>
            <w:pPr>
              <w:pStyle w:val="TableParagraph"/>
              <w:spacing w:before="15"/>
              <w:ind w:left="28" w:right="59"/>
              <w:jc w:val="center"/>
              <w:rPr>
                <w:rFonts w:ascii="Times New Roman"/>
                <w:b/>
                <w:sz w:val="12"/>
              </w:rPr>
            </w:pPr>
            <w:r>
              <w:rPr>
                <w:rFonts w:ascii="Times New Roman"/>
                <w:b/>
                <w:color w:val="FFFFFF"/>
                <w:w w:val="105"/>
                <w:sz w:val="12"/>
              </w:rPr>
              <w:t>Allocazione</w:t>
            </w:r>
          </w:p>
        </w:tc>
        <w:tc>
          <w:tcPr>
            <w:tcW w:w="1054" w:type="dxa"/>
            <w:tcBorders>
              <w:left w:val="single" w:sz="25" w:space="0" w:color="FFFFFF"/>
            </w:tcBorders>
            <w:shd w:val="clear" w:color="auto" w:fill="A9394A"/>
          </w:tcPr>
          <w:p>
            <w:pPr>
              <w:pStyle w:val="TableParagraph"/>
              <w:spacing w:before="15"/>
              <w:ind w:left="58" w:right="63"/>
              <w:jc w:val="center"/>
              <w:rPr>
                <w:rFonts w:ascii="Times New Roman"/>
                <w:b/>
                <w:sz w:val="12"/>
              </w:rPr>
            </w:pPr>
            <w:r>
              <w:rPr>
                <w:rFonts w:ascii="Times New Roman"/>
                <w:b/>
                <w:color w:val="FFFFFF"/>
                <w:w w:val="105"/>
                <w:sz w:val="12"/>
              </w:rPr>
              <w:t>Adj. allocazione</w:t>
            </w:r>
          </w:p>
        </w:tc>
        <w:tc>
          <w:tcPr>
            <w:tcW w:w="552" w:type="dxa"/>
          </w:tcPr>
          <w:p>
            <w:pPr/>
          </w:p>
        </w:tc>
        <w:tc>
          <w:tcPr>
            <w:tcW w:w="3588" w:type="dxa"/>
            <w:gridSpan w:val="4"/>
            <w:tcBorders>
              <w:bottom w:val="single" w:sz="3" w:space="0" w:color="FFFFFF"/>
            </w:tcBorders>
            <w:shd w:val="clear" w:color="auto" w:fill="A9394A"/>
          </w:tcPr>
          <w:p>
            <w:pPr>
              <w:pStyle w:val="TableParagraph"/>
              <w:spacing w:before="15"/>
              <w:ind w:left="1249" w:right="1245"/>
              <w:jc w:val="center"/>
              <w:rPr>
                <w:rFonts w:ascii="Times New Roman"/>
                <w:b/>
                <w:sz w:val="12"/>
              </w:rPr>
            </w:pPr>
            <w:r>
              <w:rPr>
                <w:rFonts w:ascii="Times New Roman"/>
                <w:b/>
                <w:color w:val="FFFFFF"/>
                <w:w w:val="105"/>
                <w:sz w:val="12"/>
              </w:rPr>
              <w:t>Allocazione Offerta</w:t>
            </w:r>
          </w:p>
        </w:tc>
      </w:tr>
      <w:tr>
        <w:trPr>
          <w:trHeight w:val="184" w:hRule="exact"/>
        </w:trPr>
        <w:tc>
          <w:tcPr>
            <w:tcW w:w="1594" w:type="dxa"/>
            <w:tcBorders>
              <w:right w:val="single" w:sz="25" w:space="0" w:color="FFFFFF"/>
            </w:tcBorders>
            <w:shd w:val="clear" w:color="auto" w:fill="A9394A"/>
          </w:tcPr>
          <w:p>
            <w:pPr/>
          </w:p>
        </w:tc>
        <w:tc>
          <w:tcPr>
            <w:tcW w:w="1150" w:type="dxa"/>
            <w:tcBorders>
              <w:left w:val="single" w:sz="25" w:space="0" w:color="FFFFFF"/>
              <w:bottom w:val="single" w:sz="3" w:space="0" w:color="FFFFFF"/>
              <w:right w:val="single" w:sz="25" w:space="0" w:color="FFFFFF"/>
            </w:tcBorders>
            <w:shd w:val="clear" w:color="auto" w:fill="A9394A"/>
          </w:tcPr>
          <w:p>
            <w:pPr>
              <w:pStyle w:val="TableParagraph"/>
              <w:spacing w:before="12"/>
              <w:ind w:left="-1"/>
              <w:jc w:val="left"/>
              <w:rPr>
                <w:rFonts w:ascii="Calibri"/>
                <w:b/>
                <w:sz w:val="8"/>
              </w:rPr>
            </w:pPr>
            <w:r>
              <w:rPr>
                <w:rFonts w:ascii="Times New Roman"/>
                <w:b/>
                <w:color w:val="FFFFFF"/>
                <w:w w:val="105"/>
                <w:sz w:val="12"/>
              </w:rPr>
              <w:t>Parere Valutativo</w:t>
            </w:r>
            <w:r>
              <w:rPr>
                <w:rFonts w:ascii="Calibri"/>
                <w:b/>
                <w:color w:val="FFFFFF"/>
                <w:w w:val="105"/>
                <w:position w:val="6"/>
                <w:sz w:val="8"/>
              </w:rPr>
              <w:t>(6)</w:t>
            </w:r>
          </w:p>
        </w:tc>
        <w:tc>
          <w:tcPr>
            <w:tcW w:w="1118" w:type="dxa"/>
            <w:tcBorders>
              <w:left w:val="single" w:sz="25" w:space="0" w:color="FFFFFF"/>
              <w:bottom w:val="single" w:sz="3" w:space="0" w:color="FFFFFF"/>
              <w:right w:val="single" w:sz="25" w:space="0" w:color="FFFFFF"/>
            </w:tcBorders>
            <w:shd w:val="clear" w:color="auto" w:fill="A9394A"/>
          </w:tcPr>
          <w:p>
            <w:pPr>
              <w:pStyle w:val="TableParagraph"/>
              <w:spacing w:before="12"/>
              <w:ind w:left="59" w:right="59"/>
              <w:jc w:val="center"/>
              <w:rPr>
                <w:rFonts w:ascii="Calibri"/>
                <w:b/>
                <w:sz w:val="8"/>
              </w:rPr>
            </w:pPr>
            <w:r>
              <w:rPr>
                <w:rFonts w:ascii="Times New Roman"/>
                <w:b/>
                <w:color w:val="FFFFFF"/>
                <w:w w:val="105"/>
                <w:sz w:val="12"/>
              </w:rPr>
              <w:t>teorica Offerta</w:t>
            </w:r>
            <w:r>
              <w:rPr>
                <w:rFonts w:ascii="Calibri"/>
                <w:b/>
                <w:color w:val="FFFFFF"/>
                <w:w w:val="105"/>
                <w:position w:val="6"/>
                <w:sz w:val="8"/>
              </w:rPr>
              <w:t>(7)</w:t>
            </w:r>
          </w:p>
        </w:tc>
        <w:tc>
          <w:tcPr>
            <w:tcW w:w="1054" w:type="dxa"/>
            <w:tcBorders>
              <w:left w:val="single" w:sz="25" w:space="0" w:color="FFFFFF"/>
              <w:bottom w:val="single" w:sz="3" w:space="0" w:color="FFFFFF"/>
            </w:tcBorders>
            <w:shd w:val="clear" w:color="auto" w:fill="A9394A"/>
          </w:tcPr>
          <w:p>
            <w:pPr>
              <w:pStyle w:val="TableParagraph"/>
              <w:spacing w:before="12"/>
              <w:ind w:left="58" w:right="52"/>
              <w:jc w:val="center"/>
              <w:rPr>
                <w:rFonts w:ascii="Calibri"/>
                <w:b/>
                <w:sz w:val="8"/>
              </w:rPr>
            </w:pPr>
            <w:r>
              <w:rPr>
                <w:rFonts w:ascii="Times New Roman"/>
                <w:b/>
                <w:color w:val="FFFFFF"/>
                <w:w w:val="105"/>
                <w:sz w:val="12"/>
              </w:rPr>
              <w:t>per accollo</w:t>
            </w:r>
            <w:r>
              <w:rPr>
                <w:rFonts w:ascii="Calibri"/>
                <w:b/>
                <w:color w:val="FFFFFF"/>
                <w:w w:val="105"/>
                <w:position w:val="6"/>
                <w:sz w:val="8"/>
              </w:rPr>
              <w:t>(8)</w:t>
            </w:r>
          </w:p>
        </w:tc>
        <w:tc>
          <w:tcPr>
            <w:tcW w:w="552" w:type="dxa"/>
          </w:tcPr>
          <w:p>
            <w:pPr/>
          </w:p>
        </w:tc>
        <w:tc>
          <w:tcPr>
            <w:tcW w:w="1794" w:type="dxa"/>
            <w:gridSpan w:val="2"/>
            <w:tcBorders>
              <w:top w:val="single" w:sz="3" w:space="0" w:color="FFFFFF"/>
              <w:bottom w:val="single" w:sz="3" w:space="0" w:color="FFFFFF"/>
              <w:right w:val="single" w:sz="3" w:space="0" w:color="FFFFFF"/>
            </w:tcBorders>
            <w:shd w:val="clear" w:color="auto" w:fill="A9394A"/>
          </w:tcPr>
          <w:p>
            <w:pPr>
              <w:pStyle w:val="TableParagraph"/>
              <w:spacing w:before="21"/>
              <w:ind w:left="703" w:right="704"/>
              <w:jc w:val="center"/>
              <w:rPr>
                <w:rFonts w:ascii="Times New Roman"/>
                <w:b/>
                <w:sz w:val="12"/>
              </w:rPr>
            </w:pPr>
            <w:r>
              <w:rPr>
                <w:rFonts w:ascii="Times New Roman"/>
                <w:b/>
                <w:color w:val="FFFFFF"/>
                <w:w w:val="105"/>
                <w:sz w:val="12"/>
              </w:rPr>
              <w:t>Totale</w:t>
            </w:r>
          </w:p>
        </w:tc>
        <w:tc>
          <w:tcPr>
            <w:tcW w:w="1794" w:type="dxa"/>
            <w:gridSpan w:val="2"/>
            <w:tcBorders>
              <w:top w:val="single" w:sz="3" w:space="0" w:color="FFFFFF"/>
              <w:left w:val="single" w:sz="3" w:space="0" w:color="FFFFFF"/>
              <w:bottom w:val="single" w:sz="3" w:space="0" w:color="FFFFFF"/>
            </w:tcBorders>
            <w:shd w:val="clear" w:color="auto" w:fill="A9394A"/>
          </w:tcPr>
          <w:p>
            <w:pPr>
              <w:pStyle w:val="TableParagraph"/>
              <w:spacing w:before="21"/>
              <w:ind w:left="671" w:right="704"/>
              <w:jc w:val="center"/>
              <w:rPr>
                <w:rFonts w:ascii="Times New Roman"/>
                <w:b/>
                <w:sz w:val="12"/>
              </w:rPr>
            </w:pPr>
            <w:r>
              <w:rPr>
                <w:rFonts w:ascii="Times New Roman"/>
                <w:b/>
                <w:color w:val="FFFFFF"/>
                <w:w w:val="105"/>
                <w:sz w:val="12"/>
              </w:rPr>
              <w:t>di cui</w:t>
            </w:r>
          </w:p>
        </w:tc>
      </w:tr>
      <w:tr>
        <w:trPr>
          <w:trHeight w:val="168" w:hRule="exact"/>
        </w:trPr>
        <w:tc>
          <w:tcPr>
            <w:tcW w:w="1594" w:type="dxa"/>
            <w:tcBorders>
              <w:right w:val="single" w:sz="25" w:space="0" w:color="FFFFFF"/>
            </w:tcBorders>
            <w:shd w:val="clear" w:color="auto" w:fill="A9394A"/>
          </w:tcPr>
          <w:p>
            <w:pPr/>
          </w:p>
        </w:tc>
        <w:tc>
          <w:tcPr>
            <w:tcW w:w="1150" w:type="dxa"/>
            <w:tcBorders>
              <w:top w:val="single" w:sz="3" w:space="0" w:color="FFFFFF"/>
              <w:left w:val="single" w:sz="25" w:space="0" w:color="FFFFFF"/>
              <w:right w:val="single" w:sz="25" w:space="0" w:color="FFFFFF"/>
            </w:tcBorders>
            <w:shd w:val="clear" w:color="auto" w:fill="A9394A"/>
          </w:tcPr>
          <w:p>
            <w:pPr>
              <w:pStyle w:val="TableParagraph"/>
              <w:spacing w:before="14"/>
              <w:ind w:right="16"/>
              <w:jc w:val="center"/>
              <w:rPr>
                <w:rFonts w:ascii="Times New Roman"/>
                <w:b/>
                <w:sz w:val="12"/>
              </w:rPr>
            </w:pPr>
            <w:r>
              <w:rPr>
                <w:rFonts w:ascii="Times New Roman"/>
                <w:b/>
                <w:color w:val="FFFFFF"/>
                <w:w w:val="106"/>
                <w:sz w:val="12"/>
              </w:rPr>
              <w:t>%</w:t>
            </w:r>
          </w:p>
        </w:tc>
        <w:tc>
          <w:tcPr>
            <w:tcW w:w="1118" w:type="dxa"/>
            <w:tcBorders>
              <w:top w:val="single" w:sz="3" w:space="0" w:color="FFFFFF"/>
              <w:left w:val="single" w:sz="25" w:space="0" w:color="FFFFFF"/>
              <w:right w:val="single" w:sz="25" w:space="0" w:color="FFFFFF"/>
            </w:tcBorders>
            <w:shd w:val="clear" w:color="auto" w:fill="A9394A"/>
          </w:tcPr>
          <w:p>
            <w:pPr>
              <w:pStyle w:val="TableParagraph"/>
              <w:spacing w:before="14"/>
              <w:ind w:left="59" w:right="59"/>
              <w:jc w:val="center"/>
              <w:rPr>
                <w:rFonts w:ascii="Times New Roman" w:hAnsi="Times New Roman"/>
                <w:b/>
                <w:sz w:val="12"/>
              </w:rPr>
            </w:pPr>
            <w:r>
              <w:rPr>
                <w:rFonts w:ascii="Times New Roman" w:hAnsi="Times New Roman"/>
                <w:b/>
                <w:color w:val="FFFFFF"/>
                <w:w w:val="105"/>
                <w:sz w:val="12"/>
              </w:rPr>
              <w:t>€ k</w:t>
            </w:r>
          </w:p>
        </w:tc>
        <w:tc>
          <w:tcPr>
            <w:tcW w:w="1054" w:type="dxa"/>
            <w:tcBorders>
              <w:top w:val="single" w:sz="3" w:space="0" w:color="FFFFFF"/>
              <w:left w:val="single" w:sz="25" w:space="0" w:color="FFFFFF"/>
            </w:tcBorders>
            <w:shd w:val="clear" w:color="auto" w:fill="A9394A"/>
          </w:tcPr>
          <w:p>
            <w:pPr>
              <w:pStyle w:val="TableParagraph"/>
              <w:spacing w:before="14"/>
              <w:ind w:left="58" w:right="52"/>
              <w:jc w:val="center"/>
              <w:rPr>
                <w:rFonts w:ascii="Times New Roman" w:hAnsi="Times New Roman"/>
                <w:b/>
                <w:sz w:val="12"/>
              </w:rPr>
            </w:pPr>
            <w:r>
              <w:rPr>
                <w:rFonts w:ascii="Times New Roman" w:hAnsi="Times New Roman"/>
                <w:b/>
                <w:color w:val="FFFFFF"/>
                <w:w w:val="105"/>
                <w:sz w:val="12"/>
              </w:rPr>
              <w:t>€ k</w:t>
            </w:r>
          </w:p>
        </w:tc>
        <w:tc>
          <w:tcPr>
            <w:tcW w:w="552" w:type="dxa"/>
          </w:tcPr>
          <w:p>
            <w:pPr/>
          </w:p>
        </w:tc>
        <w:tc>
          <w:tcPr>
            <w:tcW w:w="899" w:type="dxa"/>
            <w:tcBorders>
              <w:top w:val="single" w:sz="3" w:space="0" w:color="FFFFFF"/>
              <w:right w:val="single" w:sz="3" w:space="0" w:color="FFFFFF"/>
            </w:tcBorders>
            <w:shd w:val="clear" w:color="auto" w:fill="A9394A"/>
          </w:tcPr>
          <w:p>
            <w:pPr>
              <w:pStyle w:val="TableParagraph"/>
              <w:spacing w:before="14"/>
              <w:ind w:left="189" w:right="182"/>
              <w:jc w:val="center"/>
              <w:rPr>
                <w:rFonts w:ascii="Times New Roman" w:hAnsi="Times New Roman"/>
                <w:b/>
                <w:sz w:val="12"/>
              </w:rPr>
            </w:pPr>
            <w:r>
              <w:rPr>
                <w:rFonts w:ascii="Times New Roman" w:hAnsi="Times New Roman"/>
                <w:b/>
                <w:color w:val="FFFFFF"/>
                <w:w w:val="105"/>
                <w:sz w:val="12"/>
              </w:rPr>
              <w:t>€ k</w:t>
            </w:r>
          </w:p>
        </w:tc>
        <w:tc>
          <w:tcPr>
            <w:tcW w:w="896" w:type="dxa"/>
            <w:tcBorders>
              <w:top w:val="single" w:sz="3" w:space="0" w:color="FFFFFF"/>
              <w:left w:val="single" w:sz="3" w:space="0" w:color="FFFFFF"/>
              <w:right w:val="single" w:sz="3" w:space="0" w:color="FFFFFF"/>
            </w:tcBorders>
            <w:shd w:val="clear" w:color="auto" w:fill="A9394A"/>
          </w:tcPr>
          <w:p>
            <w:pPr>
              <w:pStyle w:val="TableParagraph"/>
              <w:spacing w:before="14"/>
              <w:ind w:left="13"/>
              <w:jc w:val="center"/>
              <w:rPr>
                <w:rFonts w:ascii="Times New Roman"/>
                <w:b/>
                <w:sz w:val="12"/>
              </w:rPr>
            </w:pPr>
            <w:r>
              <w:rPr>
                <w:rFonts w:ascii="Times New Roman"/>
                <w:b/>
                <w:color w:val="FFFFFF"/>
                <w:w w:val="106"/>
                <w:sz w:val="12"/>
              </w:rPr>
              <w:t>%</w:t>
            </w:r>
          </w:p>
        </w:tc>
        <w:tc>
          <w:tcPr>
            <w:tcW w:w="896" w:type="dxa"/>
            <w:tcBorders>
              <w:top w:val="single" w:sz="3" w:space="0" w:color="FFFFFF"/>
              <w:left w:val="single" w:sz="3" w:space="0" w:color="FFFFFF"/>
              <w:right w:val="single" w:sz="3" w:space="0" w:color="FFFFFF"/>
            </w:tcBorders>
            <w:shd w:val="clear" w:color="auto" w:fill="A9394A"/>
          </w:tcPr>
          <w:p>
            <w:pPr>
              <w:pStyle w:val="TableParagraph"/>
              <w:spacing w:before="14"/>
              <w:ind w:left="291" w:right="284"/>
              <w:jc w:val="center"/>
              <w:rPr>
                <w:rFonts w:ascii="Times New Roman"/>
                <w:b/>
                <w:sz w:val="12"/>
              </w:rPr>
            </w:pPr>
            <w:r>
              <w:rPr>
                <w:rFonts w:ascii="Times New Roman"/>
                <w:b/>
                <w:color w:val="FFFFFF"/>
                <w:w w:val="105"/>
                <w:sz w:val="12"/>
              </w:rPr>
              <w:t>Cash</w:t>
            </w:r>
          </w:p>
        </w:tc>
        <w:tc>
          <w:tcPr>
            <w:tcW w:w="899" w:type="dxa"/>
            <w:tcBorders>
              <w:top w:val="single" w:sz="3" w:space="0" w:color="FFFFFF"/>
              <w:left w:val="single" w:sz="3" w:space="0" w:color="FFFFFF"/>
            </w:tcBorders>
            <w:shd w:val="clear" w:color="auto" w:fill="A9394A"/>
          </w:tcPr>
          <w:p>
            <w:pPr>
              <w:pStyle w:val="TableParagraph"/>
              <w:spacing w:before="14"/>
              <w:ind w:left="177" w:right="182"/>
              <w:jc w:val="center"/>
              <w:rPr>
                <w:rFonts w:ascii="Times New Roman"/>
                <w:b/>
                <w:sz w:val="12"/>
              </w:rPr>
            </w:pPr>
            <w:r>
              <w:rPr>
                <w:rFonts w:ascii="Times New Roman"/>
                <w:b/>
                <w:color w:val="FFFFFF"/>
                <w:w w:val="105"/>
                <w:sz w:val="12"/>
              </w:rPr>
              <w:t>Accollo</w:t>
            </w:r>
          </w:p>
        </w:tc>
      </w:tr>
      <w:tr>
        <w:trPr>
          <w:trHeight w:val="360" w:hRule="exact"/>
        </w:trPr>
        <w:tc>
          <w:tcPr>
            <w:tcW w:w="1594" w:type="dxa"/>
          </w:tcPr>
          <w:p>
            <w:pPr>
              <w:pStyle w:val="TableParagraph"/>
              <w:spacing w:before="8"/>
              <w:jc w:val="left"/>
              <w:rPr>
                <w:rFonts w:ascii="Times New Roman"/>
                <w:sz w:val="16"/>
              </w:rPr>
            </w:pPr>
          </w:p>
          <w:p>
            <w:pPr>
              <w:pStyle w:val="TableParagraph"/>
              <w:spacing w:before="0"/>
              <w:ind w:left="19"/>
              <w:jc w:val="left"/>
              <w:rPr>
                <w:rFonts w:ascii="Times New Roman"/>
                <w:b/>
                <w:sz w:val="12"/>
              </w:rPr>
            </w:pPr>
            <w:r>
              <w:rPr>
                <w:rFonts w:ascii="Times New Roman"/>
                <w:b/>
                <w:w w:val="105"/>
                <w:sz w:val="12"/>
              </w:rPr>
              <w:t>Biochemtex</w:t>
            </w:r>
          </w:p>
        </w:tc>
        <w:tc>
          <w:tcPr>
            <w:tcW w:w="1150" w:type="dxa"/>
          </w:tcPr>
          <w:p>
            <w:pPr>
              <w:pStyle w:val="TableParagraph"/>
              <w:spacing w:before="8"/>
              <w:jc w:val="left"/>
              <w:rPr>
                <w:rFonts w:ascii="Times New Roman"/>
                <w:sz w:val="16"/>
              </w:rPr>
            </w:pPr>
          </w:p>
          <w:p>
            <w:pPr>
              <w:pStyle w:val="TableParagraph"/>
              <w:spacing w:before="0"/>
              <w:ind w:left="393"/>
              <w:jc w:val="left"/>
              <w:rPr>
                <w:rFonts w:ascii="Times New Roman"/>
                <w:sz w:val="12"/>
              </w:rPr>
            </w:pPr>
            <w:r>
              <w:rPr>
                <w:rFonts w:ascii="Times New Roman"/>
                <w:w w:val="105"/>
                <w:sz w:val="12"/>
              </w:rPr>
              <w:t>31,05%</w:t>
            </w:r>
          </w:p>
        </w:tc>
        <w:tc>
          <w:tcPr>
            <w:tcW w:w="1118" w:type="dxa"/>
          </w:tcPr>
          <w:p>
            <w:pPr>
              <w:pStyle w:val="TableParagraph"/>
              <w:spacing w:before="8"/>
              <w:jc w:val="left"/>
              <w:rPr>
                <w:rFonts w:ascii="Times New Roman"/>
                <w:sz w:val="16"/>
              </w:rPr>
            </w:pPr>
          </w:p>
          <w:p>
            <w:pPr>
              <w:pStyle w:val="TableParagraph"/>
              <w:spacing w:before="0"/>
              <w:ind w:left="368" w:right="362"/>
              <w:jc w:val="center"/>
              <w:rPr>
                <w:rFonts w:ascii="Times New Roman"/>
                <w:sz w:val="12"/>
              </w:rPr>
            </w:pPr>
            <w:r>
              <w:rPr>
                <w:rFonts w:ascii="Times New Roman"/>
                <w:w w:val="105"/>
                <w:sz w:val="12"/>
              </w:rPr>
              <w:t>29.055</w:t>
            </w:r>
          </w:p>
        </w:tc>
        <w:tc>
          <w:tcPr>
            <w:tcW w:w="1054" w:type="dxa"/>
          </w:tcPr>
          <w:p>
            <w:pPr>
              <w:pStyle w:val="TableParagraph"/>
              <w:spacing w:before="8"/>
              <w:jc w:val="left"/>
              <w:rPr>
                <w:rFonts w:ascii="Times New Roman"/>
                <w:sz w:val="16"/>
              </w:rPr>
            </w:pPr>
          </w:p>
          <w:p>
            <w:pPr>
              <w:pStyle w:val="TableParagraph"/>
              <w:spacing w:before="0"/>
              <w:ind w:left="388" w:right="353"/>
              <w:jc w:val="center"/>
              <w:rPr>
                <w:rFonts w:ascii="Times New Roman"/>
                <w:sz w:val="12"/>
              </w:rPr>
            </w:pPr>
            <w:r>
              <w:rPr>
                <w:rFonts w:ascii="Times New Roman"/>
                <w:w w:val="105"/>
                <w:sz w:val="12"/>
              </w:rPr>
              <w:t>(269)</w:t>
            </w:r>
          </w:p>
        </w:tc>
        <w:tc>
          <w:tcPr>
            <w:tcW w:w="552" w:type="dxa"/>
          </w:tcPr>
          <w:p>
            <w:pPr/>
          </w:p>
        </w:tc>
        <w:tc>
          <w:tcPr>
            <w:tcW w:w="899" w:type="dxa"/>
          </w:tcPr>
          <w:p>
            <w:pPr>
              <w:pStyle w:val="TableParagraph"/>
              <w:spacing w:before="8"/>
              <w:jc w:val="left"/>
              <w:rPr>
                <w:rFonts w:ascii="Times New Roman"/>
                <w:sz w:val="16"/>
              </w:rPr>
            </w:pPr>
          </w:p>
          <w:p>
            <w:pPr>
              <w:pStyle w:val="TableParagraph"/>
              <w:spacing w:before="0"/>
              <w:ind w:left="257" w:right="248"/>
              <w:jc w:val="center"/>
              <w:rPr>
                <w:rFonts w:ascii="Times New Roman"/>
                <w:b/>
                <w:sz w:val="12"/>
              </w:rPr>
            </w:pPr>
            <w:r>
              <w:rPr>
                <w:rFonts w:ascii="Times New Roman"/>
                <w:b/>
                <w:w w:val="105"/>
                <w:sz w:val="12"/>
              </w:rPr>
              <w:t>28.786</w:t>
            </w:r>
          </w:p>
        </w:tc>
        <w:tc>
          <w:tcPr>
            <w:tcW w:w="896" w:type="dxa"/>
            <w:tcBorders>
              <w:right w:val="single" w:sz="3" w:space="0" w:color="BEBEBE"/>
            </w:tcBorders>
          </w:tcPr>
          <w:p>
            <w:pPr>
              <w:pStyle w:val="TableParagraph"/>
              <w:spacing w:before="8"/>
              <w:jc w:val="left"/>
              <w:rPr>
                <w:rFonts w:ascii="Times New Roman"/>
                <w:sz w:val="16"/>
              </w:rPr>
            </w:pPr>
          </w:p>
          <w:p>
            <w:pPr>
              <w:pStyle w:val="TableParagraph"/>
              <w:spacing w:before="0"/>
              <w:ind w:left="231" w:right="210"/>
              <w:jc w:val="center"/>
              <w:rPr>
                <w:rFonts w:ascii="Times New Roman"/>
                <w:b/>
                <w:sz w:val="12"/>
              </w:rPr>
            </w:pPr>
            <w:r>
              <w:rPr>
                <w:rFonts w:ascii="Times New Roman"/>
                <w:b/>
                <w:w w:val="105"/>
                <w:sz w:val="12"/>
              </w:rPr>
              <w:t>30,76%</w:t>
            </w:r>
          </w:p>
        </w:tc>
        <w:tc>
          <w:tcPr>
            <w:tcW w:w="896" w:type="dxa"/>
            <w:tcBorders>
              <w:left w:val="single" w:sz="3" w:space="0" w:color="BEBEBE"/>
            </w:tcBorders>
          </w:tcPr>
          <w:p>
            <w:pPr>
              <w:pStyle w:val="TableParagraph"/>
              <w:spacing w:before="8"/>
              <w:jc w:val="left"/>
              <w:rPr>
                <w:rFonts w:ascii="Times New Roman"/>
                <w:sz w:val="16"/>
              </w:rPr>
            </w:pPr>
          </w:p>
          <w:p>
            <w:pPr>
              <w:pStyle w:val="TableParagraph"/>
              <w:spacing w:before="0"/>
              <w:ind w:left="212" w:right="210"/>
              <w:jc w:val="center"/>
              <w:rPr>
                <w:rFonts w:ascii="Times New Roman"/>
                <w:sz w:val="12"/>
              </w:rPr>
            </w:pPr>
            <w:r>
              <w:rPr>
                <w:rFonts w:ascii="Times New Roman"/>
                <w:w w:val="105"/>
                <w:sz w:val="12"/>
              </w:rPr>
              <w:t>28.786</w:t>
            </w:r>
          </w:p>
        </w:tc>
        <w:tc>
          <w:tcPr>
            <w:tcW w:w="899" w:type="dxa"/>
          </w:tcPr>
          <w:p>
            <w:pPr>
              <w:pStyle w:val="TableParagraph"/>
              <w:spacing w:before="8"/>
              <w:jc w:val="left"/>
              <w:rPr>
                <w:rFonts w:ascii="Times New Roman"/>
                <w:sz w:val="16"/>
              </w:rPr>
            </w:pPr>
          </w:p>
          <w:p>
            <w:pPr>
              <w:pStyle w:val="TableParagraph"/>
              <w:spacing w:before="0"/>
              <w:jc w:val="center"/>
              <w:rPr>
                <w:rFonts w:ascii="Times New Roman"/>
                <w:sz w:val="12"/>
              </w:rPr>
            </w:pPr>
            <w:r>
              <w:rPr>
                <w:rFonts w:ascii="Times New Roman"/>
                <w:w w:val="106"/>
                <w:sz w:val="12"/>
              </w:rPr>
              <w:t>-</w:t>
            </w:r>
          </w:p>
        </w:tc>
      </w:tr>
      <w:tr>
        <w:trPr>
          <w:trHeight w:val="197" w:hRule="exact"/>
        </w:trPr>
        <w:tc>
          <w:tcPr>
            <w:tcW w:w="1594" w:type="dxa"/>
          </w:tcPr>
          <w:p>
            <w:pPr>
              <w:pStyle w:val="TableParagraph"/>
              <w:spacing w:before="29"/>
              <w:ind w:left="19"/>
              <w:jc w:val="left"/>
              <w:rPr>
                <w:rFonts w:ascii="Times New Roman"/>
                <w:b/>
                <w:sz w:val="12"/>
              </w:rPr>
            </w:pPr>
            <w:r>
              <w:rPr>
                <w:rFonts w:ascii="Times New Roman"/>
                <w:b/>
                <w:w w:val="105"/>
                <w:sz w:val="12"/>
              </w:rPr>
              <w:t>Beta Renewables</w:t>
            </w:r>
          </w:p>
        </w:tc>
        <w:tc>
          <w:tcPr>
            <w:tcW w:w="1150" w:type="dxa"/>
          </w:tcPr>
          <w:p>
            <w:pPr>
              <w:pStyle w:val="TableParagraph"/>
              <w:spacing w:before="29"/>
              <w:ind w:left="393"/>
              <w:jc w:val="left"/>
              <w:rPr>
                <w:rFonts w:ascii="Times New Roman"/>
                <w:sz w:val="12"/>
              </w:rPr>
            </w:pPr>
            <w:r>
              <w:rPr>
                <w:rFonts w:ascii="Times New Roman"/>
                <w:w w:val="105"/>
                <w:sz w:val="12"/>
              </w:rPr>
              <w:t>23,54%</w:t>
            </w:r>
          </w:p>
        </w:tc>
        <w:tc>
          <w:tcPr>
            <w:tcW w:w="1118" w:type="dxa"/>
          </w:tcPr>
          <w:p>
            <w:pPr>
              <w:pStyle w:val="TableParagraph"/>
              <w:spacing w:before="29"/>
              <w:ind w:left="368" w:right="362"/>
              <w:jc w:val="center"/>
              <w:rPr>
                <w:rFonts w:ascii="Times New Roman"/>
                <w:sz w:val="12"/>
              </w:rPr>
            </w:pPr>
            <w:r>
              <w:rPr>
                <w:rFonts w:ascii="Times New Roman"/>
                <w:w w:val="105"/>
                <w:sz w:val="12"/>
              </w:rPr>
              <w:t>22.027</w:t>
            </w:r>
          </w:p>
        </w:tc>
        <w:tc>
          <w:tcPr>
            <w:tcW w:w="1054" w:type="dxa"/>
          </w:tcPr>
          <w:p>
            <w:pPr>
              <w:pStyle w:val="TableParagraph"/>
              <w:spacing w:before="29"/>
              <w:ind w:left="388" w:right="353"/>
              <w:jc w:val="center"/>
              <w:rPr>
                <w:rFonts w:ascii="Times New Roman"/>
                <w:sz w:val="12"/>
              </w:rPr>
            </w:pPr>
            <w:r>
              <w:rPr>
                <w:rFonts w:ascii="Times New Roman"/>
                <w:w w:val="105"/>
                <w:sz w:val="12"/>
              </w:rPr>
              <w:t>(204)</w:t>
            </w:r>
          </w:p>
        </w:tc>
        <w:tc>
          <w:tcPr>
            <w:tcW w:w="552" w:type="dxa"/>
            <w:shd w:val="clear" w:color="auto" w:fill="A9394A"/>
          </w:tcPr>
          <w:p>
            <w:pPr/>
          </w:p>
        </w:tc>
        <w:tc>
          <w:tcPr>
            <w:tcW w:w="899" w:type="dxa"/>
          </w:tcPr>
          <w:p>
            <w:pPr>
              <w:pStyle w:val="TableParagraph"/>
              <w:spacing w:before="29"/>
              <w:ind w:left="257" w:right="248"/>
              <w:jc w:val="center"/>
              <w:rPr>
                <w:rFonts w:ascii="Times New Roman"/>
                <w:b/>
                <w:sz w:val="12"/>
              </w:rPr>
            </w:pPr>
            <w:r>
              <w:rPr>
                <w:rFonts w:ascii="Times New Roman"/>
                <w:b/>
                <w:w w:val="105"/>
                <w:sz w:val="12"/>
              </w:rPr>
              <w:t>21.823</w:t>
            </w:r>
          </w:p>
        </w:tc>
        <w:tc>
          <w:tcPr>
            <w:tcW w:w="896" w:type="dxa"/>
            <w:tcBorders>
              <w:right w:val="single" w:sz="3" w:space="0" w:color="BEBEBE"/>
            </w:tcBorders>
          </w:tcPr>
          <w:p>
            <w:pPr>
              <w:pStyle w:val="TableParagraph"/>
              <w:spacing w:before="29"/>
              <w:ind w:left="231" w:right="210"/>
              <w:jc w:val="center"/>
              <w:rPr>
                <w:rFonts w:ascii="Times New Roman"/>
                <w:b/>
                <w:sz w:val="12"/>
              </w:rPr>
            </w:pPr>
            <w:r>
              <w:rPr>
                <w:rFonts w:ascii="Times New Roman"/>
                <w:b/>
                <w:w w:val="105"/>
                <w:sz w:val="12"/>
              </w:rPr>
              <w:t>23,32%</w:t>
            </w:r>
          </w:p>
        </w:tc>
        <w:tc>
          <w:tcPr>
            <w:tcW w:w="896" w:type="dxa"/>
            <w:tcBorders>
              <w:left w:val="single" w:sz="3" w:space="0" w:color="BEBEBE"/>
            </w:tcBorders>
          </w:tcPr>
          <w:p>
            <w:pPr>
              <w:pStyle w:val="TableParagraph"/>
              <w:spacing w:before="29"/>
              <w:ind w:left="212" w:right="210"/>
              <w:jc w:val="center"/>
              <w:rPr>
                <w:rFonts w:ascii="Times New Roman"/>
                <w:sz w:val="12"/>
              </w:rPr>
            </w:pPr>
            <w:r>
              <w:rPr>
                <w:rFonts w:ascii="Times New Roman"/>
                <w:w w:val="105"/>
                <w:sz w:val="12"/>
              </w:rPr>
              <w:t>21.823</w:t>
            </w:r>
          </w:p>
        </w:tc>
        <w:tc>
          <w:tcPr>
            <w:tcW w:w="899" w:type="dxa"/>
          </w:tcPr>
          <w:p>
            <w:pPr>
              <w:pStyle w:val="TableParagraph"/>
              <w:spacing w:before="29"/>
              <w:jc w:val="center"/>
              <w:rPr>
                <w:rFonts w:ascii="Times New Roman"/>
                <w:sz w:val="12"/>
              </w:rPr>
            </w:pPr>
            <w:r>
              <w:rPr>
                <w:rFonts w:ascii="Times New Roman"/>
                <w:w w:val="106"/>
                <w:sz w:val="12"/>
              </w:rPr>
              <w:t>-</w:t>
            </w:r>
          </w:p>
        </w:tc>
      </w:tr>
      <w:tr>
        <w:trPr>
          <w:trHeight w:val="197" w:hRule="exact"/>
        </w:trPr>
        <w:tc>
          <w:tcPr>
            <w:tcW w:w="1594" w:type="dxa"/>
          </w:tcPr>
          <w:p>
            <w:pPr>
              <w:pStyle w:val="TableParagraph"/>
              <w:spacing w:before="29"/>
              <w:ind w:left="19"/>
              <w:jc w:val="left"/>
              <w:rPr>
                <w:rFonts w:ascii="Times New Roman"/>
                <w:b/>
                <w:sz w:val="12"/>
              </w:rPr>
            </w:pPr>
            <w:r>
              <w:rPr>
                <w:rFonts w:ascii="Times New Roman"/>
                <w:b/>
                <w:w w:val="105"/>
                <w:sz w:val="12"/>
              </w:rPr>
              <w:t>IBP</w:t>
            </w:r>
          </w:p>
        </w:tc>
        <w:tc>
          <w:tcPr>
            <w:tcW w:w="1150" w:type="dxa"/>
          </w:tcPr>
          <w:p>
            <w:pPr>
              <w:pStyle w:val="TableParagraph"/>
              <w:spacing w:before="29"/>
              <w:ind w:left="393"/>
              <w:jc w:val="left"/>
              <w:rPr>
                <w:rFonts w:ascii="Times New Roman"/>
                <w:sz w:val="12"/>
              </w:rPr>
            </w:pPr>
            <w:r>
              <w:rPr>
                <w:rFonts w:ascii="Times New Roman"/>
                <w:w w:val="105"/>
                <w:sz w:val="12"/>
              </w:rPr>
              <w:t>26,92%</w:t>
            </w:r>
          </w:p>
        </w:tc>
        <w:tc>
          <w:tcPr>
            <w:tcW w:w="1118" w:type="dxa"/>
          </w:tcPr>
          <w:p>
            <w:pPr>
              <w:pStyle w:val="TableParagraph"/>
              <w:spacing w:before="29"/>
              <w:ind w:left="368" w:right="362"/>
              <w:jc w:val="center"/>
              <w:rPr>
                <w:rFonts w:ascii="Times New Roman"/>
                <w:sz w:val="12"/>
              </w:rPr>
            </w:pPr>
            <w:r>
              <w:rPr>
                <w:rFonts w:ascii="Times New Roman"/>
                <w:w w:val="105"/>
                <w:sz w:val="12"/>
              </w:rPr>
              <w:t>25.190</w:t>
            </w:r>
          </w:p>
        </w:tc>
        <w:tc>
          <w:tcPr>
            <w:tcW w:w="1054" w:type="dxa"/>
          </w:tcPr>
          <w:p>
            <w:pPr>
              <w:pStyle w:val="TableParagraph"/>
              <w:spacing w:before="29"/>
              <w:ind w:left="388" w:right="353"/>
              <w:jc w:val="center"/>
              <w:rPr>
                <w:rFonts w:ascii="Times New Roman"/>
                <w:sz w:val="12"/>
              </w:rPr>
            </w:pPr>
            <w:r>
              <w:rPr>
                <w:rFonts w:ascii="Times New Roman"/>
                <w:w w:val="105"/>
                <w:sz w:val="12"/>
              </w:rPr>
              <w:t>(233)</w:t>
            </w:r>
          </w:p>
        </w:tc>
        <w:tc>
          <w:tcPr>
            <w:tcW w:w="552" w:type="dxa"/>
          </w:tcPr>
          <w:p>
            <w:pPr/>
          </w:p>
        </w:tc>
        <w:tc>
          <w:tcPr>
            <w:tcW w:w="899" w:type="dxa"/>
          </w:tcPr>
          <w:p>
            <w:pPr>
              <w:pStyle w:val="TableParagraph"/>
              <w:spacing w:before="29"/>
              <w:ind w:left="257" w:right="248"/>
              <w:jc w:val="center"/>
              <w:rPr>
                <w:rFonts w:ascii="Times New Roman"/>
                <w:b/>
                <w:sz w:val="12"/>
              </w:rPr>
            </w:pPr>
            <w:r>
              <w:rPr>
                <w:rFonts w:ascii="Times New Roman"/>
                <w:b/>
                <w:w w:val="105"/>
                <w:sz w:val="12"/>
              </w:rPr>
              <w:t>24.957</w:t>
            </w:r>
          </w:p>
        </w:tc>
        <w:tc>
          <w:tcPr>
            <w:tcW w:w="896" w:type="dxa"/>
            <w:tcBorders>
              <w:right w:val="single" w:sz="3" w:space="0" w:color="BEBEBE"/>
            </w:tcBorders>
          </w:tcPr>
          <w:p>
            <w:pPr>
              <w:pStyle w:val="TableParagraph"/>
              <w:spacing w:before="29"/>
              <w:ind w:left="231" w:right="210"/>
              <w:jc w:val="center"/>
              <w:rPr>
                <w:rFonts w:ascii="Times New Roman"/>
                <w:b/>
                <w:sz w:val="12"/>
              </w:rPr>
            </w:pPr>
            <w:r>
              <w:rPr>
                <w:rFonts w:ascii="Times New Roman"/>
                <w:b/>
                <w:w w:val="105"/>
                <w:sz w:val="12"/>
              </w:rPr>
              <w:t>26,67%</w:t>
            </w:r>
          </w:p>
        </w:tc>
        <w:tc>
          <w:tcPr>
            <w:tcW w:w="896" w:type="dxa"/>
            <w:tcBorders>
              <w:left w:val="single" w:sz="3" w:space="0" w:color="BEBEBE"/>
            </w:tcBorders>
          </w:tcPr>
          <w:p>
            <w:pPr>
              <w:pStyle w:val="TableParagraph"/>
              <w:spacing w:before="29"/>
              <w:ind w:left="212" w:right="210"/>
              <w:jc w:val="center"/>
              <w:rPr>
                <w:rFonts w:ascii="Times New Roman"/>
                <w:sz w:val="12"/>
              </w:rPr>
            </w:pPr>
            <w:r>
              <w:rPr>
                <w:rFonts w:ascii="Times New Roman"/>
                <w:w w:val="105"/>
                <w:sz w:val="12"/>
              </w:rPr>
              <w:t>24.957</w:t>
            </w:r>
          </w:p>
        </w:tc>
        <w:tc>
          <w:tcPr>
            <w:tcW w:w="899" w:type="dxa"/>
          </w:tcPr>
          <w:p>
            <w:pPr>
              <w:pStyle w:val="TableParagraph"/>
              <w:spacing w:before="29"/>
              <w:jc w:val="center"/>
              <w:rPr>
                <w:rFonts w:ascii="Times New Roman"/>
                <w:sz w:val="12"/>
              </w:rPr>
            </w:pPr>
            <w:r>
              <w:rPr>
                <w:rFonts w:ascii="Times New Roman"/>
                <w:w w:val="106"/>
                <w:sz w:val="12"/>
              </w:rPr>
              <w:t>-</w:t>
            </w:r>
          </w:p>
        </w:tc>
      </w:tr>
      <w:tr>
        <w:trPr>
          <w:trHeight w:val="357" w:hRule="exact"/>
        </w:trPr>
        <w:tc>
          <w:tcPr>
            <w:tcW w:w="1594" w:type="dxa"/>
          </w:tcPr>
          <w:p>
            <w:pPr>
              <w:pStyle w:val="TableParagraph"/>
              <w:spacing w:before="29"/>
              <w:ind w:left="19"/>
              <w:jc w:val="left"/>
              <w:rPr>
                <w:rFonts w:ascii="Times New Roman"/>
                <w:b/>
                <w:sz w:val="12"/>
              </w:rPr>
            </w:pPr>
            <w:r>
              <w:rPr>
                <w:rFonts w:ascii="Times New Roman"/>
                <w:b/>
                <w:w w:val="105"/>
                <w:sz w:val="12"/>
              </w:rPr>
              <w:t>IBP Energia</w:t>
            </w:r>
          </w:p>
        </w:tc>
        <w:tc>
          <w:tcPr>
            <w:tcW w:w="1150" w:type="dxa"/>
          </w:tcPr>
          <w:p>
            <w:pPr>
              <w:pStyle w:val="TableParagraph"/>
              <w:spacing w:before="29"/>
              <w:ind w:left="393"/>
              <w:jc w:val="left"/>
              <w:rPr>
                <w:rFonts w:ascii="Times New Roman"/>
                <w:sz w:val="12"/>
              </w:rPr>
            </w:pPr>
            <w:r>
              <w:rPr>
                <w:rFonts w:ascii="Times New Roman"/>
                <w:w w:val="105"/>
                <w:sz w:val="12"/>
              </w:rPr>
              <w:t>18,49%</w:t>
            </w:r>
          </w:p>
        </w:tc>
        <w:tc>
          <w:tcPr>
            <w:tcW w:w="1118" w:type="dxa"/>
          </w:tcPr>
          <w:p>
            <w:pPr>
              <w:pStyle w:val="TableParagraph"/>
              <w:spacing w:before="29"/>
              <w:ind w:left="368" w:right="362"/>
              <w:jc w:val="center"/>
              <w:rPr>
                <w:rFonts w:ascii="Times New Roman"/>
                <w:sz w:val="12"/>
              </w:rPr>
            </w:pPr>
            <w:r>
              <w:rPr>
                <w:rFonts w:ascii="Times New Roman"/>
                <w:w w:val="105"/>
                <w:sz w:val="12"/>
              </w:rPr>
              <w:t>17.302</w:t>
            </w:r>
          </w:p>
        </w:tc>
        <w:tc>
          <w:tcPr>
            <w:tcW w:w="1054" w:type="dxa"/>
          </w:tcPr>
          <w:p>
            <w:pPr>
              <w:pStyle w:val="TableParagraph"/>
              <w:spacing w:before="29"/>
              <w:ind w:left="388" w:right="351"/>
              <w:jc w:val="center"/>
              <w:rPr>
                <w:rFonts w:ascii="Times New Roman"/>
                <w:sz w:val="12"/>
              </w:rPr>
            </w:pPr>
            <w:r>
              <w:rPr>
                <w:rFonts w:ascii="Times New Roman"/>
                <w:w w:val="105"/>
                <w:sz w:val="12"/>
              </w:rPr>
              <w:t>706</w:t>
            </w:r>
          </w:p>
        </w:tc>
        <w:tc>
          <w:tcPr>
            <w:tcW w:w="552" w:type="dxa"/>
          </w:tcPr>
          <w:p>
            <w:pPr/>
          </w:p>
        </w:tc>
        <w:tc>
          <w:tcPr>
            <w:tcW w:w="899" w:type="dxa"/>
          </w:tcPr>
          <w:p>
            <w:pPr>
              <w:pStyle w:val="TableParagraph"/>
              <w:spacing w:before="29"/>
              <w:ind w:left="257" w:right="248"/>
              <w:jc w:val="center"/>
              <w:rPr>
                <w:rFonts w:ascii="Times New Roman"/>
                <w:b/>
                <w:sz w:val="12"/>
              </w:rPr>
            </w:pPr>
            <w:r>
              <w:rPr>
                <w:rFonts w:ascii="Times New Roman"/>
                <w:b/>
                <w:w w:val="105"/>
                <w:sz w:val="12"/>
              </w:rPr>
              <w:t>18.008</w:t>
            </w:r>
          </w:p>
        </w:tc>
        <w:tc>
          <w:tcPr>
            <w:tcW w:w="896" w:type="dxa"/>
            <w:tcBorders>
              <w:right w:val="single" w:sz="3" w:space="0" w:color="BEBEBE"/>
            </w:tcBorders>
          </w:tcPr>
          <w:p>
            <w:pPr>
              <w:pStyle w:val="TableParagraph"/>
              <w:spacing w:before="29"/>
              <w:ind w:left="231" w:right="210"/>
              <w:jc w:val="center"/>
              <w:rPr>
                <w:rFonts w:ascii="Times New Roman"/>
                <w:b/>
                <w:sz w:val="12"/>
              </w:rPr>
            </w:pPr>
            <w:r>
              <w:rPr>
                <w:rFonts w:ascii="Times New Roman"/>
                <w:b/>
                <w:w w:val="105"/>
                <w:sz w:val="12"/>
              </w:rPr>
              <w:t>19,24%</w:t>
            </w:r>
          </w:p>
        </w:tc>
        <w:tc>
          <w:tcPr>
            <w:tcW w:w="896" w:type="dxa"/>
            <w:tcBorders>
              <w:left w:val="single" w:sz="3" w:space="0" w:color="BEBEBE"/>
            </w:tcBorders>
          </w:tcPr>
          <w:p>
            <w:pPr>
              <w:pStyle w:val="TableParagraph"/>
              <w:spacing w:before="29"/>
              <w:jc w:val="center"/>
              <w:rPr>
                <w:rFonts w:ascii="Times New Roman"/>
                <w:sz w:val="12"/>
              </w:rPr>
            </w:pPr>
            <w:r>
              <w:rPr>
                <w:rFonts w:ascii="Times New Roman"/>
                <w:w w:val="106"/>
                <w:sz w:val="12"/>
              </w:rPr>
              <w:t>-</w:t>
            </w:r>
          </w:p>
        </w:tc>
        <w:tc>
          <w:tcPr>
            <w:tcW w:w="899" w:type="dxa"/>
          </w:tcPr>
          <w:p>
            <w:pPr>
              <w:pStyle w:val="TableParagraph"/>
              <w:spacing w:before="29"/>
              <w:ind w:left="253" w:right="251"/>
              <w:jc w:val="center"/>
              <w:rPr>
                <w:rFonts w:ascii="Times New Roman"/>
                <w:sz w:val="12"/>
              </w:rPr>
            </w:pPr>
            <w:r>
              <w:rPr>
                <w:rFonts w:ascii="Times New Roman"/>
                <w:w w:val="105"/>
                <w:sz w:val="12"/>
              </w:rPr>
              <w:t>18.008</w:t>
            </w:r>
          </w:p>
        </w:tc>
      </w:tr>
      <w:tr>
        <w:trPr>
          <w:trHeight w:val="171" w:hRule="exact"/>
        </w:trPr>
        <w:tc>
          <w:tcPr>
            <w:tcW w:w="1594" w:type="dxa"/>
            <w:tcBorders>
              <w:right w:val="single" w:sz="25" w:space="0" w:color="FFFFFF"/>
            </w:tcBorders>
            <w:shd w:val="clear" w:color="auto" w:fill="818285"/>
          </w:tcPr>
          <w:p>
            <w:pPr>
              <w:pStyle w:val="TableParagraph"/>
              <w:spacing w:before="21"/>
              <w:ind w:left="19"/>
              <w:jc w:val="left"/>
              <w:rPr>
                <w:rFonts w:ascii="Times New Roman"/>
                <w:b/>
                <w:sz w:val="12"/>
              </w:rPr>
            </w:pPr>
            <w:r>
              <w:rPr>
                <w:rFonts w:ascii="Times New Roman"/>
                <w:b/>
                <w:color w:val="FFFFFF"/>
                <w:w w:val="105"/>
                <w:sz w:val="12"/>
              </w:rPr>
              <w:t>Totale offerta cash + accollo</w:t>
            </w:r>
          </w:p>
        </w:tc>
        <w:tc>
          <w:tcPr>
            <w:tcW w:w="1150" w:type="dxa"/>
            <w:tcBorders>
              <w:left w:val="single" w:sz="25" w:space="0" w:color="FFFFFF"/>
              <w:right w:val="single" w:sz="25" w:space="0" w:color="FFFFFF"/>
            </w:tcBorders>
            <w:shd w:val="clear" w:color="auto" w:fill="818285"/>
          </w:tcPr>
          <w:p>
            <w:pPr>
              <w:pStyle w:val="TableParagraph"/>
              <w:spacing w:before="21"/>
              <w:ind w:left="298"/>
              <w:jc w:val="left"/>
              <w:rPr>
                <w:rFonts w:ascii="Times New Roman"/>
                <w:b/>
                <w:sz w:val="12"/>
              </w:rPr>
            </w:pPr>
            <w:r>
              <w:rPr>
                <w:rFonts w:ascii="Times New Roman"/>
                <w:b/>
                <w:color w:val="FFFFFF"/>
                <w:w w:val="105"/>
                <w:sz w:val="12"/>
              </w:rPr>
              <w:t>100,00%</w:t>
            </w:r>
          </w:p>
        </w:tc>
        <w:tc>
          <w:tcPr>
            <w:tcW w:w="1118" w:type="dxa"/>
            <w:tcBorders>
              <w:left w:val="single" w:sz="25" w:space="0" w:color="FFFFFF"/>
              <w:right w:val="single" w:sz="25" w:space="0" w:color="FFFFFF"/>
            </w:tcBorders>
            <w:shd w:val="clear" w:color="auto" w:fill="818285"/>
          </w:tcPr>
          <w:p>
            <w:pPr>
              <w:pStyle w:val="TableParagraph"/>
              <w:spacing w:before="21"/>
              <w:ind w:left="59" w:right="53"/>
              <w:jc w:val="center"/>
              <w:rPr>
                <w:rFonts w:ascii="Times New Roman"/>
                <w:b/>
                <w:sz w:val="12"/>
              </w:rPr>
            </w:pPr>
            <w:r>
              <w:rPr>
                <w:rFonts w:ascii="Times New Roman"/>
                <w:b/>
                <w:color w:val="FFFFFF"/>
                <w:w w:val="105"/>
                <w:sz w:val="12"/>
              </w:rPr>
              <w:t>93.574</w:t>
            </w:r>
          </w:p>
        </w:tc>
        <w:tc>
          <w:tcPr>
            <w:tcW w:w="1054" w:type="dxa"/>
            <w:tcBorders>
              <w:left w:val="single" w:sz="25" w:space="0" w:color="FFFFFF"/>
            </w:tcBorders>
            <w:shd w:val="clear" w:color="auto" w:fill="818285"/>
          </w:tcPr>
          <w:p>
            <w:pPr>
              <w:pStyle w:val="TableParagraph"/>
              <w:spacing w:before="21"/>
              <w:ind w:right="1"/>
              <w:jc w:val="center"/>
              <w:rPr>
                <w:rFonts w:ascii="Times New Roman"/>
                <w:b/>
                <w:sz w:val="12"/>
              </w:rPr>
            </w:pPr>
            <w:r>
              <w:rPr>
                <w:rFonts w:ascii="Times New Roman"/>
                <w:b/>
                <w:color w:val="FFFFFF"/>
                <w:w w:val="106"/>
                <w:sz w:val="12"/>
              </w:rPr>
              <w:t>-</w:t>
            </w:r>
          </w:p>
        </w:tc>
        <w:tc>
          <w:tcPr>
            <w:tcW w:w="552" w:type="dxa"/>
          </w:tcPr>
          <w:p>
            <w:pPr/>
          </w:p>
        </w:tc>
        <w:tc>
          <w:tcPr>
            <w:tcW w:w="899" w:type="dxa"/>
            <w:shd w:val="clear" w:color="auto" w:fill="818285"/>
          </w:tcPr>
          <w:p>
            <w:pPr>
              <w:pStyle w:val="TableParagraph"/>
              <w:spacing w:before="21"/>
              <w:ind w:left="257" w:right="248"/>
              <w:jc w:val="center"/>
              <w:rPr>
                <w:rFonts w:ascii="Times New Roman"/>
                <w:b/>
                <w:sz w:val="12"/>
              </w:rPr>
            </w:pPr>
            <w:r>
              <w:rPr>
                <w:rFonts w:ascii="Times New Roman"/>
                <w:b/>
                <w:color w:val="FFFFFF"/>
                <w:w w:val="105"/>
                <w:sz w:val="12"/>
              </w:rPr>
              <w:t>93.574</w:t>
            </w:r>
          </w:p>
        </w:tc>
        <w:tc>
          <w:tcPr>
            <w:tcW w:w="896" w:type="dxa"/>
            <w:shd w:val="clear" w:color="auto" w:fill="818285"/>
          </w:tcPr>
          <w:p>
            <w:pPr>
              <w:pStyle w:val="TableParagraph"/>
              <w:spacing w:before="21"/>
              <w:ind w:left="200" w:right="182"/>
              <w:jc w:val="center"/>
              <w:rPr>
                <w:rFonts w:ascii="Times New Roman"/>
                <w:b/>
                <w:sz w:val="12"/>
              </w:rPr>
            </w:pPr>
            <w:r>
              <w:rPr>
                <w:rFonts w:ascii="Times New Roman"/>
                <w:b/>
                <w:color w:val="FFFFFF"/>
                <w:w w:val="105"/>
                <w:sz w:val="12"/>
              </w:rPr>
              <w:t>100,00%</w:t>
            </w:r>
          </w:p>
        </w:tc>
        <w:tc>
          <w:tcPr>
            <w:tcW w:w="896" w:type="dxa"/>
            <w:shd w:val="clear" w:color="auto" w:fill="818285"/>
          </w:tcPr>
          <w:p>
            <w:pPr>
              <w:pStyle w:val="TableParagraph"/>
              <w:spacing w:before="21"/>
              <w:ind w:left="187" w:right="182"/>
              <w:jc w:val="center"/>
              <w:rPr>
                <w:rFonts w:ascii="Times New Roman"/>
                <w:b/>
                <w:sz w:val="12"/>
              </w:rPr>
            </w:pPr>
            <w:r>
              <w:rPr>
                <w:rFonts w:ascii="Times New Roman"/>
                <w:b/>
                <w:color w:val="FFFFFF"/>
                <w:w w:val="105"/>
                <w:sz w:val="12"/>
              </w:rPr>
              <w:t>75.566</w:t>
            </w:r>
          </w:p>
        </w:tc>
        <w:tc>
          <w:tcPr>
            <w:tcW w:w="899" w:type="dxa"/>
            <w:shd w:val="clear" w:color="auto" w:fill="818285"/>
          </w:tcPr>
          <w:p>
            <w:pPr>
              <w:pStyle w:val="TableParagraph"/>
              <w:spacing w:before="21"/>
              <w:ind w:left="253" w:right="251"/>
              <w:jc w:val="center"/>
              <w:rPr>
                <w:rFonts w:ascii="Times New Roman"/>
                <w:b/>
                <w:sz w:val="12"/>
              </w:rPr>
            </w:pPr>
            <w:r>
              <w:rPr>
                <w:rFonts w:ascii="Times New Roman"/>
                <w:b/>
                <w:color w:val="FFFFFF"/>
                <w:w w:val="105"/>
                <w:sz w:val="12"/>
              </w:rPr>
              <w:t>18.008</w:t>
            </w:r>
          </w:p>
        </w:tc>
      </w:tr>
    </w:tbl>
    <w:p>
      <w:pPr>
        <w:pStyle w:val="BodyText"/>
        <w:spacing w:before="3"/>
        <w:rPr>
          <w:rFonts w:ascii="Times New Roman"/>
          <w:sz w:val="23"/>
        </w:rPr>
      </w:pPr>
    </w:p>
    <w:p>
      <w:pPr>
        <w:pStyle w:val="BodyText"/>
        <w:spacing w:line="480" w:lineRule="auto" w:before="1"/>
        <w:ind w:left="1418" w:right="1518"/>
      </w:pPr>
      <w:r>
        <w:rPr/>
        <w:pict>
          <v:shape style="position:absolute;margin-left:322.284058pt;margin-top:-102.231087pt;width:18.1pt;height:86.05pt;mso-position-horizontal-relative:page;mso-position-vertical-relative:paragraph;z-index:-846160" coordorigin="6446,-2045" coordsize="362,1721" path="m6446,-2045l6446,-324,6807,-1184,6446,-2045xe" filled="true" fillcolor="#a9394a" stroked="false">
            <v:path arrowok="t"/>
            <v:fill type="solid"/>
            <w10:wrap type="none"/>
          </v:shape>
        </w:pict>
      </w:r>
      <w:r>
        <w:rPr/>
        <w:t>Di seguito riportiamo tabella che riepiloga gli </w:t>
      </w:r>
      <w:r>
        <w:rPr>
          <w:i/>
        </w:rPr>
        <w:t>asset </w:t>
      </w:r>
      <w:r>
        <w:rPr/>
        <w:t>che rientrano nel perimetro dell’offerta Versalis:</w:t>
      </w:r>
    </w:p>
    <w:p>
      <w:pPr>
        <w:pStyle w:val="BodyText"/>
        <w:rPr>
          <w:sz w:val="20"/>
        </w:rPr>
      </w:pPr>
    </w:p>
    <w:p>
      <w:pPr>
        <w:pStyle w:val="BodyText"/>
        <w:spacing w:before="1"/>
        <w:rPr>
          <w:sz w:val="21"/>
        </w:rPr>
      </w:pPr>
    </w:p>
    <w:p>
      <w:pPr>
        <w:spacing w:before="96"/>
        <w:ind w:left="1693" w:right="0" w:firstLine="0"/>
        <w:jc w:val="left"/>
        <w:rPr>
          <w:rFonts w:ascii="Times New Roman"/>
          <w:b/>
          <w:sz w:val="13"/>
        </w:rPr>
      </w:pPr>
      <w:r>
        <w:rPr>
          <w:rFonts w:ascii="Times New Roman"/>
          <w:b/>
          <w:sz w:val="13"/>
          <w:u w:val="single"/>
        </w:rPr>
        <w:t>Biochemtex S.p.A</w:t>
      </w:r>
      <w:r>
        <w:rPr>
          <w:rFonts w:ascii="Times New Roman"/>
          <w:b/>
          <w:sz w:val="13"/>
        </w:rPr>
        <w:t>.</w:t>
      </w:r>
    </w:p>
    <w:p>
      <w:pPr>
        <w:pStyle w:val="BodyText"/>
        <w:spacing w:before="11"/>
        <w:rPr>
          <w:rFonts w:ascii="Times New Roman"/>
          <w:b/>
          <w:sz w:val="16"/>
        </w:rPr>
      </w:pPr>
    </w:p>
    <w:p>
      <w:pPr>
        <w:tabs>
          <w:tab w:pos="8701" w:val="left" w:leader="none"/>
          <w:tab w:pos="9188" w:val="left" w:leader="none"/>
          <w:tab w:pos="10489" w:val="left" w:leader="none"/>
        </w:tabs>
        <w:spacing w:before="0"/>
        <w:ind w:left="1663" w:right="0" w:firstLine="0"/>
        <w:jc w:val="left"/>
        <w:rPr>
          <w:rFonts w:ascii="Times New Roman"/>
          <w:b/>
          <w:sz w:val="13"/>
        </w:rPr>
      </w:pPr>
      <w:r>
        <w:rPr>
          <w:rFonts w:ascii="Times New Roman"/>
          <w:b/>
          <w:color w:val="FFFFFF"/>
          <w:spacing w:val="-3"/>
          <w:w w:val="101"/>
          <w:sz w:val="13"/>
          <w:shd w:fill="878A8D" w:color="auto" w:val="clear"/>
        </w:rPr>
        <w:t> </w:t>
      </w:r>
      <w:r>
        <w:rPr>
          <w:rFonts w:ascii="Times New Roman"/>
          <w:b/>
          <w:color w:val="FFFFFF"/>
          <w:spacing w:val="-5"/>
          <w:sz w:val="13"/>
          <w:shd w:fill="878A8D" w:color="auto" w:val="clear"/>
        </w:rPr>
        <w:t>Attivo </w:t>
      </w:r>
      <w:r>
        <w:rPr>
          <w:rFonts w:ascii="Times New Roman"/>
          <w:b/>
          <w:color w:val="FFFFFF"/>
          <w:spacing w:val="-3"/>
          <w:sz w:val="13"/>
          <w:shd w:fill="878A8D" w:color="auto" w:val="clear"/>
        </w:rPr>
        <w:t>concordatario </w:t>
      </w:r>
      <w:r>
        <w:rPr>
          <w:rFonts w:ascii="Times New Roman"/>
          <w:b/>
          <w:color w:val="FFFFFF"/>
          <w:sz w:val="13"/>
          <w:shd w:fill="878A8D" w:color="auto" w:val="clear"/>
        </w:rPr>
        <w:t>- Oggetto</w:t>
      </w:r>
      <w:r>
        <w:rPr>
          <w:rFonts w:ascii="Times New Roman"/>
          <w:b/>
          <w:color w:val="FFFFFF"/>
          <w:spacing w:val="4"/>
          <w:sz w:val="13"/>
          <w:shd w:fill="878A8D" w:color="auto" w:val="clear"/>
        </w:rPr>
        <w:t> </w:t>
      </w:r>
      <w:r>
        <w:rPr>
          <w:rFonts w:ascii="Times New Roman"/>
          <w:b/>
          <w:color w:val="FFFFFF"/>
          <w:sz w:val="13"/>
          <w:shd w:fill="878A8D" w:color="auto" w:val="clear"/>
        </w:rPr>
        <w:t>dell'Offerta</w:t>
      </w:r>
      <w:r>
        <w:rPr>
          <w:rFonts w:ascii="Times New Roman"/>
          <w:b/>
          <w:color w:val="FFFFFF"/>
          <w:spacing w:val="-2"/>
          <w:sz w:val="13"/>
          <w:shd w:fill="878A8D" w:color="auto" w:val="clear"/>
        </w:rPr>
        <w:t> </w:t>
      </w:r>
      <w:r>
        <w:rPr>
          <w:rFonts w:ascii="Times New Roman"/>
          <w:b/>
          <w:color w:val="FFFFFF"/>
          <w:sz w:val="13"/>
          <w:shd w:fill="878A8D" w:color="auto" w:val="clear"/>
        </w:rPr>
        <w:t>Versalis</w:t>
        <w:tab/>
        <w:tab/>
        <w:t>Valore </w:t>
      </w:r>
      <w:r>
        <w:rPr>
          <w:rFonts w:ascii="Times New Roman"/>
          <w:b/>
          <w:color w:val="FFFFFF"/>
          <w:spacing w:val="-7"/>
          <w:sz w:val="13"/>
          <w:shd w:fill="878A8D" w:color="auto" w:val="clear"/>
        </w:rPr>
        <w:t>di</w:t>
      </w:r>
      <w:r>
        <w:rPr>
          <w:rFonts w:ascii="Times New Roman"/>
          <w:b/>
          <w:color w:val="FFFFFF"/>
          <w:spacing w:val="12"/>
          <w:sz w:val="13"/>
          <w:shd w:fill="878A8D" w:color="auto" w:val="clear"/>
        </w:rPr>
        <w:t> </w:t>
      </w:r>
      <w:r>
        <w:rPr>
          <w:rFonts w:ascii="Times New Roman"/>
          <w:b/>
          <w:color w:val="FFFFFF"/>
          <w:sz w:val="13"/>
          <w:shd w:fill="878A8D" w:color="auto" w:val="clear"/>
        </w:rPr>
        <w:t>realizzo</w:t>
        <w:tab/>
      </w:r>
    </w:p>
    <w:p>
      <w:pPr>
        <w:pStyle w:val="BodyText"/>
        <w:rPr>
          <w:rFonts w:ascii="Times New Roman"/>
          <w:b/>
          <w:sz w:val="17"/>
        </w:rPr>
      </w:pPr>
    </w:p>
    <w:p>
      <w:pPr>
        <w:tabs>
          <w:tab w:pos="355" w:val="left" w:leader="none"/>
          <w:tab w:pos="1615" w:val="left" w:leader="none"/>
        </w:tabs>
        <w:spacing w:before="0"/>
        <w:ind w:left="0" w:right="1415" w:firstLine="0"/>
        <w:jc w:val="right"/>
        <w:rPr>
          <w:rFonts w:ascii="Times New Roman"/>
          <w:b/>
          <w:sz w:val="13"/>
        </w:rPr>
      </w:pPr>
      <w:r>
        <w:rPr/>
        <w:pict>
          <v:shape style="position:absolute;margin-left:83.151093pt;margin-top:-1.039943pt;width:351.95pt;height:9.15pt;mso-position-horizontal-relative:page;mso-position-vertical-relative:paragraph;z-index:1648" type="#_x0000_t202" filled="true" fillcolor="#9f2f33" stroked="false">
            <v:textbox inset="0,0,0,0">
              <w:txbxContent>
                <w:p>
                  <w:pPr>
                    <w:tabs>
                      <w:tab w:pos="5210" w:val="left" w:leader="none"/>
                    </w:tabs>
                    <w:spacing w:before="20"/>
                    <w:ind w:left="30" w:right="0" w:firstLine="0"/>
                    <w:jc w:val="left"/>
                    <w:rPr>
                      <w:rFonts w:ascii="Times New Roman"/>
                      <w:b/>
                      <w:sz w:val="13"/>
                    </w:rPr>
                  </w:pPr>
                  <w:r>
                    <w:rPr>
                      <w:rFonts w:ascii="Times New Roman"/>
                      <w:b/>
                      <w:color w:val="FFFFFF"/>
                      <w:sz w:val="13"/>
                    </w:rPr>
                    <w:t>Descrizione</w:t>
                    <w:tab/>
                    <w:t>Valore </w:t>
                  </w:r>
                  <w:r>
                    <w:rPr>
                      <w:rFonts w:ascii="Times New Roman"/>
                      <w:b/>
                      <w:color w:val="FFFFFF"/>
                      <w:spacing w:val="-3"/>
                      <w:sz w:val="13"/>
                    </w:rPr>
                    <w:t>contabile al</w:t>
                  </w:r>
                  <w:r>
                    <w:rPr>
                      <w:rFonts w:ascii="Times New Roman"/>
                      <w:b/>
                      <w:color w:val="FFFFFF"/>
                      <w:spacing w:val="21"/>
                      <w:sz w:val="13"/>
                    </w:rPr>
                    <w:t> </w:t>
                  </w:r>
                  <w:r>
                    <w:rPr>
                      <w:rFonts w:ascii="Times New Roman"/>
                      <w:b/>
                      <w:color w:val="FFFFFF"/>
                      <w:spacing w:val="2"/>
                      <w:sz w:val="13"/>
                    </w:rPr>
                    <w:t>15.10.2017</w:t>
                  </w:r>
                </w:p>
              </w:txbxContent>
            </v:textbox>
            <v:fill type="solid"/>
            <w10:wrap type="none"/>
          </v:shape>
        </w:pict>
      </w:r>
      <w:r>
        <w:rPr>
          <w:rFonts w:ascii="Times New Roman"/>
          <w:b/>
          <w:color w:val="FFFFFF"/>
          <w:w w:val="101"/>
          <w:sz w:val="13"/>
          <w:shd w:fill="9F2F33" w:color="auto" w:val="clear"/>
        </w:rPr>
        <w:t> </w:t>
      </w:r>
      <w:r>
        <w:rPr>
          <w:rFonts w:ascii="Times New Roman"/>
          <w:b/>
          <w:color w:val="FFFFFF"/>
          <w:sz w:val="13"/>
          <w:shd w:fill="9F2F33" w:color="auto" w:val="clear"/>
        </w:rPr>
        <w:tab/>
        <w:t>Offerta</w:t>
      </w:r>
      <w:r>
        <w:rPr>
          <w:rFonts w:ascii="Times New Roman"/>
          <w:b/>
          <w:color w:val="FFFFFF"/>
          <w:spacing w:val="4"/>
          <w:sz w:val="13"/>
          <w:shd w:fill="9F2F33" w:color="auto" w:val="clear"/>
        </w:rPr>
        <w:t> </w:t>
      </w:r>
      <w:r>
        <w:rPr>
          <w:rFonts w:ascii="Times New Roman"/>
          <w:b/>
          <w:color w:val="FFFFFF"/>
          <w:sz w:val="13"/>
          <w:shd w:fill="9F2F33" w:color="auto" w:val="clear"/>
        </w:rPr>
        <w:t>Versalis</w:t>
        <w:tab/>
      </w:r>
    </w:p>
    <w:p>
      <w:pPr>
        <w:spacing w:before="22"/>
        <w:ind w:left="1693" w:right="0" w:firstLine="0"/>
        <w:jc w:val="left"/>
        <w:rPr>
          <w:rFonts w:ascii="Times New Roman"/>
          <w:b/>
          <w:sz w:val="13"/>
        </w:rPr>
      </w:pPr>
      <w:r>
        <w:rPr>
          <w:rFonts w:ascii="Times New Roman"/>
          <w:b/>
          <w:sz w:val="13"/>
          <w:u w:val="single"/>
        </w:rPr>
        <w:t>ATTIVO FISSO</w:t>
      </w:r>
    </w:p>
    <w:p>
      <w:pPr>
        <w:spacing w:before="114" w:after="27"/>
        <w:ind w:left="1693" w:right="0" w:firstLine="0"/>
        <w:jc w:val="left"/>
        <w:rPr>
          <w:rFonts w:ascii="Times New Roman"/>
          <w:b/>
          <w:sz w:val="13"/>
        </w:rPr>
      </w:pPr>
      <w:r>
        <w:rPr/>
        <w:pict>
          <v:shape style="position:absolute;margin-left:435.42807pt;margin-top:14.402315pt;width:18.3pt;height:118.55pt;mso-position-horizontal-relative:page;mso-position-vertical-relative:paragraph;z-index:-846136" coordorigin="8709,288" coordsize="366,2371" path="m8709,288l8780,290,8838,297,8877,307,8891,318,8891,1443,8906,1455,8945,1464,9003,1471,9074,1473,9003,1476,8945,1482,8906,1492,8891,1504,8891,2628,8877,2640,8838,2650,8780,2656,8709,2659e" filled="false" stroked="true" strokeweight=".507748pt" strokecolor="#497dba">
            <v:path arrowok="t"/>
            <v:stroke dashstyle="solid"/>
            <w10:wrap type="none"/>
          </v:shape>
        </w:pict>
      </w:r>
      <w:r>
        <w:rPr>
          <w:rFonts w:ascii="Times New Roman"/>
          <w:b/>
          <w:sz w:val="13"/>
        </w:rPr>
        <w:t>Immobilizzazioni  Materiali</w:t>
      </w:r>
    </w:p>
    <w:tbl>
      <w:tblPr>
        <w:tblW w:w="0" w:type="auto"/>
        <w:jc w:val="left"/>
        <w:tblInd w:w="1663"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03"/>
        <w:gridCol w:w="2936"/>
        <w:gridCol w:w="1838"/>
      </w:tblGrid>
      <w:tr>
        <w:trPr>
          <w:trHeight w:val="159" w:hRule="exact"/>
        </w:trPr>
        <w:tc>
          <w:tcPr>
            <w:tcW w:w="4103" w:type="dxa"/>
          </w:tcPr>
          <w:p>
            <w:pPr>
              <w:pStyle w:val="TableParagraph"/>
              <w:spacing w:line="146" w:lineRule="exact" w:before="0"/>
              <w:ind w:left="121"/>
              <w:jc w:val="left"/>
              <w:rPr>
                <w:rFonts w:ascii="Times New Roman"/>
                <w:sz w:val="13"/>
              </w:rPr>
            </w:pPr>
            <w:r>
              <w:rPr>
                <w:rFonts w:ascii="Times New Roman"/>
                <w:sz w:val="13"/>
              </w:rPr>
              <w:t>- Migliorie sui beni di terzi</w:t>
            </w:r>
          </w:p>
        </w:tc>
        <w:tc>
          <w:tcPr>
            <w:tcW w:w="4773" w:type="dxa"/>
            <w:gridSpan w:val="2"/>
          </w:tcPr>
          <w:p>
            <w:pPr>
              <w:pStyle w:val="TableParagraph"/>
              <w:spacing w:line="146" w:lineRule="exact" w:before="0"/>
              <w:ind w:left="1693" w:right="2519"/>
              <w:jc w:val="center"/>
              <w:rPr>
                <w:rFonts w:ascii="Times New Roman"/>
                <w:sz w:val="13"/>
              </w:rPr>
            </w:pPr>
            <w:r>
              <w:rPr>
                <w:rFonts w:ascii="Times New Roman"/>
                <w:sz w:val="13"/>
              </w:rPr>
              <w:t>1.291.181</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Impianti e macchinari generici</w:t>
            </w:r>
          </w:p>
        </w:tc>
        <w:tc>
          <w:tcPr>
            <w:tcW w:w="4773" w:type="dxa"/>
            <w:gridSpan w:val="2"/>
          </w:tcPr>
          <w:p>
            <w:pPr>
              <w:pStyle w:val="TableParagraph"/>
              <w:spacing w:before="9"/>
              <w:ind w:left="1693" w:right="2507"/>
              <w:jc w:val="center"/>
              <w:rPr>
                <w:rFonts w:ascii="Times New Roman"/>
                <w:sz w:val="13"/>
              </w:rPr>
            </w:pPr>
            <w:r>
              <w:rPr>
                <w:rFonts w:ascii="Times New Roman"/>
                <w:sz w:val="13"/>
              </w:rPr>
              <w:t>53.708</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Impianti e macchinari specifici</w:t>
            </w:r>
          </w:p>
        </w:tc>
        <w:tc>
          <w:tcPr>
            <w:tcW w:w="4773" w:type="dxa"/>
            <w:gridSpan w:val="2"/>
          </w:tcPr>
          <w:p>
            <w:pPr>
              <w:pStyle w:val="TableParagraph"/>
              <w:spacing w:before="9"/>
              <w:ind w:left="1693" w:right="2508"/>
              <w:jc w:val="center"/>
              <w:rPr>
                <w:rFonts w:ascii="Times New Roman"/>
                <w:sz w:val="13"/>
              </w:rPr>
            </w:pPr>
            <w:r>
              <w:rPr>
                <w:rFonts w:ascii="Times New Roman"/>
                <w:sz w:val="13"/>
              </w:rPr>
              <w:t>523.329</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Impianti in comodato gratuito a IBP</w:t>
            </w:r>
          </w:p>
        </w:tc>
        <w:tc>
          <w:tcPr>
            <w:tcW w:w="4773" w:type="dxa"/>
            <w:gridSpan w:val="2"/>
          </w:tcPr>
          <w:p>
            <w:pPr>
              <w:pStyle w:val="TableParagraph"/>
              <w:spacing w:before="9"/>
              <w:ind w:right="847"/>
              <w:jc w:val="center"/>
              <w:rPr>
                <w:rFonts w:ascii="Times New Roman"/>
                <w:sz w:val="13"/>
              </w:rPr>
            </w:pPr>
            <w:r>
              <w:rPr>
                <w:rFonts w:ascii="Times New Roman"/>
                <w:w w:val="101"/>
                <w:sz w:val="13"/>
              </w:rPr>
              <w:t>-</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Attrezzature industriali</w:t>
            </w:r>
          </w:p>
        </w:tc>
        <w:tc>
          <w:tcPr>
            <w:tcW w:w="4773" w:type="dxa"/>
            <w:gridSpan w:val="2"/>
          </w:tcPr>
          <w:p>
            <w:pPr>
              <w:pStyle w:val="TableParagraph"/>
              <w:spacing w:before="9"/>
              <w:ind w:left="1693" w:right="2508"/>
              <w:jc w:val="center"/>
              <w:rPr>
                <w:rFonts w:ascii="Times New Roman"/>
                <w:sz w:val="13"/>
              </w:rPr>
            </w:pPr>
            <w:r>
              <w:rPr>
                <w:rFonts w:ascii="Times New Roman"/>
                <w:sz w:val="13"/>
              </w:rPr>
              <w:t>482.586</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Mobili e arredi ufficio</w:t>
            </w:r>
          </w:p>
        </w:tc>
        <w:tc>
          <w:tcPr>
            <w:tcW w:w="4773" w:type="dxa"/>
            <w:gridSpan w:val="2"/>
          </w:tcPr>
          <w:p>
            <w:pPr>
              <w:pStyle w:val="TableParagraph"/>
              <w:spacing w:before="9"/>
              <w:ind w:left="1693" w:right="2507"/>
              <w:jc w:val="center"/>
              <w:rPr>
                <w:rFonts w:ascii="Times New Roman"/>
                <w:sz w:val="13"/>
              </w:rPr>
            </w:pPr>
            <w:r>
              <w:rPr>
                <w:rFonts w:ascii="Times New Roman"/>
                <w:sz w:val="13"/>
              </w:rPr>
              <w:t>24.670</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Macchine elettroniche</w:t>
            </w:r>
          </w:p>
        </w:tc>
        <w:tc>
          <w:tcPr>
            <w:tcW w:w="4773" w:type="dxa"/>
            <w:gridSpan w:val="2"/>
          </w:tcPr>
          <w:p>
            <w:pPr>
              <w:pStyle w:val="TableParagraph"/>
              <w:tabs>
                <w:tab w:pos="3615" w:val="left" w:leader="none"/>
              </w:tabs>
              <w:spacing w:line="158" w:lineRule="exact" w:before="0"/>
              <w:ind w:left="1808"/>
              <w:jc w:val="left"/>
              <w:rPr>
                <w:rFonts w:ascii="Times New Roman"/>
                <w:b/>
                <w:sz w:val="13"/>
              </w:rPr>
            </w:pPr>
            <w:r>
              <w:rPr>
                <w:rFonts w:ascii="Times New Roman"/>
                <w:spacing w:val="-5"/>
                <w:position w:val="-4"/>
                <w:sz w:val="13"/>
              </w:rPr>
              <w:t>14.561</w:t>
              <w:tab/>
            </w:r>
            <w:r>
              <w:rPr>
                <w:rFonts w:ascii="Times New Roman"/>
                <w:b/>
                <w:spacing w:val="2"/>
                <w:sz w:val="13"/>
              </w:rPr>
              <w:t>28.785.813</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Automezzi</w:t>
            </w:r>
          </w:p>
        </w:tc>
        <w:tc>
          <w:tcPr>
            <w:tcW w:w="4773" w:type="dxa"/>
            <w:gridSpan w:val="2"/>
          </w:tcPr>
          <w:p>
            <w:pPr>
              <w:pStyle w:val="TableParagraph"/>
              <w:spacing w:before="9"/>
              <w:ind w:right="847"/>
              <w:jc w:val="center"/>
              <w:rPr>
                <w:rFonts w:ascii="Times New Roman"/>
                <w:sz w:val="13"/>
              </w:rPr>
            </w:pPr>
            <w:r>
              <w:rPr>
                <w:rFonts w:ascii="Times New Roman"/>
                <w:w w:val="101"/>
                <w:sz w:val="13"/>
              </w:rPr>
              <w:t>-</w:t>
            </w:r>
          </w:p>
        </w:tc>
      </w:tr>
      <w:tr>
        <w:trPr>
          <w:trHeight w:val="173" w:hRule="exact"/>
        </w:trPr>
        <w:tc>
          <w:tcPr>
            <w:tcW w:w="4103" w:type="dxa"/>
          </w:tcPr>
          <w:p>
            <w:pPr>
              <w:pStyle w:val="TableParagraph"/>
              <w:spacing w:before="9"/>
              <w:ind w:left="121"/>
              <w:jc w:val="left"/>
              <w:rPr>
                <w:rFonts w:ascii="Times New Roman"/>
                <w:sz w:val="13"/>
              </w:rPr>
            </w:pPr>
            <w:r>
              <w:rPr>
                <w:rFonts w:ascii="Times New Roman"/>
                <w:sz w:val="13"/>
              </w:rPr>
              <w:t>- Imm. in corso</w:t>
            </w:r>
          </w:p>
        </w:tc>
        <w:tc>
          <w:tcPr>
            <w:tcW w:w="4773" w:type="dxa"/>
            <w:gridSpan w:val="2"/>
          </w:tcPr>
          <w:p>
            <w:pPr>
              <w:pStyle w:val="TableParagraph"/>
              <w:tabs>
                <w:tab w:pos="1808" w:val="left" w:leader="none"/>
                <w:tab w:pos="2935" w:val="left" w:leader="none"/>
              </w:tabs>
              <w:spacing w:before="9"/>
              <w:ind w:left="975"/>
              <w:jc w:val="left"/>
              <w:rPr>
                <w:rFonts w:ascii="Times New Roman"/>
                <w:sz w:val="13"/>
              </w:rPr>
            </w:pPr>
            <w:r>
              <w:rPr>
                <w:rFonts w:ascii="Times New Roman"/>
                <w:w w:val="101"/>
                <w:sz w:val="13"/>
                <w:u w:val="single"/>
              </w:rPr>
              <w:t> </w:t>
            </w:r>
            <w:r>
              <w:rPr>
                <w:rFonts w:ascii="Times New Roman"/>
                <w:sz w:val="13"/>
                <w:u w:val="single"/>
              </w:rPr>
              <w:tab/>
            </w:r>
            <w:r>
              <w:rPr>
                <w:rFonts w:ascii="Times New Roman"/>
                <w:spacing w:val="-5"/>
                <w:sz w:val="13"/>
                <w:u w:val="single"/>
              </w:rPr>
              <w:t>14.364</w:t>
              <w:tab/>
            </w:r>
          </w:p>
        </w:tc>
      </w:tr>
      <w:tr>
        <w:trPr>
          <w:trHeight w:val="218" w:hRule="exact"/>
        </w:trPr>
        <w:tc>
          <w:tcPr>
            <w:tcW w:w="4103" w:type="dxa"/>
          </w:tcPr>
          <w:p>
            <w:pPr>
              <w:pStyle w:val="TableParagraph"/>
              <w:spacing w:line="146" w:lineRule="exact" w:before="0"/>
              <w:ind w:left="30"/>
              <w:jc w:val="left"/>
              <w:rPr>
                <w:rFonts w:ascii="Times New Roman"/>
                <w:b/>
                <w:sz w:val="13"/>
              </w:rPr>
            </w:pPr>
            <w:r>
              <w:rPr>
                <w:rFonts w:ascii="Times New Roman"/>
                <w:b/>
                <w:sz w:val="13"/>
              </w:rPr>
              <w:t>Totale  imm. Materiali</w:t>
            </w:r>
          </w:p>
        </w:tc>
        <w:tc>
          <w:tcPr>
            <w:tcW w:w="2936" w:type="dxa"/>
          </w:tcPr>
          <w:p>
            <w:pPr>
              <w:pStyle w:val="TableParagraph"/>
              <w:spacing w:line="146" w:lineRule="exact" w:before="0"/>
              <w:ind w:left="1638" w:right="629"/>
              <w:jc w:val="center"/>
              <w:rPr>
                <w:rFonts w:ascii="Times New Roman"/>
                <w:b/>
                <w:sz w:val="13"/>
              </w:rPr>
            </w:pPr>
            <w:r>
              <w:rPr>
                <w:rFonts w:ascii="Times New Roman"/>
                <w:b/>
                <w:sz w:val="13"/>
              </w:rPr>
              <w:t>2.404.400</w:t>
            </w:r>
          </w:p>
        </w:tc>
        <w:tc>
          <w:tcPr>
            <w:tcW w:w="1838" w:type="dxa"/>
          </w:tcPr>
          <w:p>
            <w:pPr/>
          </w:p>
        </w:tc>
      </w:tr>
      <w:tr>
        <w:trPr>
          <w:trHeight w:val="391" w:hRule="exact"/>
        </w:trPr>
        <w:tc>
          <w:tcPr>
            <w:tcW w:w="4103" w:type="dxa"/>
          </w:tcPr>
          <w:p>
            <w:pPr>
              <w:pStyle w:val="TableParagraph"/>
              <w:spacing w:before="55"/>
              <w:ind w:left="30"/>
              <w:jc w:val="left"/>
              <w:rPr>
                <w:rFonts w:ascii="Times New Roman"/>
                <w:b/>
                <w:sz w:val="13"/>
              </w:rPr>
            </w:pPr>
            <w:r>
              <w:rPr>
                <w:rFonts w:ascii="Times New Roman"/>
                <w:b/>
                <w:sz w:val="13"/>
                <w:u w:val="single"/>
              </w:rPr>
              <w:t>ATTIVO  CIRCOLANTE</w:t>
            </w:r>
          </w:p>
          <w:p>
            <w:pPr>
              <w:pStyle w:val="TableParagraph"/>
              <w:spacing w:before="23"/>
              <w:ind w:left="30"/>
              <w:jc w:val="left"/>
              <w:rPr>
                <w:rFonts w:ascii="Times New Roman"/>
                <w:sz w:val="13"/>
              </w:rPr>
            </w:pPr>
            <w:r>
              <w:rPr>
                <w:rFonts w:ascii="Times New Roman"/>
                <w:sz w:val="13"/>
              </w:rPr>
              <w:t>- Anticipi a dipendenti</w:t>
            </w:r>
          </w:p>
        </w:tc>
        <w:tc>
          <w:tcPr>
            <w:tcW w:w="2936" w:type="dxa"/>
          </w:tcPr>
          <w:p>
            <w:pPr>
              <w:pStyle w:val="TableParagraph"/>
              <w:spacing w:before="9"/>
              <w:jc w:val="left"/>
              <w:rPr>
                <w:rFonts w:ascii="Times New Roman"/>
                <w:b/>
                <w:sz w:val="19"/>
              </w:rPr>
            </w:pPr>
          </w:p>
          <w:p>
            <w:pPr>
              <w:pStyle w:val="TableParagraph"/>
              <w:spacing w:before="0"/>
              <w:ind w:left="1638" w:right="628"/>
              <w:jc w:val="center"/>
              <w:rPr>
                <w:rFonts w:ascii="Times New Roman"/>
                <w:sz w:val="13"/>
              </w:rPr>
            </w:pPr>
            <w:r>
              <w:rPr>
                <w:rFonts w:ascii="Times New Roman"/>
                <w:sz w:val="13"/>
              </w:rPr>
              <w:t>251</w:t>
            </w:r>
          </w:p>
        </w:tc>
        <w:tc>
          <w:tcPr>
            <w:tcW w:w="1838" w:type="dxa"/>
          </w:tcPr>
          <w:p>
            <w:pPr/>
          </w:p>
        </w:tc>
      </w:tr>
      <w:tr>
        <w:trPr>
          <w:trHeight w:val="173" w:hRule="exact"/>
        </w:trPr>
        <w:tc>
          <w:tcPr>
            <w:tcW w:w="4103" w:type="dxa"/>
          </w:tcPr>
          <w:p>
            <w:pPr>
              <w:pStyle w:val="TableParagraph"/>
              <w:spacing w:before="9"/>
              <w:ind w:left="30"/>
              <w:jc w:val="left"/>
              <w:rPr>
                <w:rFonts w:ascii="Times New Roman"/>
                <w:sz w:val="13"/>
              </w:rPr>
            </w:pPr>
            <w:r>
              <w:rPr>
                <w:rFonts w:ascii="Times New Roman"/>
                <w:sz w:val="13"/>
              </w:rPr>
              <w:t>- Credito 2GBioethanol Tunisie</w:t>
            </w:r>
          </w:p>
        </w:tc>
        <w:tc>
          <w:tcPr>
            <w:tcW w:w="2936" w:type="dxa"/>
          </w:tcPr>
          <w:p>
            <w:pPr>
              <w:pStyle w:val="TableParagraph"/>
              <w:spacing w:before="9"/>
              <w:ind w:left="1638" w:right="629"/>
              <w:jc w:val="center"/>
              <w:rPr>
                <w:rFonts w:ascii="Times New Roman"/>
                <w:sz w:val="13"/>
              </w:rPr>
            </w:pPr>
            <w:r>
              <w:rPr>
                <w:rFonts w:ascii="Times New Roman"/>
                <w:sz w:val="13"/>
              </w:rPr>
              <w:t>8.280.000</w:t>
            </w:r>
          </w:p>
        </w:tc>
        <w:tc>
          <w:tcPr>
            <w:tcW w:w="1838" w:type="dxa"/>
          </w:tcPr>
          <w:p>
            <w:pPr/>
          </w:p>
        </w:tc>
      </w:tr>
      <w:tr>
        <w:trPr>
          <w:trHeight w:val="253" w:hRule="exact"/>
        </w:trPr>
        <w:tc>
          <w:tcPr>
            <w:tcW w:w="4103" w:type="dxa"/>
          </w:tcPr>
          <w:p>
            <w:pPr>
              <w:pStyle w:val="TableParagraph"/>
              <w:spacing w:before="9"/>
              <w:ind w:left="30"/>
              <w:jc w:val="left"/>
              <w:rPr>
                <w:rFonts w:ascii="Times New Roman"/>
                <w:sz w:val="13"/>
              </w:rPr>
            </w:pPr>
            <w:r>
              <w:rPr>
                <w:rFonts w:ascii="Times New Roman"/>
                <w:sz w:val="13"/>
              </w:rPr>
              <w:t>- Fondo 2GBioethanol Tunisie</w:t>
            </w:r>
          </w:p>
        </w:tc>
        <w:tc>
          <w:tcPr>
            <w:tcW w:w="2936" w:type="dxa"/>
          </w:tcPr>
          <w:p>
            <w:pPr>
              <w:pStyle w:val="TableParagraph"/>
              <w:spacing w:before="9"/>
              <w:ind w:left="1638" w:right="651"/>
              <w:jc w:val="center"/>
              <w:rPr>
                <w:rFonts w:ascii="Times New Roman"/>
                <w:sz w:val="13"/>
              </w:rPr>
            </w:pPr>
            <w:r>
              <w:rPr>
                <w:rFonts w:ascii="Times New Roman"/>
                <w:sz w:val="13"/>
              </w:rPr>
              <w:t>(8.280.000)</w:t>
            </w:r>
          </w:p>
        </w:tc>
        <w:tc>
          <w:tcPr>
            <w:tcW w:w="1838" w:type="dxa"/>
          </w:tcPr>
          <w:p>
            <w:pPr/>
          </w:p>
        </w:tc>
      </w:tr>
      <w:tr>
        <w:trPr>
          <w:trHeight w:val="183" w:hRule="exact"/>
        </w:trPr>
        <w:tc>
          <w:tcPr>
            <w:tcW w:w="4103" w:type="dxa"/>
            <w:shd w:val="clear" w:color="auto" w:fill="878A8D"/>
          </w:tcPr>
          <w:p>
            <w:pPr>
              <w:pStyle w:val="TableParagraph"/>
              <w:spacing w:before="20"/>
              <w:ind w:left="30"/>
              <w:jc w:val="left"/>
              <w:rPr>
                <w:rFonts w:ascii="Times New Roman"/>
                <w:b/>
                <w:sz w:val="13"/>
              </w:rPr>
            </w:pPr>
            <w:r>
              <w:rPr>
                <w:rFonts w:ascii="Times New Roman"/>
                <w:b/>
                <w:color w:val="FFFFFF"/>
                <w:sz w:val="13"/>
              </w:rPr>
              <w:t>TOTALEATTIVO  OGGETTO  DI OFFERTA VERSALIS</w:t>
            </w:r>
          </w:p>
        </w:tc>
        <w:tc>
          <w:tcPr>
            <w:tcW w:w="2936" w:type="dxa"/>
            <w:shd w:val="clear" w:color="auto" w:fill="878A8D"/>
          </w:tcPr>
          <w:p>
            <w:pPr>
              <w:pStyle w:val="TableParagraph"/>
              <w:spacing w:before="20"/>
              <w:ind w:left="1638" w:right="629"/>
              <w:jc w:val="center"/>
              <w:rPr>
                <w:rFonts w:ascii="Times New Roman"/>
                <w:b/>
                <w:sz w:val="13"/>
              </w:rPr>
            </w:pPr>
            <w:r>
              <w:rPr>
                <w:rFonts w:ascii="Times New Roman"/>
                <w:b/>
                <w:color w:val="FFFFFF"/>
                <w:sz w:val="13"/>
              </w:rPr>
              <w:t>2.404.651</w:t>
            </w:r>
          </w:p>
        </w:tc>
        <w:tc>
          <w:tcPr>
            <w:tcW w:w="1838" w:type="dxa"/>
          </w:tcPr>
          <w:p>
            <w:pPr>
              <w:pStyle w:val="TableParagraph"/>
              <w:tabs>
                <w:tab w:pos="680" w:val="left" w:leader="none"/>
                <w:tab w:pos="1787" w:val="left" w:leader="none"/>
              </w:tabs>
              <w:spacing w:before="20"/>
              <w:ind w:left="172"/>
              <w:jc w:val="left"/>
              <w:rPr>
                <w:rFonts w:ascii="Times New Roman"/>
                <w:b/>
                <w:sz w:val="13"/>
              </w:rPr>
            </w:pPr>
            <w:r>
              <w:rPr>
                <w:rFonts w:ascii="Times New Roman"/>
                <w:b/>
                <w:color w:val="FFFFFF"/>
                <w:w w:val="101"/>
                <w:sz w:val="13"/>
                <w:shd w:fill="878A8D" w:color="auto" w:val="clear"/>
              </w:rPr>
              <w:t> </w:t>
            </w:r>
            <w:r>
              <w:rPr>
                <w:rFonts w:ascii="Times New Roman"/>
                <w:b/>
                <w:color w:val="FFFFFF"/>
                <w:sz w:val="13"/>
                <w:shd w:fill="878A8D" w:color="auto" w:val="clear"/>
              </w:rPr>
              <w:tab/>
            </w:r>
            <w:r>
              <w:rPr>
                <w:rFonts w:ascii="Times New Roman"/>
                <w:b/>
                <w:color w:val="FFFFFF"/>
                <w:spacing w:val="2"/>
                <w:sz w:val="13"/>
                <w:shd w:fill="878A8D" w:color="auto" w:val="clear"/>
              </w:rPr>
              <w:t>28.785.813</w:t>
              <w:tab/>
            </w:r>
          </w:p>
        </w:tc>
      </w:tr>
    </w:tbl>
    <w:p>
      <w:pPr>
        <w:pStyle w:val="BodyText"/>
        <w:rPr>
          <w:rFonts w:ascii="Times New Roman"/>
          <w:b/>
          <w:sz w:val="20"/>
        </w:rPr>
      </w:pPr>
    </w:p>
    <w:p>
      <w:pPr>
        <w:pStyle w:val="BodyText"/>
        <w:spacing w:line="480" w:lineRule="auto" w:before="217"/>
        <w:ind w:left="1418" w:right="1231"/>
      </w:pPr>
      <w:r>
        <w:rPr/>
        <w:t>Dalla tabella sopra riportata si evince che il valore dell’attivo concordatario afferente agli </w:t>
      </w:r>
      <w:r>
        <w:rPr>
          <w:i/>
        </w:rPr>
        <w:t>asset </w:t>
      </w:r>
      <w:r>
        <w:rPr/>
        <w:t>che vengono trasferiti in virtù dell’offerta di Versalis è pari ad </w:t>
      </w:r>
      <w:r>
        <w:rPr>
          <w:u w:val="single"/>
        </w:rPr>
        <w:t>Euro 28.785.813</w:t>
      </w:r>
      <w:r>
        <w:rPr/>
        <w:t>. Tali valori, in  </w:t>
      </w:r>
      <w:r>
        <w:rPr>
          <w:spacing w:val="55"/>
        </w:rPr>
        <w:t> </w:t>
      </w:r>
      <w:r>
        <w:rPr/>
        <w:t>essere</w:t>
      </w:r>
    </w:p>
    <w:p>
      <w:pPr>
        <w:spacing w:after="0" w:line="480" w:lineRule="auto"/>
        <w:sectPr>
          <w:type w:val="continuous"/>
          <w:pgSz w:w="11910" w:h="16840"/>
          <w:pgMar w:top="1740" w:bottom="28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alla data di perfezionamento della cessione, indicata nel 31 luglio 2018, rientrano nel perimetro  del ramo oggetto dell’offerta di acquisizione presentata da</w:t>
      </w:r>
      <w:r>
        <w:rPr>
          <w:spacing w:val="-16"/>
        </w:rPr>
        <w:t> </w:t>
      </w:r>
      <w:r>
        <w:rPr/>
        <w:t>Versalis.</w:t>
      </w:r>
    </w:p>
    <w:p>
      <w:pPr>
        <w:pStyle w:val="BodyText"/>
        <w:ind w:left="1418"/>
        <w:jc w:val="both"/>
      </w:pPr>
      <w:r>
        <w:rPr/>
        <w:t>In aggiunta a quanto offerto da Versalis, il valore dell’attivo realizzabile comprende inoltre   Euro</w:t>
      </w:r>
    </w:p>
    <w:p>
      <w:pPr>
        <w:pStyle w:val="BodyText"/>
      </w:pPr>
    </w:p>
    <w:p>
      <w:pPr>
        <w:pStyle w:val="ListParagraph"/>
        <w:numPr>
          <w:ilvl w:val="2"/>
          <w:numId w:val="29"/>
        </w:numPr>
        <w:tabs>
          <w:tab w:pos="2547" w:val="left" w:leader="none"/>
        </w:tabs>
        <w:spacing w:line="480" w:lineRule="auto" w:before="0" w:after="0"/>
        <w:ind w:left="1418" w:right="1415" w:firstLine="0"/>
        <w:jc w:val="both"/>
        <w:rPr>
          <w:sz w:val="24"/>
        </w:rPr>
      </w:pPr>
      <w:r>
        <w:rPr>
          <w:sz w:val="24"/>
        </w:rPr>
        <w:t>rinvenienti dalla realizzazione degli ulteriori attivi patrimoniali non rientranti nel perimetro dell’offerta Versalis, attivi in parte già in essere al 15 ottobre e in parte formatisi nella fase preconcordataria, al netto dei fabbisogni finanziari calcolati fino all’estinzione della Società, così come meglio descritti nel paragrafo 5 sulla fattibilità del piano</w:t>
      </w:r>
      <w:r>
        <w:rPr>
          <w:spacing w:val="-39"/>
          <w:sz w:val="24"/>
        </w:rPr>
        <w:t> </w:t>
      </w:r>
      <w:r>
        <w:rPr>
          <w:sz w:val="24"/>
        </w:rPr>
        <w:t>concordatario.</w:t>
      </w:r>
    </w:p>
    <w:p>
      <w:pPr>
        <w:pStyle w:val="BodyText"/>
        <w:rPr>
          <w:sz w:val="20"/>
        </w:rPr>
      </w:pPr>
    </w:p>
    <w:p>
      <w:pPr>
        <w:pStyle w:val="BodyText"/>
        <w:spacing w:before="1"/>
        <w:rPr>
          <w:sz w:val="29"/>
        </w:rPr>
      </w:pPr>
    </w:p>
    <w:tbl>
      <w:tblPr>
        <w:tblW w:w="0" w:type="auto"/>
        <w:jc w:val="left"/>
        <w:tblInd w:w="260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852"/>
        <w:gridCol w:w="1853"/>
      </w:tblGrid>
      <w:tr>
        <w:trPr>
          <w:trHeight w:val="300" w:hRule="exact"/>
        </w:trPr>
        <w:tc>
          <w:tcPr>
            <w:tcW w:w="4852" w:type="dxa"/>
            <w:shd w:val="clear" w:color="auto" w:fill="9F2F33"/>
          </w:tcPr>
          <w:p>
            <w:pPr>
              <w:pStyle w:val="TableParagraph"/>
              <w:spacing w:before="19"/>
              <w:ind w:left="29"/>
              <w:jc w:val="left"/>
              <w:rPr>
                <w:rFonts w:ascii="Times New Roman"/>
                <w:b/>
                <w:sz w:val="22"/>
              </w:rPr>
            </w:pPr>
            <w:r>
              <w:rPr>
                <w:rFonts w:ascii="Times New Roman"/>
                <w:b/>
                <w:color w:val="FFFFFF"/>
                <w:sz w:val="22"/>
              </w:rPr>
              <w:t>Attivo  concordatario</w:t>
            </w:r>
          </w:p>
        </w:tc>
        <w:tc>
          <w:tcPr>
            <w:tcW w:w="1853" w:type="dxa"/>
            <w:shd w:val="clear" w:color="auto" w:fill="9F2F33"/>
          </w:tcPr>
          <w:p>
            <w:pPr>
              <w:pStyle w:val="TableParagraph"/>
              <w:spacing w:before="19"/>
              <w:ind w:left="623"/>
              <w:jc w:val="left"/>
              <w:rPr>
                <w:rFonts w:ascii="Times New Roman"/>
                <w:b/>
                <w:sz w:val="22"/>
              </w:rPr>
            </w:pPr>
            <w:r>
              <w:rPr>
                <w:rFonts w:ascii="Times New Roman"/>
                <w:b/>
                <w:color w:val="FFFFFF"/>
                <w:sz w:val="22"/>
              </w:rPr>
              <w:t>Importi</w:t>
            </w:r>
          </w:p>
        </w:tc>
      </w:tr>
      <w:tr>
        <w:trPr>
          <w:trHeight w:val="299" w:hRule="exact"/>
        </w:trPr>
        <w:tc>
          <w:tcPr>
            <w:tcW w:w="4852" w:type="dxa"/>
          </w:tcPr>
          <w:p>
            <w:pPr>
              <w:pStyle w:val="TableParagraph"/>
              <w:spacing w:before="19"/>
              <w:ind w:left="29"/>
              <w:jc w:val="left"/>
              <w:rPr>
                <w:rFonts w:ascii="Times New Roman"/>
                <w:sz w:val="22"/>
              </w:rPr>
            </w:pPr>
            <w:r>
              <w:rPr>
                <w:rFonts w:ascii="Times New Roman"/>
                <w:sz w:val="22"/>
              </w:rPr>
              <w:t>Incasso quota  parte  corrispettivo Offerta Versalis</w:t>
            </w:r>
          </w:p>
        </w:tc>
        <w:tc>
          <w:tcPr>
            <w:tcW w:w="1853" w:type="dxa"/>
          </w:tcPr>
          <w:p>
            <w:pPr>
              <w:pStyle w:val="TableParagraph"/>
              <w:spacing w:before="19"/>
              <w:ind w:left="532"/>
              <w:jc w:val="left"/>
              <w:rPr>
                <w:rFonts w:ascii="Times New Roman"/>
                <w:sz w:val="22"/>
              </w:rPr>
            </w:pPr>
            <w:r>
              <w:rPr>
                <w:rFonts w:ascii="Times New Roman"/>
                <w:sz w:val="22"/>
              </w:rPr>
              <w:t>28.785.813</w:t>
            </w:r>
          </w:p>
        </w:tc>
      </w:tr>
      <w:tr>
        <w:trPr>
          <w:trHeight w:val="300" w:hRule="exact"/>
        </w:trPr>
        <w:tc>
          <w:tcPr>
            <w:tcW w:w="4852" w:type="dxa"/>
          </w:tcPr>
          <w:p>
            <w:pPr>
              <w:pStyle w:val="TableParagraph"/>
              <w:spacing w:before="20"/>
              <w:ind w:left="29"/>
              <w:jc w:val="left"/>
              <w:rPr>
                <w:rFonts w:ascii="Times New Roman"/>
                <w:sz w:val="22"/>
              </w:rPr>
            </w:pPr>
            <w:r>
              <w:rPr>
                <w:rFonts w:ascii="Times New Roman"/>
                <w:sz w:val="22"/>
              </w:rPr>
              <w:t>Incasso riparto Beta</w:t>
            </w:r>
          </w:p>
        </w:tc>
        <w:tc>
          <w:tcPr>
            <w:tcW w:w="1853" w:type="dxa"/>
          </w:tcPr>
          <w:p>
            <w:pPr>
              <w:pStyle w:val="TableParagraph"/>
              <w:spacing w:before="20"/>
              <w:ind w:left="532"/>
              <w:jc w:val="left"/>
              <w:rPr>
                <w:rFonts w:ascii="Times New Roman"/>
                <w:sz w:val="22"/>
              </w:rPr>
            </w:pPr>
            <w:r>
              <w:rPr>
                <w:rFonts w:ascii="Times New Roman"/>
                <w:sz w:val="22"/>
              </w:rPr>
              <w:t>13.586.136</w:t>
            </w:r>
          </w:p>
        </w:tc>
      </w:tr>
      <w:tr>
        <w:trPr>
          <w:trHeight w:val="300" w:hRule="exact"/>
        </w:trPr>
        <w:tc>
          <w:tcPr>
            <w:tcW w:w="4852" w:type="dxa"/>
          </w:tcPr>
          <w:p>
            <w:pPr>
              <w:pStyle w:val="TableParagraph"/>
              <w:spacing w:before="20"/>
              <w:ind w:left="29"/>
              <w:jc w:val="left"/>
              <w:rPr>
                <w:rFonts w:ascii="Times New Roman"/>
                <w:sz w:val="22"/>
              </w:rPr>
            </w:pPr>
            <w:r>
              <w:rPr>
                <w:rFonts w:ascii="Times New Roman"/>
                <w:sz w:val="22"/>
              </w:rPr>
              <w:t>Incasso riparto IBPE</w:t>
            </w:r>
          </w:p>
        </w:tc>
        <w:tc>
          <w:tcPr>
            <w:tcW w:w="1853" w:type="dxa"/>
          </w:tcPr>
          <w:p>
            <w:pPr>
              <w:pStyle w:val="TableParagraph"/>
              <w:spacing w:before="20"/>
              <w:ind w:left="772"/>
              <w:jc w:val="left"/>
              <w:rPr>
                <w:rFonts w:ascii="Times New Roman"/>
                <w:sz w:val="22"/>
              </w:rPr>
            </w:pPr>
            <w:r>
              <w:rPr>
                <w:rFonts w:ascii="Times New Roman"/>
                <w:sz w:val="22"/>
              </w:rPr>
              <w:t>4.016</w:t>
            </w:r>
          </w:p>
        </w:tc>
      </w:tr>
      <w:tr>
        <w:trPr>
          <w:trHeight w:val="300" w:hRule="exact"/>
        </w:trPr>
        <w:tc>
          <w:tcPr>
            <w:tcW w:w="4852" w:type="dxa"/>
          </w:tcPr>
          <w:p>
            <w:pPr>
              <w:pStyle w:val="TableParagraph"/>
              <w:spacing w:before="20"/>
              <w:ind w:left="29"/>
              <w:jc w:val="left"/>
              <w:rPr>
                <w:rFonts w:ascii="Times New Roman"/>
                <w:sz w:val="22"/>
              </w:rPr>
            </w:pPr>
            <w:r>
              <w:rPr>
                <w:rFonts w:ascii="Times New Roman"/>
                <w:sz w:val="22"/>
              </w:rPr>
              <w:t>Cessione  immobile  Modugno</w:t>
            </w:r>
          </w:p>
        </w:tc>
        <w:tc>
          <w:tcPr>
            <w:tcW w:w="1853" w:type="dxa"/>
          </w:tcPr>
          <w:p>
            <w:pPr>
              <w:pStyle w:val="TableParagraph"/>
              <w:spacing w:before="20"/>
              <w:ind w:left="592"/>
              <w:jc w:val="left"/>
              <w:rPr>
                <w:rFonts w:ascii="Times New Roman"/>
                <w:sz w:val="22"/>
              </w:rPr>
            </w:pPr>
            <w:r>
              <w:rPr>
                <w:rFonts w:ascii="Times New Roman"/>
                <w:sz w:val="22"/>
              </w:rPr>
              <w:t>1.024.600</w:t>
            </w:r>
          </w:p>
        </w:tc>
      </w:tr>
      <w:tr>
        <w:trPr>
          <w:trHeight w:val="300" w:hRule="exact"/>
        </w:trPr>
        <w:tc>
          <w:tcPr>
            <w:tcW w:w="4852" w:type="dxa"/>
          </w:tcPr>
          <w:p>
            <w:pPr>
              <w:pStyle w:val="TableParagraph"/>
              <w:spacing w:before="20"/>
              <w:ind w:left="29"/>
              <w:jc w:val="left"/>
              <w:rPr>
                <w:rFonts w:ascii="Times New Roman"/>
                <w:sz w:val="22"/>
              </w:rPr>
            </w:pPr>
            <w:r>
              <w:rPr>
                <w:rFonts w:ascii="Times New Roman"/>
                <w:sz w:val="22"/>
              </w:rPr>
              <w:t>Deposito  cauzionale  immobile Rivalta</w:t>
            </w:r>
          </w:p>
        </w:tc>
        <w:tc>
          <w:tcPr>
            <w:tcW w:w="1853" w:type="dxa"/>
          </w:tcPr>
          <w:p>
            <w:pPr>
              <w:pStyle w:val="TableParagraph"/>
              <w:spacing w:before="20"/>
              <w:ind w:left="727"/>
              <w:jc w:val="left"/>
              <w:rPr>
                <w:rFonts w:ascii="Times New Roman"/>
                <w:sz w:val="22"/>
              </w:rPr>
            </w:pPr>
            <w:r>
              <w:rPr>
                <w:rFonts w:ascii="Times New Roman"/>
                <w:sz w:val="22"/>
              </w:rPr>
              <w:t>33.250</w:t>
            </w:r>
          </w:p>
        </w:tc>
      </w:tr>
      <w:tr>
        <w:trPr>
          <w:trHeight w:val="300" w:hRule="exact"/>
        </w:trPr>
        <w:tc>
          <w:tcPr>
            <w:tcW w:w="4852" w:type="dxa"/>
          </w:tcPr>
          <w:p>
            <w:pPr>
              <w:pStyle w:val="TableParagraph"/>
              <w:spacing w:before="20"/>
              <w:ind w:left="29"/>
              <w:jc w:val="left"/>
              <w:rPr>
                <w:rFonts w:ascii="Times New Roman"/>
                <w:sz w:val="22"/>
              </w:rPr>
            </w:pPr>
            <w:r>
              <w:rPr>
                <w:rFonts w:ascii="Times New Roman"/>
                <w:w w:val="105"/>
                <w:sz w:val="22"/>
              </w:rPr>
              <w:t>Altri depositi cauzionali</w:t>
            </w:r>
          </w:p>
        </w:tc>
        <w:tc>
          <w:tcPr>
            <w:tcW w:w="1853" w:type="dxa"/>
          </w:tcPr>
          <w:p>
            <w:pPr>
              <w:pStyle w:val="TableParagraph"/>
              <w:spacing w:before="20"/>
              <w:ind w:left="772"/>
              <w:jc w:val="left"/>
              <w:rPr>
                <w:rFonts w:ascii="Times New Roman"/>
                <w:sz w:val="22"/>
              </w:rPr>
            </w:pPr>
            <w:r>
              <w:rPr>
                <w:rFonts w:ascii="Times New Roman"/>
                <w:sz w:val="22"/>
              </w:rPr>
              <w:t>8.500</w:t>
            </w:r>
          </w:p>
        </w:tc>
      </w:tr>
      <w:tr>
        <w:trPr>
          <w:trHeight w:val="300" w:hRule="exact"/>
        </w:trPr>
        <w:tc>
          <w:tcPr>
            <w:tcW w:w="4852" w:type="dxa"/>
          </w:tcPr>
          <w:p>
            <w:pPr>
              <w:pStyle w:val="TableParagraph"/>
              <w:spacing w:before="20"/>
              <w:ind w:left="29"/>
              <w:jc w:val="left"/>
              <w:rPr>
                <w:rFonts w:ascii="Times New Roman"/>
                <w:sz w:val="22"/>
              </w:rPr>
            </w:pPr>
            <w:r>
              <w:rPr>
                <w:rFonts w:ascii="Times New Roman"/>
                <w:sz w:val="22"/>
              </w:rPr>
              <w:t>Incasso  crediti commerciali</w:t>
            </w:r>
          </w:p>
        </w:tc>
        <w:tc>
          <w:tcPr>
            <w:tcW w:w="1853" w:type="dxa"/>
          </w:tcPr>
          <w:p>
            <w:pPr>
              <w:pStyle w:val="TableParagraph"/>
              <w:spacing w:before="20"/>
              <w:ind w:left="592"/>
              <w:jc w:val="left"/>
              <w:rPr>
                <w:rFonts w:ascii="Times New Roman"/>
                <w:sz w:val="22"/>
              </w:rPr>
            </w:pPr>
            <w:r>
              <w:rPr>
                <w:rFonts w:ascii="Times New Roman"/>
                <w:sz w:val="22"/>
              </w:rPr>
              <w:t>5.454.789</w:t>
            </w:r>
          </w:p>
        </w:tc>
      </w:tr>
      <w:tr>
        <w:trPr>
          <w:trHeight w:val="300" w:hRule="exact"/>
        </w:trPr>
        <w:tc>
          <w:tcPr>
            <w:tcW w:w="4852" w:type="dxa"/>
          </w:tcPr>
          <w:p>
            <w:pPr>
              <w:pStyle w:val="TableParagraph"/>
              <w:spacing w:before="20"/>
              <w:ind w:left="29"/>
              <w:jc w:val="left"/>
              <w:rPr>
                <w:rFonts w:ascii="Times New Roman"/>
                <w:sz w:val="22"/>
              </w:rPr>
            </w:pPr>
            <w:r>
              <w:rPr>
                <w:rFonts w:ascii="Times New Roman"/>
                <w:sz w:val="22"/>
              </w:rPr>
              <w:t>Crediti fiscali</w:t>
            </w:r>
          </w:p>
        </w:tc>
        <w:tc>
          <w:tcPr>
            <w:tcW w:w="1853" w:type="dxa"/>
          </w:tcPr>
          <w:p>
            <w:pPr>
              <w:pStyle w:val="TableParagraph"/>
              <w:spacing w:before="20"/>
              <w:ind w:left="667"/>
              <w:jc w:val="left"/>
              <w:rPr>
                <w:rFonts w:ascii="Times New Roman"/>
                <w:sz w:val="22"/>
              </w:rPr>
            </w:pPr>
            <w:r>
              <w:rPr>
                <w:rFonts w:ascii="Times New Roman"/>
                <w:sz w:val="22"/>
              </w:rPr>
              <w:t>136.903</w:t>
            </w:r>
          </w:p>
        </w:tc>
      </w:tr>
      <w:tr>
        <w:trPr>
          <w:trHeight w:val="286" w:hRule="exact"/>
        </w:trPr>
        <w:tc>
          <w:tcPr>
            <w:tcW w:w="4852" w:type="dxa"/>
          </w:tcPr>
          <w:p>
            <w:pPr>
              <w:pStyle w:val="TableParagraph"/>
              <w:spacing w:before="20"/>
              <w:ind w:left="29"/>
              <w:jc w:val="left"/>
              <w:rPr>
                <w:rFonts w:ascii="Times New Roman" w:hAnsi="Times New Roman"/>
                <w:sz w:val="22"/>
              </w:rPr>
            </w:pPr>
            <w:r>
              <w:rPr>
                <w:rFonts w:ascii="Times New Roman" w:hAnsi="Times New Roman"/>
                <w:sz w:val="22"/>
              </w:rPr>
              <w:t>Disponibilità  liquide  e  altro attivo da realizzare</w:t>
            </w:r>
          </w:p>
        </w:tc>
        <w:tc>
          <w:tcPr>
            <w:tcW w:w="1853" w:type="dxa"/>
          </w:tcPr>
          <w:p>
            <w:pPr>
              <w:pStyle w:val="TableParagraph"/>
              <w:spacing w:before="20"/>
              <w:ind w:left="592"/>
              <w:jc w:val="left"/>
              <w:rPr>
                <w:rFonts w:ascii="Times New Roman"/>
                <w:sz w:val="22"/>
              </w:rPr>
            </w:pPr>
            <w:r>
              <w:rPr>
                <w:rFonts w:ascii="Times New Roman"/>
                <w:sz w:val="22"/>
              </w:rPr>
              <w:t>1.228.933</w:t>
            </w:r>
          </w:p>
        </w:tc>
      </w:tr>
      <w:tr>
        <w:trPr>
          <w:trHeight w:val="315" w:hRule="exact"/>
        </w:trPr>
        <w:tc>
          <w:tcPr>
            <w:tcW w:w="4852" w:type="dxa"/>
            <w:shd w:val="clear" w:color="auto" w:fill="878A8D"/>
          </w:tcPr>
          <w:p>
            <w:pPr>
              <w:pStyle w:val="TableParagraph"/>
              <w:spacing w:before="34"/>
              <w:ind w:left="29"/>
              <w:jc w:val="left"/>
              <w:rPr>
                <w:rFonts w:ascii="Times New Roman"/>
                <w:b/>
                <w:sz w:val="22"/>
              </w:rPr>
            </w:pPr>
            <w:r>
              <w:rPr>
                <w:rFonts w:ascii="Times New Roman"/>
                <w:b/>
                <w:color w:val="FFFFFF"/>
                <w:w w:val="105"/>
                <w:sz w:val="22"/>
              </w:rPr>
              <w:t>Totale Attivo da realizzare</w:t>
            </w:r>
          </w:p>
        </w:tc>
        <w:tc>
          <w:tcPr>
            <w:tcW w:w="1853" w:type="dxa"/>
            <w:shd w:val="clear" w:color="auto" w:fill="878A8D"/>
          </w:tcPr>
          <w:p>
            <w:pPr>
              <w:pStyle w:val="TableParagraph"/>
              <w:spacing w:before="34"/>
              <w:ind w:left="472"/>
              <w:jc w:val="left"/>
              <w:rPr>
                <w:rFonts w:ascii="Times New Roman"/>
                <w:b/>
                <w:sz w:val="22"/>
              </w:rPr>
            </w:pPr>
            <w:r>
              <w:rPr>
                <w:rFonts w:ascii="Times New Roman"/>
                <w:b/>
                <w:color w:val="FFFFFF"/>
                <w:sz w:val="22"/>
              </w:rPr>
              <w:t>50.262.939</w:t>
            </w:r>
          </w:p>
        </w:tc>
      </w:tr>
    </w:tbl>
    <w:p>
      <w:pPr>
        <w:pStyle w:val="BodyText"/>
        <w:rPr>
          <w:sz w:val="20"/>
        </w:rPr>
      </w:pPr>
    </w:p>
    <w:p>
      <w:pPr>
        <w:pStyle w:val="BodyText"/>
        <w:rPr>
          <w:sz w:val="20"/>
        </w:rPr>
      </w:pPr>
    </w:p>
    <w:p>
      <w:pPr>
        <w:pStyle w:val="BodyText"/>
        <w:spacing w:before="5"/>
        <w:rPr>
          <w:sz w:val="23"/>
        </w:rPr>
      </w:pPr>
    </w:p>
    <w:p>
      <w:pPr>
        <w:pStyle w:val="BodyText"/>
        <w:spacing w:line="480" w:lineRule="auto" w:before="100"/>
        <w:ind w:left="1418" w:right="1417"/>
        <w:jc w:val="both"/>
      </w:pPr>
      <w:r>
        <w:rPr/>
        <w:t>La ricorrente segnala inoltre che nel piano prudenzialmente non sono stati considerati gli effetti dei benefici eventuali derivanti dal rilascio totale o parziale dei fondi rischi concordatari che verranno destinati ad incremento delle percentuali di soddisfacimento dei creditori chirografari.</w:t>
      </w:r>
    </w:p>
    <w:p>
      <w:pPr>
        <w:pStyle w:val="BodyText"/>
        <w:ind w:left="1418"/>
        <w:jc w:val="both"/>
      </w:pPr>
      <w:r>
        <w:rPr/>
        <w:t>Ciò premesso gli scriventi procedono all’esame delle singole poste dell’attivo e del passivo.</w:t>
      </w:r>
    </w:p>
    <w:p>
      <w:pPr>
        <w:pStyle w:val="BodyText"/>
      </w:pPr>
    </w:p>
    <w:p>
      <w:pPr>
        <w:pStyle w:val="BodyText"/>
        <w:spacing w:line="480" w:lineRule="auto"/>
        <w:ind w:left="1418" w:right="1414"/>
        <w:jc w:val="both"/>
      </w:pPr>
      <w:r>
        <w:rPr/>
        <w:t>Di seguito si procede con l’analisi delle singole voci componenti l’attivo e il passivo concordatario partendo dai valori della situazione contabile al 15.10.17, esaminando </w:t>
      </w:r>
      <w:r>
        <w:rPr>
          <w:spacing w:val="3"/>
        </w:rPr>
        <w:t>le </w:t>
      </w:r>
      <w:r>
        <w:rPr/>
        <w:t>rettifiche concordatarie e i valori rettificati dalla Società in ottica</w:t>
      </w:r>
      <w:r>
        <w:rPr>
          <w:spacing w:val="-24"/>
        </w:rPr>
        <w:t> </w:t>
      </w:r>
      <w:r>
        <w:rPr/>
        <w:t>concordataria.</w:t>
      </w:r>
    </w:p>
    <w:p>
      <w:pPr>
        <w:spacing w:after="0" w:line="480" w:lineRule="auto"/>
        <w:jc w:val="both"/>
        <w:sectPr>
          <w:footerReference w:type="default" r:id="rId11"/>
          <w:pgSz w:w="11910" w:h="16840"/>
          <w:pgMar w:footer="1025" w:header="707"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pPr>
      <w:r>
        <w:rPr>
          <w:u w:val="single"/>
        </w:rPr>
        <w:t>ATTIVO CONCORDATARIO</w:t>
      </w:r>
    </w:p>
    <w:p>
      <w:pPr>
        <w:pStyle w:val="BodyText"/>
        <w:rPr>
          <w:b/>
          <w:sz w:val="20"/>
        </w:rPr>
      </w:pPr>
    </w:p>
    <w:p>
      <w:pPr>
        <w:pStyle w:val="BodyText"/>
        <w:spacing w:before="10"/>
        <w:rPr>
          <w:b/>
          <w:sz w:val="21"/>
        </w:rPr>
      </w:pPr>
    </w:p>
    <w:p>
      <w:pPr>
        <w:spacing w:before="0"/>
        <w:ind w:left="1418" w:right="0" w:firstLine="0"/>
        <w:jc w:val="left"/>
        <w:rPr>
          <w:b/>
          <w:sz w:val="24"/>
        </w:rPr>
      </w:pPr>
      <w:r>
        <w:rPr>
          <w:b/>
          <w:sz w:val="24"/>
          <w:u w:val="single"/>
        </w:rPr>
        <w:t>IMMOBILIZZAZIONI IMMATERIALI</w:t>
      </w:r>
    </w:p>
    <w:p>
      <w:pPr>
        <w:pStyle w:val="BodyText"/>
        <w:rPr>
          <w:b/>
          <w:sz w:val="20"/>
        </w:rPr>
      </w:pPr>
    </w:p>
    <w:p>
      <w:pPr>
        <w:pStyle w:val="BodyText"/>
        <w:spacing w:before="7"/>
        <w:rPr>
          <w:b/>
          <w:sz w:val="21"/>
        </w:rPr>
      </w:pPr>
    </w:p>
    <w:p>
      <w:pPr>
        <w:pStyle w:val="BodyText"/>
        <w:spacing w:line="480" w:lineRule="auto"/>
        <w:ind w:left="1418" w:right="1518"/>
      </w:pPr>
      <w:r>
        <w:rPr/>
        <w:t>La voce è riferibile a costi sostenuti per lo sviluppo dei progetti Moghi e Profer, ai diritti di brevetti industriali licenze e alle immobilizzazioni in corso.</w:t>
      </w:r>
    </w:p>
    <w:p>
      <w:pPr>
        <w:pStyle w:val="BodyText"/>
        <w:ind w:left="1418"/>
      </w:pPr>
      <w:r>
        <w:rPr/>
        <w:t>Di seguito si riporta una tabella riepilogativa della voce in esame.</w:t>
      </w:r>
    </w:p>
    <w:p>
      <w:pPr>
        <w:pStyle w:val="BodyText"/>
        <w:rPr>
          <w:sz w:val="20"/>
        </w:rPr>
      </w:pPr>
    </w:p>
    <w:p>
      <w:pPr>
        <w:pStyle w:val="BodyText"/>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78"/>
        <w:gridCol w:w="2916"/>
        <w:gridCol w:w="1091"/>
        <w:gridCol w:w="875"/>
        <w:gridCol w:w="962"/>
        <w:gridCol w:w="1188"/>
        <w:gridCol w:w="1242"/>
      </w:tblGrid>
      <w:tr>
        <w:trPr>
          <w:trHeight w:val="1059" w:hRule="exact"/>
        </w:trPr>
        <w:tc>
          <w:tcPr>
            <w:tcW w:w="778" w:type="dxa"/>
            <w:shd w:val="clear" w:color="auto" w:fill="BEBEBE"/>
          </w:tcPr>
          <w:p>
            <w:pPr>
              <w:pStyle w:val="TableParagraph"/>
              <w:spacing w:before="0"/>
              <w:jc w:val="left"/>
              <w:rPr>
                <w:sz w:val="18"/>
              </w:rPr>
            </w:pPr>
          </w:p>
          <w:p>
            <w:pPr>
              <w:pStyle w:val="TableParagraph"/>
              <w:spacing w:before="9"/>
              <w:jc w:val="left"/>
              <w:rPr>
                <w:sz w:val="20"/>
              </w:rPr>
            </w:pPr>
          </w:p>
          <w:p>
            <w:pPr>
              <w:pStyle w:val="TableParagraph"/>
              <w:spacing w:before="0"/>
              <w:ind w:left="83" w:right="80"/>
              <w:jc w:val="center"/>
              <w:rPr>
                <w:b/>
                <w:sz w:val="17"/>
              </w:rPr>
            </w:pPr>
            <w:r>
              <w:rPr>
                <w:b/>
                <w:sz w:val="17"/>
              </w:rPr>
              <w:t>Conto</w:t>
            </w:r>
          </w:p>
        </w:tc>
        <w:tc>
          <w:tcPr>
            <w:tcW w:w="2916" w:type="dxa"/>
            <w:shd w:val="clear" w:color="auto" w:fill="BEBEBE"/>
          </w:tcPr>
          <w:p>
            <w:pPr>
              <w:pStyle w:val="TableParagraph"/>
              <w:spacing w:before="0"/>
              <w:jc w:val="left"/>
              <w:rPr>
                <w:sz w:val="18"/>
              </w:rPr>
            </w:pPr>
          </w:p>
          <w:p>
            <w:pPr>
              <w:pStyle w:val="TableParagraph"/>
              <w:spacing w:before="9"/>
              <w:jc w:val="left"/>
              <w:rPr>
                <w:sz w:val="20"/>
              </w:rPr>
            </w:pPr>
          </w:p>
          <w:p>
            <w:pPr>
              <w:pStyle w:val="TableParagraph"/>
              <w:spacing w:before="0"/>
              <w:ind w:left="1000" w:right="1005"/>
              <w:jc w:val="center"/>
              <w:rPr>
                <w:b/>
                <w:sz w:val="17"/>
              </w:rPr>
            </w:pPr>
            <w:r>
              <w:rPr>
                <w:b/>
                <w:sz w:val="17"/>
              </w:rPr>
              <w:t>Descrizione</w:t>
            </w:r>
          </w:p>
        </w:tc>
        <w:tc>
          <w:tcPr>
            <w:tcW w:w="1091" w:type="dxa"/>
            <w:shd w:val="clear" w:color="auto" w:fill="BEBEBE"/>
          </w:tcPr>
          <w:p>
            <w:pPr>
              <w:pStyle w:val="TableParagraph"/>
              <w:spacing w:before="0"/>
              <w:jc w:val="left"/>
              <w:rPr>
                <w:sz w:val="18"/>
              </w:rPr>
            </w:pPr>
          </w:p>
          <w:p>
            <w:pPr>
              <w:pStyle w:val="TableParagraph"/>
              <w:spacing w:line="285" w:lineRule="auto" w:before="126"/>
              <w:ind w:left="183" w:firstLine="107"/>
              <w:jc w:val="left"/>
              <w:rPr>
                <w:b/>
                <w:sz w:val="17"/>
              </w:rPr>
            </w:pPr>
            <w:r>
              <w:rPr>
                <w:b/>
                <w:sz w:val="17"/>
              </w:rPr>
              <w:t>BdV al 15.10.2017</w:t>
            </w:r>
          </w:p>
        </w:tc>
        <w:tc>
          <w:tcPr>
            <w:tcW w:w="875" w:type="dxa"/>
            <w:shd w:val="clear" w:color="auto" w:fill="BEBEBE"/>
          </w:tcPr>
          <w:p>
            <w:pPr>
              <w:pStyle w:val="TableParagraph"/>
              <w:spacing w:before="0"/>
              <w:jc w:val="left"/>
              <w:rPr>
                <w:sz w:val="18"/>
              </w:rPr>
            </w:pPr>
          </w:p>
          <w:p>
            <w:pPr>
              <w:pStyle w:val="TableParagraph"/>
              <w:spacing w:line="285" w:lineRule="auto" w:before="126"/>
              <w:ind w:left="64" w:right="31"/>
              <w:jc w:val="left"/>
              <w:rPr>
                <w:b/>
                <w:sz w:val="17"/>
              </w:rPr>
            </w:pPr>
            <w:r>
              <w:rPr>
                <w:b/>
                <w:sz w:val="17"/>
              </w:rPr>
              <w:t>Trasferito a Versalis</w:t>
            </w:r>
          </w:p>
        </w:tc>
        <w:tc>
          <w:tcPr>
            <w:tcW w:w="962" w:type="dxa"/>
            <w:shd w:val="clear" w:color="auto" w:fill="BEBEBE"/>
          </w:tcPr>
          <w:p>
            <w:pPr>
              <w:pStyle w:val="TableParagraph"/>
              <w:spacing w:before="0"/>
              <w:jc w:val="left"/>
              <w:rPr>
                <w:sz w:val="18"/>
              </w:rPr>
            </w:pPr>
          </w:p>
          <w:p>
            <w:pPr>
              <w:pStyle w:val="TableParagraph"/>
              <w:spacing w:line="285" w:lineRule="auto" w:before="126"/>
              <w:ind w:left="140" w:firstLine="161"/>
              <w:jc w:val="left"/>
              <w:rPr>
                <w:b/>
                <w:sz w:val="17"/>
              </w:rPr>
            </w:pPr>
            <w:r>
              <w:rPr>
                <w:b/>
                <w:sz w:val="17"/>
              </w:rPr>
              <w:t>Non trasferito</w:t>
            </w:r>
          </w:p>
        </w:tc>
        <w:tc>
          <w:tcPr>
            <w:tcW w:w="1188" w:type="dxa"/>
            <w:shd w:val="clear" w:color="auto" w:fill="BEBEBE"/>
          </w:tcPr>
          <w:p>
            <w:pPr>
              <w:pStyle w:val="TableParagraph"/>
              <w:spacing w:before="0"/>
              <w:jc w:val="left"/>
              <w:rPr>
                <w:sz w:val="18"/>
              </w:rPr>
            </w:pPr>
          </w:p>
          <w:p>
            <w:pPr>
              <w:pStyle w:val="TableParagraph"/>
              <w:spacing w:line="285" w:lineRule="auto" w:before="126"/>
              <w:ind w:left="75" w:firstLine="161"/>
              <w:jc w:val="left"/>
              <w:rPr>
                <w:b/>
                <w:sz w:val="17"/>
              </w:rPr>
            </w:pPr>
            <w:r>
              <w:rPr>
                <w:b/>
                <w:sz w:val="17"/>
              </w:rPr>
              <w:t>Rettifiche concordatarie</w:t>
            </w:r>
          </w:p>
        </w:tc>
        <w:tc>
          <w:tcPr>
            <w:tcW w:w="1242" w:type="dxa"/>
            <w:shd w:val="clear" w:color="auto" w:fill="BEBEBE"/>
          </w:tcPr>
          <w:p>
            <w:pPr>
              <w:pStyle w:val="TableParagraph"/>
              <w:spacing w:before="7"/>
              <w:jc w:val="left"/>
              <w:rPr>
                <w:sz w:val="18"/>
              </w:rPr>
            </w:pPr>
          </w:p>
          <w:p>
            <w:pPr>
              <w:pStyle w:val="TableParagraph"/>
              <w:spacing w:line="285" w:lineRule="auto" w:before="0"/>
              <w:ind w:left="97" w:right="99" w:firstLine="205"/>
              <w:jc w:val="left"/>
              <w:rPr>
                <w:b/>
                <w:sz w:val="17"/>
              </w:rPr>
            </w:pPr>
            <w:r>
              <w:rPr>
                <w:b/>
                <w:sz w:val="17"/>
              </w:rPr>
              <w:t>valore di realizzo ai fini concordatario</w:t>
            </w:r>
          </w:p>
        </w:tc>
      </w:tr>
      <w:tr>
        <w:trPr>
          <w:trHeight w:val="240" w:hRule="exact"/>
        </w:trPr>
        <w:tc>
          <w:tcPr>
            <w:tcW w:w="778" w:type="dxa"/>
            <w:tcBorders>
              <w:bottom w:val="nil"/>
            </w:tcBorders>
          </w:tcPr>
          <w:p>
            <w:pPr>
              <w:pStyle w:val="TableParagraph"/>
              <w:spacing w:before="26"/>
              <w:ind w:left="89" w:right="80"/>
              <w:jc w:val="center"/>
              <w:rPr>
                <w:sz w:val="17"/>
              </w:rPr>
            </w:pPr>
            <w:r>
              <w:rPr>
                <w:sz w:val="17"/>
              </w:rPr>
              <w:t>2120020</w:t>
            </w:r>
          </w:p>
        </w:tc>
        <w:tc>
          <w:tcPr>
            <w:tcW w:w="2916" w:type="dxa"/>
            <w:tcBorders>
              <w:bottom w:val="nil"/>
            </w:tcBorders>
          </w:tcPr>
          <w:p>
            <w:pPr>
              <w:pStyle w:val="TableParagraph"/>
              <w:spacing w:before="26"/>
              <w:ind w:left="21"/>
              <w:jc w:val="left"/>
              <w:rPr>
                <w:sz w:val="17"/>
              </w:rPr>
            </w:pPr>
            <w:r>
              <w:rPr>
                <w:sz w:val="17"/>
              </w:rPr>
              <w:t>Costi di Ricerca e  Sviluppo</w:t>
            </w:r>
          </w:p>
        </w:tc>
        <w:tc>
          <w:tcPr>
            <w:tcW w:w="1091" w:type="dxa"/>
            <w:tcBorders>
              <w:bottom w:val="nil"/>
            </w:tcBorders>
          </w:tcPr>
          <w:p>
            <w:pPr>
              <w:pStyle w:val="TableParagraph"/>
              <w:spacing w:before="26"/>
              <w:ind w:right="63"/>
              <w:rPr>
                <w:sz w:val="17"/>
              </w:rPr>
            </w:pPr>
            <w:r>
              <w:rPr>
                <w:sz w:val="17"/>
              </w:rPr>
              <w:t>19.871.190</w:t>
            </w:r>
          </w:p>
        </w:tc>
        <w:tc>
          <w:tcPr>
            <w:tcW w:w="875" w:type="dxa"/>
            <w:tcBorders>
              <w:bottom w:val="nil"/>
            </w:tcBorders>
          </w:tcPr>
          <w:p>
            <w:pPr>
              <w:pStyle w:val="TableParagraph"/>
              <w:spacing w:before="26"/>
              <w:ind w:left="561"/>
              <w:jc w:val="left"/>
              <w:rPr>
                <w:sz w:val="17"/>
              </w:rPr>
            </w:pPr>
            <w:r>
              <w:rPr>
                <w:w w:val="101"/>
                <w:sz w:val="17"/>
              </w:rPr>
              <w:t>-</w:t>
            </w:r>
          </w:p>
        </w:tc>
        <w:tc>
          <w:tcPr>
            <w:tcW w:w="962" w:type="dxa"/>
            <w:tcBorders>
              <w:bottom w:val="nil"/>
            </w:tcBorders>
          </w:tcPr>
          <w:p>
            <w:pPr>
              <w:pStyle w:val="TableParagraph"/>
              <w:spacing w:before="26"/>
              <w:ind w:right="74"/>
              <w:rPr>
                <w:sz w:val="17"/>
              </w:rPr>
            </w:pPr>
            <w:r>
              <w:rPr>
                <w:sz w:val="17"/>
              </w:rPr>
              <w:t>19.871.190</w:t>
            </w:r>
          </w:p>
        </w:tc>
        <w:tc>
          <w:tcPr>
            <w:tcW w:w="1188" w:type="dxa"/>
            <w:tcBorders>
              <w:bottom w:val="nil"/>
            </w:tcBorders>
          </w:tcPr>
          <w:p>
            <w:pPr>
              <w:pStyle w:val="TableParagraph"/>
              <w:spacing w:before="26"/>
              <w:ind w:right="26"/>
              <w:rPr>
                <w:sz w:val="17"/>
              </w:rPr>
            </w:pPr>
            <w:r>
              <w:rPr>
                <w:sz w:val="17"/>
              </w:rPr>
              <w:t>(19.871.190)</w:t>
            </w:r>
          </w:p>
        </w:tc>
        <w:tc>
          <w:tcPr>
            <w:tcW w:w="1242" w:type="dxa"/>
            <w:tcBorders>
              <w:bottom w:val="nil"/>
            </w:tcBorders>
          </w:tcPr>
          <w:p>
            <w:pPr>
              <w:pStyle w:val="TableParagraph"/>
              <w:spacing w:before="26"/>
              <w:ind w:left="928"/>
              <w:jc w:val="left"/>
              <w:rPr>
                <w:sz w:val="17"/>
              </w:rPr>
            </w:pPr>
            <w:r>
              <w:rPr>
                <w:w w:val="101"/>
                <w:sz w:val="17"/>
              </w:rPr>
              <w:t>-</w:t>
            </w:r>
          </w:p>
        </w:tc>
      </w:tr>
      <w:tr>
        <w:trPr>
          <w:trHeight w:val="227" w:hRule="exact"/>
        </w:trPr>
        <w:tc>
          <w:tcPr>
            <w:tcW w:w="778" w:type="dxa"/>
            <w:tcBorders>
              <w:top w:val="nil"/>
              <w:bottom w:val="nil"/>
            </w:tcBorders>
          </w:tcPr>
          <w:p>
            <w:pPr>
              <w:pStyle w:val="TableParagraph"/>
              <w:spacing w:before="18"/>
              <w:ind w:left="89" w:right="80"/>
              <w:jc w:val="center"/>
              <w:rPr>
                <w:sz w:val="17"/>
              </w:rPr>
            </w:pPr>
            <w:r>
              <w:rPr>
                <w:sz w:val="17"/>
              </w:rPr>
              <w:t>2121020</w:t>
            </w:r>
          </w:p>
        </w:tc>
        <w:tc>
          <w:tcPr>
            <w:tcW w:w="2916" w:type="dxa"/>
            <w:tcBorders>
              <w:top w:val="nil"/>
              <w:bottom w:val="nil"/>
            </w:tcBorders>
          </w:tcPr>
          <w:p>
            <w:pPr>
              <w:pStyle w:val="TableParagraph"/>
              <w:spacing w:before="18"/>
              <w:ind w:left="21"/>
              <w:jc w:val="left"/>
              <w:rPr>
                <w:sz w:val="17"/>
              </w:rPr>
            </w:pPr>
            <w:r>
              <w:rPr>
                <w:sz w:val="17"/>
              </w:rPr>
              <w:t>Fondo Amm Costi di Ricerca e  Sviluppo</w:t>
            </w:r>
          </w:p>
        </w:tc>
        <w:tc>
          <w:tcPr>
            <w:tcW w:w="1091" w:type="dxa"/>
            <w:tcBorders>
              <w:top w:val="nil"/>
              <w:bottom w:val="nil"/>
            </w:tcBorders>
          </w:tcPr>
          <w:p>
            <w:pPr>
              <w:pStyle w:val="TableParagraph"/>
              <w:spacing w:before="18"/>
              <w:ind w:right="26"/>
              <w:rPr>
                <w:sz w:val="17"/>
              </w:rPr>
            </w:pPr>
            <w:r>
              <w:rPr>
                <w:sz w:val="17"/>
              </w:rPr>
              <w:t>(16.880.153)</w:t>
            </w:r>
          </w:p>
        </w:tc>
        <w:tc>
          <w:tcPr>
            <w:tcW w:w="875" w:type="dxa"/>
            <w:tcBorders>
              <w:top w:val="nil"/>
              <w:bottom w:val="nil"/>
            </w:tcBorders>
          </w:tcPr>
          <w:p>
            <w:pPr>
              <w:pStyle w:val="TableParagraph"/>
              <w:spacing w:before="18"/>
              <w:ind w:left="561"/>
              <w:jc w:val="left"/>
              <w:rPr>
                <w:sz w:val="17"/>
              </w:rPr>
            </w:pPr>
            <w:r>
              <w:rPr>
                <w:w w:val="101"/>
                <w:sz w:val="17"/>
              </w:rPr>
              <w:t>-</w:t>
            </w:r>
          </w:p>
        </w:tc>
        <w:tc>
          <w:tcPr>
            <w:tcW w:w="962" w:type="dxa"/>
            <w:tcBorders>
              <w:top w:val="nil"/>
              <w:bottom w:val="nil"/>
            </w:tcBorders>
          </w:tcPr>
          <w:p>
            <w:pPr>
              <w:pStyle w:val="TableParagraph"/>
              <w:spacing w:before="18"/>
              <w:ind w:right="26"/>
              <w:rPr>
                <w:sz w:val="17"/>
              </w:rPr>
            </w:pPr>
            <w:r>
              <w:rPr>
                <w:sz w:val="17"/>
              </w:rPr>
              <w:t>(16.880.153)</w:t>
            </w:r>
          </w:p>
        </w:tc>
        <w:tc>
          <w:tcPr>
            <w:tcW w:w="1188" w:type="dxa"/>
            <w:tcBorders>
              <w:top w:val="nil"/>
              <w:bottom w:val="nil"/>
            </w:tcBorders>
          </w:tcPr>
          <w:p>
            <w:pPr>
              <w:pStyle w:val="TableParagraph"/>
              <w:spacing w:before="18"/>
              <w:ind w:left="324"/>
              <w:jc w:val="left"/>
              <w:rPr>
                <w:sz w:val="17"/>
              </w:rPr>
            </w:pPr>
            <w:r>
              <w:rPr>
                <w:sz w:val="17"/>
              </w:rPr>
              <w:t>16.880.153</w:t>
            </w:r>
          </w:p>
        </w:tc>
        <w:tc>
          <w:tcPr>
            <w:tcW w:w="1242" w:type="dxa"/>
            <w:tcBorders>
              <w:top w:val="nil"/>
              <w:bottom w:val="nil"/>
            </w:tcBorders>
          </w:tcPr>
          <w:p>
            <w:pPr>
              <w:pStyle w:val="TableParagraph"/>
              <w:spacing w:before="18"/>
              <w:ind w:left="928"/>
              <w:jc w:val="left"/>
              <w:rPr>
                <w:sz w:val="17"/>
              </w:rPr>
            </w:pPr>
            <w:r>
              <w:rPr>
                <w:w w:val="101"/>
                <w:sz w:val="17"/>
              </w:rPr>
              <w:t>-</w:t>
            </w:r>
          </w:p>
        </w:tc>
      </w:tr>
      <w:tr>
        <w:trPr>
          <w:trHeight w:val="227" w:hRule="exact"/>
        </w:trPr>
        <w:tc>
          <w:tcPr>
            <w:tcW w:w="778" w:type="dxa"/>
            <w:tcBorders>
              <w:top w:val="nil"/>
              <w:bottom w:val="nil"/>
            </w:tcBorders>
          </w:tcPr>
          <w:p>
            <w:pPr>
              <w:pStyle w:val="TableParagraph"/>
              <w:spacing w:before="18"/>
              <w:ind w:left="89" w:right="80"/>
              <w:jc w:val="center"/>
              <w:rPr>
                <w:sz w:val="17"/>
              </w:rPr>
            </w:pPr>
            <w:r>
              <w:rPr>
                <w:sz w:val="17"/>
              </w:rPr>
              <w:t>2120072</w:t>
            </w:r>
          </w:p>
        </w:tc>
        <w:tc>
          <w:tcPr>
            <w:tcW w:w="2916" w:type="dxa"/>
            <w:tcBorders>
              <w:top w:val="nil"/>
              <w:bottom w:val="nil"/>
            </w:tcBorders>
          </w:tcPr>
          <w:p>
            <w:pPr>
              <w:pStyle w:val="TableParagraph"/>
              <w:spacing w:before="18"/>
              <w:ind w:left="21"/>
              <w:jc w:val="left"/>
              <w:rPr>
                <w:sz w:val="17"/>
              </w:rPr>
            </w:pPr>
            <w:r>
              <w:rPr>
                <w:sz w:val="17"/>
              </w:rPr>
              <w:t>Immobilizzazioni Immateriali in Corso</w:t>
            </w:r>
          </w:p>
        </w:tc>
        <w:tc>
          <w:tcPr>
            <w:tcW w:w="1091" w:type="dxa"/>
            <w:tcBorders>
              <w:top w:val="nil"/>
              <w:bottom w:val="nil"/>
            </w:tcBorders>
          </w:tcPr>
          <w:p>
            <w:pPr>
              <w:pStyle w:val="TableParagraph"/>
              <w:spacing w:before="18"/>
              <w:ind w:right="64"/>
              <w:rPr>
                <w:sz w:val="17"/>
              </w:rPr>
            </w:pPr>
            <w:r>
              <w:rPr>
                <w:sz w:val="17"/>
              </w:rPr>
              <w:t>3.153.076</w:t>
            </w:r>
          </w:p>
        </w:tc>
        <w:tc>
          <w:tcPr>
            <w:tcW w:w="875" w:type="dxa"/>
            <w:tcBorders>
              <w:top w:val="nil"/>
              <w:bottom w:val="nil"/>
            </w:tcBorders>
          </w:tcPr>
          <w:p>
            <w:pPr>
              <w:pStyle w:val="TableParagraph"/>
              <w:spacing w:before="18"/>
              <w:ind w:left="561"/>
              <w:jc w:val="left"/>
              <w:rPr>
                <w:sz w:val="17"/>
              </w:rPr>
            </w:pPr>
            <w:r>
              <w:rPr>
                <w:w w:val="101"/>
                <w:sz w:val="17"/>
              </w:rPr>
              <w:t>-</w:t>
            </w:r>
          </w:p>
        </w:tc>
        <w:tc>
          <w:tcPr>
            <w:tcW w:w="962" w:type="dxa"/>
            <w:tcBorders>
              <w:top w:val="nil"/>
              <w:bottom w:val="nil"/>
            </w:tcBorders>
          </w:tcPr>
          <w:p>
            <w:pPr>
              <w:pStyle w:val="TableParagraph"/>
              <w:spacing w:before="18"/>
              <w:ind w:right="64"/>
              <w:rPr>
                <w:sz w:val="17"/>
              </w:rPr>
            </w:pPr>
            <w:r>
              <w:rPr>
                <w:sz w:val="17"/>
              </w:rPr>
              <w:t>3.153.076</w:t>
            </w:r>
          </w:p>
        </w:tc>
        <w:tc>
          <w:tcPr>
            <w:tcW w:w="1188" w:type="dxa"/>
            <w:tcBorders>
              <w:top w:val="nil"/>
              <w:bottom w:val="nil"/>
            </w:tcBorders>
          </w:tcPr>
          <w:p>
            <w:pPr>
              <w:pStyle w:val="TableParagraph"/>
              <w:spacing w:before="18"/>
              <w:ind w:right="25"/>
              <w:rPr>
                <w:sz w:val="17"/>
              </w:rPr>
            </w:pPr>
            <w:r>
              <w:rPr>
                <w:sz w:val="17"/>
              </w:rPr>
              <w:t>(3.153.076)</w:t>
            </w:r>
          </w:p>
        </w:tc>
        <w:tc>
          <w:tcPr>
            <w:tcW w:w="1242" w:type="dxa"/>
            <w:tcBorders>
              <w:top w:val="nil"/>
              <w:bottom w:val="nil"/>
            </w:tcBorders>
          </w:tcPr>
          <w:p>
            <w:pPr>
              <w:pStyle w:val="TableParagraph"/>
              <w:spacing w:before="18"/>
              <w:ind w:left="928"/>
              <w:jc w:val="left"/>
              <w:rPr>
                <w:sz w:val="17"/>
              </w:rPr>
            </w:pPr>
            <w:r>
              <w:rPr>
                <w:w w:val="101"/>
                <w:sz w:val="17"/>
              </w:rPr>
              <w:t>-</w:t>
            </w:r>
          </w:p>
        </w:tc>
      </w:tr>
      <w:tr>
        <w:trPr>
          <w:trHeight w:val="227" w:hRule="exact"/>
        </w:trPr>
        <w:tc>
          <w:tcPr>
            <w:tcW w:w="778" w:type="dxa"/>
            <w:tcBorders>
              <w:top w:val="nil"/>
              <w:bottom w:val="nil"/>
            </w:tcBorders>
          </w:tcPr>
          <w:p>
            <w:pPr>
              <w:pStyle w:val="TableParagraph"/>
              <w:spacing w:before="18"/>
              <w:ind w:left="89" w:right="80"/>
              <w:jc w:val="center"/>
              <w:rPr>
                <w:sz w:val="17"/>
              </w:rPr>
            </w:pPr>
            <w:r>
              <w:rPr>
                <w:sz w:val="17"/>
              </w:rPr>
              <w:t>2120140</w:t>
            </w:r>
          </w:p>
        </w:tc>
        <w:tc>
          <w:tcPr>
            <w:tcW w:w="2916" w:type="dxa"/>
            <w:tcBorders>
              <w:top w:val="nil"/>
              <w:bottom w:val="nil"/>
            </w:tcBorders>
          </w:tcPr>
          <w:p>
            <w:pPr>
              <w:pStyle w:val="TableParagraph"/>
              <w:spacing w:before="18"/>
              <w:ind w:left="21"/>
              <w:jc w:val="left"/>
              <w:rPr>
                <w:sz w:val="17"/>
              </w:rPr>
            </w:pPr>
            <w:r>
              <w:rPr>
                <w:sz w:val="17"/>
              </w:rPr>
              <w:t>Software</w:t>
            </w:r>
          </w:p>
        </w:tc>
        <w:tc>
          <w:tcPr>
            <w:tcW w:w="1091" w:type="dxa"/>
            <w:tcBorders>
              <w:top w:val="nil"/>
              <w:bottom w:val="nil"/>
            </w:tcBorders>
          </w:tcPr>
          <w:p>
            <w:pPr>
              <w:pStyle w:val="TableParagraph"/>
              <w:spacing w:before="18"/>
              <w:ind w:right="63"/>
              <w:rPr>
                <w:sz w:val="17"/>
              </w:rPr>
            </w:pPr>
            <w:r>
              <w:rPr>
                <w:sz w:val="17"/>
              </w:rPr>
              <w:t>243.705</w:t>
            </w:r>
          </w:p>
        </w:tc>
        <w:tc>
          <w:tcPr>
            <w:tcW w:w="875" w:type="dxa"/>
            <w:tcBorders>
              <w:top w:val="nil"/>
              <w:bottom w:val="nil"/>
            </w:tcBorders>
          </w:tcPr>
          <w:p>
            <w:pPr>
              <w:pStyle w:val="TableParagraph"/>
              <w:spacing w:before="18"/>
              <w:ind w:left="561"/>
              <w:jc w:val="left"/>
              <w:rPr>
                <w:sz w:val="17"/>
              </w:rPr>
            </w:pPr>
            <w:r>
              <w:rPr>
                <w:w w:val="101"/>
                <w:sz w:val="17"/>
              </w:rPr>
              <w:t>-</w:t>
            </w:r>
          </w:p>
        </w:tc>
        <w:tc>
          <w:tcPr>
            <w:tcW w:w="962" w:type="dxa"/>
            <w:tcBorders>
              <w:top w:val="nil"/>
              <w:bottom w:val="nil"/>
            </w:tcBorders>
          </w:tcPr>
          <w:p>
            <w:pPr>
              <w:pStyle w:val="TableParagraph"/>
              <w:spacing w:before="18"/>
              <w:ind w:right="74"/>
              <w:rPr>
                <w:sz w:val="17"/>
              </w:rPr>
            </w:pPr>
            <w:r>
              <w:rPr>
                <w:sz w:val="17"/>
              </w:rPr>
              <w:t>243.705</w:t>
            </w:r>
          </w:p>
        </w:tc>
        <w:tc>
          <w:tcPr>
            <w:tcW w:w="1188" w:type="dxa"/>
            <w:tcBorders>
              <w:top w:val="nil"/>
              <w:bottom w:val="nil"/>
            </w:tcBorders>
          </w:tcPr>
          <w:p>
            <w:pPr>
              <w:pStyle w:val="TableParagraph"/>
              <w:spacing w:before="18"/>
              <w:ind w:right="25"/>
              <w:rPr>
                <w:sz w:val="17"/>
              </w:rPr>
            </w:pPr>
            <w:r>
              <w:rPr>
                <w:sz w:val="17"/>
              </w:rPr>
              <w:t>(243.705)</w:t>
            </w:r>
          </w:p>
        </w:tc>
        <w:tc>
          <w:tcPr>
            <w:tcW w:w="1242" w:type="dxa"/>
            <w:tcBorders>
              <w:top w:val="nil"/>
              <w:bottom w:val="nil"/>
            </w:tcBorders>
          </w:tcPr>
          <w:p>
            <w:pPr>
              <w:pStyle w:val="TableParagraph"/>
              <w:spacing w:before="18"/>
              <w:ind w:left="928"/>
              <w:jc w:val="left"/>
              <w:rPr>
                <w:sz w:val="17"/>
              </w:rPr>
            </w:pPr>
            <w:r>
              <w:rPr>
                <w:w w:val="101"/>
                <w:sz w:val="17"/>
              </w:rPr>
              <w:t>-</w:t>
            </w:r>
          </w:p>
        </w:tc>
      </w:tr>
      <w:tr>
        <w:trPr>
          <w:trHeight w:val="227" w:hRule="exact"/>
        </w:trPr>
        <w:tc>
          <w:tcPr>
            <w:tcW w:w="778" w:type="dxa"/>
            <w:tcBorders>
              <w:top w:val="nil"/>
              <w:bottom w:val="nil"/>
            </w:tcBorders>
          </w:tcPr>
          <w:p>
            <w:pPr>
              <w:pStyle w:val="TableParagraph"/>
              <w:spacing w:before="18"/>
              <w:ind w:left="89" w:right="80"/>
              <w:jc w:val="center"/>
              <w:rPr>
                <w:sz w:val="17"/>
              </w:rPr>
            </w:pPr>
            <w:r>
              <w:rPr>
                <w:sz w:val="17"/>
              </w:rPr>
              <w:t>2121140</w:t>
            </w:r>
          </w:p>
        </w:tc>
        <w:tc>
          <w:tcPr>
            <w:tcW w:w="2916" w:type="dxa"/>
            <w:tcBorders>
              <w:top w:val="nil"/>
              <w:bottom w:val="nil"/>
            </w:tcBorders>
          </w:tcPr>
          <w:p>
            <w:pPr>
              <w:pStyle w:val="TableParagraph"/>
              <w:spacing w:before="18"/>
              <w:ind w:left="21"/>
              <w:jc w:val="left"/>
              <w:rPr>
                <w:sz w:val="17"/>
              </w:rPr>
            </w:pPr>
            <w:r>
              <w:rPr>
                <w:sz w:val="17"/>
              </w:rPr>
              <w:t>Fondo Amm software</w:t>
            </w:r>
          </w:p>
        </w:tc>
        <w:tc>
          <w:tcPr>
            <w:tcW w:w="1091" w:type="dxa"/>
            <w:tcBorders>
              <w:top w:val="nil"/>
              <w:bottom w:val="nil"/>
            </w:tcBorders>
          </w:tcPr>
          <w:p>
            <w:pPr>
              <w:pStyle w:val="TableParagraph"/>
              <w:spacing w:before="18"/>
              <w:ind w:right="25"/>
              <w:rPr>
                <w:sz w:val="17"/>
              </w:rPr>
            </w:pPr>
            <w:r>
              <w:rPr>
                <w:sz w:val="17"/>
              </w:rPr>
              <w:t>(243.289)</w:t>
            </w:r>
          </w:p>
        </w:tc>
        <w:tc>
          <w:tcPr>
            <w:tcW w:w="875" w:type="dxa"/>
            <w:tcBorders>
              <w:top w:val="nil"/>
              <w:bottom w:val="nil"/>
            </w:tcBorders>
          </w:tcPr>
          <w:p>
            <w:pPr>
              <w:pStyle w:val="TableParagraph"/>
              <w:spacing w:before="18"/>
              <w:ind w:left="561"/>
              <w:jc w:val="left"/>
              <w:rPr>
                <w:sz w:val="17"/>
              </w:rPr>
            </w:pPr>
            <w:r>
              <w:rPr>
                <w:w w:val="101"/>
                <w:sz w:val="17"/>
              </w:rPr>
              <w:t>-</w:t>
            </w:r>
          </w:p>
        </w:tc>
        <w:tc>
          <w:tcPr>
            <w:tcW w:w="962" w:type="dxa"/>
            <w:tcBorders>
              <w:top w:val="nil"/>
              <w:bottom w:val="nil"/>
            </w:tcBorders>
          </w:tcPr>
          <w:p>
            <w:pPr>
              <w:pStyle w:val="TableParagraph"/>
              <w:spacing w:before="18"/>
              <w:ind w:right="25"/>
              <w:rPr>
                <w:sz w:val="17"/>
              </w:rPr>
            </w:pPr>
            <w:r>
              <w:rPr>
                <w:sz w:val="17"/>
              </w:rPr>
              <w:t>(243.289)</w:t>
            </w:r>
          </w:p>
        </w:tc>
        <w:tc>
          <w:tcPr>
            <w:tcW w:w="1188" w:type="dxa"/>
            <w:tcBorders>
              <w:top w:val="nil"/>
              <w:bottom w:val="nil"/>
            </w:tcBorders>
          </w:tcPr>
          <w:p>
            <w:pPr>
              <w:pStyle w:val="TableParagraph"/>
              <w:spacing w:before="18"/>
              <w:ind w:right="74"/>
              <w:rPr>
                <w:sz w:val="17"/>
              </w:rPr>
            </w:pPr>
            <w:r>
              <w:rPr>
                <w:sz w:val="17"/>
              </w:rPr>
              <w:t>243.289</w:t>
            </w:r>
          </w:p>
        </w:tc>
        <w:tc>
          <w:tcPr>
            <w:tcW w:w="1242" w:type="dxa"/>
            <w:tcBorders>
              <w:top w:val="nil"/>
              <w:bottom w:val="nil"/>
            </w:tcBorders>
          </w:tcPr>
          <w:p>
            <w:pPr>
              <w:pStyle w:val="TableParagraph"/>
              <w:spacing w:before="18"/>
              <w:ind w:left="928"/>
              <w:jc w:val="left"/>
              <w:rPr>
                <w:sz w:val="17"/>
              </w:rPr>
            </w:pPr>
            <w:r>
              <w:rPr>
                <w:w w:val="101"/>
                <w:sz w:val="17"/>
              </w:rPr>
              <w:t>-</w:t>
            </w:r>
          </w:p>
        </w:tc>
      </w:tr>
      <w:tr>
        <w:trPr>
          <w:trHeight w:val="227" w:hRule="exact"/>
        </w:trPr>
        <w:tc>
          <w:tcPr>
            <w:tcW w:w="778" w:type="dxa"/>
            <w:tcBorders>
              <w:top w:val="nil"/>
              <w:bottom w:val="nil"/>
            </w:tcBorders>
          </w:tcPr>
          <w:p>
            <w:pPr>
              <w:pStyle w:val="TableParagraph"/>
              <w:spacing w:before="18"/>
              <w:ind w:left="89" w:right="80"/>
              <w:jc w:val="center"/>
              <w:rPr>
                <w:sz w:val="17"/>
              </w:rPr>
            </w:pPr>
            <w:r>
              <w:rPr>
                <w:sz w:val="17"/>
              </w:rPr>
              <w:t>2120150</w:t>
            </w:r>
          </w:p>
        </w:tc>
        <w:tc>
          <w:tcPr>
            <w:tcW w:w="2916" w:type="dxa"/>
            <w:tcBorders>
              <w:top w:val="nil"/>
              <w:bottom w:val="nil"/>
            </w:tcBorders>
          </w:tcPr>
          <w:p>
            <w:pPr>
              <w:pStyle w:val="TableParagraph"/>
              <w:spacing w:before="18"/>
              <w:ind w:left="21"/>
              <w:jc w:val="left"/>
              <w:rPr>
                <w:sz w:val="17"/>
              </w:rPr>
            </w:pPr>
            <w:r>
              <w:rPr>
                <w:sz w:val="17"/>
              </w:rPr>
              <w:t>Licenze</w:t>
            </w:r>
          </w:p>
        </w:tc>
        <w:tc>
          <w:tcPr>
            <w:tcW w:w="1091" w:type="dxa"/>
            <w:tcBorders>
              <w:top w:val="nil"/>
              <w:bottom w:val="nil"/>
            </w:tcBorders>
          </w:tcPr>
          <w:p>
            <w:pPr>
              <w:pStyle w:val="TableParagraph"/>
              <w:spacing w:before="18"/>
              <w:ind w:right="64"/>
              <w:rPr>
                <w:sz w:val="17"/>
              </w:rPr>
            </w:pPr>
            <w:r>
              <w:rPr>
                <w:sz w:val="17"/>
              </w:rPr>
              <w:t>7.400.000</w:t>
            </w:r>
          </w:p>
        </w:tc>
        <w:tc>
          <w:tcPr>
            <w:tcW w:w="875" w:type="dxa"/>
            <w:tcBorders>
              <w:top w:val="nil"/>
              <w:bottom w:val="nil"/>
            </w:tcBorders>
          </w:tcPr>
          <w:p>
            <w:pPr>
              <w:pStyle w:val="TableParagraph"/>
              <w:spacing w:before="18"/>
              <w:ind w:left="561"/>
              <w:jc w:val="left"/>
              <w:rPr>
                <w:sz w:val="17"/>
              </w:rPr>
            </w:pPr>
            <w:r>
              <w:rPr>
                <w:w w:val="101"/>
                <w:sz w:val="17"/>
              </w:rPr>
              <w:t>-</w:t>
            </w:r>
          </w:p>
        </w:tc>
        <w:tc>
          <w:tcPr>
            <w:tcW w:w="962" w:type="dxa"/>
            <w:tcBorders>
              <w:top w:val="nil"/>
              <w:bottom w:val="nil"/>
            </w:tcBorders>
          </w:tcPr>
          <w:p>
            <w:pPr>
              <w:pStyle w:val="TableParagraph"/>
              <w:spacing w:before="18"/>
              <w:ind w:right="74"/>
              <w:rPr>
                <w:sz w:val="17"/>
              </w:rPr>
            </w:pPr>
            <w:r>
              <w:rPr>
                <w:sz w:val="17"/>
              </w:rPr>
              <w:t>7.400.000</w:t>
            </w:r>
          </w:p>
        </w:tc>
        <w:tc>
          <w:tcPr>
            <w:tcW w:w="1188" w:type="dxa"/>
            <w:tcBorders>
              <w:top w:val="nil"/>
              <w:bottom w:val="nil"/>
            </w:tcBorders>
          </w:tcPr>
          <w:p>
            <w:pPr>
              <w:pStyle w:val="TableParagraph"/>
              <w:spacing w:before="18"/>
              <w:ind w:right="25"/>
              <w:rPr>
                <w:sz w:val="17"/>
              </w:rPr>
            </w:pPr>
            <w:r>
              <w:rPr>
                <w:sz w:val="17"/>
              </w:rPr>
              <w:t>(7.400.000)</w:t>
            </w:r>
          </w:p>
        </w:tc>
        <w:tc>
          <w:tcPr>
            <w:tcW w:w="1242" w:type="dxa"/>
            <w:tcBorders>
              <w:top w:val="nil"/>
              <w:bottom w:val="nil"/>
            </w:tcBorders>
          </w:tcPr>
          <w:p>
            <w:pPr>
              <w:pStyle w:val="TableParagraph"/>
              <w:spacing w:before="18"/>
              <w:ind w:left="928"/>
              <w:jc w:val="left"/>
              <w:rPr>
                <w:sz w:val="17"/>
              </w:rPr>
            </w:pPr>
            <w:r>
              <w:rPr>
                <w:w w:val="101"/>
                <w:sz w:val="17"/>
              </w:rPr>
              <w:t>-</w:t>
            </w:r>
          </w:p>
        </w:tc>
      </w:tr>
      <w:tr>
        <w:trPr>
          <w:trHeight w:val="227" w:hRule="exact"/>
        </w:trPr>
        <w:tc>
          <w:tcPr>
            <w:tcW w:w="778" w:type="dxa"/>
            <w:tcBorders>
              <w:top w:val="nil"/>
              <w:bottom w:val="nil"/>
            </w:tcBorders>
          </w:tcPr>
          <w:p>
            <w:pPr>
              <w:pStyle w:val="TableParagraph"/>
              <w:spacing w:before="18"/>
              <w:ind w:left="89" w:right="80"/>
              <w:jc w:val="center"/>
              <w:rPr>
                <w:sz w:val="17"/>
              </w:rPr>
            </w:pPr>
            <w:r>
              <w:rPr>
                <w:sz w:val="17"/>
              </w:rPr>
              <w:t>2121150</w:t>
            </w:r>
          </w:p>
        </w:tc>
        <w:tc>
          <w:tcPr>
            <w:tcW w:w="2916" w:type="dxa"/>
            <w:tcBorders>
              <w:top w:val="nil"/>
              <w:bottom w:val="nil"/>
            </w:tcBorders>
          </w:tcPr>
          <w:p>
            <w:pPr>
              <w:pStyle w:val="TableParagraph"/>
              <w:spacing w:before="18"/>
              <w:ind w:left="21"/>
              <w:jc w:val="left"/>
              <w:rPr>
                <w:sz w:val="17"/>
              </w:rPr>
            </w:pPr>
            <w:r>
              <w:rPr>
                <w:sz w:val="17"/>
              </w:rPr>
              <w:t>Fondo Amm Licenze</w:t>
            </w:r>
          </w:p>
        </w:tc>
        <w:tc>
          <w:tcPr>
            <w:tcW w:w="1091" w:type="dxa"/>
            <w:tcBorders>
              <w:top w:val="nil"/>
              <w:bottom w:val="nil"/>
            </w:tcBorders>
          </w:tcPr>
          <w:p>
            <w:pPr>
              <w:pStyle w:val="TableParagraph"/>
              <w:spacing w:before="18"/>
              <w:ind w:right="26"/>
              <w:rPr>
                <w:sz w:val="17"/>
              </w:rPr>
            </w:pPr>
            <w:r>
              <w:rPr>
                <w:sz w:val="17"/>
              </w:rPr>
              <w:t>(7.400.000)</w:t>
            </w:r>
          </w:p>
        </w:tc>
        <w:tc>
          <w:tcPr>
            <w:tcW w:w="875" w:type="dxa"/>
            <w:tcBorders>
              <w:top w:val="nil"/>
              <w:bottom w:val="nil"/>
            </w:tcBorders>
          </w:tcPr>
          <w:p>
            <w:pPr>
              <w:pStyle w:val="TableParagraph"/>
              <w:spacing w:before="18"/>
              <w:ind w:left="561"/>
              <w:jc w:val="left"/>
              <w:rPr>
                <w:sz w:val="17"/>
              </w:rPr>
            </w:pPr>
            <w:r>
              <w:rPr>
                <w:w w:val="101"/>
                <w:sz w:val="17"/>
              </w:rPr>
              <w:t>-</w:t>
            </w:r>
          </w:p>
        </w:tc>
        <w:tc>
          <w:tcPr>
            <w:tcW w:w="962" w:type="dxa"/>
            <w:tcBorders>
              <w:top w:val="nil"/>
              <w:bottom w:val="nil"/>
            </w:tcBorders>
          </w:tcPr>
          <w:p>
            <w:pPr>
              <w:pStyle w:val="TableParagraph"/>
              <w:spacing w:before="18"/>
              <w:ind w:right="26"/>
              <w:rPr>
                <w:sz w:val="17"/>
              </w:rPr>
            </w:pPr>
            <w:r>
              <w:rPr>
                <w:sz w:val="17"/>
              </w:rPr>
              <w:t>(7.400.000)</w:t>
            </w:r>
          </w:p>
        </w:tc>
        <w:tc>
          <w:tcPr>
            <w:tcW w:w="1188" w:type="dxa"/>
            <w:tcBorders>
              <w:top w:val="nil"/>
              <w:bottom w:val="nil"/>
            </w:tcBorders>
          </w:tcPr>
          <w:p>
            <w:pPr>
              <w:pStyle w:val="TableParagraph"/>
              <w:spacing w:before="18"/>
              <w:ind w:left="410"/>
              <w:jc w:val="left"/>
              <w:rPr>
                <w:sz w:val="17"/>
              </w:rPr>
            </w:pPr>
            <w:r>
              <w:rPr>
                <w:sz w:val="17"/>
              </w:rPr>
              <w:t>7.400.000</w:t>
            </w:r>
          </w:p>
        </w:tc>
        <w:tc>
          <w:tcPr>
            <w:tcW w:w="1242" w:type="dxa"/>
            <w:tcBorders>
              <w:top w:val="nil"/>
              <w:bottom w:val="nil"/>
            </w:tcBorders>
          </w:tcPr>
          <w:p>
            <w:pPr>
              <w:pStyle w:val="TableParagraph"/>
              <w:spacing w:before="18"/>
              <w:ind w:left="928"/>
              <w:jc w:val="left"/>
              <w:rPr>
                <w:sz w:val="17"/>
              </w:rPr>
            </w:pPr>
            <w:r>
              <w:rPr>
                <w:w w:val="101"/>
                <w:sz w:val="17"/>
              </w:rPr>
              <w:t>-</w:t>
            </w:r>
          </w:p>
        </w:tc>
      </w:tr>
      <w:tr>
        <w:trPr>
          <w:trHeight w:val="227" w:hRule="exact"/>
        </w:trPr>
        <w:tc>
          <w:tcPr>
            <w:tcW w:w="778" w:type="dxa"/>
            <w:tcBorders>
              <w:top w:val="nil"/>
              <w:bottom w:val="nil"/>
            </w:tcBorders>
          </w:tcPr>
          <w:p>
            <w:pPr>
              <w:pStyle w:val="TableParagraph"/>
              <w:spacing w:before="18"/>
              <w:ind w:left="89" w:right="80"/>
              <w:jc w:val="center"/>
              <w:rPr>
                <w:sz w:val="17"/>
              </w:rPr>
            </w:pPr>
            <w:r>
              <w:rPr>
                <w:sz w:val="17"/>
              </w:rPr>
              <w:t>2120190</w:t>
            </w:r>
          </w:p>
        </w:tc>
        <w:tc>
          <w:tcPr>
            <w:tcW w:w="2916" w:type="dxa"/>
            <w:tcBorders>
              <w:top w:val="nil"/>
              <w:bottom w:val="nil"/>
            </w:tcBorders>
          </w:tcPr>
          <w:p>
            <w:pPr>
              <w:pStyle w:val="TableParagraph"/>
              <w:spacing w:before="18"/>
              <w:ind w:left="21"/>
              <w:jc w:val="left"/>
              <w:rPr>
                <w:sz w:val="17"/>
              </w:rPr>
            </w:pPr>
            <w:r>
              <w:rPr>
                <w:sz w:val="17"/>
              </w:rPr>
              <w:t>Know-how</w:t>
            </w:r>
          </w:p>
        </w:tc>
        <w:tc>
          <w:tcPr>
            <w:tcW w:w="1091" w:type="dxa"/>
            <w:tcBorders>
              <w:top w:val="nil"/>
              <w:bottom w:val="nil"/>
            </w:tcBorders>
          </w:tcPr>
          <w:p>
            <w:pPr>
              <w:pStyle w:val="TableParagraph"/>
              <w:spacing w:before="18"/>
              <w:ind w:right="64"/>
              <w:rPr>
                <w:sz w:val="17"/>
              </w:rPr>
            </w:pPr>
            <w:r>
              <w:rPr>
                <w:sz w:val="17"/>
              </w:rPr>
              <w:t>1.052.823</w:t>
            </w:r>
          </w:p>
        </w:tc>
        <w:tc>
          <w:tcPr>
            <w:tcW w:w="875" w:type="dxa"/>
            <w:tcBorders>
              <w:top w:val="nil"/>
              <w:bottom w:val="nil"/>
            </w:tcBorders>
          </w:tcPr>
          <w:p>
            <w:pPr>
              <w:pStyle w:val="TableParagraph"/>
              <w:spacing w:before="18"/>
              <w:ind w:left="561"/>
              <w:jc w:val="left"/>
              <w:rPr>
                <w:sz w:val="17"/>
              </w:rPr>
            </w:pPr>
            <w:r>
              <w:rPr>
                <w:w w:val="101"/>
                <w:sz w:val="17"/>
              </w:rPr>
              <w:t>-</w:t>
            </w:r>
          </w:p>
        </w:tc>
        <w:tc>
          <w:tcPr>
            <w:tcW w:w="962" w:type="dxa"/>
            <w:tcBorders>
              <w:top w:val="nil"/>
              <w:bottom w:val="nil"/>
            </w:tcBorders>
          </w:tcPr>
          <w:p>
            <w:pPr>
              <w:pStyle w:val="TableParagraph"/>
              <w:spacing w:before="18"/>
              <w:ind w:right="74"/>
              <w:rPr>
                <w:sz w:val="17"/>
              </w:rPr>
            </w:pPr>
            <w:r>
              <w:rPr>
                <w:sz w:val="17"/>
              </w:rPr>
              <w:t>1.052.823</w:t>
            </w:r>
          </w:p>
        </w:tc>
        <w:tc>
          <w:tcPr>
            <w:tcW w:w="1188" w:type="dxa"/>
            <w:tcBorders>
              <w:top w:val="nil"/>
              <w:bottom w:val="nil"/>
            </w:tcBorders>
          </w:tcPr>
          <w:p>
            <w:pPr>
              <w:pStyle w:val="TableParagraph"/>
              <w:spacing w:before="18"/>
              <w:ind w:right="25"/>
              <w:rPr>
                <w:sz w:val="17"/>
              </w:rPr>
            </w:pPr>
            <w:r>
              <w:rPr>
                <w:sz w:val="17"/>
              </w:rPr>
              <w:t>(1.052.823)</w:t>
            </w:r>
          </w:p>
        </w:tc>
        <w:tc>
          <w:tcPr>
            <w:tcW w:w="1242" w:type="dxa"/>
            <w:tcBorders>
              <w:top w:val="nil"/>
              <w:bottom w:val="nil"/>
            </w:tcBorders>
          </w:tcPr>
          <w:p>
            <w:pPr>
              <w:pStyle w:val="TableParagraph"/>
              <w:spacing w:before="18"/>
              <w:ind w:left="928"/>
              <w:jc w:val="left"/>
              <w:rPr>
                <w:sz w:val="17"/>
              </w:rPr>
            </w:pPr>
            <w:r>
              <w:rPr>
                <w:w w:val="101"/>
                <w:sz w:val="17"/>
              </w:rPr>
              <w:t>-</w:t>
            </w:r>
          </w:p>
        </w:tc>
      </w:tr>
      <w:tr>
        <w:trPr>
          <w:trHeight w:val="214" w:hRule="exact"/>
        </w:trPr>
        <w:tc>
          <w:tcPr>
            <w:tcW w:w="778" w:type="dxa"/>
            <w:tcBorders>
              <w:top w:val="nil"/>
            </w:tcBorders>
          </w:tcPr>
          <w:p>
            <w:pPr>
              <w:pStyle w:val="TableParagraph"/>
              <w:spacing w:before="18"/>
              <w:ind w:left="89" w:right="80"/>
              <w:jc w:val="center"/>
              <w:rPr>
                <w:sz w:val="17"/>
              </w:rPr>
            </w:pPr>
            <w:r>
              <w:rPr>
                <w:sz w:val="17"/>
              </w:rPr>
              <w:t>2121190</w:t>
            </w:r>
          </w:p>
        </w:tc>
        <w:tc>
          <w:tcPr>
            <w:tcW w:w="2916" w:type="dxa"/>
            <w:tcBorders>
              <w:top w:val="nil"/>
            </w:tcBorders>
          </w:tcPr>
          <w:p>
            <w:pPr>
              <w:pStyle w:val="TableParagraph"/>
              <w:spacing w:before="18"/>
              <w:ind w:left="21"/>
              <w:jc w:val="left"/>
              <w:rPr>
                <w:sz w:val="17"/>
              </w:rPr>
            </w:pPr>
            <w:r>
              <w:rPr>
                <w:sz w:val="17"/>
              </w:rPr>
              <w:t>Fondo Amm Know-how</w:t>
            </w:r>
          </w:p>
        </w:tc>
        <w:tc>
          <w:tcPr>
            <w:tcW w:w="1091" w:type="dxa"/>
            <w:tcBorders>
              <w:top w:val="nil"/>
            </w:tcBorders>
          </w:tcPr>
          <w:p>
            <w:pPr>
              <w:pStyle w:val="TableParagraph"/>
              <w:spacing w:before="18"/>
              <w:ind w:right="26"/>
              <w:rPr>
                <w:sz w:val="17"/>
              </w:rPr>
            </w:pPr>
            <w:r>
              <w:rPr>
                <w:sz w:val="17"/>
              </w:rPr>
              <w:t>(1.052.823)</w:t>
            </w:r>
          </w:p>
        </w:tc>
        <w:tc>
          <w:tcPr>
            <w:tcW w:w="875" w:type="dxa"/>
            <w:tcBorders>
              <w:top w:val="nil"/>
            </w:tcBorders>
          </w:tcPr>
          <w:p>
            <w:pPr>
              <w:pStyle w:val="TableParagraph"/>
              <w:spacing w:before="18"/>
              <w:ind w:left="561"/>
              <w:jc w:val="left"/>
              <w:rPr>
                <w:sz w:val="17"/>
              </w:rPr>
            </w:pPr>
            <w:r>
              <w:rPr>
                <w:w w:val="101"/>
                <w:sz w:val="17"/>
              </w:rPr>
              <w:t>-</w:t>
            </w:r>
          </w:p>
        </w:tc>
        <w:tc>
          <w:tcPr>
            <w:tcW w:w="962" w:type="dxa"/>
            <w:tcBorders>
              <w:top w:val="nil"/>
            </w:tcBorders>
          </w:tcPr>
          <w:p>
            <w:pPr>
              <w:pStyle w:val="TableParagraph"/>
              <w:spacing w:before="18"/>
              <w:ind w:right="26"/>
              <w:rPr>
                <w:sz w:val="17"/>
              </w:rPr>
            </w:pPr>
            <w:r>
              <w:rPr>
                <w:sz w:val="17"/>
              </w:rPr>
              <w:t>(1.052.823)</w:t>
            </w:r>
          </w:p>
        </w:tc>
        <w:tc>
          <w:tcPr>
            <w:tcW w:w="1188" w:type="dxa"/>
            <w:tcBorders>
              <w:top w:val="nil"/>
            </w:tcBorders>
          </w:tcPr>
          <w:p>
            <w:pPr>
              <w:pStyle w:val="TableParagraph"/>
              <w:spacing w:before="18"/>
              <w:ind w:left="410"/>
              <w:jc w:val="left"/>
              <w:rPr>
                <w:sz w:val="17"/>
              </w:rPr>
            </w:pPr>
            <w:r>
              <w:rPr>
                <w:sz w:val="17"/>
              </w:rPr>
              <w:t>1.052.823</w:t>
            </w:r>
          </w:p>
        </w:tc>
        <w:tc>
          <w:tcPr>
            <w:tcW w:w="1242" w:type="dxa"/>
            <w:tcBorders>
              <w:top w:val="nil"/>
            </w:tcBorders>
          </w:tcPr>
          <w:p>
            <w:pPr>
              <w:pStyle w:val="TableParagraph"/>
              <w:spacing w:before="18"/>
              <w:ind w:left="928"/>
              <w:jc w:val="left"/>
              <w:rPr>
                <w:sz w:val="17"/>
              </w:rPr>
            </w:pPr>
            <w:r>
              <w:rPr>
                <w:w w:val="101"/>
                <w:sz w:val="17"/>
              </w:rPr>
              <w:t>-</w:t>
            </w:r>
          </w:p>
        </w:tc>
      </w:tr>
      <w:tr>
        <w:trPr>
          <w:trHeight w:val="227" w:hRule="exact"/>
        </w:trPr>
        <w:tc>
          <w:tcPr>
            <w:tcW w:w="3694" w:type="dxa"/>
            <w:gridSpan w:val="2"/>
            <w:shd w:val="clear" w:color="auto" w:fill="BEBEBE"/>
          </w:tcPr>
          <w:p>
            <w:pPr>
              <w:pStyle w:val="TableParagraph"/>
              <w:spacing w:before="26"/>
              <w:ind w:left="21"/>
              <w:jc w:val="left"/>
              <w:rPr>
                <w:b/>
                <w:sz w:val="17"/>
              </w:rPr>
            </w:pPr>
            <w:r>
              <w:rPr>
                <w:b/>
                <w:sz w:val="17"/>
              </w:rPr>
              <w:t>Totale  Imm. Immateriali</w:t>
            </w:r>
          </w:p>
        </w:tc>
        <w:tc>
          <w:tcPr>
            <w:tcW w:w="1091" w:type="dxa"/>
            <w:shd w:val="clear" w:color="auto" w:fill="BEBEBE"/>
          </w:tcPr>
          <w:p>
            <w:pPr>
              <w:pStyle w:val="TableParagraph"/>
              <w:spacing w:before="26"/>
              <w:ind w:right="69"/>
              <w:rPr>
                <w:b/>
                <w:sz w:val="17"/>
              </w:rPr>
            </w:pPr>
            <w:r>
              <w:rPr>
                <w:b/>
                <w:sz w:val="17"/>
              </w:rPr>
              <w:t>6.144.529</w:t>
            </w:r>
          </w:p>
        </w:tc>
        <w:tc>
          <w:tcPr>
            <w:tcW w:w="875" w:type="dxa"/>
            <w:shd w:val="clear" w:color="auto" w:fill="BEBEBE"/>
          </w:tcPr>
          <w:p>
            <w:pPr>
              <w:pStyle w:val="TableParagraph"/>
              <w:spacing w:before="26"/>
              <w:ind w:right="69"/>
              <w:rPr>
                <w:b/>
                <w:sz w:val="17"/>
              </w:rPr>
            </w:pPr>
            <w:r>
              <w:rPr>
                <w:b/>
                <w:w w:val="101"/>
                <w:sz w:val="17"/>
              </w:rPr>
              <w:t>0</w:t>
            </w:r>
          </w:p>
        </w:tc>
        <w:tc>
          <w:tcPr>
            <w:tcW w:w="962" w:type="dxa"/>
            <w:shd w:val="clear" w:color="auto" w:fill="BEBEBE"/>
          </w:tcPr>
          <w:p>
            <w:pPr>
              <w:pStyle w:val="TableParagraph"/>
              <w:spacing w:before="26"/>
              <w:ind w:right="70"/>
              <w:rPr>
                <w:b/>
                <w:sz w:val="17"/>
              </w:rPr>
            </w:pPr>
            <w:r>
              <w:rPr>
                <w:b/>
                <w:sz w:val="17"/>
              </w:rPr>
              <w:t>6.144.529</w:t>
            </w:r>
          </w:p>
        </w:tc>
        <w:tc>
          <w:tcPr>
            <w:tcW w:w="1188" w:type="dxa"/>
            <w:shd w:val="clear" w:color="auto" w:fill="BEBEBE"/>
          </w:tcPr>
          <w:p>
            <w:pPr>
              <w:pStyle w:val="TableParagraph"/>
              <w:spacing w:before="26"/>
              <w:ind w:right="25"/>
              <w:rPr>
                <w:b/>
                <w:sz w:val="17"/>
              </w:rPr>
            </w:pPr>
            <w:r>
              <w:rPr>
                <w:b/>
                <w:sz w:val="17"/>
              </w:rPr>
              <w:t>(6.144.529)</w:t>
            </w:r>
          </w:p>
        </w:tc>
        <w:tc>
          <w:tcPr>
            <w:tcW w:w="1242" w:type="dxa"/>
            <w:shd w:val="clear" w:color="auto" w:fill="BEBEBE"/>
          </w:tcPr>
          <w:p>
            <w:pPr>
              <w:pStyle w:val="TableParagraph"/>
              <w:spacing w:before="26"/>
              <w:ind w:right="68"/>
              <w:rPr>
                <w:b/>
                <w:sz w:val="17"/>
              </w:rPr>
            </w:pPr>
            <w:r>
              <w:rPr>
                <w:b/>
                <w:w w:val="101"/>
                <w:sz w:val="17"/>
              </w:rPr>
              <w:t>0</w:t>
            </w:r>
          </w:p>
        </w:tc>
      </w:tr>
    </w:tbl>
    <w:p>
      <w:pPr>
        <w:pStyle w:val="BodyText"/>
        <w:rPr>
          <w:sz w:val="20"/>
        </w:rPr>
      </w:pPr>
    </w:p>
    <w:p>
      <w:pPr>
        <w:pStyle w:val="BodyText"/>
        <w:rPr>
          <w:sz w:val="20"/>
        </w:rPr>
      </w:pPr>
    </w:p>
    <w:p>
      <w:pPr>
        <w:pStyle w:val="Heading2"/>
        <w:numPr>
          <w:ilvl w:val="3"/>
          <w:numId w:val="29"/>
        </w:numPr>
        <w:tabs>
          <w:tab w:pos="2126" w:val="left" w:leader="none"/>
          <w:tab w:pos="2127" w:val="left" w:leader="none"/>
        </w:tabs>
        <w:spacing w:line="240" w:lineRule="auto" w:before="246" w:after="0"/>
        <w:ind w:left="2126" w:right="0" w:hanging="348"/>
        <w:jc w:val="left"/>
      </w:pPr>
      <w:r>
        <w:rPr>
          <w:u w:val="single"/>
        </w:rPr>
        <w:t>Costi di ricerca e</w:t>
      </w:r>
      <w:r>
        <w:rPr>
          <w:spacing w:val="-12"/>
          <w:u w:val="single"/>
        </w:rPr>
        <w:t> </w:t>
      </w:r>
      <w:r>
        <w:rPr>
          <w:u w:val="single"/>
        </w:rPr>
        <w:t>sviluppo</w:t>
      </w:r>
    </w:p>
    <w:p>
      <w:pPr>
        <w:pStyle w:val="BodyText"/>
        <w:spacing w:before="3"/>
        <w:rPr>
          <w:b/>
          <w:sz w:val="15"/>
        </w:rPr>
      </w:pPr>
    </w:p>
    <w:p>
      <w:pPr>
        <w:pStyle w:val="BodyText"/>
        <w:spacing w:line="480" w:lineRule="auto" w:before="100"/>
        <w:ind w:left="1418" w:right="1417"/>
        <w:jc w:val="both"/>
      </w:pPr>
      <w:r>
        <w:rPr/>
        <w:t>La voce in esame nella situazione contabile al 15 ottobre 2017 riporta un valore netto pari ad Euro 2.991.037 (valore lordo Euro 19.871.190 al netto del fondo ammortamento di Euro 16.880.153) ed è costituita dai costi sostenuti per lo sviluppo dei progetti Moghi e</w:t>
      </w:r>
      <w:r>
        <w:rPr>
          <w:spacing w:val="-30"/>
        </w:rPr>
        <w:t> </w:t>
      </w:r>
      <w:r>
        <w:rPr/>
        <w:t>Profer.</w:t>
      </w:r>
    </w:p>
    <w:p>
      <w:pPr>
        <w:pStyle w:val="BodyText"/>
        <w:spacing w:line="480" w:lineRule="auto"/>
        <w:ind w:left="1418" w:right="1410"/>
        <w:jc w:val="both"/>
      </w:pPr>
      <w:r>
        <w:rPr/>
        <w:t>Più precisamente, alla data del 15 ottobre risultano iscritti Euro 6.008.173,01 per il progetto Moghi fase 1 ed Euro 13.863.016,60 per il progetto</w:t>
      </w:r>
      <w:r>
        <w:rPr>
          <w:spacing w:val="-23"/>
        </w:rPr>
        <w:t> </w:t>
      </w:r>
      <w:r>
        <w:rPr/>
        <w:t>Profer.</w:t>
      </w:r>
    </w:p>
    <w:p>
      <w:pPr>
        <w:spacing w:after="0" w:line="480" w:lineRule="auto"/>
        <w:jc w:val="both"/>
        <w:sectPr>
          <w:footerReference w:type="default" r:id="rId12"/>
          <w:pgSz w:w="11910" w:h="16840"/>
          <w:pgMar w:footer="1025" w:header="707" w:top="1740" w:bottom="1220" w:left="0" w:right="0"/>
          <w:pgNumType w:start="101"/>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Heading2"/>
        <w:numPr>
          <w:ilvl w:val="0"/>
          <w:numId w:val="30"/>
        </w:numPr>
        <w:tabs>
          <w:tab w:pos="2127" w:val="left" w:leader="none"/>
        </w:tabs>
        <w:spacing w:line="240" w:lineRule="auto" w:before="100" w:after="0"/>
        <w:ind w:left="2126" w:right="0" w:hanging="348"/>
        <w:jc w:val="left"/>
      </w:pPr>
      <w:r>
        <w:rPr>
          <w:u w:val="single"/>
        </w:rPr>
        <w:t>Progetto</w:t>
      </w:r>
      <w:r>
        <w:rPr>
          <w:spacing w:val="-4"/>
          <w:u w:val="single"/>
        </w:rPr>
        <w:t> </w:t>
      </w:r>
      <w:r>
        <w:rPr>
          <w:u w:val="single"/>
        </w:rPr>
        <w:t>Moghi</w:t>
      </w:r>
    </w:p>
    <w:p>
      <w:pPr>
        <w:pStyle w:val="BodyText"/>
        <w:spacing w:before="3"/>
        <w:rPr>
          <w:b/>
          <w:sz w:val="15"/>
        </w:rPr>
      </w:pPr>
    </w:p>
    <w:p>
      <w:pPr>
        <w:pStyle w:val="BodyText"/>
        <w:spacing w:line="480" w:lineRule="auto" w:before="100"/>
        <w:ind w:left="1418" w:right="1413"/>
        <w:jc w:val="both"/>
      </w:pPr>
      <w:r>
        <w:rPr/>
        <w:t>Il progetto Moghi è nato per la realizzazione di un’unità produttiva rappresentata da un impianto dimostrativo su scala industriale per la produzione di 1000 ton/annue di bioetanolo utilizzando la lignina e per la realizzazione dell’attività di ricerca e sviluppo finalizzata all’ottimizzazione della tecnologia di conversione della lignina in idrocarburi aromatici (cosiddetti “BTX”).</w:t>
      </w:r>
    </w:p>
    <w:p>
      <w:pPr>
        <w:pStyle w:val="BodyText"/>
        <w:spacing w:line="480" w:lineRule="auto"/>
        <w:ind w:left="1418" w:right="1416"/>
        <w:jc w:val="both"/>
      </w:pPr>
      <w:r>
        <w:rPr/>
        <w:t>Si apprende dalla nota integrativa al bilancio chiuso al 31 dicembre 2016 (pag. 38) che la prima fase dello sviluppo del progetto Moghi, iniziata nel 2013, è terminata nel corso dell’anno 2014 attraverso le attività eseguite nel centro ricerche di Rivalta Scrivia (Tortona) e Sharon Center (USA). L’obiettivo di tale attività è consistito nello sviluppo della tecnologia per la trasformazione della lignina, derivante dal processo PROESA, in idrocarburi aromatici (BTX).</w:t>
      </w:r>
    </w:p>
    <w:p>
      <w:pPr>
        <w:pStyle w:val="BodyText"/>
        <w:spacing w:line="480" w:lineRule="auto"/>
        <w:ind w:left="1418" w:right="1418"/>
        <w:jc w:val="both"/>
      </w:pPr>
      <w:r>
        <w:rPr/>
        <w:t>La seconda fase del progetto è consistita nella ottimizzazione delle tecnologie per la trasformazione della lignina in idrocarburi aromatici, nella progettazione dell’impianto dimostrativo ed infine nella ottimizzazione del processo stesso.</w:t>
      </w:r>
    </w:p>
    <w:p>
      <w:pPr>
        <w:pStyle w:val="BodyText"/>
        <w:spacing w:line="480" w:lineRule="auto"/>
        <w:ind w:left="1418" w:right="1421"/>
        <w:jc w:val="both"/>
      </w:pPr>
      <w:r>
        <w:rPr/>
        <w:t>Si precisa che inizialmente il progetto Moghi doveva essere sviluppato presso l’immobile di proprietà della Biochemtex sito a Modugno (BA), tuttavia, il comune di Modugno non ha mai rilasciato i permessi necessari allo sviluppo delle attività industriali.</w:t>
      </w:r>
    </w:p>
    <w:p>
      <w:pPr>
        <w:pStyle w:val="BodyText"/>
        <w:spacing w:line="480" w:lineRule="auto"/>
        <w:ind w:left="1418" w:right="1420"/>
        <w:jc w:val="both"/>
      </w:pPr>
      <w:r>
        <w:rPr/>
        <w:t>La Società, pertanto, ha deciso di sviluppare il progetto in Piemonte e in data 27 giugno 2016 ha provveduto alla restituzione alla regione Puglia del contributo a fondo perduto precedentemente incassato per Euro 6.622.957, oltre interessi per Euro 174.738.</w:t>
      </w:r>
    </w:p>
    <w:p>
      <w:pPr>
        <w:pStyle w:val="BodyText"/>
        <w:spacing w:line="480" w:lineRule="auto"/>
        <w:ind w:left="1418" w:right="1412"/>
        <w:jc w:val="both"/>
      </w:pPr>
      <w:r>
        <w:rPr/>
        <w:t>Nel 2016 ha avviato le richieste di autorizzazione edilizia per la costruzione dell’impianto nell’area del parco scientifico e tecnologico di Rivalta Scrivia.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Heading2"/>
        <w:numPr>
          <w:ilvl w:val="0"/>
          <w:numId w:val="30"/>
        </w:numPr>
        <w:tabs>
          <w:tab w:pos="2127" w:val="left" w:leader="none"/>
        </w:tabs>
        <w:spacing w:line="240" w:lineRule="auto" w:before="100" w:after="0"/>
        <w:ind w:left="2126" w:right="0" w:hanging="348"/>
        <w:jc w:val="left"/>
      </w:pPr>
      <w:r>
        <w:rPr>
          <w:u w:val="single"/>
        </w:rPr>
        <w:t>Progetto</w:t>
      </w:r>
      <w:r>
        <w:rPr>
          <w:spacing w:val="-5"/>
          <w:u w:val="single"/>
        </w:rPr>
        <w:t> </w:t>
      </w:r>
      <w:r>
        <w:rPr>
          <w:u w:val="single"/>
        </w:rPr>
        <w:t>Profer</w:t>
      </w:r>
    </w:p>
    <w:p>
      <w:pPr>
        <w:pStyle w:val="BodyText"/>
        <w:spacing w:before="3"/>
        <w:rPr>
          <w:b/>
          <w:sz w:val="15"/>
        </w:rPr>
      </w:pPr>
    </w:p>
    <w:p>
      <w:pPr>
        <w:pStyle w:val="BodyText"/>
        <w:spacing w:line="480" w:lineRule="auto" w:before="100"/>
        <w:ind w:left="1418" w:right="1412"/>
        <w:jc w:val="both"/>
      </w:pPr>
      <w:r>
        <w:rPr/>
        <w:t>Il progetto Profer è un progetto conclusosi nel 2013, relativo alla ingegnerizzazione della tecnologia PROESA, avente l’obiettivo di sviluppare un microrganismo, alle condizioni ottimali  di processo, per lo step di fermentazione. Il risultato raggiunto è stato l’integrazione degli step di fermentazione nella tecnologia di fermentazione del bioetanolo da fonti ligneo cellulose (biomassa), etanolo di seconda generazione competitivo con i combustibili fossili. Il progetto è stato interamente sviluppato presso il Centro di ricerca di Rivalta Scrivia e i costi capitalizzati si riferiscono principalmente a costi del personale, materiali e costi della struttura. A conferma dell’esistenza del progetto di sviluppo, in data 12 ottobre 2009, la Biochemtex, già Chemtex Italia Srl, ha ottenuto un finanziamento dalla Regione Piemonte, con D.D. n. 137 del</w:t>
      </w:r>
      <w:r>
        <w:rPr>
          <w:spacing w:val="-25"/>
        </w:rPr>
        <w:t> </w:t>
      </w:r>
      <w:r>
        <w:rPr/>
        <w:t>22.10.2010.</w:t>
      </w:r>
    </w:p>
    <w:p>
      <w:pPr>
        <w:pStyle w:val="BodyText"/>
        <w:spacing w:line="480" w:lineRule="auto"/>
        <w:ind w:left="1418" w:right="1412"/>
        <w:jc w:val="both"/>
      </w:pPr>
      <w:r>
        <w:rPr/>
        <w:t>Pertanto, in data 15 novembre 2010, Biochemtex e la regione Piemonte hanno stipulato il contratto di finanziamento del progetto di ricerca </w:t>
      </w:r>
      <w:r>
        <w:rPr>
          <w:u w:val="single"/>
        </w:rPr>
        <w:t>Profer </w:t>
      </w:r>
      <w:r>
        <w:rPr/>
        <w:t>(Rep. n. 15707), ove la Regione si è impegnata a rendere disponibile l’agevolazione concessa con la determinazione n. 137 del 22.10.2010 fino ad un ammontare massimo di Euro 3.000.000. Si precisa che l’agevolazione viene erogata nelle seguenti misure:</w:t>
      </w:r>
    </w:p>
    <w:p>
      <w:pPr>
        <w:pStyle w:val="ListParagraph"/>
        <w:numPr>
          <w:ilvl w:val="0"/>
          <w:numId w:val="31"/>
        </w:numPr>
        <w:tabs>
          <w:tab w:pos="2127" w:val="left" w:leader="none"/>
        </w:tabs>
        <w:spacing w:line="460" w:lineRule="auto" w:before="0" w:after="0"/>
        <w:ind w:left="2138" w:right="1420" w:hanging="360"/>
        <w:jc w:val="both"/>
        <w:rPr>
          <w:sz w:val="24"/>
        </w:rPr>
      </w:pPr>
      <w:r>
        <w:rPr>
          <w:sz w:val="24"/>
        </w:rPr>
        <w:t>il 30% pari a complessivi Euro 900.000 a titolo di anticipazione a seguito della firma del contratto, accreditata sul conto CreVal n. 965, in data 27 dicembre</w:t>
      </w:r>
      <w:r>
        <w:rPr>
          <w:spacing w:val="-25"/>
          <w:sz w:val="24"/>
        </w:rPr>
        <w:t> </w:t>
      </w:r>
      <w:r>
        <w:rPr>
          <w:sz w:val="24"/>
        </w:rPr>
        <w:t>2011;</w:t>
      </w:r>
    </w:p>
    <w:p>
      <w:pPr>
        <w:pStyle w:val="ListParagraph"/>
        <w:numPr>
          <w:ilvl w:val="0"/>
          <w:numId w:val="31"/>
        </w:numPr>
        <w:tabs>
          <w:tab w:pos="2127" w:val="left" w:leader="none"/>
        </w:tabs>
        <w:spacing w:line="470" w:lineRule="auto" w:before="21" w:after="0"/>
        <w:ind w:left="2138" w:right="1417" w:hanging="360"/>
        <w:jc w:val="both"/>
        <w:rPr>
          <w:sz w:val="24"/>
        </w:rPr>
      </w:pPr>
      <w:r>
        <w:rPr>
          <w:sz w:val="24"/>
        </w:rPr>
        <w:t>il 40% pari ad Euro 1.200.000 previa verifica dello stato di avanzamento lavori che dimostri l’avvenuta esecuzione di almeno il 70% del progetto, accreditata, al netto della ritenuta di acconto del 4%, sul conto Unicredit n. 857, in data 22 dicembre</w:t>
      </w:r>
      <w:r>
        <w:rPr>
          <w:spacing w:val="-29"/>
          <w:sz w:val="24"/>
        </w:rPr>
        <w:t> </w:t>
      </w:r>
      <w:r>
        <w:rPr>
          <w:sz w:val="24"/>
        </w:rPr>
        <w:t>2015;</w:t>
      </w:r>
    </w:p>
    <w:p>
      <w:pPr>
        <w:pStyle w:val="ListParagraph"/>
        <w:numPr>
          <w:ilvl w:val="0"/>
          <w:numId w:val="31"/>
        </w:numPr>
        <w:tabs>
          <w:tab w:pos="2127" w:val="left" w:leader="none"/>
        </w:tabs>
        <w:spacing w:line="470" w:lineRule="auto" w:before="10" w:after="0"/>
        <w:ind w:left="2138" w:right="1417" w:hanging="360"/>
        <w:jc w:val="both"/>
        <w:rPr>
          <w:sz w:val="24"/>
        </w:rPr>
      </w:pPr>
      <w:r>
        <w:rPr>
          <w:sz w:val="24"/>
        </w:rPr>
        <w:t>il restante 30% pari ad Euro 900.000 dopo l’ultimazione del progetto e previa verifica  della coerenza dei risultati raggiunti rispetto agli impegni assunti, accreditata, al netto della ritenuta di acconto del 4%, sul conto Unicredit n. 857, in data 22 dicembre</w:t>
      </w:r>
      <w:r>
        <w:rPr>
          <w:spacing w:val="-29"/>
          <w:sz w:val="24"/>
        </w:rPr>
        <w:t> </w:t>
      </w:r>
      <w:r>
        <w:rPr>
          <w:sz w:val="24"/>
        </w:rPr>
        <w:t>2015.</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Attività svolta</w:t>
      </w:r>
    </w:p>
    <w:p>
      <w:pPr>
        <w:pStyle w:val="BodyText"/>
        <w:spacing w:before="11"/>
        <w:rPr>
          <w:sz w:val="23"/>
        </w:rPr>
      </w:pPr>
    </w:p>
    <w:p>
      <w:pPr>
        <w:pStyle w:val="BodyText"/>
        <w:spacing w:line="480" w:lineRule="auto"/>
        <w:ind w:left="1418" w:right="1415"/>
        <w:jc w:val="both"/>
      </w:pPr>
      <w:r>
        <w:rPr/>
        <w:t>Gli scriventi hanno preso visione dei mastrini contabili e, a campione, delle fatture relative a costi capitalizzati per i due progetti. I costi sono principalmente riferibili a spese del personale tecnico responsabile dello sviluppo del progetto. Il personale dedicato era riferibile alla società correlata Chemtex International, che ha provveduto a ribaltare i costi alla ricorrente, in qualità di capo referente dei progetti e intestataria dei contributi e dei finanziamenti. I servizi prestati dalla correlata erano regolati da un contratto stipulato in data 11 dicembre 2012 che prevedeva inizialmente la cessione da parte di Chemtex International di tutti i diritti, titoli e interessi nella tecnologia di ingegnerizzazione PROESA, per un importo di USD 3 milioni ed il successivo addebito dei costi per fornitura di servizi di ricerca e sviluppo effettuati da parte degli ingegneri e del personale della Chemtex International. Gli scriventi hanno preso visione del presente contratto.</w:t>
      </w:r>
    </w:p>
    <w:p>
      <w:pPr>
        <w:pStyle w:val="BodyText"/>
        <w:spacing w:line="480" w:lineRule="auto"/>
        <w:ind w:left="1418" w:right="1420"/>
        <w:jc w:val="both"/>
      </w:pPr>
      <w:r>
        <w:rPr/>
        <w:t>Con riferimento al progetto Profer, gli scriventi hanno preso visione del contratto di finanziamento stipulato in data 15.10.2010, delle comunicazioni della Regione Piemonte del 30.04.2014 e 19.05.2015, in merito ai controlli effettuati circa l’avanzamento del progetto e delle contabili di accredito delle agevolazioni.</w:t>
      </w:r>
    </w:p>
    <w:p>
      <w:pPr>
        <w:pStyle w:val="BodyText"/>
        <w:spacing w:line="480" w:lineRule="auto"/>
        <w:ind w:left="1418" w:right="1419"/>
        <w:jc w:val="both"/>
      </w:pPr>
      <w:r>
        <w:rPr/>
        <w:t>Con riferimento al progetto Moghi sviluppato poi a Rivalta e non, come inizialmente previsto, a Modugno, gli scriventi hanno preso visione del decreto di concessione del contributo della Regione Puglia e della contabile bancaria di restituzione del contributo a fondo perduto.</w:t>
      </w:r>
    </w:p>
    <w:p>
      <w:pPr>
        <w:pStyle w:val="BodyText"/>
        <w:ind w:left="1418"/>
        <w:jc w:val="both"/>
      </w:pPr>
      <w:r>
        <w:rPr>
          <w:u w:val="single"/>
        </w:rPr>
        <w:t>Valorizzazione concordataria</w:t>
      </w:r>
    </w:p>
    <w:p>
      <w:pPr>
        <w:pStyle w:val="BodyText"/>
      </w:pPr>
    </w:p>
    <w:p>
      <w:pPr>
        <w:pStyle w:val="BodyText"/>
        <w:spacing w:line="480" w:lineRule="auto"/>
        <w:ind w:left="1418" w:right="1414"/>
        <w:jc w:val="both"/>
      </w:pPr>
      <w:r>
        <w:rPr/>
        <w:t>Ai fini del piano concordatario, si segnala che le poste sono state interamente rettificate e valutate pari a zero in termini di realizzo. Le stesse non rientrano nell’allegato E dell’offerta Versalis e pertanto non sono incluse nel perimetro della stessa.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Heading2"/>
        <w:numPr>
          <w:ilvl w:val="3"/>
          <w:numId w:val="29"/>
        </w:numPr>
        <w:tabs>
          <w:tab w:pos="2126" w:val="left" w:leader="none"/>
          <w:tab w:pos="2127" w:val="left" w:leader="none"/>
        </w:tabs>
        <w:spacing w:line="240" w:lineRule="auto" w:before="100" w:after="0"/>
        <w:ind w:left="2126" w:right="0" w:hanging="348"/>
        <w:jc w:val="left"/>
      </w:pPr>
      <w:r>
        <w:rPr>
          <w:u w:val="single"/>
        </w:rPr>
        <w:t>Concessioni licenze Marchi e Diritti</w:t>
      </w:r>
      <w:r>
        <w:rPr>
          <w:spacing w:val="-20"/>
          <w:u w:val="single"/>
        </w:rPr>
        <w:t> </w:t>
      </w:r>
      <w:r>
        <w:rPr>
          <w:u w:val="single"/>
        </w:rPr>
        <w:t>simili</w:t>
      </w:r>
    </w:p>
    <w:p>
      <w:pPr>
        <w:pStyle w:val="BodyText"/>
        <w:spacing w:before="3"/>
        <w:rPr>
          <w:b/>
          <w:sz w:val="15"/>
        </w:rPr>
      </w:pPr>
    </w:p>
    <w:p>
      <w:pPr>
        <w:pStyle w:val="BodyText"/>
        <w:spacing w:line="480" w:lineRule="auto" w:before="100"/>
        <w:ind w:left="1418" w:right="1416"/>
        <w:jc w:val="both"/>
      </w:pPr>
      <w:r>
        <w:rPr/>
        <w:t>La voce in esame che al 15 ottobre 2017 ammonta ad Euro 7.400.000, completamente ammortizzata, è riferibile ai costi sostenuti per l’acquisizione della licenza d’uso esclusivo e mondiale di brevetti industriali e il </w:t>
      </w:r>
      <w:r>
        <w:rPr>
          <w:i/>
        </w:rPr>
        <w:t>know how</w:t>
      </w:r>
      <w:r>
        <w:rPr/>
        <w:t>, incluse tutte le tecnologie, conoscenze e competenze sviluppate e acquisite dal ramo ricerche, ogni altro processo o modalità tecnica di produzione e lavorazione utilizzati nel laboratorio di ricerche di Rivalta Scrivia.</w:t>
      </w:r>
    </w:p>
    <w:p>
      <w:pPr>
        <w:pStyle w:val="BodyText"/>
        <w:spacing w:line="480" w:lineRule="auto"/>
        <w:ind w:left="1418" w:right="1413"/>
        <w:jc w:val="both"/>
      </w:pPr>
      <w:r>
        <w:rPr/>
        <w:t>Più precisamente, la posta di bilancio è stata rilevata a seguito di acquisizione del ramo di azienda costituito dall’insieme dei beni e dei rapporti organizzati per lo svolgimento dell’attività di ricerca e sviluppo nel campo della resina PET, dei derivati acetici e delle materie plastiche, svolta presso il Centro di Rivalta Scrivia (AL), dei beni materiali, impianti e macchinari utilizzati per l’attività di ricerca, dal contratto di licenza per lo sfruttamento della tecnologia di rigradazione in fase solida, denominato K&amp;E.</w:t>
      </w:r>
    </w:p>
    <w:p>
      <w:pPr>
        <w:pStyle w:val="BodyText"/>
        <w:spacing w:line="480" w:lineRule="auto"/>
        <w:ind w:left="1418" w:right="1413"/>
        <w:jc w:val="both"/>
      </w:pPr>
      <w:r>
        <w:rPr/>
        <w:t>Il contratto di cessione d’azienda è stato stipulato in data 5 novembre 2007 (contratto n. 25649, serie 1T, Notaio Pantè) tra la società cedente Cobarr S.p.A e la società acquirente Biochemtex, già Chemtex Italia Srl, di cui gli scriventi ne hanno preso visione.</w:t>
      </w:r>
    </w:p>
    <w:p>
      <w:pPr>
        <w:pStyle w:val="BodyText"/>
        <w:spacing w:line="480" w:lineRule="auto"/>
        <w:ind w:left="1418" w:right="1412"/>
      </w:pPr>
      <w:r>
        <w:rPr/>
        <w:t>Il prezzo della cessione del ramo è stato stimato pari ad Euro 1.500.000, pari alla differenza tra il valore delle attività e delle passività trasferite, ossia Avviamento per Euro 500.000, beni mobili, attrezzature, arredi per Euro 2.000.000, contratto di licenze e costi di </w:t>
      </w:r>
      <w:r>
        <w:rPr>
          <w:i/>
        </w:rPr>
        <w:t>know how </w:t>
      </w:r>
      <w:r>
        <w:rPr/>
        <w:t>per Euro 6.757.654, debiti verso M&amp;G Finanziaria pari a Euro 7.500.000 e debito TFR per Euro 257.653. Il contratto di licenza oggetto di cessione nel ramo d’azienda e descritto nella presente posta contabile, era  stato  originariamente  stipulato  in data  12  gennaio 2006,</w:t>
      </w:r>
      <w:r>
        <w:rPr>
          <w:spacing w:val="11"/>
        </w:rPr>
        <w:t> </w:t>
      </w:r>
      <w:r>
        <w:rPr/>
        <w:t>tra l’utilizzatrice Cobarr</w:t>
      </w:r>
    </w:p>
    <w:p>
      <w:pPr>
        <w:pStyle w:val="BodyText"/>
        <w:spacing w:line="480" w:lineRule="auto"/>
        <w:ind w:left="1418" w:right="1412"/>
        <w:jc w:val="both"/>
      </w:pPr>
      <w:r>
        <w:rPr/>
        <w:t>S.p.A. e la concedente K&amp;E Srl avente ad oggetto la licenza d’uso dei brevetti per utilizzare la tecnologia della polimerizzazione in fase solida del PET in tutti i possibili campi d’uso diversi  dal</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w:t>
      </w:r>
      <w:r>
        <w:rPr>
          <w:i/>
        </w:rPr>
        <w:t>bottle Grade</w:t>
      </w:r>
      <w:r>
        <w:rPr/>
        <w:t>” e dal “</w:t>
      </w:r>
      <w:r>
        <w:rPr>
          <w:i/>
        </w:rPr>
        <w:t>Packaging</w:t>
      </w:r>
      <w:r>
        <w:rPr/>
        <w:t>”. In seguito alla cessione di ramo d’azienda, la Chemtex è  subentrata nel contratto di licenza in qualità di utilizzatrice al posto della Cobarr S.p.A. Al </w:t>
      </w:r>
      <w:r>
        <w:rPr>
          <w:spacing w:val="55"/>
        </w:rPr>
        <w:t> </w:t>
      </w:r>
      <w:r>
        <w:rPr/>
        <w:t>punto</w:t>
      </w:r>
    </w:p>
    <w:p>
      <w:pPr>
        <w:spacing w:line="480" w:lineRule="auto" w:before="0"/>
        <w:ind w:left="1418" w:right="1411" w:firstLine="0"/>
        <w:jc w:val="both"/>
        <w:rPr>
          <w:i/>
          <w:sz w:val="24"/>
        </w:rPr>
      </w:pPr>
      <w:r>
        <w:rPr>
          <w:sz w:val="24"/>
        </w:rPr>
        <w:t>3.3 del contratto originario stipulato tra la K&amp;E e la Cobarr era previsto quanto segue “ </w:t>
      </w:r>
      <w:r>
        <w:rPr>
          <w:i/>
          <w:sz w:val="24"/>
        </w:rPr>
        <w:t>scaduto il </w:t>
      </w:r>
      <w:r>
        <w:rPr>
          <w:i/>
          <w:sz w:val="24"/>
        </w:rPr>
        <w:t>trentesimo giorno utile per esercitare il diritto al recesso di cui all’art. 7 seguente e a condizione che nessuna delle parti abbia esercitato tempest</w:t>
      </w:r>
      <w:r>
        <w:rPr>
          <w:sz w:val="24"/>
        </w:rPr>
        <w:t>iva</w:t>
      </w:r>
      <w:r>
        <w:rPr>
          <w:i/>
          <w:sz w:val="24"/>
        </w:rPr>
        <w:t>mente tale diritto, k&amp;E avrà diritto di ricevere da Cobarr, come corrispettivo  </w:t>
      </w:r>
      <w:r>
        <w:rPr>
          <w:i/>
          <w:sz w:val="24"/>
        </w:rPr>
        <w:t>della licenza, in alternat</w:t>
      </w:r>
      <w:r>
        <w:rPr>
          <w:sz w:val="24"/>
        </w:rPr>
        <w:t>iva </w:t>
      </w:r>
      <w:r>
        <w:rPr>
          <w:i/>
          <w:sz w:val="24"/>
        </w:rPr>
        <w:t>alle somme di cui all’art 3.1 che precede, una somma forfettaria, totale ed </w:t>
      </w:r>
      <w:r>
        <w:rPr>
          <w:i/>
          <w:sz w:val="24"/>
        </w:rPr>
        <w:t>omnicomprens</w:t>
      </w:r>
      <w:r>
        <w:rPr>
          <w:sz w:val="24"/>
        </w:rPr>
        <w:t>iva</w:t>
      </w:r>
      <w:r>
        <w:rPr>
          <w:i/>
          <w:sz w:val="24"/>
        </w:rPr>
        <w:t>, di Euro 1.000.000,00 (Euro 1 milione) più </w:t>
      </w:r>
      <w:r>
        <w:rPr>
          <w:sz w:val="24"/>
        </w:rPr>
        <w:t>iva</w:t>
      </w:r>
      <w:r>
        <w:rPr>
          <w:i/>
          <w:sz w:val="24"/>
        </w:rPr>
        <w:t>, indipendentemente dal numero e dalla </w:t>
      </w:r>
      <w:r>
        <w:rPr>
          <w:i/>
          <w:sz w:val="24"/>
        </w:rPr>
        <w:t>capacità degli impianti venduti da</w:t>
      </w:r>
      <w:r>
        <w:rPr>
          <w:i/>
          <w:spacing w:val="-13"/>
          <w:sz w:val="24"/>
        </w:rPr>
        <w:t> </w:t>
      </w:r>
      <w:r>
        <w:rPr>
          <w:i/>
          <w:sz w:val="24"/>
        </w:rPr>
        <w:t>Cobarr.”</w:t>
      </w:r>
    </w:p>
    <w:p>
      <w:pPr>
        <w:pStyle w:val="BodyText"/>
        <w:spacing w:line="480" w:lineRule="auto"/>
        <w:ind w:left="1418" w:right="1415"/>
        <w:jc w:val="both"/>
      </w:pPr>
      <w:r>
        <w:rPr/>
        <w:t>In esecuzione della clausola contrattuale sopra descritta, in data primo marzo 2008, la K&amp;E Srl, preso atto dell’avvenuta cessione del contratto alla ricorrente e del mancato esercizio del diritto di recesso da parte di Cobarr, ha richiesto la </w:t>
      </w:r>
      <w:r>
        <w:rPr>
          <w:i/>
        </w:rPr>
        <w:t>fee </w:t>
      </w:r>
      <w:r>
        <w:rPr/>
        <w:t>di licenza pari a complessivi Euro 1.000.000 emettendo la fattura n.3/2008 nei confronti della Chemtex Italia. L’importo di 1.000.000 è stato capitalizzato e iscritto nella presente voce contabile Licenze a maggiorazione del valore di Euro</w:t>
      </w:r>
    </w:p>
    <w:p>
      <w:pPr>
        <w:pStyle w:val="ListParagraph"/>
        <w:numPr>
          <w:ilvl w:val="2"/>
          <w:numId w:val="32"/>
        </w:numPr>
        <w:tabs>
          <w:tab w:pos="2375" w:val="left" w:leader="none"/>
        </w:tabs>
        <w:spacing w:line="240" w:lineRule="auto" w:before="0" w:after="0"/>
        <w:ind w:left="2374" w:right="0" w:hanging="956"/>
        <w:jc w:val="both"/>
        <w:rPr>
          <w:sz w:val="24"/>
        </w:rPr>
      </w:pPr>
      <w:r>
        <w:rPr>
          <w:sz w:val="24"/>
        </w:rPr>
        <w:t>rilevato a seguito dell’acquisizione di ramo</w:t>
      </w:r>
      <w:r>
        <w:rPr>
          <w:spacing w:val="-20"/>
          <w:sz w:val="24"/>
        </w:rPr>
        <w:t> </w:t>
      </w:r>
      <w:r>
        <w:rPr>
          <w:sz w:val="24"/>
        </w:rPr>
        <w:t>d’azienda.</w:t>
      </w:r>
    </w:p>
    <w:p>
      <w:pPr>
        <w:pStyle w:val="BodyText"/>
      </w:pPr>
    </w:p>
    <w:p>
      <w:pPr>
        <w:pStyle w:val="BodyText"/>
        <w:ind w:left="1418"/>
        <w:jc w:val="both"/>
      </w:pPr>
      <w:r>
        <w:rPr>
          <w:u w:val="single"/>
        </w:rPr>
        <w:t>Attività svolta</w:t>
      </w:r>
    </w:p>
    <w:p>
      <w:pPr>
        <w:pStyle w:val="BodyText"/>
        <w:spacing w:before="11"/>
        <w:rPr>
          <w:sz w:val="23"/>
        </w:rPr>
      </w:pPr>
    </w:p>
    <w:p>
      <w:pPr>
        <w:pStyle w:val="BodyText"/>
        <w:spacing w:line="480" w:lineRule="auto"/>
        <w:ind w:left="1418" w:right="1414"/>
        <w:jc w:val="both"/>
      </w:pPr>
      <w:r>
        <w:rPr/>
        <w:t>Ai fini dell’analisi della veridicità dei dati, gli scriventi hanno preso visione dell’atto di cessione del ramo d’azienda (rep. 25649), del contratto stipulato tra la Cobarr e la K&amp;Ein data 12.1.2006, della comunicazione della K&amp;E del 1.3.2008 e della fattura emessa della K&amp;E nella medesima data.</w:t>
      </w:r>
    </w:p>
    <w:p>
      <w:pPr>
        <w:pStyle w:val="BodyText"/>
        <w:ind w:left="1418"/>
        <w:jc w:val="both"/>
      </w:pPr>
      <w:r>
        <w:rPr>
          <w:u w:val="single"/>
        </w:rPr>
        <w:t>Valorizzazione concordataria</w:t>
      </w:r>
    </w:p>
    <w:p>
      <w:pPr>
        <w:pStyle w:val="BodyText"/>
        <w:rPr>
          <w:sz w:val="20"/>
        </w:rPr>
      </w:pPr>
    </w:p>
    <w:p>
      <w:pPr>
        <w:pStyle w:val="BodyText"/>
        <w:spacing w:before="9"/>
        <w:rPr>
          <w:sz w:val="21"/>
        </w:rPr>
      </w:pPr>
    </w:p>
    <w:p>
      <w:pPr>
        <w:pStyle w:val="BodyText"/>
        <w:spacing w:line="480" w:lineRule="auto" w:before="1"/>
        <w:ind w:left="1418" w:right="1419"/>
      </w:pPr>
      <w:r>
        <w:rPr/>
        <w:t>Si precisa che la voce in esame risulta completamente ammortizzata alla data del 15 ottobre 2017 e non è ricompresa nel perimetro aziendale oggetto dell’offerta vincolante di acquisto    formulata</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da Versalis, pertanto, in ottica concordataria è stata valorizzata zero, in considerazione della mancata possibilità di recupero di tale valore.</w:t>
      </w:r>
    </w:p>
    <w:p>
      <w:pPr>
        <w:pStyle w:val="Heading2"/>
        <w:numPr>
          <w:ilvl w:val="3"/>
          <w:numId w:val="32"/>
        </w:numPr>
        <w:tabs>
          <w:tab w:pos="2126" w:val="left" w:leader="none"/>
          <w:tab w:pos="2127" w:val="left" w:leader="none"/>
        </w:tabs>
        <w:spacing w:line="304" w:lineRule="exact" w:before="0" w:after="0"/>
        <w:ind w:left="2126" w:right="0" w:hanging="348"/>
        <w:jc w:val="left"/>
      </w:pPr>
      <w:r>
        <w:rPr>
          <w:u w:val="single"/>
        </w:rPr>
        <w:t>Immobilizzazioni Immateriali in</w:t>
      </w:r>
      <w:r>
        <w:rPr>
          <w:spacing w:val="-21"/>
          <w:u w:val="single"/>
        </w:rPr>
        <w:t> </w:t>
      </w:r>
      <w:r>
        <w:rPr>
          <w:u w:val="single"/>
        </w:rPr>
        <w:t>corso</w:t>
      </w:r>
    </w:p>
    <w:p>
      <w:pPr>
        <w:pStyle w:val="BodyText"/>
        <w:spacing w:before="3"/>
        <w:rPr>
          <w:b/>
          <w:sz w:val="15"/>
        </w:rPr>
      </w:pPr>
    </w:p>
    <w:p>
      <w:pPr>
        <w:pStyle w:val="BodyText"/>
        <w:spacing w:line="480" w:lineRule="auto" w:before="100"/>
        <w:ind w:left="1418" w:right="1425"/>
        <w:jc w:val="both"/>
      </w:pPr>
      <w:r>
        <w:rPr/>
        <w:t>La voce in esame al 15 ottobre 2017 ammonta ad Euro 3.153.076 ed è relativa a costi sostenuti per lo sviluppo dei progetti Cometha, Moghi, Bioreflay.</w:t>
      </w:r>
    </w:p>
    <w:p>
      <w:pPr>
        <w:pStyle w:val="BodyText"/>
        <w:spacing w:line="480" w:lineRule="auto"/>
        <w:ind w:left="1418" w:right="1419"/>
        <w:jc w:val="both"/>
      </w:pPr>
      <w:r>
        <w:rPr/>
        <w:t>Dall’analisi del mastrino contabile si evince che i costi sono stati sostenuti in riferimento ai vari progetti nella seguente misura:</w:t>
      </w:r>
    </w:p>
    <w:p>
      <w:pPr>
        <w:pStyle w:val="ListParagraph"/>
        <w:numPr>
          <w:ilvl w:val="0"/>
          <w:numId w:val="33"/>
        </w:numPr>
        <w:tabs>
          <w:tab w:pos="2126" w:val="left" w:leader="none"/>
          <w:tab w:pos="2127" w:val="left" w:leader="none"/>
        </w:tabs>
        <w:spacing w:line="240" w:lineRule="auto" w:before="0" w:after="0"/>
        <w:ind w:left="2126" w:right="0" w:hanging="348"/>
        <w:jc w:val="left"/>
        <w:rPr>
          <w:sz w:val="24"/>
        </w:rPr>
      </w:pPr>
      <w:r>
        <w:rPr>
          <w:sz w:val="24"/>
        </w:rPr>
        <w:t>Progetto Cometha Euro</w:t>
      </w:r>
      <w:r>
        <w:rPr>
          <w:spacing w:val="-15"/>
          <w:sz w:val="24"/>
        </w:rPr>
        <w:t> </w:t>
      </w:r>
      <w:r>
        <w:rPr>
          <w:sz w:val="24"/>
        </w:rPr>
        <w:t>1.490.616;</w:t>
      </w:r>
    </w:p>
    <w:p>
      <w:pPr>
        <w:pStyle w:val="BodyText"/>
        <w:spacing w:before="9"/>
        <w:rPr>
          <w:sz w:val="23"/>
        </w:rPr>
      </w:pPr>
    </w:p>
    <w:p>
      <w:pPr>
        <w:pStyle w:val="ListParagraph"/>
        <w:numPr>
          <w:ilvl w:val="0"/>
          <w:numId w:val="33"/>
        </w:numPr>
        <w:tabs>
          <w:tab w:pos="2126" w:val="left" w:leader="none"/>
          <w:tab w:pos="2127" w:val="left" w:leader="none"/>
        </w:tabs>
        <w:spacing w:line="240" w:lineRule="auto" w:before="0" w:after="0"/>
        <w:ind w:left="2126" w:right="0" w:hanging="348"/>
        <w:jc w:val="left"/>
        <w:rPr>
          <w:sz w:val="24"/>
        </w:rPr>
      </w:pPr>
      <w:r>
        <w:rPr>
          <w:sz w:val="24"/>
        </w:rPr>
        <w:t>Progetto Moghi Euro</w:t>
      </w:r>
      <w:r>
        <w:rPr>
          <w:spacing w:val="-13"/>
          <w:sz w:val="24"/>
        </w:rPr>
        <w:t> </w:t>
      </w:r>
      <w:r>
        <w:rPr>
          <w:sz w:val="24"/>
        </w:rPr>
        <w:t>596.973;</w:t>
      </w:r>
    </w:p>
    <w:p>
      <w:pPr>
        <w:pStyle w:val="BodyText"/>
        <w:spacing w:before="9"/>
        <w:rPr>
          <w:sz w:val="23"/>
        </w:rPr>
      </w:pPr>
    </w:p>
    <w:p>
      <w:pPr>
        <w:pStyle w:val="ListParagraph"/>
        <w:numPr>
          <w:ilvl w:val="0"/>
          <w:numId w:val="33"/>
        </w:numPr>
        <w:tabs>
          <w:tab w:pos="2126" w:val="left" w:leader="none"/>
          <w:tab w:pos="2127" w:val="left" w:leader="none"/>
        </w:tabs>
        <w:spacing w:line="240" w:lineRule="auto" w:before="0" w:after="0"/>
        <w:ind w:left="2126" w:right="0" w:hanging="348"/>
        <w:jc w:val="left"/>
        <w:rPr>
          <w:sz w:val="24"/>
        </w:rPr>
      </w:pPr>
      <w:r>
        <w:rPr>
          <w:sz w:val="24"/>
        </w:rPr>
        <w:t>Progetto Biorefly Euro</w:t>
      </w:r>
      <w:r>
        <w:rPr>
          <w:spacing w:val="-9"/>
          <w:sz w:val="24"/>
        </w:rPr>
        <w:t> </w:t>
      </w:r>
      <w:r>
        <w:rPr>
          <w:sz w:val="24"/>
        </w:rPr>
        <w:t>1.065.487.</w:t>
      </w:r>
    </w:p>
    <w:p>
      <w:pPr>
        <w:pStyle w:val="BodyText"/>
        <w:spacing w:before="9"/>
        <w:rPr>
          <w:sz w:val="23"/>
        </w:rPr>
      </w:pPr>
    </w:p>
    <w:p>
      <w:pPr>
        <w:pStyle w:val="BodyText"/>
        <w:spacing w:before="1"/>
        <w:ind w:left="1418"/>
        <w:jc w:val="both"/>
      </w:pPr>
      <w:r>
        <w:rPr/>
        <w:t>I costi sono prevalentemente riferiti al costo del personale impiegato nella ricerca e sviluppo.</w:t>
      </w:r>
    </w:p>
    <w:p>
      <w:pPr>
        <w:pStyle w:val="BodyText"/>
        <w:spacing w:before="10"/>
        <w:rPr>
          <w:sz w:val="23"/>
        </w:rPr>
      </w:pPr>
    </w:p>
    <w:p>
      <w:pPr>
        <w:pStyle w:val="Heading2"/>
        <w:numPr>
          <w:ilvl w:val="0"/>
          <w:numId w:val="34"/>
        </w:numPr>
        <w:tabs>
          <w:tab w:pos="2127" w:val="left" w:leader="none"/>
        </w:tabs>
        <w:spacing w:line="240" w:lineRule="auto" w:before="0" w:after="0"/>
        <w:ind w:left="2126" w:right="0" w:hanging="348"/>
        <w:jc w:val="left"/>
      </w:pPr>
      <w:r>
        <w:rPr>
          <w:u w:val="single"/>
        </w:rPr>
        <w:t>Progetto</w:t>
      </w:r>
      <w:r>
        <w:rPr>
          <w:spacing w:val="-7"/>
          <w:u w:val="single"/>
        </w:rPr>
        <w:t> </w:t>
      </w:r>
      <w:r>
        <w:rPr>
          <w:u w:val="single"/>
        </w:rPr>
        <w:t>Cometha</w:t>
      </w:r>
    </w:p>
    <w:p>
      <w:pPr>
        <w:pStyle w:val="BodyText"/>
        <w:spacing w:before="11"/>
        <w:rPr>
          <w:b/>
          <w:sz w:val="23"/>
        </w:rPr>
      </w:pPr>
    </w:p>
    <w:p>
      <w:pPr>
        <w:pStyle w:val="BodyText"/>
        <w:spacing w:line="480" w:lineRule="auto"/>
        <w:ind w:left="1418" w:right="1413"/>
        <w:jc w:val="both"/>
      </w:pPr>
      <w:r>
        <w:rPr/>
        <w:t>Il progetto Cometha rientra nel programma “SEVENTH FRAMEWORK PROGRAMME” e riguarda la costruzione di un impianto industriale su scala dimostrativa con la capacità produttiva di 80.000 ton/annue per la produzione di bioetanolo da biomasse lignocellulosiche. Lo stesso progetto, di durata 60 mesi, coinvolge più partner, di cui Biochemtex è il coordinatore ed è finanziato, per un importo massimo di Euro 17.900.000, dalla Commissione Europea, in virtù del sottoscritto Grant Agreement n. ENER/FP7/322406 in data 18 dicembre 2013 avente ad oggetto il pre – finanziamento del progetto. Di seguito il riepilogo delle somme incassate da Biochemtex a finanziamento dello sviluppo del</w:t>
      </w:r>
      <w:r>
        <w:rPr>
          <w:spacing w:val="-19"/>
        </w:rPr>
        <w:t> </w:t>
      </w:r>
      <w:r>
        <w:rPr/>
        <w:t>Progetto:</w:t>
      </w:r>
    </w:p>
    <w:p>
      <w:pPr>
        <w:pStyle w:val="ListParagraph"/>
        <w:numPr>
          <w:ilvl w:val="0"/>
          <w:numId w:val="35"/>
        </w:numPr>
        <w:tabs>
          <w:tab w:pos="2127" w:val="left" w:leader="none"/>
        </w:tabs>
        <w:spacing w:line="470" w:lineRule="auto" w:before="0" w:after="0"/>
        <w:ind w:left="2138" w:right="1418" w:hanging="360"/>
        <w:jc w:val="both"/>
        <w:rPr>
          <w:sz w:val="24"/>
        </w:rPr>
      </w:pPr>
      <w:r>
        <w:rPr>
          <w:sz w:val="24"/>
        </w:rPr>
        <w:t>In data 24 gennaio 2014 Biochemtex ha incassato 5.370.000 sul conto corrente Credito Valtellinese N 965 e in qualità di coordinatore del progetto, ha riassegnato ai partners Euro</w:t>
      </w:r>
      <w:r>
        <w:rPr>
          <w:spacing w:val="-2"/>
          <w:sz w:val="24"/>
        </w:rPr>
        <w:t> </w:t>
      </w:r>
      <w:r>
        <w:rPr>
          <w:sz w:val="24"/>
        </w:rPr>
        <w:t>474.641.</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35"/>
        </w:numPr>
        <w:tabs>
          <w:tab w:pos="2127" w:val="left" w:leader="none"/>
        </w:tabs>
        <w:spacing w:line="470" w:lineRule="auto" w:before="78" w:after="0"/>
        <w:ind w:left="2138" w:right="1414" w:hanging="360"/>
        <w:jc w:val="both"/>
        <w:rPr>
          <w:sz w:val="24"/>
        </w:rPr>
      </w:pPr>
      <w:r>
        <w:rPr>
          <w:sz w:val="24"/>
        </w:rPr>
        <w:t>In data 11 novembre 2015 Biochemtex ha incassato 809.716 sul conto corrente Credito Valtellinese N 965 e, in qualità di coordinatore del progetto, ha riassegnato ai partners Euro</w:t>
      </w:r>
      <w:r>
        <w:rPr>
          <w:spacing w:val="-2"/>
          <w:sz w:val="24"/>
        </w:rPr>
        <w:t> </w:t>
      </w:r>
      <w:r>
        <w:rPr>
          <w:sz w:val="24"/>
        </w:rPr>
        <w:t>442.615.</w:t>
      </w:r>
    </w:p>
    <w:p>
      <w:pPr>
        <w:pStyle w:val="ListParagraph"/>
        <w:numPr>
          <w:ilvl w:val="0"/>
          <w:numId w:val="35"/>
        </w:numPr>
        <w:tabs>
          <w:tab w:pos="2127" w:val="left" w:leader="none"/>
        </w:tabs>
        <w:spacing w:line="470" w:lineRule="auto" w:before="10" w:after="0"/>
        <w:ind w:left="2138" w:right="1415" w:hanging="360"/>
        <w:jc w:val="both"/>
        <w:rPr>
          <w:sz w:val="24"/>
        </w:rPr>
      </w:pPr>
      <w:r>
        <w:rPr>
          <w:sz w:val="24"/>
        </w:rPr>
        <w:t>In data 29 giugno 2017 Biochemtex ha incassato 681.767 sul conto corrente Credito Valtellinese N 965 e, in qualità di coordinatore del progetto, ha riassegnato ai partners Euro</w:t>
      </w:r>
      <w:r>
        <w:rPr>
          <w:spacing w:val="-2"/>
          <w:sz w:val="24"/>
        </w:rPr>
        <w:t> </w:t>
      </w:r>
      <w:r>
        <w:rPr>
          <w:sz w:val="24"/>
        </w:rPr>
        <w:t>325.674.</w:t>
      </w:r>
    </w:p>
    <w:p>
      <w:pPr>
        <w:pStyle w:val="BodyText"/>
        <w:spacing w:line="480" w:lineRule="auto" w:before="10"/>
        <w:ind w:left="1418" w:right="1411"/>
        <w:jc w:val="both"/>
      </w:pPr>
      <w:r>
        <w:rPr/>
        <w:t>Si segnala per completezza che a seguito del deposito della domanda di concordato preventivo è maturato un contributo, ad oggi non incassato, di Euro 69.208,18 che verrà decurtato dal debito per prefinanziamento.</w:t>
      </w:r>
    </w:p>
    <w:p>
      <w:pPr>
        <w:spacing w:line="480" w:lineRule="auto" w:before="0"/>
        <w:ind w:left="1418" w:right="1411" w:firstLine="0"/>
        <w:jc w:val="both"/>
        <w:rPr>
          <w:sz w:val="24"/>
        </w:rPr>
      </w:pPr>
      <w:r>
        <w:rPr>
          <w:sz w:val="24"/>
        </w:rPr>
        <w:t>Gli scriventi segnalano che la società ha comunicato alla Comunità Europea l’avvenuto deposito del concordato preventivo e che la stessa vi ha dato riscontro in data 19 dicembre 2017 precisando che </w:t>
      </w:r>
      <w:r>
        <w:rPr>
          <w:i/>
          <w:sz w:val="24"/>
        </w:rPr>
        <w:t>“il pre-finanziamento è ricevuto dal Coordinatore in conformità con il secondo paragrafo  </w:t>
      </w:r>
      <w:r>
        <w:rPr>
          <w:i/>
          <w:sz w:val="24"/>
        </w:rPr>
        <w:t>dell’Art. II.2 “Organizzazione del Consorzio e ruolo del Coordinatore”. Il Coordinatore è responsabile della gestione del contributo finanziario per quanto riguarda la sua ripartizione tra beneficiari e attività…..l’art II.19 del Graant Agreement prevede che il pre-finanziamento rimanga di proprietà della Commissione fino al pagamento finale…..A causa del ricorso presentato presso il tribunale di Alessandria, la commissione sta valutando tutte le opzioni, compresa la cessazione della partecipazione di Biochemtex nei progetti qualora il concordato preventivo evolvesse in una procedura di fallimento. In quest’ultimo caso e anche qualora Biochemtex non fosse più in grado di adempiere gli obblighi previsti dal Graant Agreement, la Commissione Europea avrà il diritto di recuperare il suo Pre-finanziamento…”. </w:t>
      </w:r>
      <w:r>
        <w:rPr>
          <w:sz w:val="24"/>
        </w:rPr>
        <w:t>Si precisa che la suddetta lettera fa riferimento sia al progetto Cometha sia al progetto</w:t>
      </w:r>
      <w:r>
        <w:rPr>
          <w:spacing w:val="-9"/>
          <w:sz w:val="24"/>
        </w:rPr>
        <w:t> </w:t>
      </w:r>
      <w:r>
        <w:rPr>
          <w:sz w:val="24"/>
        </w:rPr>
        <w:t>Bioreflay.</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6"/>
        <w:jc w:val="both"/>
      </w:pPr>
      <w:r>
        <w:rPr/>
        <w:t>A seguito del rischio di restituzione dei contributi sopra elencati lo Studio legale GOP ha elaborato un parere scritto con mail datata 10 aprile 2018, di cui gli scriventi hanno preso visione  e che verrà riportato nella sezione “attività svolta” di</w:t>
      </w:r>
      <w:r>
        <w:rPr>
          <w:spacing w:val="-11"/>
        </w:rPr>
        <w:t> </w:t>
      </w:r>
      <w:r>
        <w:rPr/>
        <w:t>seguito.</w:t>
      </w:r>
    </w:p>
    <w:p>
      <w:pPr>
        <w:pStyle w:val="Heading2"/>
        <w:numPr>
          <w:ilvl w:val="0"/>
          <w:numId w:val="36"/>
        </w:numPr>
        <w:tabs>
          <w:tab w:pos="2127" w:val="left" w:leader="none"/>
        </w:tabs>
        <w:spacing w:line="277" w:lineRule="exact" w:before="0" w:after="0"/>
        <w:ind w:left="2126" w:right="0" w:hanging="348"/>
        <w:jc w:val="left"/>
      </w:pPr>
      <w:r>
        <w:rPr>
          <w:u w:val="single"/>
        </w:rPr>
        <w:t>Progetto</w:t>
      </w:r>
      <w:r>
        <w:rPr>
          <w:spacing w:val="-4"/>
          <w:u w:val="single"/>
        </w:rPr>
        <w:t> </w:t>
      </w:r>
      <w:r>
        <w:rPr>
          <w:u w:val="single"/>
        </w:rPr>
        <w:t>Moghi</w:t>
      </w:r>
    </w:p>
    <w:p>
      <w:pPr>
        <w:pStyle w:val="BodyText"/>
        <w:spacing w:before="3"/>
        <w:rPr>
          <w:b/>
          <w:sz w:val="15"/>
        </w:rPr>
      </w:pPr>
    </w:p>
    <w:p>
      <w:pPr>
        <w:pStyle w:val="BodyText"/>
        <w:spacing w:line="480" w:lineRule="auto" w:before="100"/>
        <w:ind w:left="1418" w:right="1412"/>
        <w:jc w:val="both"/>
      </w:pPr>
      <w:r>
        <w:rPr/>
        <w:t>Per quanto riguarda il progetto Moghi, già descritto nel precedente paragrafo costi di ricerca e sviluppo, si segnala che nella voce in esame sono iscritti i costi riferita alla </w:t>
      </w:r>
      <w:r>
        <w:rPr>
          <w:b/>
          <w:u w:val="single"/>
        </w:rPr>
        <w:t>fase due </w:t>
      </w:r>
      <w:r>
        <w:rPr/>
        <w:t>del progetto, allo stato attuale non ancora conclusa. Come premesso, la società ha restituito il contributo a fondo perduto ricevuto dalla regione Puglia alla luce dell’impossibilità di realizzare l’impianto pilota nel comune di Modugno. Per maggiori dettagli in merito si rimanda al paragrafo costi di ricerca e sviluppo. I costi capitalizzati in questa posta contabile si riferiscono sempre a spese del personale sostenute per lo sviluppo del progetto in corso.</w:t>
      </w:r>
    </w:p>
    <w:p>
      <w:pPr>
        <w:pStyle w:val="Heading2"/>
        <w:numPr>
          <w:ilvl w:val="0"/>
          <w:numId w:val="36"/>
        </w:numPr>
        <w:tabs>
          <w:tab w:pos="2127" w:val="left" w:leader="none"/>
        </w:tabs>
        <w:spacing w:line="278" w:lineRule="exact" w:before="0" w:after="0"/>
        <w:ind w:left="2126" w:right="0" w:hanging="348"/>
        <w:jc w:val="left"/>
      </w:pPr>
      <w:r>
        <w:rPr>
          <w:u w:val="single"/>
        </w:rPr>
        <w:t>Progetto</w:t>
      </w:r>
      <w:r>
        <w:rPr>
          <w:spacing w:val="-7"/>
          <w:u w:val="single"/>
        </w:rPr>
        <w:t> </w:t>
      </w:r>
      <w:r>
        <w:rPr>
          <w:u w:val="single"/>
        </w:rPr>
        <w:t>Biorefly</w:t>
      </w:r>
    </w:p>
    <w:p>
      <w:pPr>
        <w:pStyle w:val="BodyText"/>
        <w:spacing w:before="4"/>
        <w:rPr>
          <w:b/>
          <w:sz w:val="15"/>
        </w:rPr>
      </w:pPr>
    </w:p>
    <w:p>
      <w:pPr>
        <w:pStyle w:val="BodyText"/>
        <w:spacing w:line="480" w:lineRule="auto" w:before="100"/>
        <w:ind w:left="1418" w:right="1414"/>
        <w:jc w:val="both"/>
      </w:pPr>
      <w:r>
        <w:rPr/>
        <w:t>Il progetto Biorefly rientra nel programma “SEVENTH FRAMEWORK PROGRAMME” ed ha lo scopo di sviluppare e costruire il primo impianto pre-commerciale per la produzione di Jet Fuels da lignina da utilizzare come biocarburante per il trasporto aereo. Lo stesso prevede il coinvolgimento di più partners di cui la ricorrente è il coordinatore e una durata di 60 mesi.</w:t>
      </w:r>
    </w:p>
    <w:p>
      <w:pPr>
        <w:pStyle w:val="BodyText"/>
        <w:spacing w:line="480" w:lineRule="auto"/>
        <w:ind w:left="1418" w:right="1419"/>
        <w:jc w:val="both"/>
      </w:pPr>
      <w:r>
        <w:rPr/>
        <w:t>In data 04 dicembre 2014 Biochemtex e la Commissione Europea hanno sottoscritto il Grant Agreement n. ENER/FP7/612747 che prevede il finanziamento dello stesso progetto Biorefly, per un importo massimo di Euro 13.767.937. Di seguito si riportano gli incassi ricevuti a finanziamento del progetto da parte della Comunità Europea:</w:t>
      </w:r>
    </w:p>
    <w:p>
      <w:pPr>
        <w:pStyle w:val="ListParagraph"/>
        <w:numPr>
          <w:ilvl w:val="0"/>
          <w:numId w:val="37"/>
        </w:numPr>
        <w:tabs>
          <w:tab w:pos="2127" w:val="left" w:leader="none"/>
        </w:tabs>
        <w:spacing w:line="470" w:lineRule="auto" w:before="0" w:after="0"/>
        <w:ind w:left="2138" w:right="1418" w:hanging="360"/>
        <w:jc w:val="both"/>
        <w:rPr>
          <w:sz w:val="24"/>
        </w:rPr>
      </w:pPr>
      <w:r>
        <w:rPr>
          <w:sz w:val="24"/>
        </w:rPr>
        <w:t>In data 17 dicembre 2014 ha incassato sul conto Credito Valtellinese 965 Euro 4.818.778 e in qualità di coordinatore del progetto ha distribuito ai restanti partner del progetto Euro</w:t>
      </w:r>
      <w:r>
        <w:rPr>
          <w:spacing w:val="-2"/>
          <w:sz w:val="24"/>
        </w:rPr>
        <w:t> </w:t>
      </w:r>
      <w:r>
        <w:rPr>
          <w:sz w:val="24"/>
        </w:rPr>
        <w:t>1.204.832;</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37"/>
        </w:numPr>
        <w:tabs>
          <w:tab w:pos="2127" w:val="left" w:leader="none"/>
        </w:tabs>
        <w:spacing w:line="470" w:lineRule="auto" w:before="78" w:after="0"/>
        <w:ind w:left="2138" w:right="1419" w:hanging="360"/>
        <w:jc w:val="both"/>
        <w:rPr>
          <w:sz w:val="24"/>
        </w:rPr>
      </w:pPr>
      <w:r>
        <w:rPr>
          <w:sz w:val="24"/>
        </w:rPr>
        <w:t>In data 25 novembre 2016 ha incassato sul conto Credito Valtellinese N 965 Euro 1.066.343, in qualità di coordinatore del progetto ha distribuito ai restanti partner del progetto Euro</w:t>
      </w:r>
      <w:r>
        <w:rPr>
          <w:spacing w:val="-10"/>
          <w:sz w:val="24"/>
        </w:rPr>
        <w:t> </w:t>
      </w:r>
      <w:r>
        <w:rPr>
          <w:sz w:val="24"/>
        </w:rPr>
        <w:t>531.544.</w:t>
      </w:r>
    </w:p>
    <w:p>
      <w:pPr>
        <w:pStyle w:val="BodyText"/>
        <w:spacing w:line="480" w:lineRule="auto" w:before="10"/>
        <w:ind w:left="1418" w:right="1415"/>
        <w:jc w:val="both"/>
      </w:pPr>
      <w:r>
        <w:rPr/>
        <w:t>Successivamente al deposito della domanda di concordato preventivo, è maturato un ulteriore contributo, allo stato attuale ancora non incassato, pari ad Euro 372.523,27 che verrà decurtato dall’importo ricevuto a titolo di prefinanziamento.</w:t>
      </w:r>
    </w:p>
    <w:p>
      <w:pPr>
        <w:pStyle w:val="BodyText"/>
        <w:spacing w:line="480" w:lineRule="auto"/>
        <w:ind w:left="1418" w:right="1417"/>
        <w:jc w:val="both"/>
      </w:pPr>
      <w:r>
        <w:rPr/>
        <w:t>Si ricorda che in data 19 dicembre 2017 la comunità Europea ha precisato che il  prefinanziamento rimane di sua proprietà fino al pagamento della rata finale e che in caso Biochemtex non fosse in grado di adempiere gli obblighi previsti dal Graant Agreement la Commissione avrà il diritto di recuperare il prefinanziamento erogato. A seguito del rischio insito nelle previsioni contrattuali, lo Studio GOP ha elaborato un parere scritto con mail datata 10 aprile 2018, di cui gli scriventi hanno preso visione e che verrà riportato nella sezione “attività svolta” di</w:t>
      </w:r>
      <w:r>
        <w:rPr>
          <w:spacing w:val="-4"/>
        </w:rPr>
        <w:t> </w:t>
      </w:r>
      <w:r>
        <w:rPr/>
        <w:t>seguito.</w:t>
      </w:r>
    </w:p>
    <w:p>
      <w:pPr>
        <w:pStyle w:val="BodyText"/>
        <w:ind w:left="1418"/>
        <w:jc w:val="both"/>
      </w:pPr>
      <w:r>
        <w:rPr>
          <w:u w:val="single"/>
        </w:rPr>
        <w:t>Attività svolta</w:t>
      </w:r>
    </w:p>
    <w:p>
      <w:pPr>
        <w:pStyle w:val="BodyText"/>
        <w:spacing w:before="11"/>
        <w:rPr>
          <w:sz w:val="23"/>
        </w:rPr>
      </w:pPr>
    </w:p>
    <w:p>
      <w:pPr>
        <w:pStyle w:val="BodyText"/>
        <w:spacing w:line="480" w:lineRule="auto"/>
        <w:ind w:left="1418" w:right="1415"/>
        <w:jc w:val="both"/>
      </w:pPr>
      <w:r>
        <w:rPr/>
        <w:t>Ai fini dell’analisi della veridicità dei dati, gli scriventi hanno preso visione dei mastrini contabili, della documentazione a campione attestante la capitalizzazione dei costi, principalmente riferibili  a costo del personale. Inoltre, con riferimento ai progetti Cometha e Biorefly, gli scriventi hanno preso visione dei Grant Agreement sottoscritti da Biochemtex con la Comunità Europea, delle contabili di accredito dei pre-finanziamento e dei contributi a fondo perduto, della lettera ricevuta dalla Commissione Europea a seguito di comunicazione dell’entrata in procedura concorsuale da parte della</w:t>
      </w:r>
      <w:r>
        <w:rPr>
          <w:spacing w:val="-8"/>
        </w:rPr>
        <w:t> </w:t>
      </w:r>
      <w:r>
        <w:rPr/>
        <w:t>ricorrente.</w:t>
      </w:r>
    </w:p>
    <w:p>
      <w:pPr>
        <w:pStyle w:val="BodyText"/>
        <w:spacing w:line="480" w:lineRule="auto"/>
        <w:ind w:left="1418" w:right="1420"/>
        <w:jc w:val="both"/>
      </w:pPr>
      <w:r>
        <w:rPr/>
        <w:t>Con riferimento al progetto Moghi, gli scriventi hanno esaminato il decreto di concessione del contributo ed hanno preso visione della contabile bancaria della restituzione del contributo.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2"/>
        <w:jc w:val="both"/>
      </w:pPr>
      <w:r>
        <w:rPr/>
        <w:t>Gli scriventi hanno preso visione del parere rilasciato in data 10 aprile 2018 dallo Studio Legale GOP, il quale ha analizzato se i contratti rientrassero nel perimetro dell’Offerta Versalis e se sussistano eventuali passività potenziali scaturenti dagli stessi. Lo studio GOP precisa:</w:t>
      </w:r>
    </w:p>
    <w:p>
      <w:pPr>
        <w:pStyle w:val="ListParagraph"/>
        <w:numPr>
          <w:ilvl w:val="0"/>
          <w:numId w:val="38"/>
        </w:numPr>
        <w:tabs>
          <w:tab w:pos="1847" w:val="left" w:leader="none"/>
        </w:tabs>
        <w:spacing w:line="240" w:lineRule="auto" w:before="0" w:after="0"/>
        <w:ind w:left="1846" w:right="0" w:hanging="360"/>
        <w:jc w:val="both"/>
        <w:rPr>
          <w:i/>
          <w:sz w:val="24"/>
        </w:rPr>
      </w:pPr>
      <w:r>
        <w:rPr>
          <w:i/>
          <w:sz w:val="24"/>
        </w:rPr>
        <w:t>“che, in particolare, i progetti di cui si tratta sono tutti relativi e/o funzionali ad attività o tecnologie</w:t>
      </w:r>
      <w:r>
        <w:rPr>
          <w:i/>
          <w:spacing w:val="-15"/>
          <w:sz w:val="24"/>
        </w:rPr>
        <w:t> </w:t>
      </w:r>
      <w:r>
        <w:rPr>
          <w:i/>
          <w:sz w:val="24"/>
        </w:rPr>
        <w:t>“Bio”;</w:t>
      </w:r>
    </w:p>
    <w:p>
      <w:pPr>
        <w:pStyle w:val="BodyText"/>
        <w:spacing w:before="10"/>
        <w:rPr>
          <w:i/>
          <w:sz w:val="23"/>
        </w:rPr>
      </w:pPr>
    </w:p>
    <w:p>
      <w:pPr>
        <w:pStyle w:val="ListParagraph"/>
        <w:numPr>
          <w:ilvl w:val="0"/>
          <w:numId w:val="38"/>
        </w:numPr>
        <w:tabs>
          <w:tab w:pos="1846" w:val="left" w:leader="none"/>
          <w:tab w:pos="1847" w:val="left" w:leader="none"/>
        </w:tabs>
        <w:spacing w:line="460" w:lineRule="auto" w:before="0" w:after="0"/>
        <w:ind w:left="1846" w:right="1415" w:hanging="360"/>
        <w:jc w:val="left"/>
        <w:rPr>
          <w:i/>
          <w:sz w:val="24"/>
        </w:rPr>
      </w:pPr>
      <w:r>
        <w:rPr>
          <w:i/>
          <w:sz w:val="24"/>
        </w:rPr>
        <w:t>che, relat</w:t>
      </w:r>
      <w:r>
        <w:rPr>
          <w:sz w:val="24"/>
        </w:rPr>
        <w:t>iva</w:t>
      </w:r>
      <w:r>
        <w:rPr>
          <w:i/>
          <w:sz w:val="24"/>
        </w:rPr>
        <w:t>mente ai progetti in corso, ad oggi le società hanno incassato solamente contributi a fondo perduto </w:t>
      </w:r>
      <w:r>
        <w:rPr>
          <w:i/>
          <w:sz w:val="24"/>
        </w:rPr>
        <w:t>a titolo di</w:t>
      </w:r>
      <w:r>
        <w:rPr>
          <w:i/>
          <w:spacing w:val="-10"/>
          <w:sz w:val="24"/>
        </w:rPr>
        <w:t> </w:t>
      </w:r>
      <w:r>
        <w:rPr>
          <w:i/>
          <w:sz w:val="24"/>
        </w:rPr>
        <w:t>pre-finanziamento;</w:t>
      </w:r>
    </w:p>
    <w:p>
      <w:pPr>
        <w:pStyle w:val="ListParagraph"/>
        <w:numPr>
          <w:ilvl w:val="0"/>
          <w:numId w:val="38"/>
        </w:numPr>
        <w:tabs>
          <w:tab w:pos="1847" w:val="left" w:leader="none"/>
        </w:tabs>
        <w:spacing w:line="470" w:lineRule="auto" w:before="21" w:after="0"/>
        <w:ind w:left="1846" w:right="1416" w:hanging="360"/>
        <w:jc w:val="both"/>
        <w:rPr>
          <w:i/>
          <w:sz w:val="24"/>
        </w:rPr>
      </w:pPr>
      <w:r>
        <w:rPr>
          <w:i/>
          <w:sz w:val="24"/>
        </w:rPr>
        <w:t>che tali pre-finanziamenti vengono riportati nella contabilità aziendale tra le passività, che vengono via via </w:t>
      </w:r>
      <w:r>
        <w:rPr>
          <w:i/>
          <w:sz w:val="24"/>
        </w:rPr>
        <w:t>ridotte in funzione dell’avanzamento lavori dietro emissione di SAL, soggetti ad approvazione delle autorità competenti, riportati tra le attività</w:t>
      </w:r>
      <w:r>
        <w:rPr>
          <w:i/>
          <w:spacing w:val="-21"/>
          <w:sz w:val="24"/>
        </w:rPr>
        <w:t> </w:t>
      </w:r>
      <w:r>
        <w:rPr>
          <w:i/>
          <w:sz w:val="24"/>
        </w:rPr>
        <w:t>aziendali;</w:t>
      </w:r>
    </w:p>
    <w:p>
      <w:pPr>
        <w:pStyle w:val="ListParagraph"/>
        <w:numPr>
          <w:ilvl w:val="0"/>
          <w:numId w:val="38"/>
        </w:numPr>
        <w:tabs>
          <w:tab w:pos="1847" w:val="left" w:leader="none"/>
        </w:tabs>
        <w:spacing w:line="240" w:lineRule="auto" w:before="10" w:after="0"/>
        <w:ind w:left="1846" w:right="0" w:hanging="360"/>
        <w:jc w:val="both"/>
        <w:rPr>
          <w:i/>
          <w:sz w:val="24"/>
        </w:rPr>
      </w:pPr>
      <w:r>
        <w:rPr>
          <w:i/>
          <w:sz w:val="24"/>
        </w:rPr>
        <w:t>che solo in caso di mancato completamento del progetto i pre-finanziamenti dovrebbero essere</w:t>
      </w:r>
      <w:r>
        <w:rPr>
          <w:i/>
          <w:spacing w:val="-33"/>
          <w:sz w:val="24"/>
        </w:rPr>
        <w:t> </w:t>
      </w:r>
      <w:r>
        <w:rPr>
          <w:i/>
          <w:sz w:val="24"/>
        </w:rPr>
        <w:t>restituiti;</w:t>
      </w:r>
    </w:p>
    <w:p>
      <w:pPr>
        <w:pStyle w:val="BodyText"/>
        <w:spacing w:before="9"/>
        <w:rPr>
          <w:i/>
          <w:sz w:val="23"/>
        </w:rPr>
      </w:pPr>
    </w:p>
    <w:p>
      <w:pPr>
        <w:pStyle w:val="ListParagraph"/>
        <w:numPr>
          <w:ilvl w:val="0"/>
          <w:numId w:val="38"/>
        </w:numPr>
        <w:tabs>
          <w:tab w:pos="1846" w:val="left" w:leader="none"/>
          <w:tab w:pos="1847" w:val="left" w:leader="none"/>
        </w:tabs>
        <w:spacing w:line="460" w:lineRule="auto" w:before="0" w:after="0"/>
        <w:ind w:left="1846" w:right="1414" w:hanging="360"/>
        <w:jc w:val="left"/>
        <w:rPr>
          <w:i/>
          <w:sz w:val="24"/>
        </w:rPr>
      </w:pPr>
      <w:r>
        <w:rPr>
          <w:i/>
          <w:sz w:val="24"/>
        </w:rPr>
        <w:t>che i pre-finanziamenti ricevuti sono stati utilizzati per lo sviluppo dei progetti relativi alle attività/tecnologie </w:t>
      </w:r>
      <w:r>
        <w:rPr>
          <w:i/>
          <w:sz w:val="24"/>
        </w:rPr>
        <w:t>Bio.”</w:t>
      </w:r>
    </w:p>
    <w:p>
      <w:pPr>
        <w:spacing w:line="480" w:lineRule="auto" w:before="21"/>
        <w:ind w:left="1418" w:right="1412" w:firstLine="0"/>
        <w:jc w:val="both"/>
        <w:rPr>
          <w:i/>
          <w:sz w:val="24"/>
        </w:rPr>
      </w:pPr>
      <w:r>
        <w:rPr>
          <w:i/>
          <w:sz w:val="24"/>
        </w:rPr>
        <w:t>Il meccanismo descritto da parte delle Società ci pare conforme e coerente con le General Conditions del FP7 Grant </w:t>
      </w:r>
      <w:r>
        <w:rPr>
          <w:i/>
          <w:sz w:val="24"/>
        </w:rPr>
        <w:t>Agreement (Annex II), le quali:</w:t>
      </w:r>
    </w:p>
    <w:p>
      <w:pPr>
        <w:pStyle w:val="ListParagraph"/>
        <w:numPr>
          <w:ilvl w:val="0"/>
          <w:numId w:val="39"/>
        </w:numPr>
        <w:tabs>
          <w:tab w:pos="1556" w:val="left" w:leader="none"/>
        </w:tabs>
        <w:spacing w:line="480" w:lineRule="auto" w:before="0" w:after="0"/>
        <w:ind w:left="1418" w:right="1411" w:firstLine="0"/>
        <w:jc w:val="both"/>
        <w:rPr>
          <w:i/>
          <w:sz w:val="24"/>
        </w:rPr>
      </w:pPr>
      <w:r>
        <w:rPr>
          <w:i/>
          <w:sz w:val="24"/>
        </w:rPr>
        <w:t>al paragrafo II.19, prevedono che il “pre-financing remains the property of the Unione until the final payment” </w:t>
      </w:r>
      <w:r>
        <w:rPr>
          <w:i/>
          <w:sz w:val="24"/>
        </w:rPr>
        <w:t>(intendendo per “final payment” il pagamento dell’ultima tranche di contributi da parte della Commissione, cfr. par. II.6), con ciò stabilendo che al termine del progetto, il prefinanziamento debba ragionevolmente intendersi definit</w:t>
      </w:r>
      <w:r>
        <w:rPr>
          <w:sz w:val="24"/>
        </w:rPr>
        <w:t>iva</w:t>
      </w:r>
      <w:r>
        <w:rPr>
          <w:i/>
          <w:sz w:val="24"/>
        </w:rPr>
        <w:t>mente acquisito in capo al</w:t>
      </w:r>
      <w:r>
        <w:rPr>
          <w:i/>
          <w:spacing w:val="-15"/>
          <w:sz w:val="24"/>
        </w:rPr>
        <w:t> </w:t>
      </w:r>
      <w:r>
        <w:rPr>
          <w:i/>
          <w:sz w:val="24"/>
        </w:rPr>
        <w:t>beneficiario;</w:t>
      </w:r>
    </w:p>
    <w:p>
      <w:pPr>
        <w:pStyle w:val="ListParagraph"/>
        <w:numPr>
          <w:ilvl w:val="0"/>
          <w:numId w:val="39"/>
        </w:numPr>
        <w:tabs>
          <w:tab w:pos="1542" w:val="left" w:leader="none"/>
        </w:tabs>
        <w:spacing w:line="240" w:lineRule="auto" w:before="0" w:after="0"/>
        <w:ind w:left="1541" w:right="0" w:hanging="123"/>
        <w:jc w:val="both"/>
        <w:rPr>
          <w:i/>
          <w:sz w:val="24"/>
        </w:rPr>
      </w:pPr>
      <w:r>
        <w:rPr>
          <w:i/>
          <w:sz w:val="24"/>
        </w:rPr>
        <w:t>non prevedono una disciplina di rimborso fisiologico del</w:t>
      </w:r>
      <w:r>
        <w:rPr>
          <w:i/>
          <w:spacing w:val="-24"/>
          <w:sz w:val="24"/>
        </w:rPr>
        <w:t> </w:t>
      </w:r>
      <w:r>
        <w:rPr>
          <w:i/>
          <w:sz w:val="24"/>
        </w:rPr>
        <w:t>prefinanziamento;</w:t>
      </w:r>
    </w:p>
    <w:p>
      <w:pPr>
        <w:pStyle w:val="BodyText"/>
        <w:spacing w:before="10"/>
        <w:rPr>
          <w:i/>
          <w:sz w:val="23"/>
        </w:rPr>
      </w:pPr>
    </w:p>
    <w:p>
      <w:pPr>
        <w:pStyle w:val="ListParagraph"/>
        <w:numPr>
          <w:ilvl w:val="0"/>
          <w:numId w:val="39"/>
        </w:numPr>
        <w:tabs>
          <w:tab w:pos="1578" w:val="left" w:leader="none"/>
        </w:tabs>
        <w:spacing w:line="480" w:lineRule="auto" w:before="0" w:after="0"/>
        <w:ind w:left="1418" w:right="1413" w:firstLine="0"/>
        <w:jc w:val="both"/>
        <w:rPr>
          <w:i/>
          <w:sz w:val="24"/>
        </w:rPr>
      </w:pPr>
      <w:r>
        <w:rPr>
          <w:i/>
          <w:sz w:val="24"/>
        </w:rPr>
        <w:t>prevedono un unico meccanismo di rimborso al par. II.21, relativo alle restituzioni dovute in caso di eventi </w:t>
      </w:r>
      <w:r>
        <w:rPr>
          <w:i/>
          <w:sz w:val="24"/>
        </w:rPr>
        <w:t>patologici del rapporto tra i quali, in particolare e per quanto più ci riguarda, per il caso di mancato completamento del progetto finanziato. In tale ipotesi, peraltro, va sottolineato che i contratti prevedono, contestualmente all’erogazione dei Pre-finanziamenti, che l’Organo erogante trattenga un importo pari al 5% delle somme</w:t>
      </w:r>
      <w:r>
        <w:rPr>
          <w:i/>
          <w:spacing w:val="51"/>
          <w:sz w:val="24"/>
        </w:rPr>
        <w:t> </w:t>
      </w:r>
      <w:r>
        <w:rPr>
          <w:i/>
          <w:sz w:val="24"/>
        </w:rPr>
        <w:t>concesse,</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5" w:firstLine="0"/>
        <w:jc w:val="both"/>
        <w:rPr>
          <w:i/>
          <w:sz w:val="24"/>
        </w:rPr>
      </w:pPr>
      <w:r>
        <w:rPr>
          <w:i/>
          <w:sz w:val="24"/>
        </w:rPr>
        <w:t>quale Fondo a garanzia del mancato rimborso del Pre-finanziamento ove, al verificarsi di uno dei predetti eventi </w:t>
      </w:r>
      <w:r>
        <w:rPr>
          <w:i/>
          <w:sz w:val="24"/>
        </w:rPr>
        <w:t>patologici, la Società non provveda alla restituzione del Pre-finanziamento erogato, entro 30 giorni dall’eventuale richiesta in tal senso formulata dalla UE.</w:t>
      </w:r>
    </w:p>
    <w:p>
      <w:pPr>
        <w:spacing w:line="480" w:lineRule="auto" w:before="0"/>
        <w:ind w:left="1418" w:right="1412" w:firstLine="0"/>
        <w:jc w:val="both"/>
        <w:rPr>
          <w:i/>
          <w:sz w:val="24"/>
        </w:rPr>
      </w:pPr>
      <w:r>
        <w:rPr>
          <w:i/>
          <w:sz w:val="24"/>
        </w:rPr>
        <w:t>Venendo al caso di specie e alla valutazione del rischio che la Comunità Europea possa chiedere il rimborso di  </w:t>
      </w:r>
      <w:r>
        <w:rPr>
          <w:i/>
          <w:sz w:val="24"/>
        </w:rPr>
        <w:t>detti finanziamenti, rileviamo</w:t>
      </w:r>
      <w:r>
        <w:rPr>
          <w:i/>
          <w:spacing w:val="-10"/>
          <w:sz w:val="24"/>
        </w:rPr>
        <w:t> </w:t>
      </w:r>
      <w:r>
        <w:rPr>
          <w:i/>
          <w:sz w:val="24"/>
        </w:rPr>
        <w:t>che:</w:t>
      </w:r>
    </w:p>
    <w:p>
      <w:pPr>
        <w:pStyle w:val="ListParagraph"/>
        <w:numPr>
          <w:ilvl w:val="1"/>
          <w:numId w:val="39"/>
        </w:numPr>
        <w:tabs>
          <w:tab w:pos="2127" w:val="left" w:leader="none"/>
        </w:tabs>
        <w:spacing w:line="477" w:lineRule="auto" w:before="0" w:after="0"/>
        <w:ind w:left="2138" w:right="1411" w:hanging="360"/>
        <w:jc w:val="both"/>
        <w:rPr>
          <w:i/>
          <w:sz w:val="24"/>
        </w:rPr>
      </w:pPr>
      <w:r>
        <w:rPr>
          <w:i/>
          <w:sz w:val="24"/>
        </w:rPr>
        <w:t>l’Offerta Versalis prevede espressamente che “fanno parte delle Aziende Bio e sono pertanto oggetto della </w:t>
      </w:r>
      <w:r>
        <w:rPr>
          <w:i/>
          <w:sz w:val="24"/>
        </w:rPr>
        <w:t>presente Offerta e saranno trasferiti a all’Offerente, tutti i singoli beni, diritti e rapporti inerenti e/o funzionali alle Attività Bio e/o alle Tecnologie Bio (compless</w:t>
      </w:r>
      <w:r>
        <w:rPr>
          <w:sz w:val="24"/>
        </w:rPr>
        <w:t>iva</w:t>
      </w:r>
      <w:r>
        <w:rPr>
          <w:i/>
          <w:sz w:val="24"/>
        </w:rPr>
        <w:t>mente i “Beni e Rapporti Trasferiti”, ivi </w:t>
      </w:r>
      <w:r>
        <w:rPr>
          <w:i/>
          <w:sz w:val="24"/>
        </w:rPr>
        <w:t>inclusi, a titolo esemplificativo e non esaustivo …: (vii) Finanziamenti agevolati: la documentazione, i progetti (incluso lo stato di avanzamento sino alla Data di Esecuzione) … i rapporti, i contratti, le convenzioni e ogni altro elemento relativo e/o necessari al mantenimento dei finanziamenti agevolati, sovvenzioni, grant, finanziamenti alla ricerca e sviluppo e altra agevolazione o sovvenzione … restando espressamente esclusi i debiti e gli obblighi, anche di rimborso o relativi a inadempimenti, penali, maturati sino alla Data di Esecuzione o comunque conseguenti a eventuali azioni o omissioni compiute dalla Società fino alla Data di Esecuzione” (cfr. art. 1.2. – (vii) 1 dell’“Offerta</w:t>
      </w:r>
      <w:r>
        <w:rPr>
          <w:i/>
          <w:spacing w:val="-9"/>
          <w:sz w:val="24"/>
        </w:rPr>
        <w:t> </w:t>
      </w:r>
      <w:r>
        <w:rPr>
          <w:i/>
          <w:sz w:val="24"/>
        </w:rPr>
        <w:t>Versalis”);</w:t>
      </w:r>
    </w:p>
    <w:p>
      <w:pPr>
        <w:pStyle w:val="ListParagraph"/>
        <w:numPr>
          <w:ilvl w:val="1"/>
          <w:numId w:val="39"/>
        </w:numPr>
        <w:tabs>
          <w:tab w:pos="2127" w:val="left" w:leader="none"/>
        </w:tabs>
        <w:spacing w:line="460" w:lineRule="auto" w:before="2" w:after="0"/>
        <w:ind w:left="2138" w:right="1420" w:hanging="360"/>
        <w:jc w:val="both"/>
        <w:rPr>
          <w:i/>
          <w:sz w:val="24"/>
        </w:rPr>
      </w:pPr>
      <w:r>
        <w:rPr>
          <w:i/>
          <w:sz w:val="24"/>
        </w:rPr>
        <w:t>i Pre-finanziamenti concessi, come confermato dalla Società, hanno tutti ad oggetto lo sviluppo del </w:t>
      </w:r>
      <w:r>
        <w:rPr>
          <w:i/>
          <w:sz w:val="24"/>
        </w:rPr>
        <w:t>Bioetanolo e pertanto, a nostro avviso, dovrebbero rientrare nel perimetro dell’Offerta</w:t>
      </w:r>
      <w:r>
        <w:rPr>
          <w:i/>
          <w:spacing w:val="-15"/>
          <w:sz w:val="24"/>
        </w:rPr>
        <w:t> </w:t>
      </w:r>
      <w:r>
        <w:rPr>
          <w:i/>
          <w:sz w:val="24"/>
        </w:rPr>
        <w:t>Versalis;</w:t>
      </w:r>
    </w:p>
    <w:p>
      <w:pPr>
        <w:pStyle w:val="ListParagraph"/>
        <w:numPr>
          <w:ilvl w:val="1"/>
          <w:numId w:val="39"/>
        </w:numPr>
        <w:tabs>
          <w:tab w:pos="2127" w:val="left" w:leader="none"/>
        </w:tabs>
        <w:spacing w:line="472" w:lineRule="auto" w:before="21" w:after="0"/>
        <w:ind w:left="2138" w:right="1413" w:hanging="360"/>
        <w:jc w:val="both"/>
        <w:rPr>
          <w:i/>
          <w:sz w:val="24"/>
        </w:rPr>
      </w:pPr>
      <w:r>
        <w:rPr>
          <w:i/>
          <w:sz w:val="24"/>
        </w:rPr>
        <w:t>sulla base della ricostruzione contrattuale sopra rappresentata, allo stato (e ragionevolmente anche alla </w:t>
      </w:r>
      <w:r>
        <w:rPr>
          <w:i/>
          <w:sz w:val="24"/>
        </w:rPr>
        <w:t>“Data di Esecuzione”, come indicata nell’Offerta Versalis) non sussistono in capo alle Società verso la UE né “debiti né obblighi di rimborso”, né penali conseguenti ad azioni o omissioni delle Società medesime.</w:t>
      </w:r>
    </w:p>
    <w:p>
      <w:pPr>
        <w:spacing w:line="480" w:lineRule="auto" w:before="7"/>
        <w:ind w:left="1418" w:right="1415" w:firstLine="60"/>
        <w:jc w:val="both"/>
        <w:rPr>
          <w:i/>
          <w:sz w:val="24"/>
        </w:rPr>
      </w:pPr>
      <w:r>
        <w:rPr>
          <w:i/>
          <w:sz w:val="24"/>
          <w:u w:val="single"/>
        </w:rPr>
        <w:t>Sulla base di tali assunti e visto il tenore letterale dell’Offerta formulata, riteniamo che i Progetti (e i relativi oneri </w:t>
      </w:r>
      <w:r>
        <w:rPr>
          <w:i/>
          <w:sz w:val="24"/>
          <w:u w:val="single"/>
        </w:rPr>
        <w:t>potenziali) rientrino nell’Offerta Versalis, anche alla luce del fatto che quest’ultima ne ha potuto prendere   visione</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7" w:firstLine="0"/>
        <w:jc w:val="both"/>
        <w:rPr>
          <w:i/>
          <w:sz w:val="24"/>
        </w:rPr>
      </w:pPr>
      <w:r>
        <w:rPr>
          <w:i/>
          <w:sz w:val="24"/>
          <w:u w:val="single"/>
        </w:rPr>
        <w:t>nel corso della due diligence. Inoltre, riteniamo plausibile considerare l’eventuale restituzione del prefinanziamento </w:t>
      </w:r>
      <w:r>
        <w:rPr>
          <w:i/>
          <w:sz w:val="24"/>
          <w:u w:val="single"/>
        </w:rPr>
        <w:t>erogato dalla Commissione Europea, tutt’al più, quale passività potenziale che, afferendo al “Perimetro Bio”, dovrà essere gestita da Versalis. Questa infatti, acquisendo i Progetti, avrà anche l’onere di portarli a compimento o, in caso decidesse di non farlo, dovrà sostenerne gli eventuali costi. Non è infatti ipotizzabile il caso in cui le conseguenze rivenienti dal portare o meno avanti i Progetti – che, dopo la loro cessione a Versalis, dipenderanno</w:t>
      </w:r>
      <w:r>
        <w:rPr>
          <w:i/>
          <w:spacing w:val="-27"/>
          <w:sz w:val="24"/>
          <w:u w:val="single"/>
        </w:rPr>
        <w:t> </w:t>
      </w:r>
      <w:r>
        <w:rPr>
          <w:i/>
          <w:sz w:val="24"/>
          <w:u w:val="single"/>
        </w:rPr>
        <w:t>da</w:t>
      </w:r>
    </w:p>
    <w:p>
      <w:pPr>
        <w:spacing w:line="480" w:lineRule="auto" w:before="0"/>
        <w:ind w:left="1418" w:right="1412" w:firstLine="0"/>
        <w:jc w:val="left"/>
        <w:rPr>
          <w:i/>
          <w:sz w:val="24"/>
        </w:rPr>
      </w:pPr>
      <w:r>
        <w:rPr>
          <w:i/>
          <w:sz w:val="24"/>
          <w:u w:val="single"/>
        </w:rPr>
        <w:t>scelte imprenditoriali fatte da quest’ultima – posano ricadere sulle Società del Gruppo M&amp;G che, come dalle stesse </w:t>
      </w:r>
      <w:r>
        <w:rPr>
          <w:i/>
          <w:sz w:val="24"/>
          <w:u w:val="single"/>
        </w:rPr>
        <w:t>dichiarato, hanno sino ad oggi dato corso ai progetti e utilizzato i pre-finanziamenti per lo sviluppo delle attività  e</w:t>
      </w:r>
    </w:p>
    <w:p>
      <w:pPr>
        <w:spacing w:line="270" w:lineRule="exact" w:before="0"/>
        <w:ind w:left="1418" w:right="0" w:firstLine="0"/>
        <w:jc w:val="both"/>
        <w:rPr>
          <w:i/>
          <w:sz w:val="24"/>
        </w:rPr>
      </w:pPr>
      <w:r>
        <w:rPr>
          <w:i/>
          <w:sz w:val="24"/>
          <w:u w:val="single"/>
        </w:rPr>
        <w:t>delle tecnologie Bio.”</w:t>
      </w:r>
    </w:p>
    <w:p>
      <w:pPr>
        <w:pStyle w:val="BodyText"/>
        <w:rPr>
          <w:i/>
        </w:rPr>
      </w:pPr>
    </w:p>
    <w:p>
      <w:pPr>
        <w:pStyle w:val="BodyText"/>
        <w:spacing w:line="480" w:lineRule="auto"/>
        <w:ind w:left="1418" w:right="1414"/>
        <w:jc w:val="both"/>
      </w:pPr>
      <w:r>
        <w:rPr/>
        <w:t>Sulla base del parere dello studio legale Gianni Origoni appare dunque ragionevole che eventuali passività scaturenti dalla richiesta di restituzione dei contributi siano gestite da Versalis che subentrerà nei progetti a fronte dei quali i contributi sono stati erogati.</w:t>
      </w:r>
    </w:p>
    <w:p>
      <w:pPr>
        <w:pStyle w:val="BodyText"/>
        <w:ind w:left="1418"/>
        <w:jc w:val="both"/>
      </w:pPr>
      <w:r>
        <w:rPr>
          <w:u w:val="single"/>
        </w:rPr>
        <w:t>Valorizzazione concordataria</w:t>
      </w:r>
    </w:p>
    <w:p>
      <w:pPr>
        <w:pStyle w:val="BodyText"/>
        <w:spacing w:before="10"/>
        <w:rPr>
          <w:sz w:val="23"/>
        </w:rPr>
      </w:pPr>
    </w:p>
    <w:p>
      <w:pPr>
        <w:pStyle w:val="BodyText"/>
        <w:spacing w:line="480" w:lineRule="auto" w:before="1"/>
        <w:ind w:left="1418" w:right="1418"/>
        <w:jc w:val="both"/>
      </w:pPr>
      <w:r>
        <w:rPr/>
        <w:t>Si precisa che in ottica concordataria le “immobilizzazioni immateriali in corso” sono state valorizzate a zero in quanto tali costi sono stati ritenuti non recuperabili e non sono stati ricompresi nell’ambito della valorizzazione dell’offerta Versalis, nonostante i progetti siano oggetto del perimetro e vengano a quest’ultima trasferiti.</w:t>
      </w:r>
    </w:p>
    <w:p>
      <w:pPr>
        <w:pStyle w:val="BodyText"/>
        <w:spacing w:before="3"/>
        <w:rPr>
          <w:sz w:val="21"/>
        </w:rPr>
      </w:pPr>
    </w:p>
    <w:p>
      <w:pPr>
        <w:pStyle w:val="Heading2"/>
        <w:spacing w:before="1"/>
        <w:jc w:val="both"/>
      </w:pPr>
      <w:r>
        <w:rPr>
          <w:u w:val="single"/>
        </w:rPr>
        <w:t>IMMOBILIZZAZIONI MATERIALI</w:t>
      </w:r>
    </w:p>
    <w:p>
      <w:pPr>
        <w:pStyle w:val="BodyText"/>
        <w:rPr>
          <w:b/>
        </w:rPr>
      </w:pPr>
    </w:p>
    <w:p>
      <w:pPr>
        <w:pStyle w:val="BodyText"/>
        <w:spacing w:line="480" w:lineRule="auto"/>
        <w:ind w:left="1418" w:right="1413"/>
        <w:jc w:val="both"/>
      </w:pPr>
      <w:r>
        <w:rPr/>
        <w:t>La voce in esame è costituita da terreni e fabbricati, immobili civili, impianti e macchinari, attrezzature industriali, altri beni e immobilizzazioni in corso e nella situazione contabile al 15 ottobre 2017 ammonta ad un valore netto pari ad Euro 4.012.043 (valore lordo Euro 55.662.647 fondo ammortamento Euro 51.650.603).</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
        <w:rPr>
          <w:sz w:val="14"/>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5"/>
        <w:gridCol w:w="3394"/>
        <w:gridCol w:w="1001"/>
        <w:gridCol w:w="1001"/>
        <w:gridCol w:w="775"/>
        <w:gridCol w:w="1040"/>
        <w:gridCol w:w="1079"/>
      </w:tblGrid>
      <w:tr>
        <w:trPr>
          <w:trHeight w:val="618" w:hRule="exact"/>
        </w:trPr>
        <w:tc>
          <w:tcPr>
            <w:tcW w:w="765" w:type="dxa"/>
            <w:shd w:val="clear" w:color="auto" w:fill="BEBEBE"/>
          </w:tcPr>
          <w:p>
            <w:pPr>
              <w:pStyle w:val="TableParagraph"/>
              <w:spacing w:before="8"/>
              <w:jc w:val="left"/>
              <w:rPr>
                <w:sz w:val="20"/>
              </w:rPr>
            </w:pPr>
          </w:p>
          <w:p>
            <w:pPr>
              <w:pStyle w:val="TableParagraph"/>
              <w:spacing w:before="0"/>
              <w:ind w:left="98" w:right="95"/>
              <w:jc w:val="center"/>
              <w:rPr>
                <w:b/>
                <w:sz w:val="15"/>
              </w:rPr>
            </w:pPr>
            <w:r>
              <w:rPr>
                <w:b/>
                <w:w w:val="105"/>
                <w:sz w:val="15"/>
              </w:rPr>
              <w:t>Conto</w:t>
            </w:r>
          </w:p>
        </w:tc>
        <w:tc>
          <w:tcPr>
            <w:tcW w:w="3394" w:type="dxa"/>
            <w:shd w:val="clear" w:color="auto" w:fill="BEBEBE"/>
          </w:tcPr>
          <w:p>
            <w:pPr>
              <w:pStyle w:val="TableParagraph"/>
              <w:spacing w:before="8"/>
              <w:jc w:val="left"/>
              <w:rPr>
                <w:sz w:val="20"/>
              </w:rPr>
            </w:pPr>
          </w:p>
          <w:p>
            <w:pPr>
              <w:pStyle w:val="TableParagraph"/>
              <w:spacing w:before="0"/>
              <w:ind w:left="1271" w:right="1276"/>
              <w:jc w:val="center"/>
              <w:rPr>
                <w:b/>
                <w:sz w:val="15"/>
              </w:rPr>
            </w:pPr>
            <w:r>
              <w:rPr>
                <w:b/>
                <w:w w:val="105"/>
                <w:sz w:val="15"/>
              </w:rPr>
              <w:t>Descrizione</w:t>
            </w:r>
          </w:p>
        </w:tc>
        <w:tc>
          <w:tcPr>
            <w:tcW w:w="1001" w:type="dxa"/>
            <w:shd w:val="clear" w:color="auto" w:fill="BEBEBE"/>
          </w:tcPr>
          <w:p>
            <w:pPr>
              <w:pStyle w:val="TableParagraph"/>
              <w:spacing w:line="292" w:lineRule="auto" w:before="126"/>
              <w:ind w:left="166" w:right="166" w:firstLine="98"/>
              <w:jc w:val="left"/>
              <w:rPr>
                <w:b/>
                <w:sz w:val="15"/>
              </w:rPr>
            </w:pPr>
            <w:r>
              <w:rPr>
                <w:b/>
                <w:w w:val="105"/>
                <w:sz w:val="15"/>
              </w:rPr>
              <w:t>BdV al 15.10.2017</w:t>
            </w:r>
          </w:p>
        </w:tc>
        <w:tc>
          <w:tcPr>
            <w:tcW w:w="1001" w:type="dxa"/>
            <w:tcBorders>
              <w:right w:val="single" w:sz="4" w:space="0" w:color="000000"/>
            </w:tcBorders>
            <w:shd w:val="clear" w:color="auto" w:fill="BEBEBE"/>
          </w:tcPr>
          <w:p>
            <w:pPr>
              <w:pStyle w:val="TableParagraph"/>
              <w:spacing w:line="292" w:lineRule="auto" w:before="126"/>
              <w:ind w:left="225" w:right="94" w:hanging="118"/>
              <w:jc w:val="left"/>
              <w:rPr>
                <w:b/>
                <w:sz w:val="15"/>
              </w:rPr>
            </w:pPr>
            <w:r>
              <w:rPr>
                <w:b/>
                <w:w w:val="105"/>
                <w:sz w:val="15"/>
              </w:rPr>
              <w:t>Trasferito a Versalis</w:t>
            </w:r>
          </w:p>
        </w:tc>
        <w:tc>
          <w:tcPr>
            <w:tcW w:w="775" w:type="dxa"/>
            <w:tcBorders>
              <w:left w:val="single" w:sz="4" w:space="0" w:color="000000"/>
            </w:tcBorders>
            <w:shd w:val="clear" w:color="auto" w:fill="BEBEBE"/>
          </w:tcPr>
          <w:p>
            <w:pPr>
              <w:pStyle w:val="TableParagraph"/>
              <w:spacing w:line="292" w:lineRule="auto" w:before="126"/>
              <w:ind w:left="78" w:right="71" w:firstLine="147"/>
              <w:jc w:val="left"/>
              <w:rPr>
                <w:b/>
                <w:sz w:val="15"/>
              </w:rPr>
            </w:pPr>
            <w:r>
              <w:rPr>
                <w:b/>
                <w:w w:val="105"/>
                <w:sz w:val="15"/>
              </w:rPr>
              <w:t>Non trasferito</w:t>
            </w:r>
          </w:p>
        </w:tc>
        <w:tc>
          <w:tcPr>
            <w:tcW w:w="1040" w:type="dxa"/>
            <w:shd w:val="clear" w:color="auto" w:fill="BEBEBE"/>
          </w:tcPr>
          <w:p>
            <w:pPr>
              <w:pStyle w:val="TableParagraph"/>
              <w:spacing w:line="292" w:lineRule="auto" w:before="126"/>
              <w:ind w:left="49" w:right="48" w:firstLine="147"/>
              <w:jc w:val="left"/>
              <w:rPr>
                <w:b/>
                <w:sz w:val="15"/>
              </w:rPr>
            </w:pPr>
            <w:r>
              <w:rPr>
                <w:b/>
                <w:w w:val="105"/>
                <w:sz w:val="15"/>
              </w:rPr>
              <w:t>Rettifiche concordatarie</w:t>
            </w:r>
          </w:p>
        </w:tc>
        <w:tc>
          <w:tcPr>
            <w:tcW w:w="1079" w:type="dxa"/>
            <w:shd w:val="clear" w:color="auto" w:fill="BEBEBE"/>
          </w:tcPr>
          <w:p>
            <w:pPr>
              <w:pStyle w:val="TableParagraph"/>
              <w:spacing w:line="292" w:lineRule="auto" w:before="27"/>
              <w:ind w:left="68" w:firstLine="186"/>
              <w:jc w:val="left"/>
              <w:rPr>
                <w:b/>
                <w:sz w:val="15"/>
              </w:rPr>
            </w:pPr>
            <w:r>
              <w:rPr>
                <w:b/>
                <w:w w:val="105"/>
                <w:sz w:val="15"/>
              </w:rPr>
              <w:t>valore di realizzo ai fini concordatario</w:t>
            </w:r>
          </w:p>
        </w:tc>
      </w:tr>
      <w:tr>
        <w:trPr>
          <w:trHeight w:val="213" w:hRule="exact"/>
        </w:trPr>
        <w:tc>
          <w:tcPr>
            <w:tcW w:w="765" w:type="dxa"/>
            <w:tcBorders>
              <w:bottom w:val="nil"/>
            </w:tcBorders>
          </w:tcPr>
          <w:p>
            <w:pPr>
              <w:pStyle w:val="TableParagraph"/>
              <w:spacing w:before="27"/>
              <w:ind w:left="103" w:right="95"/>
              <w:jc w:val="center"/>
              <w:rPr>
                <w:sz w:val="15"/>
              </w:rPr>
            </w:pPr>
            <w:r>
              <w:rPr>
                <w:w w:val="105"/>
                <w:sz w:val="15"/>
              </w:rPr>
              <w:t>2110010</w:t>
            </w:r>
          </w:p>
        </w:tc>
        <w:tc>
          <w:tcPr>
            <w:tcW w:w="3394" w:type="dxa"/>
            <w:tcBorders>
              <w:bottom w:val="nil"/>
            </w:tcBorders>
          </w:tcPr>
          <w:p>
            <w:pPr>
              <w:pStyle w:val="TableParagraph"/>
              <w:spacing w:before="27"/>
              <w:ind w:left="19"/>
              <w:jc w:val="left"/>
              <w:rPr>
                <w:sz w:val="15"/>
              </w:rPr>
            </w:pPr>
            <w:r>
              <w:rPr>
                <w:w w:val="105"/>
                <w:sz w:val="15"/>
              </w:rPr>
              <w:t>Terreni - Immob Modugno</w:t>
            </w:r>
          </w:p>
        </w:tc>
        <w:tc>
          <w:tcPr>
            <w:tcW w:w="1001" w:type="dxa"/>
            <w:tcBorders>
              <w:bottom w:val="nil"/>
            </w:tcBorders>
          </w:tcPr>
          <w:p>
            <w:pPr>
              <w:pStyle w:val="TableParagraph"/>
              <w:spacing w:before="27"/>
              <w:ind w:right="57"/>
              <w:rPr>
                <w:sz w:val="15"/>
              </w:rPr>
            </w:pPr>
            <w:r>
              <w:rPr>
                <w:w w:val="105"/>
                <w:sz w:val="15"/>
              </w:rPr>
              <w:t>74.551</w:t>
            </w:r>
          </w:p>
        </w:tc>
        <w:tc>
          <w:tcPr>
            <w:tcW w:w="1001" w:type="dxa"/>
            <w:tcBorders>
              <w:bottom w:val="nil"/>
              <w:right w:val="single" w:sz="4" w:space="0" w:color="000000"/>
            </w:tcBorders>
          </w:tcPr>
          <w:p>
            <w:pPr/>
          </w:p>
        </w:tc>
        <w:tc>
          <w:tcPr>
            <w:tcW w:w="775" w:type="dxa"/>
            <w:tcBorders>
              <w:left w:val="single" w:sz="4" w:space="0" w:color="000000"/>
              <w:bottom w:val="nil"/>
            </w:tcBorders>
          </w:tcPr>
          <w:p>
            <w:pPr>
              <w:pStyle w:val="TableParagraph"/>
              <w:spacing w:before="27"/>
              <w:ind w:right="57"/>
              <w:rPr>
                <w:sz w:val="15"/>
              </w:rPr>
            </w:pPr>
            <w:r>
              <w:rPr>
                <w:w w:val="105"/>
                <w:sz w:val="15"/>
              </w:rPr>
              <w:t>74.551</w:t>
            </w:r>
          </w:p>
        </w:tc>
        <w:tc>
          <w:tcPr>
            <w:tcW w:w="1040" w:type="dxa"/>
            <w:tcBorders>
              <w:bottom w:val="nil"/>
            </w:tcBorders>
          </w:tcPr>
          <w:p>
            <w:pPr/>
          </w:p>
        </w:tc>
        <w:tc>
          <w:tcPr>
            <w:tcW w:w="1079" w:type="dxa"/>
            <w:tcBorders>
              <w:bottom w:val="nil"/>
            </w:tcBorders>
          </w:tcPr>
          <w:p>
            <w:pPr/>
          </w:p>
        </w:tc>
      </w:tr>
      <w:tr>
        <w:trPr>
          <w:trHeight w:val="211" w:hRule="exact"/>
        </w:trPr>
        <w:tc>
          <w:tcPr>
            <w:tcW w:w="765" w:type="dxa"/>
            <w:tcBorders>
              <w:top w:val="nil"/>
              <w:bottom w:val="nil"/>
            </w:tcBorders>
          </w:tcPr>
          <w:p>
            <w:pPr>
              <w:pStyle w:val="TableParagraph"/>
              <w:spacing w:before="25"/>
              <w:ind w:left="103" w:right="95"/>
              <w:jc w:val="center"/>
              <w:rPr>
                <w:sz w:val="15"/>
              </w:rPr>
            </w:pPr>
            <w:r>
              <w:rPr>
                <w:w w:val="105"/>
                <w:sz w:val="15"/>
              </w:rPr>
              <w:t>2110020</w:t>
            </w:r>
          </w:p>
        </w:tc>
        <w:tc>
          <w:tcPr>
            <w:tcW w:w="3394" w:type="dxa"/>
            <w:tcBorders>
              <w:top w:val="nil"/>
              <w:bottom w:val="nil"/>
            </w:tcBorders>
          </w:tcPr>
          <w:p>
            <w:pPr>
              <w:pStyle w:val="TableParagraph"/>
              <w:spacing w:before="25"/>
              <w:ind w:left="19"/>
              <w:jc w:val="left"/>
              <w:rPr>
                <w:sz w:val="15"/>
              </w:rPr>
            </w:pPr>
            <w:r>
              <w:rPr>
                <w:w w:val="105"/>
                <w:sz w:val="15"/>
              </w:rPr>
              <w:t>Fabbricati industriali - Immob Modugno</w:t>
            </w:r>
          </w:p>
        </w:tc>
        <w:tc>
          <w:tcPr>
            <w:tcW w:w="1001" w:type="dxa"/>
            <w:tcBorders>
              <w:top w:val="nil"/>
              <w:bottom w:val="nil"/>
            </w:tcBorders>
          </w:tcPr>
          <w:p>
            <w:pPr>
              <w:pStyle w:val="TableParagraph"/>
              <w:spacing w:before="25"/>
              <w:ind w:right="57"/>
              <w:rPr>
                <w:sz w:val="15"/>
              </w:rPr>
            </w:pPr>
            <w:r>
              <w:rPr>
                <w:w w:val="105"/>
                <w:sz w:val="15"/>
              </w:rPr>
              <w:t>1.481.962</w:t>
            </w:r>
          </w:p>
        </w:tc>
        <w:tc>
          <w:tcPr>
            <w:tcW w:w="1001" w:type="dxa"/>
            <w:tcBorders>
              <w:top w:val="nil"/>
              <w:bottom w:val="nil"/>
              <w:right w:val="single" w:sz="4" w:space="0" w:color="000000"/>
            </w:tcBorders>
          </w:tcPr>
          <w:p>
            <w:pPr/>
          </w:p>
        </w:tc>
        <w:tc>
          <w:tcPr>
            <w:tcW w:w="775" w:type="dxa"/>
            <w:tcBorders>
              <w:top w:val="nil"/>
              <w:left w:val="single" w:sz="4" w:space="0" w:color="000000"/>
              <w:bottom w:val="nil"/>
            </w:tcBorders>
          </w:tcPr>
          <w:p>
            <w:pPr>
              <w:pStyle w:val="TableParagraph"/>
              <w:spacing w:before="25"/>
              <w:ind w:right="57"/>
              <w:rPr>
                <w:sz w:val="15"/>
              </w:rPr>
            </w:pPr>
            <w:r>
              <w:rPr>
                <w:w w:val="105"/>
                <w:sz w:val="15"/>
              </w:rPr>
              <w:t>1.481.962</w:t>
            </w:r>
          </w:p>
        </w:tc>
        <w:tc>
          <w:tcPr>
            <w:tcW w:w="1040" w:type="dxa"/>
            <w:tcBorders>
              <w:top w:val="nil"/>
              <w:bottom w:val="nil"/>
            </w:tcBorders>
          </w:tcPr>
          <w:p>
            <w:pPr>
              <w:pStyle w:val="TableParagraph"/>
              <w:spacing w:before="16"/>
              <w:ind w:right="23"/>
              <w:rPr>
                <w:sz w:val="15"/>
              </w:rPr>
            </w:pPr>
            <w:r>
              <w:rPr>
                <w:w w:val="105"/>
                <w:sz w:val="15"/>
              </w:rPr>
              <w:t>(583.043)</w:t>
            </w:r>
          </w:p>
        </w:tc>
        <w:tc>
          <w:tcPr>
            <w:tcW w:w="1079" w:type="dxa"/>
            <w:tcBorders>
              <w:top w:val="nil"/>
              <w:bottom w:val="nil"/>
            </w:tcBorders>
          </w:tcPr>
          <w:p>
            <w:pPr>
              <w:pStyle w:val="TableParagraph"/>
              <w:spacing w:before="16"/>
              <w:ind w:right="57"/>
              <w:rPr>
                <w:sz w:val="15"/>
              </w:rPr>
            </w:pPr>
            <w:r>
              <w:rPr>
                <w:w w:val="105"/>
                <w:sz w:val="15"/>
              </w:rPr>
              <w:t>1.024.600</w:t>
            </w: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2110110</w:t>
            </w:r>
          </w:p>
        </w:tc>
        <w:tc>
          <w:tcPr>
            <w:tcW w:w="3394" w:type="dxa"/>
            <w:tcBorders>
              <w:top w:val="nil"/>
              <w:bottom w:val="nil"/>
            </w:tcBorders>
          </w:tcPr>
          <w:p>
            <w:pPr>
              <w:pStyle w:val="TableParagraph"/>
              <w:spacing w:before="20"/>
              <w:ind w:left="19"/>
              <w:jc w:val="left"/>
              <w:rPr>
                <w:sz w:val="15"/>
              </w:rPr>
            </w:pPr>
            <w:r>
              <w:rPr>
                <w:w w:val="105"/>
                <w:sz w:val="15"/>
              </w:rPr>
              <w:t>Immobili Civili - Immob Modugno</w:t>
            </w:r>
          </w:p>
        </w:tc>
        <w:tc>
          <w:tcPr>
            <w:tcW w:w="1001" w:type="dxa"/>
            <w:tcBorders>
              <w:top w:val="nil"/>
              <w:bottom w:val="nil"/>
            </w:tcBorders>
          </w:tcPr>
          <w:p>
            <w:pPr>
              <w:pStyle w:val="TableParagraph"/>
              <w:spacing w:before="20"/>
              <w:ind w:right="57"/>
              <w:rPr>
                <w:sz w:val="15"/>
              </w:rPr>
            </w:pPr>
            <w:r>
              <w:rPr>
                <w:w w:val="105"/>
                <w:sz w:val="15"/>
              </w:rPr>
              <w:t>51.130</w:t>
            </w:r>
          </w:p>
        </w:tc>
        <w:tc>
          <w:tcPr>
            <w:tcW w:w="1001" w:type="dxa"/>
            <w:tcBorders>
              <w:top w:val="nil"/>
              <w:bottom w:val="nil"/>
              <w:right w:val="single" w:sz="4" w:space="0" w:color="000000"/>
            </w:tcBorders>
          </w:tcPr>
          <w:p>
            <w:pPr/>
          </w:p>
        </w:tc>
        <w:tc>
          <w:tcPr>
            <w:tcW w:w="775" w:type="dxa"/>
            <w:tcBorders>
              <w:top w:val="nil"/>
              <w:left w:val="single" w:sz="4" w:space="0" w:color="000000"/>
              <w:bottom w:val="nil"/>
            </w:tcBorders>
          </w:tcPr>
          <w:p>
            <w:pPr>
              <w:pStyle w:val="TableParagraph"/>
              <w:spacing w:before="20"/>
              <w:ind w:right="57"/>
              <w:rPr>
                <w:sz w:val="15"/>
              </w:rPr>
            </w:pPr>
            <w:r>
              <w:rPr>
                <w:w w:val="105"/>
                <w:sz w:val="15"/>
              </w:rPr>
              <w:t>51.130</w:t>
            </w: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1"/>
              <w:ind w:left="103" w:right="95"/>
              <w:jc w:val="center"/>
              <w:rPr>
                <w:sz w:val="15"/>
              </w:rPr>
            </w:pPr>
            <w:r>
              <w:rPr>
                <w:w w:val="105"/>
                <w:sz w:val="15"/>
              </w:rPr>
              <w:t>2120180</w:t>
            </w:r>
          </w:p>
        </w:tc>
        <w:tc>
          <w:tcPr>
            <w:tcW w:w="3394" w:type="dxa"/>
            <w:tcBorders>
              <w:top w:val="nil"/>
              <w:bottom w:val="nil"/>
            </w:tcBorders>
          </w:tcPr>
          <w:p>
            <w:pPr>
              <w:pStyle w:val="TableParagraph"/>
              <w:spacing w:before="21"/>
              <w:ind w:left="19"/>
              <w:jc w:val="left"/>
              <w:rPr>
                <w:sz w:val="15"/>
              </w:rPr>
            </w:pPr>
            <w:r>
              <w:rPr>
                <w:w w:val="105"/>
                <w:sz w:val="15"/>
              </w:rPr>
              <w:t>Costi Pluriennali su Beni di Terzi</w:t>
            </w:r>
          </w:p>
        </w:tc>
        <w:tc>
          <w:tcPr>
            <w:tcW w:w="1001" w:type="dxa"/>
            <w:tcBorders>
              <w:top w:val="nil"/>
              <w:bottom w:val="nil"/>
            </w:tcBorders>
          </w:tcPr>
          <w:p>
            <w:pPr>
              <w:pStyle w:val="TableParagraph"/>
              <w:spacing w:before="21"/>
              <w:ind w:right="57"/>
              <w:rPr>
                <w:sz w:val="15"/>
              </w:rPr>
            </w:pPr>
            <w:r>
              <w:rPr>
                <w:w w:val="105"/>
                <w:sz w:val="15"/>
              </w:rPr>
              <w:t>4.469.929</w:t>
            </w:r>
          </w:p>
        </w:tc>
        <w:tc>
          <w:tcPr>
            <w:tcW w:w="1001" w:type="dxa"/>
            <w:tcBorders>
              <w:top w:val="nil"/>
              <w:bottom w:val="nil"/>
              <w:right w:val="single" w:sz="4" w:space="0" w:color="000000"/>
            </w:tcBorders>
          </w:tcPr>
          <w:p>
            <w:pPr>
              <w:pStyle w:val="TableParagraph"/>
              <w:spacing w:before="21"/>
              <w:ind w:right="57"/>
              <w:rPr>
                <w:sz w:val="15"/>
              </w:rPr>
            </w:pPr>
            <w:r>
              <w:rPr>
                <w:w w:val="105"/>
                <w:sz w:val="15"/>
              </w:rPr>
              <w:t>4.469.929</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2121180</w:t>
            </w:r>
          </w:p>
        </w:tc>
        <w:tc>
          <w:tcPr>
            <w:tcW w:w="3394" w:type="dxa"/>
            <w:tcBorders>
              <w:top w:val="nil"/>
              <w:bottom w:val="nil"/>
            </w:tcBorders>
          </w:tcPr>
          <w:p>
            <w:pPr>
              <w:pStyle w:val="TableParagraph"/>
              <w:spacing w:before="20"/>
              <w:ind w:left="19"/>
              <w:jc w:val="left"/>
              <w:rPr>
                <w:sz w:val="15"/>
              </w:rPr>
            </w:pPr>
            <w:r>
              <w:rPr>
                <w:w w:val="105"/>
                <w:sz w:val="15"/>
              </w:rPr>
              <w:t>Fondo Amm Costi Pluriennali su Beni di Terzi</w:t>
            </w:r>
          </w:p>
        </w:tc>
        <w:tc>
          <w:tcPr>
            <w:tcW w:w="1001" w:type="dxa"/>
            <w:tcBorders>
              <w:top w:val="nil"/>
              <w:bottom w:val="nil"/>
            </w:tcBorders>
          </w:tcPr>
          <w:p>
            <w:pPr>
              <w:pStyle w:val="TableParagraph"/>
              <w:spacing w:before="20"/>
              <w:ind w:right="23"/>
              <w:rPr>
                <w:sz w:val="15"/>
              </w:rPr>
            </w:pPr>
            <w:r>
              <w:rPr>
                <w:w w:val="105"/>
                <w:sz w:val="15"/>
              </w:rPr>
              <w:t>(3.178.748)</w:t>
            </w:r>
          </w:p>
        </w:tc>
        <w:tc>
          <w:tcPr>
            <w:tcW w:w="1001" w:type="dxa"/>
            <w:tcBorders>
              <w:top w:val="nil"/>
              <w:bottom w:val="nil"/>
              <w:right w:val="single" w:sz="4" w:space="0" w:color="000000"/>
            </w:tcBorders>
          </w:tcPr>
          <w:p>
            <w:pPr>
              <w:pStyle w:val="TableParagraph"/>
              <w:spacing w:before="20"/>
              <w:ind w:right="23"/>
              <w:rPr>
                <w:sz w:val="15"/>
              </w:rPr>
            </w:pPr>
            <w:r>
              <w:rPr>
                <w:w w:val="105"/>
                <w:sz w:val="15"/>
              </w:rPr>
              <w:t>(3.178.748)</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2110040</w:t>
            </w:r>
          </w:p>
        </w:tc>
        <w:tc>
          <w:tcPr>
            <w:tcW w:w="3394" w:type="dxa"/>
            <w:tcBorders>
              <w:top w:val="nil"/>
              <w:bottom w:val="nil"/>
            </w:tcBorders>
          </w:tcPr>
          <w:p>
            <w:pPr>
              <w:pStyle w:val="TableParagraph"/>
              <w:spacing w:before="20"/>
              <w:ind w:left="19"/>
              <w:jc w:val="left"/>
              <w:rPr>
                <w:sz w:val="15"/>
              </w:rPr>
            </w:pPr>
            <w:r>
              <w:rPr>
                <w:w w:val="105"/>
                <w:sz w:val="15"/>
              </w:rPr>
              <w:t>Impianti e Macchinari generici</w:t>
            </w:r>
          </w:p>
        </w:tc>
        <w:tc>
          <w:tcPr>
            <w:tcW w:w="1001" w:type="dxa"/>
            <w:tcBorders>
              <w:top w:val="nil"/>
              <w:bottom w:val="nil"/>
            </w:tcBorders>
          </w:tcPr>
          <w:p>
            <w:pPr>
              <w:pStyle w:val="TableParagraph"/>
              <w:spacing w:before="20"/>
              <w:ind w:right="57"/>
              <w:rPr>
                <w:sz w:val="15"/>
              </w:rPr>
            </w:pPr>
            <w:r>
              <w:rPr>
                <w:w w:val="105"/>
                <w:sz w:val="15"/>
              </w:rPr>
              <w:t>103.500</w:t>
            </w:r>
          </w:p>
        </w:tc>
        <w:tc>
          <w:tcPr>
            <w:tcW w:w="1001" w:type="dxa"/>
            <w:tcBorders>
              <w:top w:val="nil"/>
              <w:bottom w:val="nil"/>
              <w:right w:val="single" w:sz="4" w:space="0" w:color="000000"/>
            </w:tcBorders>
          </w:tcPr>
          <w:p>
            <w:pPr>
              <w:pStyle w:val="TableParagraph"/>
              <w:spacing w:before="20"/>
              <w:ind w:right="57"/>
              <w:rPr>
                <w:sz w:val="15"/>
              </w:rPr>
            </w:pPr>
            <w:r>
              <w:rPr>
                <w:w w:val="105"/>
                <w:sz w:val="15"/>
              </w:rPr>
              <w:t>103.500</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2111040</w:t>
            </w:r>
          </w:p>
        </w:tc>
        <w:tc>
          <w:tcPr>
            <w:tcW w:w="3394" w:type="dxa"/>
            <w:tcBorders>
              <w:top w:val="nil"/>
              <w:bottom w:val="nil"/>
            </w:tcBorders>
          </w:tcPr>
          <w:p>
            <w:pPr>
              <w:pStyle w:val="TableParagraph"/>
              <w:spacing w:before="20"/>
              <w:ind w:left="19"/>
              <w:jc w:val="left"/>
              <w:rPr>
                <w:sz w:val="15"/>
              </w:rPr>
            </w:pPr>
            <w:r>
              <w:rPr>
                <w:w w:val="105"/>
                <w:sz w:val="15"/>
              </w:rPr>
              <w:t>Fondo Amm Impianti e Macchinari generici</w:t>
            </w:r>
          </w:p>
        </w:tc>
        <w:tc>
          <w:tcPr>
            <w:tcW w:w="1001" w:type="dxa"/>
            <w:tcBorders>
              <w:top w:val="nil"/>
              <w:bottom w:val="nil"/>
            </w:tcBorders>
          </w:tcPr>
          <w:p>
            <w:pPr>
              <w:pStyle w:val="TableParagraph"/>
              <w:spacing w:before="20"/>
              <w:ind w:right="22"/>
              <w:rPr>
                <w:sz w:val="15"/>
              </w:rPr>
            </w:pPr>
            <w:r>
              <w:rPr>
                <w:w w:val="105"/>
                <w:sz w:val="15"/>
              </w:rPr>
              <w:t>(49.792)</w:t>
            </w:r>
          </w:p>
        </w:tc>
        <w:tc>
          <w:tcPr>
            <w:tcW w:w="1001" w:type="dxa"/>
            <w:tcBorders>
              <w:top w:val="nil"/>
              <w:bottom w:val="nil"/>
              <w:right w:val="single" w:sz="4" w:space="0" w:color="000000"/>
            </w:tcBorders>
          </w:tcPr>
          <w:p>
            <w:pPr>
              <w:pStyle w:val="TableParagraph"/>
              <w:spacing w:before="20"/>
              <w:ind w:right="22"/>
              <w:rPr>
                <w:sz w:val="15"/>
              </w:rPr>
            </w:pPr>
            <w:r>
              <w:rPr>
                <w:w w:val="105"/>
                <w:sz w:val="15"/>
              </w:rPr>
              <w:t>(49.792)</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1"/>
              <w:ind w:left="103" w:right="95"/>
              <w:jc w:val="center"/>
              <w:rPr>
                <w:sz w:val="15"/>
              </w:rPr>
            </w:pPr>
            <w:r>
              <w:rPr>
                <w:w w:val="105"/>
                <w:sz w:val="15"/>
              </w:rPr>
              <w:t>2110050</w:t>
            </w:r>
          </w:p>
        </w:tc>
        <w:tc>
          <w:tcPr>
            <w:tcW w:w="3394" w:type="dxa"/>
            <w:tcBorders>
              <w:top w:val="nil"/>
              <w:bottom w:val="nil"/>
            </w:tcBorders>
          </w:tcPr>
          <w:p>
            <w:pPr>
              <w:pStyle w:val="TableParagraph"/>
              <w:spacing w:before="21"/>
              <w:ind w:left="19"/>
              <w:jc w:val="left"/>
              <w:rPr>
                <w:sz w:val="15"/>
              </w:rPr>
            </w:pPr>
            <w:r>
              <w:rPr>
                <w:w w:val="105"/>
                <w:sz w:val="15"/>
              </w:rPr>
              <w:t>Impianti e Macchinari specifici</w:t>
            </w:r>
          </w:p>
        </w:tc>
        <w:tc>
          <w:tcPr>
            <w:tcW w:w="1001" w:type="dxa"/>
            <w:tcBorders>
              <w:top w:val="nil"/>
              <w:bottom w:val="nil"/>
            </w:tcBorders>
          </w:tcPr>
          <w:p>
            <w:pPr>
              <w:pStyle w:val="TableParagraph"/>
              <w:spacing w:before="21"/>
              <w:ind w:right="57"/>
              <w:rPr>
                <w:sz w:val="15"/>
              </w:rPr>
            </w:pPr>
            <w:r>
              <w:rPr>
                <w:w w:val="105"/>
                <w:sz w:val="15"/>
              </w:rPr>
              <w:t>42.928.937</w:t>
            </w:r>
          </w:p>
        </w:tc>
        <w:tc>
          <w:tcPr>
            <w:tcW w:w="1001" w:type="dxa"/>
            <w:tcBorders>
              <w:top w:val="nil"/>
              <w:bottom w:val="nil"/>
              <w:right w:val="single" w:sz="4" w:space="0" w:color="000000"/>
            </w:tcBorders>
          </w:tcPr>
          <w:p>
            <w:pPr>
              <w:pStyle w:val="TableParagraph"/>
              <w:spacing w:before="21"/>
              <w:ind w:right="57"/>
              <w:rPr>
                <w:sz w:val="15"/>
              </w:rPr>
            </w:pPr>
            <w:r>
              <w:rPr>
                <w:w w:val="105"/>
                <w:sz w:val="15"/>
              </w:rPr>
              <w:t>42.928.937</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2111050</w:t>
            </w:r>
          </w:p>
        </w:tc>
        <w:tc>
          <w:tcPr>
            <w:tcW w:w="3394" w:type="dxa"/>
            <w:tcBorders>
              <w:top w:val="nil"/>
              <w:bottom w:val="nil"/>
            </w:tcBorders>
          </w:tcPr>
          <w:p>
            <w:pPr>
              <w:pStyle w:val="TableParagraph"/>
              <w:spacing w:before="20"/>
              <w:ind w:left="19"/>
              <w:jc w:val="left"/>
              <w:rPr>
                <w:sz w:val="15"/>
              </w:rPr>
            </w:pPr>
            <w:r>
              <w:rPr>
                <w:w w:val="105"/>
                <w:sz w:val="15"/>
              </w:rPr>
              <w:t>Fondo Amm Impianti e Macchinari specifici</w:t>
            </w:r>
          </w:p>
        </w:tc>
        <w:tc>
          <w:tcPr>
            <w:tcW w:w="1001" w:type="dxa"/>
            <w:tcBorders>
              <w:top w:val="nil"/>
              <w:bottom w:val="nil"/>
            </w:tcBorders>
          </w:tcPr>
          <w:p>
            <w:pPr>
              <w:pStyle w:val="TableParagraph"/>
              <w:spacing w:before="20"/>
              <w:ind w:right="23"/>
              <w:rPr>
                <w:sz w:val="15"/>
              </w:rPr>
            </w:pPr>
            <w:r>
              <w:rPr>
                <w:w w:val="105"/>
                <w:sz w:val="15"/>
              </w:rPr>
              <w:t>(42.405.608)</w:t>
            </w:r>
          </w:p>
        </w:tc>
        <w:tc>
          <w:tcPr>
            <w:tcW w:w="1001" w:type="dxa"/>
            <w:tcBorders>
              <w:top w:val="nil"/>
              <w:bottom w:val="nil"/>
              <w:right w:val="single" w:sz="4" w:space="0" w:color="000000"/>
            </w:tcBorders>
          </w:tcPr>
          <w:p>
            <w:pPr>
              <w:pStyle w:val="TableParagraph"/>
              <w:spacing w:before="20"/>
              <w:ind w:right="23"/>
              <w:rPr>
                <w:sz w:val="15"/>
              </w:rPr>
            </w:pPr>
            <w:r>
              <w:rPr>
                <w:w w:val="105"/>
                <w:sz w:val="15"/>
              </w:rPr>
              <w:t>(42.405.608)</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2110060</w:t>
            </w:r>
          </w:p>
        </w:tc>
        <w:tc>
          <w:tcPr>
            <w:tcW w:w="3394" w:type="dxa"/>
            <w:tcBorders>
              <w:top w:val="nil"/>
              <w:bottom w:val="nil"/>
            </w:tcBorders>
          </w:tcPr>
          <w:p>
            <w:pPr>
              <w:pStyle w:val="TableParagraph"/>
              <w:spacing w:before="20"/>
              <w:ind w:left="19"/>
              <w:jc w:val="left"/>
              <w:rPr>
                <w:sz w:val="15"/>
              </w:rPr>
            </w:pPr>
            <w:r>
              <w:rPr>
                <w:w w:val="105"/>
                <w:sz w:val="15"/>
              </w:rPr>
              <w:t>Attrezzature Industriali</w:t>
            </w:r>
          </w:p>
        </w:tc>
        <w:tc>
          <w:tcPr>
            <w:tcW w:w="1001" w:type="dxa"/>
            <w:tcBorders>
              <w:top w:val="nil"/>
              <w:bottom w:val="nil"/>
            </w:tcBorders>
          </w:tcPr>
          <w:p>
            <w:pPr>
              <w:pStyle w:val="TableParagraph"/>
              <w:spacing w:before="20"/>
              <w:ind w:right="57"/>
              <w:rPr>
                <w:sz w:val="15"/>
              </w:rPr>
            </w:pPr>
            <w:r>
              <w:rPr>
                <w:w w:val="105"/>
                <w:sz w:val="15"/>
              </w:rPr>
              <w:t>5.547.504</w:t>
            </w:r>
          </w:p>
        </w:tc>
        <w:tc>
          <w:tcPr>
            <w:tcW w:w="1001" w:type="dxa"/>
            <w:tcBorders>
              <w:top w:val="nil"/>
              <w:bottom w:val="nil"/>
              <w:right w:val="single" w:sz="4" w:space="0" w:color="000000"/>
            </w:tcBorders>
          </w:tcPr>
          <w:p>
            <w:pPr>
              <w:pStyle w:val="TableParagraph"/>
              <w:spacing w:before="20"/>
              <w:ind w:right="57"/>
              <w:rPr>
                <w:sz w:val="15"/>
              </w:rPr>
            </w:pPr>
            <w:r>
              <w:rPr>
                <w:w w:val="105"/>
                <w:sz w:val="15"/>
              </w:rPr>
              <w:t>5.547.504</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2111060</w:t>
            </w:r>
          </w:p>
        </w:tc>
        <w:tc>
          <w:tcPr>
            <w:tcW w:w="3394" w:type="dxa"/>
            <w:tcBorders>
              <w:top w:val="nil"/>
              <w:bottom w:val="nil"/>
            </w:tcBorders>
          </w:tcPr>
          <w:p>
            <w:pPr>
              <w:pStyle w:val="TableParagraph"/>
              <w:spacing w:before="20"/>
              <w:ind w:left="19"/>
              <w:jc w:val="left"/>
              <w:rPr>
                <w:sz w:val="15"/>
              </w:rPr>
            </w:pPr>
            <w:r>
              <w:rPr>
                <w:w w:val="105"/>
                <w:sz w:val="15"/>
              </w:rPr>
              <w:t>Fondo Amm Attrezzature Industriali</w:t>
            </w:r>
          </w:p>
        </w:tc>
        <w:tc>
          <w:tcPr>
            <w:tcW w:w="1001" w:type="dxa"/>
            <w:tcBorders>
              <w:top w:val="nil"/>
              <w:bottom w:val="nil"/>
            </w:tcBorders>
          </w:tcPr>
          <w:p>
            <w:pPr>
              <w:pStyle w:val="TableParagraph"/>
              <w:spacing w:before="20"/>
              <w:ind w:right="23"/>
              <w:rPr>
                <w:sz w:val="15"/>
              </w:rPr>
            </w:pPr>
            <w:r>
              <w:rPr>
                <w:w w:val="105"/>
                <w:sz w:val="15"/>
              </w:rPr>
              <w:t>(5.064.918)</w:t>
            </w:r>
          </w:p>
        </w:tc>
        <w:tc>
          <w:tcPr>
            <w:tcW w:w="1001" w:type="dxa"/>
            <w:tcBorders>
              <w:top w:val="nil"/>
              <w:bottom w:val="nil"/>
              <w:right w:val="single" w:sz="4" w:space="0" w:color="000000"/>
            </w:tcBorders>
          </w:tcPr>
          <w:p>
            <w:pPr>
              <w:pStyle w:val="TableParagraph"/>
              <w:spacing w:before="20"/>
              <w:ind w:right="23"/>
              <w:rPr>
                <w:sz w:val="15"/>
              </w:rPr>
            </w:pPr>
            <w:r>
              <w:rPr>
                <w:w w:val="105"/>
                <w:sz w:val="15"/>
              </w:rPr>
              <w:t>(5.064.918)</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1"/>
              <w:ind w:left="103" w:right="95"/>
              <w:jc w:val="center"/>
              <w:rPr>
                <w:sz w:val="15"/>
              </w:rPr>
            </w:pPr>
            <w:r>
              <w:rPr>
                <w:w w:val="105"/>
                <w:sz w:val="15"/>
              </w:rPr>
              <w:t>2110070</w:t>
            </w:r>
          </w:p>
        </w:tc>
        <w:tc>
          <w:tcPr>
            <w:tcW w:w="3394" w:type="dxa"/>
            <w:tcBorders>
              <w:top w:val="nil"/>
              <w:bottom w:val="nil"/>
            </w:tcBorders>
          </w:tcPr>
          <w:p>
            <w:pPr>
              <w:pStyle w:val="TableParagraph"/>
              <w:spacing w:before="21"/>
              <w:ind w:left="19"/>
              <w:jc w:val="left"/>
              <w:rPr>
                <w:sz w:val="15"/>
              </w:rPr>
            </w:pPr>
            <w:r>
              <w:rPr>
                <w:w w:val="105"/>
                <w:sz w:val="15"/>
              </w:rPr>
              <w:t>Mobili ed Arredamento per l'Ufficio</w:t>
            </w:r>
          </w:p>
        </w:tc>
        <w:tc>
          <w:tcPr>
            <w:tcW w:w="1001" w:type="dxa"/>
            <w:tcBorders>
              <w:top w:val="nil"/>
              <w:bottom w:val="nil"/>
            </w:tcBorders>
          </w:tcPr>
          <w:p>
            <w:pPr>
              <w:pStyle w:val="TableParagraph"/>
              <w:spacing w:before="21"/>
              <w:ind w:right="57"/>
              <w:rPr>
                <w:sz w:val="15"/>
              </w:rPr>
            </w:pPr>
            <w:r>
              <w:rPr>
                <w:w w:val="105"/>
                <w:sz w:val="15"/>
              </w:rPr>
              <w:t>290.350</w:t>
            </w:r>
          </w:p>
        </w:tc>
        <w:tc>
          <w:tcPr>
            <w:tcW w:w="1001" w:type="dxa"/>
            <w:tcBorders>
              <w:top w:val="nil"/>
              <w:bottom w:val="nil"/>
              <w:right w:val="single" w:sz="4" w:space="0" w:color="000000"/>
            </w:tcBorders>
          </w:tcPr>
          <w:p>
            <w:pPr>
              <w:pStyle w:val="TableParagraph"/>
              <w:spacing w:before="21"/>
              <w:ind w:right="57"/>
              <w:rPr>
                <w:sz w:val="15"/>
              </w:rPr>
            </w:pPr>
            <w:r>
              <w:rPr>
                <w:w w:val="105"/>
                <w:sz w:val="15"/>
              </w:rPr>
              <w:t>290.350</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2111070</w:t>
            </w:r>
          </w:p>
        </w:tc>
        <w:tc>
          <w:tcPr>
            <w:tcW w:w="3394" w:type="dxa"/>
            <w:tcBorders>
              <w:top w:val="nil"/>
              <w:bottom w:val="nil"/>
            </w:tcBorders>
          </w:tcPr>
          <w:p>
            <w:pPr>
              <w:pStyle w:val="TableParagraph"/>
              <w:spacing w:before="20"/>
              <w:ind w:left="19"/>
              <w:jc w:val="left"/>
              <w:rPr>
                <w:sz w:val="15"/>
              </w:rPr>
            </w:pPr>
            <w:r>
              <w:rPr>
                <w:w w:val="105"/>
                <w:sz w:val="15"/>
              </w:rPr>
              <w:t>Fondo Amto Mobili ed Arredamento</w:t>
            </w:r>
          </w:p>
        </w:tc>
        <w:tc>
          <w:tcPr>
            <w:tcW w:w="1001" w:type="dxa"/>
            <w:tcBorders>
              <w:top w:val="nil"/>
              <w:bottom w:val="nil"/>
            </w:tcBorders>
          </w:tcPr>
          <w:p>
            <w:pPr>
              <w:pStyle w:val="TableParagraph"/>
              <w:spacing w:before="20"/>
              <w:ind w:right="22"/>
              <w:rPr>
                <w:sz w:val="15"/>
              </w:rPr>
            </w:pPr>
            <w:r>
              <w:rPr>
                <w:w w:val="105"/>
                <w:sz w:val="15"/>
              </w:rPr>
              <w:t>(265.680)</w:t>
            </w:r>
          </w:p>
        </w:tc>
        <w:tc>
          <w:tcPr>
            <w:tcW w:w="1001" w:type="dxa"/>
            <w:tcBorders>
              <w:top w:val="nil"/>
              <w:bottom w:val="nil"/>
              <w:right w:val="single" w:sz="4" w:space="0" w:color="000000"/>
            </w:tcBorders>
          </w:tcPr>
          <w:p>
            <w:pPr>
              <w:pStyle w:val="TableParagraph"/>
              <w:spacing w:before="20"/>
              <w:ind w:right="22"/>
              <w:rPr>
                <w:sz w:val="15"/>
              </w:rPr>
            </w:pPr>
            <w:r>
              <w:rPr>
                <w:w w:val="105"/>
                <w:sz w:val="15"/>
              </w:rPr>
              <w:t>(265.680)</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2110080</w:t>
            </w:r>
          </w:p>
        </w:tc>
        <w:tc>
          <w:tcPr>
            <w:tcW w:w="3394" w:type="dxa"/>
            <w:tcBorders>
              <w:top w:val="nil"/>
              <w:bottom w:val="nil"/>
            </w:tcBorders>
          </w:tcPr>
          <w:p>
            <w:pPr>
              <w:pStyle w:val="TableParagraph"/>
              <w:spacing w:before="20"/>
              <w:ind w:left="19"/>
              <w:jc w:val="left"/>
              <w:rPr>
                <w:sz w:val="15"/>
              </w:rPr>
            </w:pPr>
            <w:r>
              <w:rPr>
                <w:w w:val="105"/>
                <w:sz w:val="15"/>
              </w:rPr>
              <w:t>Computers, Macchine elettriche ed elettroniche</w:t>
            </w:r>
          </w:p>
        </w:tc>
        <w:tc>
          <w:tcPr>
            <w:tcW w:w="1001" w:type="dxa"/>
            <w:tcBorders>
              <w:top w:val="nil"/>
              <w:bottom w:val="nil"/>
            </w:tcBorders>
          </w:tcPr>
          <w:p>
            <w:pPr>
              <w:pStyle w:val="TableParagraph"/>
              <w:spacing w:before="20"/>
              <w:ind w:right="57"/>
              <w:rPr>
                <w:sz w:val="15"/>
              </w:rPr>
            </w:pPr>
            <w:r>
              <w:rPr>
                <w:w w:val="105"/>
                <w:sz w:val="15"/>
              </w:rPr>
              <w:t>643.505</w:t>
            </w:r>
          </w:p>
        </w:tc>
        <w:tc>
          <w:tcPr>
            <w:tcW w:w="1001" w:type="dxa"/>
            <w:tcBorders>
              <w:top w:val="nil"/>
              <w:bottom w:val="nil"/>
              <w:right w:val="single" w:sz="4" w:space="0" w:color="000000"/>
            </w:tcBorders>
          </w:tcPr>
          <w:p>
            <w:pPr>
              <w:pStyle w:val="TableParagraph"/>
              <w:spacing w:before="20"/>
              <w:ind w:right="57"/>
              <w:rPr>
                <w:sz w:val="15"/>
              </w:rPr>
            </w:pPr>
            <w:r>
              <w:rPr>
                <w:w w:val="105"/>
                <w:sz w:val="15"/>
              </w:rPr>
              <w:t>643.505</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2111080</w:t>
            </w:r>
          </w:p>
        </w:tc>
        <w:tc>
          <w:tcPr>
            <w:tcW w:w="3394" w:type="dxa"/>
            <w:tcBorders>
              <w:top w:val="nil"/>
              <w:bottom w:val="nil"/>
            </w:tcBorders>
          </w:tcPr>
          <w:p>
            <w:pPr>
              <w:pStyle w:val="TableParagraph"/>
              <w:spacing w:before="20"/>
              <w:ind w:left="19"/>
              <w:jc w:val="left"/>
              <w:rPr>
                <w:sz w:val="15"/>
              </w:rPr>
            </w:pPr>
            <w:r>
              <w:rPr>
                <w:w w:val="105"/>
                <w:sz w:val="15"/>
              </w:rPr>
              <w:t>Fondo Amto PC, Macchine Elettriche ed Elettroniche</w:t>
            </w:r>
          </w:p>
        </w:tc>
        <w:tc>
          <w:tcPr>
            <w:tcW w:w="1001" w:type="dxa"/>
            <w:tcBorders>
              <w:top w:val="nil"/>
              <w:bottom w:val="nil"/>
            </w:tcBorders>
          </w:tcPr>
          <w:p>
            <w:pPr>
              <w:pStyle w:val="TableParagraph"/>
              <w:spacing w:before="20"/>
              <w:ind w:right="22"/>
              <w:rPr>
                <w:sz w:val="15"/>
              </w:rPr>
            </w:pPr>
            <w:r>
              <w:rPr>
                <w:w w:val="105"/>
                <w:sz w:val="15"/>
              </w:rPr>
              <w:t>(628.943)</w:t>
            </w:r>
          </w:p>
        </w:tc>
        <w:tc>
          <w:tcPr>
            <w:tcW w:w="1001" w:type="dxa"/>
            <w:tcBorders>
              <w:top w:val="nil"/>
              <w:bottom w:val="nil"/>
              <w:right w:val="single" w:sz="4" w:space="0" w:color="000000"/>
            </w:tcBorders>
          </w:tcPr>
          <w:p>
            <w:pPr>
              <w:pStyle w:val="TableParagraph"/>
              <w:spacing w:before="20"/>
              <w:ind w:right="22"/>
              <w:rPr>
                <w:sz w:val="15"/>
              </w:rPr>
            </w:pPr>
            <w:r>
              <w:rPr>
                <w:w w:val="105"/>
                <w:sz w:val="15"/>
              </w:rPr>
              <w:t>(628.943)</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0"/>
              <w:ind w:left="103" w:right="95"/>
              <w:jc w:val="center"/>
              <w:rPr>
                <w:sz w:val="15"/>
              </w:rPr>
            </w:pPr>
            <w:r>
              <w:rPr>
                <w:w w:val="105"/>
                <w:sz w:val="15"/>
              </w:rPr>
              <w:t>2110100</w:t>
            </w:r>
          </w:p>
        </w:tc>
        <w:tc>
          <w:tcPr>
            <w:tcW w:w="3394" w:type="dxa"/>
            <w:tcBorders>
              <w:top w:val="nil"/>
              <w:bottom w:val="nil"/>
            </w:tcBorders>
          </w:tcPr>
          <w:p>
            <w:pPr>
              <w:pStyle w:val="TableParagraph"/>
              <w:spacing w:before="20"/>
              <w:ind w:left="19"/>
              <w:jc w:val="left"/>
              <w:rPr>
                <w:sz w:val="15"/>
              </w:rPr>
            </w:pPr>
            <w:r>
              <w:rPr>
                <w:w w:val="105"/>
                <w:sz w:val="15"/>
              </w:rPr>
              <w:t>Automezzi</w:t>
            </w:r>
          </w:p>
        </w:tc>
        <w:tc>
          <w:tcPr>
            <w:tcW w:w="1001" w:type="dxa"/>
            <w:tcBorders>
              <w:top w:val="nil"/>
              <w:bottom w:val="nil"/>
            </w:tcBorders>
          </w:tcPr>
          <w:p>
            <w:pPr>
              <w:pStyle w:val="TableParagraph"/>
              <w:spacing w:before="20"/>
              <w:ind w:right="57"/>
              <w:rPr>
                <w:sz w:val="15"/>
              </w:rPr>
            </w:pPr>
            <w:r>
              <w:rPr>
                <w:w w:val="105"/>
                <w:sz w:val="15"/>
              </w:rPr>
              <w:t>56.915</w:t>
            </w:r>
          </w:p>
        </w:tc>
        <w:tc>
          <w:tcPr>
            <w:tcW w:w="1001" w:type="dxa"/>
            <w:tcBorders>
              <w:top w:val="nil"/>
              <w:bottom w:val="nil"/>
              <w:right w:val="single" w:sz="4" w:space="0" w:color="000000"/>
            </w:tcBorders>
          </w:tcPr>
          <w:p>
            <w:pPr>
              <w:pStyle w:val="TableParagraph"/>
              <w:spacing w:before="20"/>
              <w:ind w:right="56"/>
              <w:rPr>
                <w:sz w:val="15"/>
              </w:rPr>
            </w:pPr>
            <w:r>
              <w:rPr>
                <w:w w:val="105"/>
                <w:sz w:val="15"/>
              </w:rPr>
              <w:t>56.915</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206" w:hRule="exact"/>
        </w:trPr>
        <w:tc>
          <w:tcPr>
            <w:tcW w:w="765" w:type="dxa"/>
            <w:tcBorders>
              <w:top w:val="nil"/>
              <w:bottom w:val="nil"/>
            </w:tcBorders>
          </w:tcPr>
          <w:p>
            <w:pPr>
              <w:pStyle w:val="TableParagraph"/>
              <w:spacing w:before="21"/>
              <w:ind w:left="103" w:right="95"/>
              <w:jc w:val="center"/>
              <w:rPr>
                <w:sz w:val="15"/>
              </w:rPr>
            </w:pPr>
            <w:r>
              <w:rPr>
                <w:w w:val="105"/>
                <w:sz w:val="15"/>
              </w:rPr>
              <w:t>2111100</w:t>
            </w:r>
          </w:p>
        </w:tc>
        <w:tc>
          <w:tcPr>
            <w:tcW w:w="3394" w:type="dxa"/>
            <w:tcBorders>
              <w:top w:val="nil"/>
              <w:bottom w:val="nil"/>
            </w:tcBorders>
          </w:tcPr>
          <w:p>
            <w:pPr>
              <w:pStyle w:val="TableParagraph"/>
              <w:spacing w:before="21"/>
              <w:ind w:left="19"/>
              <w:jc w:val="left"/>
              <w:rPr>
                <w:sz w:val="15"/>
              </w:rPr>
            </w:pPr>
            <w:r>
              <w:rPr>
                <w:w w:val="105"/>
                <w:sz w:val="15"/>
              </w:rPr>
              <w:t>Fondo Amm Automezzi</w:t>
            </w:r>
          </w:p>
        </w:tc>
        <w:tc>
          <w:tcPr>
            <w:tcW w:w="1001" w:type="dxa"/>
            <w:tcBorders>
              <w:top w:val="nil"/>
              <w:bottom w:val="nil"/>
            </w:tcBorders>
          </w:tcPr>
          <w:p>
            <w:pPr>
              <w:pStyle w:val="TableParagraph"/>
              <w:spacing w:before="21"/>
              <w:ind w:right="22"/>
              <w:rPr>
                <w:sz w:val="15"/>
              </w:rPr>
            </w:pPr>
            <w:r>
              <w:rPr>
                <w:w w:val="105"/>
                <w:sz w:val="15"/>
              </w:rPr>
              <w:t>(56.915)</w:t>
            </w:r>
          </w:p>
        </w:tc>
        <w:tc>
          <w:tcPr>
            <w:tcW w:w="1001" w:type="dxa"/>
            <w:tcBorders>
              <w:top w:val="nil"/>
              <w:bottom w:val="nil"/>
              <w:right w:val="single" w:sz="4" w:space="0" w:color="000000"/>
            </w:tcBorders>
          </w:tcPr>
          <w:p>
            <w:pPr>
              <w:pStyle w:val="TableParagraph"/>
              <w:spacing w:before="21"/>
              <w:ind w:right="22"/>
              <w:rPr>
                <w:sz w:val="15"/>
              </w:rPr>
            </w:pPr>
            <w:r>
              <w:rPr>
                <w:w w:val="105"/>
                <w:sz w:val="15"/>
              </w:rPr>
              <w:t>(56.915)</w:t>
            </w:r>
          </w:p>
        </w:tc>
        <w:tc>
          <w:tcPr>
            <w:tcW w:w="775" w:type="dxa"/>
            <w:tcBorders>
              <w:top w:val="nil"/>
              <w:left w:val="single" w:sz="4" w:space="0" w:color="000000"/>
              <w:bottom w:val="nil"/>
            </w:tcBorders>
          </w:tcPr>
          <w:p>
            <w:pPr/>
          </w:p>
        </w:tc>
        <w:tc>
          <w:tcPr>
            <w:tcW w:w="1040" w:type="dxa"/>
            <w:tcBorders>
              <w:top w:val="nil"/>
              <w:bottom w:val="nil"/>
            </w:tcBorders>
          </w:tcPr>
          <w:p>
            <w:pPr/>
          </w:p>
        </w:tc>
        <w:tc>
          <w:tcPr>
            <w:tcW w:w="1079" w:type="dxa"/>
            <w:tcBorders>
              <w:top w:val="nil"/>
              <w:bottom w:val="nil"/>
            </w:tcBorders>
          </w:tcPr>
          <w:p>
            <w:pPr/>
          </w:p>
        </w:tc>
      </w:tr>
      <w:tr>
        <w:trPr>
          <w:trHeight w:val="194" w:hRule="exact"/>
        </w:trPr>
        <w:tc>
          <w:tcPr>
            <w:tcW w:w="765" w:type="dxa"/>
            <w:tcBorders>
              <w:top w:val="nil"/>
            </w:tcBorders>
          </w:tcPr>
          <w:p>
            <w:pPr>
              <w:pStyle w:val="TableParagraph"/>
              <w:spacing w:before="20"/>
              <w:ind w:left="103" w:right="95"/>
              <w:jc w:val="center"/>
              <w:rPr>
                <w:sz w:val="15"/>
              </w:rPr>
            </w:pPr>
            <w:r>
              <w:rPr>
                <w:w w:val="105"/>
                <w:sz w:val="15"/>
              </w:rPr>
              <w:t>2110400</w:t>
            </w:r>
          </w:p>
        </w:tc>
        <w:tc>
          <w:tcPr>
            <w:tcW w:w="3394" w:type="dxa"/>
            <w:tcBorders>
              <w:top w:val="nil"/>
            </w:tcBorders>
          </w:tcPr>
          <w:p>
            <w:pPr>
              <w:pStyle w:val="TableParagraph"/>
              <w:spacing w:before="20"/>
              <w:ind w:left="19"/>
              <w:jc w:val="left"/>
              <w:rPr>
                <w:sz w:val="15"/>
              </w:rPr>
            </w:pPr>
            <w:r>
              <w:rPr>
                <w:w w:val="105"/>
                <w:sz w:val="15"/>
              </w:rPr>
              <w:t>Immobilizzazioni Materiali in Corso</w:t>
            </w:r>
          </w:p>
        </w:tc>
        <w:tc>
          <w:tcPr>
            <w:tcW w:w="1001" w:type="dxa"/>
            <w:tcBorders>
              <w:top w:val="nil"/>
            </w:tcBorders>
          </w:tcPr>
          <w:p>
            <w:pPr>
              <w:pStyle w:val="TableParagraph"/>
              <w:spacing w:before="20"/>
              <w:ind w:right="57"/>
              <w:rPr>
                <w:sz w:val="15"/>
              </w:rPr>
            </w:pPr>
            <w:r>
              <w:rPr>
                <w:w w:val="105"/>
                <w:sz w:val="15"/>
              </w:rPr>
              <w:t>14.364</w:t>
            </w:r>
          </w:p>
        </w:tc>
        <w:tc>
          <w:tcPr>
            <w:tcW w:w="1001" w:type="dxa"/>
            <w:tcBorders>
              <w:top w:val="nil"/>
              <w:right w:val="single" w:sz="4" w:space="0" w:color="000000"/>
            </w:tcBorders>
          </w:tcPr>
          <w:p>
            <w:pPr>
              <w:pStyle w:val="TableParagraph"/>
              <w:spacing w:before="20"/>
              <w:ind w:right="56"/>
              <w:rPr>
                <w:sz w:val="15"/>
              </w:rPr>
            </w:pPr>
            <w:r>
              <w:rPr>
                <w:w w:val="105"/>
                <w:sz w:val="15"/>
              </w:rPr>
              <w:t>14.364</w:t>
            </w:r>
          </w:p>
        </w:tc>
        <w:tc>
          <w:tcPr>
            <w:tcW w:w="775" w:type="dxa"/>
            <w:tcBorders>
              <w:top w:val="nil"/>
              <w:left w:val="single" w:sz="4" w:space="0" w:color="000000"/>
            </w:tcBorders>
          </w:tcPr>
          <w:p>
            <w:pPr/>
          </w:p>
        </w:tc>
        <w:tc>
          <w:tcPr>
            <w:tcW w:w="1040" w:type="dxa"/>
            <w:tcBorders>
              <w:top w:val="nil"/>
            </w:tcBorders>
          </w:tcPr>
          <w:p>
            <w:pPr/>
          </w:p>
        </w:tc>
        <w:tc>
          <w:tcPr>
            <w:tcW w:w="1079" w:type="dxa"/>
            <w:tcBorders>
              <w:top w:val="nil"/>
            </w:tcBorders>
          </w:tcPr>
          <w:p>
            <w:pPr/>
          </w:p>
        </w:tc>
      </w:tr>
      <w:tr>
        <w:trPr>
          <w:trHeight w:val="206" w:hRule="exact"/>
        </w:trPr>
        <w:tc>
          <w:tcPr>
            <w:tcW w:w="4160" w:type="dxa"/>
            <w:gridSpan w:val="2"/>
            <w:shd w:val="clear" w:color="auto" w:fill="BEBEBE"/>
          </w:tcPr>
          <w:p>
            <w:pPr>
              <w:pStyle w:val="TableParagraph"/>
              <w:spacing w:before="27"/>
              <w:ind w:left="19"/>
              <w:jc w:val="left"/>
              <w:rPr>
                <w:b/>
                <w:sz w:val="15"/>
              </w:rPr>
            </w:pPr>
            <w:r>
              <w:rPr>
                <w:b/>
                <w:w w:val="105"/>
                <w:sz w:val="15"/>
              </w:rPr>
              <w:t>Totale Imm. Materiali</w:t>
            </w:r>
          </w:p>
        </w:tc>
        <w:tc>
          <w:tcPr>
            <w:tcW w:w="1001" w:type="dxa"/>
            <w:shd w:val="clear" w:color="auto" w:fill="BEBEBE"/>
          </w:tcPr>
          <w:p>
            <w:pPr>
              <w:pStyle w:val="TableParagraph"/>
              <w:spacing w:before="27"/>
              <w:ind w:right="63"/>
              <w:rPr>
                <w:b/>
                <w:sz w:val="15"/>
              </w:rPr>
            </w:pPr>
            <w:r>
              <w:rPr>
                <w:b/>
                <w:w w:val="105"/>
                <w:sz w:val="15"/>
              </w:rPr>
              <w:t>4.012.043</w:t>
            </w:r>
          </w:p>
        </w:tc>
        <w:tc>
          <w:tcPr>
            <w:tcW w:w="1001" w:type="dxa"/>
            <w:tcBorders>
              <w:right w:val="single" w:sz="4" w:space="0" w:color="000000"/>
            </w:tcBorders>
            <w:shd w:val="clear" w:color="auto" w:fill="BEBEBE"/>
          </w:tcPr>
          <w:p>
            <w:pPr>
              <w:pStyle w:val="TableParagraph"/>
              <w:spacing w:before="27"/>
              <w:ind w:right="73"/>
              <w:rPr>
                <w:b/>
                <w:sz w:val="15"/>
              </w:rPr>
            </w:pPr>
            <w:r>
              <w:rPr>
                <w:b/>
                <w:w w:val="105"/>
                <w:sz w:val="15"/>
              </w:rPr>
              <w:t>2.404.400</w:t>
            </w:r>
          </w:p>
        </w:tc>
        <w:tc>
          <w:tcPr>
            <w:tcW w:w="775" w:type="dxa"/>
            <w:tcBorders>
              <w:left w:val="single" w:sz="4" w:space="0" w:color="000000"/>
            </w:tcBorders>
            <w:shd w:val="clear" w:color="auto" w:fill="BEBEBE"/>
          </w:tcPr>
          <w:p>
            <w:pPr>
              <w:pStyle w:val="TableParagraph"/>
              <w:spacing w:before="27"/>
              <w:ind w:right="73"/>
              <w:rPr>
                <w:b/>
                <w:sz w:val="15"/>
              </w:rPr>
            </w:pPr>
            <w:r>
              <w:rPr>
                <w:b/>
                <w:w w:val="105"/>
                <w:sz w:val="15"/>
              </w:rPr>
              <w:t>1.607.643</w:t>
            </w:r>
          </w:p>
        </w:tc>
        <w:tc>
          <w:tcPr>
            <w:tcW w:w="1040" w:type="dxa"/>
            <w:shd w:val="clear" w:color="auto" w:fill="BEBEBE"/>
          </w:tcPr>
          <w:p>
            <w:pPr>
              <w:pStyle w:val="TableParagraph"/>
              <w:spacing w:before="27"/>
              <w:ind w:right="22"/>
              <w:rPr>
                <w:b/>
                <w:sz w:val="15"/>
              </w:rPr>
            </w:pPr>
            <w:r>
              <w:rPr>
                <w:b/>
                <w:w w:val="105"/>
                <w:sz w:val="15"/>
              </w:rPr>
              <w:t>(583.043)</w:t>
            </w:r>
          </w:p>
        </w:tc>
        <w:tc>
          <w:tcPr>
            <w:tcW w:w="1079" w:type="dxa"/>
            <w:shd w:val="clear" w:color="auto" w:fill="BEBEBE"/>
          </w:tcPr>
          <w:p>
            <w:pPr>
              <w:pStyle w:val="TableParagraph"/>
              <w:spacing w:before="27"/>
              <w:ind w:right="72"/>
              <w:rPr>
                <w:b/>
                <w:sz w:val="15"/>
              </w:rPr>
            </w:pPr>
            <w:r>
              <w:rPr>
                <w:b/>
                <w:w w:val="105"/>
                <w:sz w:val="15"/>
              </w:rPr>
              <w:t>1.024.600</w:t>
            </w:r>
          </w:p>
        </w:tc>
      </w:tr>
    </w:tbl>
    <w:p>
      <w:pPr>
        <w:pStyle w:val="BodyText"/>
        <w:rPr>
          <w:sz w:val="20"/>
        </w:rPr>
      </w:pPr>
    </w:p>
    <w:p>
      <w:pPr>
        <w:pStyle w:val="BodyText"/>
        <w:spacing w:before="6"/>
        <w:rPr>
          <w:sz w:val="22"/>
        </w:rPr>
      </w:pPr>
    </w:p>
    <w:p>
      <w:pPr>
        <w:pStyle w:val="Heading2"/>
        <w:numPr>
          <w:ilvl w:val="0"/>
          <w:numId w:val="40"/>
        </w:numPr>
        <w:tabs>
          <w:tab w:pos="2126" w:val="left" w:leader="none"/>
          <w:tab w:pos="2127" w:val="left" w:leader="none"/>
        </w:tabs>
        <w:spacing w:line="240" w:lineRule="auto" w:before="0" w:after="0"/>
        <w:ind w:left="2126" w:right="0" w:hanging="348"/>
        <w:jc w:val="left"/>
      </w:pPr>
      <w:r>
        <w:rPr>
          <w:u w:val="single"/>
        </w:rPr>
        <w:t>Terreni e</w:t>
      </w:r>
      <w:r>
        <w:rPr>
          <w:spacing w:val="-9"/>
          <w:u w:val="single"/>
        </w:rPr>
        <w:t> </w:t>
      </w:r>
      <w:r>
        <w:rPr>
          <w:u w:val="single"/>
        </w:rPr>
        <w:t>fabbricati</w:t>
      </w:r>
    </w:p>
    <w:p>
      <w:pPr>
        <w:pStyle w:val="BodyText"/>
        <w:spacing w:before="10"/>
        <w:rPr>
          <w:b/>
          <w:sz w:val="23"/>
        </w:rPr>
      </w:pPr>
    </w:p>
    <w:p>
      <w:pPr>
        <w:pStyle w:val="BodyText"/>
        <w:spacing w:before="1"/>
        <w:ind w:left="1418"/>
      </w:pPr>
      <w:r>
        <w:rPr/>
        <w:pict>
          <v:line style="position:absolute;mso-position-horizontal-relative:page;mso-position-vertical-relative:paragraph;z-index:-846064" from="425.140015pt,11.651788pt" to="427.780015pt,11.651788pt" stroked="true" strokeweight=".600010pt" strokecolor="#000000">
            <v:stroke dashstyle="solid"/>
            <w10:wrap type="none"/>
          </v:line>
        </w:pict>
      </w:r>
      <w:r>
        <w:rPr/>
        <w:t>La voce in esame al 15 ottobre 2017 pari a complessivi Euro 1.607.643, risulta costituita da</w:t>
      </w:r>
    </w:p>
    <w:p>
      <w:pPr>
        <w:pStyle w:val="BodyText"/>
        <w:spacing w:before="1"/>
        <w:rPr>
          <w:sz w:val="15"/>
        </w:rPr>
      </w:pPr>
    </w:p>
    <w:p>
      <w:pPr>
        <w:pStyle w:val="BodyText"/>
        <w:spacing w:line="480" w:lineRule="auto" w:before="101"/>
        <w:ind w:left="1418" w:right="1412"/>
        <w:jc w:val="both"/>
      </w:pPr>
      <w:r>
        <w:rPr/>
        <w:pict>
          <v:line style="position:absolute;mso-position-horizontal-relative:page;mso-position-vertical-relative:paragraph;z-index:-846040" from="274.869995pt,43.651798pt" to="277.389995pt,43.651798pt" stroked="true" strokeweight=".600010pt" strokecolor="#000000">
            <v:stroke dashstyle="solid"/>
            <w10:wrap type="none"/>
          </v:line>
        </w:pict>
      </w:r>
      <w:r>
        <w:rPr/>
        <w:t>terreni per un valore di Euro 74.551, fabbricati per un valore lordo di Euro 1.481.962, immobili civili per un valore lordo di Euro 51.130, e si riferisce ad un immobile sito nel comune di Modugno acquistato in data 14 giugno 2013 dalla Catservice Sud Srl ad un corrispettivo di   Euro</w:t>
      </w:r>
    </w:p>
    <w:p>
      <w:pPr>
        <w:pStyle w:val="ListParagraph"/>
        <w:numPr>
          <w:ilvl w:val="2"/>
          <w:numId w:val="41"/>
        </w:numPr>
        <w:tabs>
          <w:tab w:pos="2375" w:val="left" w:leader="none"/>
        </w:tabs>
        <w:spacing w:line="240" w:lineRule="auto" w:before="0" w:after="0"/>
        <w:ind w:left="2374" w:right="0" w:hanging="956"/>
        <w:jc w:val="both"/>
        <w:rPr>
          <w:sz w:val="24"/>
        </w:rPr>
      </w:pPr>
      <w:r>
        <w:rPr>
          <w:sz w:val="24"/>
        </w:rPr>
        <w:t>(atto Notaio Ferdinando Fiandaca, Rep. 113909 raccolta</w:t>
      </w:r>
      <w:r>
        <w:rPr>
          <w:spacing w:val="-19"/>
          <w:sz w:val="24"/>
        </w:rPr>
        <w:t> </w:t>
      </w:r>
      <w:r>
        <w:rPr>
          <w:sz w:val="24"/>
        </w:rPr>
        <w:t>6125).</w:t>
      </w:r>
    </w:p>
    <w:p>
      <w:pPr>
        <w:pStyle w:val="BodyText"/>
        <w:spacing w:before="11"/>
        <w:rPr>
          <w:sz w:val="23"/>
        </w:rPr>
      </w:pPr>
    </w:p>
    <w:p>
      <w:pPr>
        <w:pStyle w:val="BodyText"/>
        <w:spacing w:line="480" w:lineRule="auto"/>
        <w:ind w:left="1418" w:right="1418"/>
        <w:jc w:val="both"/>
      </w:pPr>
      <w:r>
        <w:rPr/>
        <w:t>La proprietà è composta da un fabbricato industriale costituito da un capannone di circa 1870 mq collegato alla zona servizi e uffici e articolato su tre piani, da piccoli corpi di fabbrica per impianti tecnici, da piccoli depositi e dall’area scoperta.</w:t>
      </w:r>
    </w:p>
    <w:p>
      <w:pPr>
        <w:pStyle w:val="BodyText"/>
        <w:spacing w:line="480" w:lineRule="auto"/>
        <w:ind w:left="1418" w:right="1418"/>
        <w:jc w:val="both"/>
      </w:pPr>
      <w:r>
        <w:rPr/>
        <w:t>Si segnala che sull’immobile risulta iscritta ipoteca volontaria (concessione a garanzia di mutuo fondiario) per Euro 1.500.000 (capitale Euro 750.000) a favore di banca Carime S.p.A. per la durata di 10 anni e sei mesi (atto del 14 giugno 2013, rep 113910, rac. 6126 trascritto il 20 giugno 2013 ai numeri 2896/21768, Notaio Ferdinando Fiandaca).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6"/>
        <w:jc w:val="both"/>
      </w:pPr>
      <w:r>
        <w:rPr/>
        <w:t>Gli scriventi hanno preso visione della perizia redatta dall’architetto Bolamperti in data 15 febbraio 2018, nella quale viene indicato un valore di mercato per detto immobile di Euro 1.050.000.</w:t>
      </w:r>
    </w:p>
    <w:p>
      <w:pPr>
        <w:pStyle w:val="BodyText"/>
        <w:ind w:left="1418"/>
        <w:jc w:val="both"/>
      </w:pPr>
      <w:r>
        <w:rPr>
          <w:u w:val="single"/>
        </w:rPr>
        <w:t>Attività svolta</w:t>
      </w:r>
    </w:p>
    <w:p>
      <w:pPr>
        <w:pStyle w:val="BodyText"/>
      </w:pPr>
    </w:p>
    <w:p>
      <w:pPr>
        <w:pStyle w:val="BodyText"/>
        <w:spacing w:line="480" w:lineRule="auto"/>
        <w:ind w:left="1418" w:right="1412"/>
        <w:jc w:val="both"/>
      </w:pPr>
      <w:r>
        <w:rPr/>
        <w:t>Gli scriventi hanno preso visione dell’atto di acquisto dell’immobile di Modugno, dei mastrini contabili e della perizia di stima redatta dall’architetto Bolamperti datata febbraio 2018. La perizia riporta le seguenti informazioni più rilevanti:</w:t>
      </w:r>
    </w:p>
    <w:p>
      <w:pPr>
        <w:pStyle w:val="ListParagraph"/>
        <w:numPr>
          <w:ilvl w:val="0"/>
          <w:numId w:val="42"/>
        </w:numPr>
        <w:tabs>
          <w:tab w:pos="2127" w:val="left" w:leader="none"/>
        </w:tabs>
        <w:spacing w:line="475" w:lineRule="auto" w:before="0" w:after="0"/>
        <w:ind w:left="2138" w:right="1410" w:hanging="360"/>
        <w:jc w:val="both"/>
        <w:rPr>
          <w:sz w:val="24"/>
        </w:rPr>
      </w:pPr>
      <w:r>
        <w:rPr>
          <w:sz w:val="24"/>
        </w:rPr>
        <w:t>l’oggetto della valutazione: “</w:t>
      </w:r>
      <w:r>
        <w:rPr>
          <w:i/>
          <w:sz w:val="24"/>
        </w:rPr>
        <w:t>Le unità immobiliari ed i terreni oggetto di relazione sono siti in </w:t>
      </w:r>
      <w:r>
        <w:rPr>
          <w:i/>
          <w:sz w:val="24"/>
        </w:rPr>
        <w:t>Modugno, in Via Fabrizio De André n.18, nell’area industriale della città, di piena proprietà e ad uso produttivo, con uffici e residenza custode, nonché area scoperta con residue potenzialità edificatorie. Il compendio è composto da un’area completamente recintata, al cui interno si trovano i corpi di fabbrica. In Comune di Modugno (BA), in Via Fabrizio De</w:t>
      </w:r>
      <w:r>
        <w:rPr>
          <w:i/>
          <w:spacing w:val="-21"/>
          <w:sz w:val="24"/>
        </w:rPr>
        <w:t> </w:t>
      </w:r>
      <w:r>
        <w:rPr>
          <w:i/>
          <w:sz w:val="24"/>
        </w:rPr>
        <w:t>André</w:t>
      </w:r>
      <w:r>
        <w:rPr>
          <w:sz w:val="24"/>
        </w:rPr>
        <w:t>”;</w:t>
      </w:r>
    </w:p>
    <w:p>
      <w:pPr>
        <w:pStyle w:val="ListParagraph"/>
        <w:numPr>
          <w:ilvl w:val="0"/>
          <w:numId w:val="42"/>
        </w:numPr>
        <w:tabs>
          <w:tab w:pos="2127" w:val="left" w:leader="none"/>
        </w:tabs>
        <w:spacing w:line="477" w:lineRule="auto" w:before="5" w:after="0"/>
        <w:ind w:left="2138" w:right="1412" w:hanging="360"/>
        <w:jc w:val="both"/>
        <w:rPr>
          <w:i/>
          <w:sz w:val="24"/>
        </w:rPr>
      </w:pPr>
      <w:r>
        <w:rPr>
          <w:sz w:val="24"/>
        </w:rPr>
        <w:t>modalità di stima dell’immobile: “</w:t>
      </w:r>
      <w:r>
        <w:rPr>
          <w:i/>
          <w:sz w:val="24"/>
        </w:rPr>
        <w:t>Dopo aver svolto opportune indagini ed aver consultato i più </w:t>
      </w:r>
      <w:r>
        <w:rPr>
          <w:i/>
          <w:sz w:val="24"/>
        </w:rPr>
        <w:t>aggiornati prezziari, banche dati, mercuriali e pubblicazioni, è stato possibile determinare il valore unitario per metro quadrato degli immobili in oggetto, anche per comparazione con quello di immobili simili -oggi sul mercato o già compravenduti-, per il periodo corrente, considerata la posizione e le caratteristiche delle zone limitrofe; tale prezzo unitario è stato determinato alla luce di quanto appurato in sede di sopralluogo, vista la vetustà, il livello delle finiture, lo stato di manutenzione e le caratteristiche del mercato immobiliare di riferimento; (…) “La valutazione espressa cerca di ponderare adeguatamente il momento congiunturale, le residue oggettive difficoltà del mercato immobiliare, e le condizioni dell’immobile. La stima viene condotta sulla base delle superfici commerciabili. Al fine di giungere alla determinazione del valore unitario sono stati consultati e verificati: </w:t>
      </w:r>
      <w:r>
        <w:rPr>
          <w:i/>
          <w:sz w:val="24"/>
          <w:u w:val="single"/>
        </w:rPr>
        <w:t>i valori Osservatorio Mercato Immobiliare,</w:t>
      </w:r>
      <w:r>
        <w:rPr>
          <w:i/>
          <w:spacing w:val="13"/>
          <w:sz w:val="24"/>
          <w:u w:val="single"/>
        </w:rPr>
        <w:t> </w:t>
      </w:r>
      <w:r>
        <w:rPr>
          <w:i/>
          <w:sz w:val="24"/>
          <w:u w:val="single"/>
        </w:rPr>
        <w:t>le</w:t>
      </w:r>
      <w:r>
        <w:rPr>
          <w:i/>
          <w:spacing w:val="15"/>
          <w:sz w:val="24"/>
          <w:u w:val="single"/>
        </w:rPr>
        <w:t> </w:t>
      </w:r>
      <w:r>
        <w:rPr>
          <w:i/>
          <w:sz w:val="24"/>
          <w:u w:val="single"/>
        </w:rPr>
        <w:t>banche</w:t>
      </w:r>
      <w:r>
        <w:rPr>
          <w:i/>
          <w:spacing w:val="13"/>
          <w:sz w:val="24"/>
          <w:u w:val="single"/>
        </w:rPr>
        <w:t> </w:t>
      </w:r>
      <w:r>
        <w:rPr>
          <w:i/>
          <w:sz w:val="24"/>
          <w:u w:val="single"/>
        </w:rPr>
        <w:t>dati</w:t>
      </w:r>
      <w:r>
        <w:rPr>
          <w:i/>
          <w:spacing w:val="13"/>
          <w:sz w:val="24"/>
          <w:u w:val="single"/>
        </w:rPr>
        <w:t> </w:t>
      </w:r>
      <w:r>
        <w:rPr>
          <w:i/>
          <w:sz w:val="24"/>
          <w:u w:val="single"/>
        </w:rPr>
        <w:t>disponibili</w:t>
      </w:r>
      <w:r>
        <w:rPr>
          <w:i/>
          <w:spacing w:val="14"/>
          <w:sz w:val="24"/>
          <w:u w:val="single"/>
        </w:rPr>
        <w:t> </w:t>
      </w:r>
      <w:r>
        <w:rPr>
          <w:i/>
          <w:sz w:val="24"/>
          <w:u w:val="single"/>
        </w:rPr>
        <w:t>per</w:t>
      </w:r>
      <w:r>
        <w:rPr>
          <w:i/>
          <w:spacing w:val="14"/>
          <w:sz w:val="24"/>
          <w:u w:val="single"/>
        </w:rPr>
        <w:t> </w:t>
      </w:r>
      <w:r>
        <w:rPr>
          <w:i/>
          <w:sz w:val="24"/>
          <w:u w:val="single"/>
        </w:rPr>
        <w:t>i</w:t>
      </w:r>
      <w:r>
        <w:rPr>
          <w:i/>
          <w:spacing w:val="16"/>
          <w:sz w:val="24"/>
          <w:u w:val="single"/>
        </w:rPr>
        <w:t> </w:t>
      </w:r>
      <w:r>
        <w:rPr>
          <w:i/>
          <w:sz w:val="24"/>
          <w:u w:val="single"/>
        </w:rPr>
        <w:t>valori</w:t>
      </w:r>
      <w:r>
        <w:rPr>
          <w:i/>
          <w:spacing w:val="15"/>
          <w:sz w:val="24"/>
          <w:u w:val="single"/>
        </w:rPr>
        <w:t> </w:t>
      </w:r>
      <w:r>
        <w:rPr>
          <w:i/>
          <w:sz w:val="24"/>
          <w:u w:val="single"/>
        </w:rPr>
        <w:t>immobiliari</w:t>
      </w:r>
      <w:r>
        <w:rPr>
          <w:i/>
          <w:spacing w:val="15"/>
          <w:sz w:val="24"/>
          <w:u w:val="single"/>
        </w:rPr>
        <w:t> </w:t>
      </w:r>
      <w:r>
        <w:rPr>
          <w:i/>
          <w:sz w:val="24"/>
          <w:u w:val="single"/>
        </w:rPr>
        <w:t>ed</w:t>
      </w:r>
      <w:r>
        <w:rPr>
          <w:i/>
          <w:spacing w:val="16"/>
          <w:sz w:val="24"/>
          <w:u w:val="single"/>
        </w:rPr>
        <w:t> </w:t>
      </w:r>
      <w:r>
        <w:rPr>
          <w:i/>
          <w:sz w:val="24"/>
          <w:u w:val="single"/>
        </w:rPr>
        <w:t>i</w:t>
      </w:r>
      <w:r>
        <w:rPr>
          <w:i/>
          <w:spacing w:val="13"/>
          <w:sz w:val="24"/>
          <w:u w:val="single"/>
        </w:rPr>
        <w:t> </w:t>
      </w:r>
      <w:r>
        <w:rPr>
          <w:i/>
          <w:sz w:val="24"/>
          <w:u w:val="single"/>
        </w:rPr>
        <w:t>volumi</w:t>
      </w:r>
      <w:r>
        <w:rPr>
          <w:i/>
          <w:spacing w:val="13"/>
          <w:sz w:val="24"/>
          <w:u w:val="single"/>
        </w:rPr>
        <w:t> </w:t>
      </w:r>
      <w:r>
        <w:rPr>
          <w:i/>
          <w:sz w:val="24"/>
          <w:u w:val="single"/>
        </w:rPr>
        <w:t>degli</w:t>
      </w:r>
      <w:r>
        <w:rPr>
          <w:i/>
          <w:spacing w:val="16"/>
          <w:sz w:val="24"/>
          <w:u w:val="single"/>
        </w:rPr>
        <w:t> </w:t>
      </w:r>
      <w:r>
        <w:rPr>
          <w:i/>
          <w:sz w:val="24"/>
          <w:u w:val="single"/>
        </w:rPr>
        <w:t>scambi,</w:t>
      </w:r>
      <w:r>
        <w:rPr>
          <w:i/>
          <w:spacing w:val="14"/>
          <w:sz w:val="24"/>
          <w:u w:val="single"/>
        </w:rPr>
        <w:t> </w:t>
      </w:r>
      <w:r>
        <w:rPr>
          <w:i/>
          <w:sz w:val="24"/>
          <w:u w:val="single"/>
        </w:rPr>
        <w:t>le</w:t>
      </w:r>
      <w:r>
        <w:rPr>
          <w:i/>
          <w:spacing w:val="15"/>
          <w:sz w:val="24"/>
          <w:u w:val="single"/>
        </w:rPr>
        <w:t> </w:t>
      </w:r>
      <w:r>
        <w:rPr>
          <w:i/>
          <w:sz w:val="24"/>
          <w:u w:val="single"/>
        </w:rPr>
        <w:t>transazioni</w:t>
      </w:r>
    </w:p>
    <w:p>
      <w:pPr>
        <w:spacing w:after="0" w:line="477"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2138" w:right="1413" w:firstLine="0"/>
        <w:jc w:val="both"/>
        <w:rPr>
          <w:i/>
          <w:sz w:val="24"/>
        </w:rPr>
      </w:pPr>
      <w:r>
        <w:rPr>
          <w:i/>
          <w:sz w:val="24"/>
          <w:u w:val="single"/>
        </w:rPr>
        <w:t>reali e relativi valori unitari, i prezzi degli immobili presenti nelle aste immobiliari, i prezzi degli  </w:t>
      </w:r>
      <w:r>
        <w:rPr>
          <w:i/>
          <w:sz w:val="24"/>
          <w:u w:val="single"/>
        </w:rPr>
        <w:t>immobili sul mercato</w:t>
      </w:r>
      <w:r>
        <w:rPr>
          <w:i/>
          <w:sz w:val="24"/>
        </w:rPr>
        <w:t>. Sono state inoltre condotte indagini circa il mercato immobiliare di riferimento. Per determinare i più appropriati valori unitari della proprietà oggetto di valutazione tutte le informazioni raccolte sono state infine elaborate, confrontate e adeguate alla reale consistenza, posizione, stato d’uso e manutenzione, appetibilità nonché potenzialità del cespite. Visto tutto quanto esposto, richiamato il mercato immobiliare e il valore di beni comparabili, e viste le caratteristiche peculiari dell’unità oggetto di relazione, è stato possibile determinare il valore venale della proprietà immobiliare.” (…) – </w:t>
      </w:r>
      <w:r>
        <w:rPr>
          <w:sz w:val="24"/>
        </w:rPr>
        <w:t>stima  finale: </w:t>
      </w:r>
      <w:r>
        <w:rPr>
          <w:i/>
          <w:sz w:val="24"/>
        </w:rPr>
        <w:t>“</w:t>
      </w:r>
      <w:r>
        <w:rPr>
          <w:i/>
          <w:sz w:val="24"/>
          <w:u w:val="single"/>
        </w:rPr>
        <w:t>Alla luce di quanto esposto si ritiene equo per la proprietà in oggetto un valore di mercato </w:t>
      </w:r>
      <w:r>
        <w:rPr>
          <w:i/>
          <w:sz w:val="24"/>
          <w:u w:val="single"/>
        </w:rPr>
        <w:t>complessivo di 1.050.000,00 Euro</w:t>
      </w:r>
      <w:r>
        <w:rPr>
          <w:i/>
          <w:spacing w:val="-16"/>
          <w:sz w:val="24"/>
          <w:u w:val="single"/>
        </w:rPr>
        <w:t> </w:t>
      </w:r>
      <w:r>
        <w:rPr>
          <w:i/>
          <w:sz w:val="24"/>
          <w:u w:val="single"/>
        </w:rPr>
        <w:t>(unmilionecinquantamila/00Euro).”</w:t>
      </w:r>
    </w:p>
    <w:p>
      <w:pPr>
        <w:pStyle w:val="BodyText"/>
        <w:ind w:left="1418"/>
      </w:pPr>
      <w:r>
        <w:rPr/>
        <w:t>Con integrazione del 20 aprile 2018 il perito ha precisato i seguenti punti:</w:t>
      </w:r>
    </w:p>
    <w:p>
      <w:pPr>
        <w:pStyle w:val="BodyText"/>
      </w:pPr>
    </w:p>
    <w:p>
      <w:pPr>
        <w:pStyle w:val="ListParagraph"/>
        <w:numPr>
          <w:ilvl w:val="0"/>
          <w:numId w:val="42"/>
        </w:numPr>
        <w:tabs>
          <w:tab w:pos="2127" w:val="left" w:leader="none"/>
        </w:tabs>
        <w:spacing w:line="472" w:lineRule="auto" w:before="0" w:after="0"/>
        <w:ind w:left="2138" w:right="1412" w:hanging="360"/>
        <w:jc w:val="both"/>
        <w:rPr>
          <w:i/>
          <w:sz w:val="24"/>
        </w:rPr>
      </w:pPr>
      <w:r>
        <w:rPr>
          <w:sz w:val="24"/>
        </w:rPr>
        <w:t>Tipo di attività svolta all’interno dell’immobile: “</w:t>
      </w:r>
      <w:r>
        <w:rPr>
          <w:i/>
          <w:sz w:val="24"/>
        </w:rPr>
        <w:t>Dalle informazioni raccolte, e dai documenti </w:t>
      </w:r>
      <w:r>
        <w:rPr>
          <w:i/>
          <w:sz w:val="24"/>
        </w:rPr>
        <w:t>acquisiti e consultati, è risultato che l’immobile, fino all’acquisto avvenuto nell’anno 2013 da parte di Chemtex (poi divenuta Biochemtex) era di proprietà della società Cartservice Sud. Tale società -è stato riferito- nell’immobile in oggetto effettuava la produzione di sacchetti di</w:t>
      </w:r>
      <w:r>
        <w:rPr>
          <w:i/>
          <w:spacing w:val="-23"/>
          <w:sz w:val="24"/>
        </w:rPr>
        <w:t> </w:t>
      </w:r>
      <w:r>
        <w:rPr>
          <w:i/>
          <w:sz w:val="24"/>
        </w:rPr>
        <w:t>carta”.</w:t>
      </w:r>
    </w:p>
    <w:p>
      <w:pPr>
        <w:pStyle w:val="ListParagraph"/>
        <w:numPr>
          <w:ilvl w:val="0"/>
          <w:numId w:val="42"/>
        </w:numPr>
        <w:tabs>
          <w:tab w:pos="2127" w:val="left" w:leader="none"/>
        </w:tabs>
        <w:spacing w:line="475" w:lineRule="auto" w:before="8" w:after="0"/>
        <w:ind w:left="2138" w:right="1412" w:hanging="360"/>
        <w:jc w:val="both"/>
        <w:rPr>
          <w:i/>
          <w:sz w:val="24"/>
        </w:rPr>
      </w:pPr>
      <w:r>
        <w:rPr>
          <w:sz w:val="24"/>
        </w:rPr>
        <w:t>Eventuale rischio ambientale ed oneri di smaltimento (legati alle produzioni): “v</w:t>
      </w:r>
      <w:r>
        <w:rPr>
          <w:i/>
          <w:sz w:val="24"/>
        </w:rPr>
        <w:t>isto quanto </w:t>
      </w:r>
      <w:r>
        <w:rPr>
          <w:i/>
          <w:sz w:val="24"/>
        </w:rPr>
        <w:t>esposto al punto 1, e premettendo che durante i sopralluoghi è stata svolta una ispezione solo vis</w:t>
      </w:r>
      <w:r>
        <w:rPr>
          <w:sz w:val="24"/>
        </w:rPr>
        <w:t>iva </w:t>
      </w:r>
      <w:r>
        <w:rPr>
          <w:i/>
          <w:sz w:val="24"/>
        </w:rPr>
        <w:t>del </w:t>
      </w:r>
      <w:r>
        <w:rPr>
          <w:i/>
          <w:sz w:val="24"/>
        </w:rPr>
        <w:t>sito, anche dalle informazioni assunte l’attività svolta da Cartservice Sud non era una attività che comportava lavorazioni rischiose dal punto vista ambientale; dopodichè - dopo la cessione da Cartservice Sud- nessuna attività è più stata</w:t>
      </w:r>
      <w:r>
        <w:rPr>
          <w:i/>
          <w:spacing w:val="-14"/>
          <w:sz w:val="24"/>
        </w:rPr>
        <w:t> </w:t>
      </w:r>
      <w:r>
        <w:rPr>
          <w:i/>
          <w:sz w:val="24"/>
        </w:rPr>
        <w:t>svolta.</w:t>
      </w:r>
    </w:p>
    <w:p>
      <w:pPr>
        <w:pStyle w:val="ListParagraph"/>
        <w:numPr>
          <w:ilvl w:val="0"/>
          <w:numId w:val="42"/>
        </w:numPr>
        <w:tabs>
          <w:tab w:pos="2127" w:val="left" w:leader="none"/>
        </w:tabs>
        <w:spacing w:line="472" w:lineRule="auto" w:before="5" w:after="0"/>
        <w:ind w:left="2138" w:right="1415" w:hanging="360"/>
        <w:jc w:val="both"/>
        <w:rPr>
          <w:i/>
          <w:sz w:val="24"/>
        </w:rPr>
      </w:pPr>
      <w:r>
        <w:rPr>
          <w:sz w:val="24"/>
        </w:rPr>
        <w:t>Eventuali costi di manutenzione ordinaria e straordinaria da sopportare fino alla data ipotizzata di vendita (2024): “</w:t>
      </w:r>
      <w:r>
        <w:rPr>
          <w:i/>
          <w:sz w:val="24"/>
        </w:rPr>
        <w:t>Alle date dei sopralluoghi il fabbricato era in discrete condizioni. </w:t>
      </w:r>
      <w:r>
        <w:rPr>
          <w:i/>
          <w:sz w:val="24"/>
        </w:rPr>
        <w:t>All’analisi vis</w:t>
      </w:r>
      <w:r>
        <w:rPr>
          <w:sz w:val="24"/>
        </w:rPr>
        <w:t>iva </w:t>
      </w:r>
      <w:r>
        <w:rPr>
          <w:i/>
          <w:sz w:val="24"/>
        </w:rPr>
        <w:t>non sono stati osservati particolari problemi. Il clima asciutto e l’assenza di </w:t>
      </w:r>
      <w:r>
        <w:rPr>
          <w:i/>
          <w:sz w:val="24"/>
        </w:rPr>
        <w:t>precipitazioni  non  hanno permesso di  verificare la  tenuta  della  copertura  e dei serramenti  agli</w:t>
      </w:r>
      <w:r>
        <w:rPr>
          <w:i/>
          <w:spacing w:val="27"/>
          <w:sz w:val="24"/>
        </w:rPr>
        <w:t> </w:t>
      </w:r>
      <w:r>
        <w:rPr>
          <w:i/>
          <w:sz w:val="24"/>
        </w:rPr>
        <w:t>agenti</w:t>
      </w:r>
    </w:p>
    <w:p>
      <w:pPr>
        <w:spacing w:after="0" w:line="472"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2138" w:right="1420" w:firstLine="0"/>
        <w:jc w:val="both"/>
        <w:rPr>
          <w:i/>
          <w:sz w:val="24"/>
        </w:rPr>
      </w:pPr>
      <w:r>
        <w:rPr>
          <w:i/>
          <w:sz w:val="24"/>
        </w:rPr>
        <w:t>atmosferici, ma non erano comunque visibili particolari segni di infiltrazioni. Peraltro la presenza di un </w:t>
      </w:r>
      <w:r>
        <w:rPr>
          <w:i/>
          <w:sz w:val="24"/>
        </w:rPr>
        <w:t>custode che -è stato riferito- si occupa anche della manutenzione più ordinaria, è di evidente supporto alla corretta conservazione del bene. Allo stato attuale è quindi difficile ipotizzare eventuali opere necessarie. Potrebbe essere prudente considerare una cifra forfettaria di 30.000,00 Euro per eventuali opere e ripristini, oggi però non determinabili.</w:t>
      </w:r>
    </w:p>
    <w:p>
      <w:pPr>
        <w:pStyle w:val="BodyText"/>
        <w:spacing w:line="480" w:lineRule="auto"/>
        <w:ind w:left="1418" w:right="1417"/>
        <w:jc w:val="both"/>
      </w:pPr>
      <w:r>
        <w:rPr/>
        <w:t>Per quanto riguarda il valore di realizzo dell’immobile gli scriventi rinviano alle loro  considerazioni in tema di </w:t>
      </w:r>
      <w:r>
        <w:rPr>
          <w:i/>
        </w:rPr>
        <w:t>sensitivity </w:t>
      </w:r>
      <w:r>
        <w:rPr/>
        <w:t>effettuate nel paragrafo riguardante la fattibilità del piano della ricorrente.</w:t>
      </w:r>
    </w:p>
    <w:p>
      <w:pPr>
        <w:pStyle w:val="BodyText"/>
        <w:spacing w:line="480" w:lineRule="auto"/>
        <w:ind w:left="1418" w:right="1415"/>
        <w:jc w:val="both"/>
      </w:pPr>
      <w:r>
        <w:rPr/>
        <w:t>Gli scriventi hanno preso visione, altresì, del contratto di mutuo con Banca Carime, per la descrizione nel suo dettaglio si rimanda alla voce debiti verso le banche.</w:t>
      </w:r>
    </w:p>
    <w:p>
      <w:pPr>
        <w:pStyle w:val="BodyText"/>
        <w:ind w:left="1418"/>
        <w:jc w:val="both"/>
      </w:pPr>
      <w:r>
        <w:rPr>
          <w:u w:val="single"/>
        </w:rPr>
        <w:t>Valorizzazione concordataria</w:t>
      </w:r>
    </w:p>
    <w:p>
      <w:pPr>
        <w:pStyle w:val="BodyText"/>
        <w:spacing w:before="1"/>
        <w:rPr>
          <w:sz w:val="15"/>
        </w:rPr>
      </w:pPr>
    </w:p>
    <w:p>
      <w:pPr>
        <w:pStyle w:val="BodyText"/>
        <w:spacing w:line="480" w:lineRule="auto" w:before="100"/>
        <w:ind w:left="1418" w:right="1417"/>
        <w:jc w:val="both"/>
      </w:pPr>
      <w:r>
        <w:rPr/>
        <w:t>Ai fini della valorizzazione concordataria, si segnala che le voci non sono ricomprese nel perimetro dell’offerta formulata da Versalis, pertanto la Società ha stimato un realizzo pari ad Euro 1.024.600, ottenuto dal valore della perizia al netto degli oneri necessari per la regolarizzazione ai fini amministrativi. Non si evincono dalla perizia altri oneri di manutenzione / bonifica a carico della Società.</w:t>
      </w:r>
    </w:p>
    <w:p>
      <w:pPr>
        <w:pStyle w:val="Heading2"/>
        <w:numPr>
          <w:ilvl w:val="3"/>
          <w:numId w:val="41"/>
        </w:numPr>
        <w:tabs>
          <w:tab w:pos="2126" w:val="left" w:leader="none"/>
          <w:tab w:pos="2127" w:val="left" w:leader="none"/>
        </w:tabs>
        <w:spacing w:line="304" w:lineRule="exact" w:before="0" w:after="0"/>
        <w:ind w:left="2126" w:right="0" w:hanging="348"/>
        <w:jc w:val="left"/>
      </w:pPr>
      <w:r>
        <w:rPr>
          <w:u w:val="single"/>
        </w:rPr>
        <w:t>Costi pluriennali su beni di</w:t>
      </w:r>
      <w:r>
        <w:rPr>
          <w:spacing w:val="-18"/>
          <w:u w:val="single"/>
        </w:rPr>
        <w:t> </w:t>
      </w:r>
      <w:r>
        <w:rPr>
          <w:u w:val="single"/>
        </w:rPr>
        <w:t>terzi</w:t>
      </w:r>
    </w:p>
    <w:p>
      <w:pPr>
        <w:pStyle w:val="BodyText"/>
        <w:spacing w:before="3"/>
        <w:rPr>
          <w:b/>
          <w:sz w:val="15"/>
        </w:rPr>
      </w:pPr>
    </w:p>
    <w:p>
      <w:pPr>
        <w:pStyle w:val="BodyText"/>
        <w:spacing w:before="101"/>
        <w:ind w:left="1418"/>
      </w:pPr>
      <w:r>
        <w:rPr/>
        <w:t>La voce </w:t>
      </w:r>
      <w:r>
        <w:rPr>
          <w:u w:val="single"/>
        </w:rPr>
        <w:t>costi pluriennali su beni di terzi</w:t>
      </w:r>
      <w:r>
        <w:rPr/>
        <w:t>, pari a complessivi Euro 1.291.181 (Valore lordo Euro</w:t>
      </w:r>
    </w:p>
    <w:p>
      <w:pPr>
        <w:pStyle w:val="BodyText"/>
        <w:spacing w:before="2"/>
        <w:rPr>
          <w:sz w:val="15"/>
        </w:rPr>
      </w:pPr>
    </w:p>
    <w:p>
      <w:pPr>
        <w:pStyle w:val="BodyText"/>
        <w:spacing w:line="480" w:lineRule="auto" w:before="100"/>
        <w:ind w:left="1418" w:right="1518"/>
      </w:pPr>
      <w:r>
        <w:rPr/>
        <w:pict>
          <v:line style="position:absolute;mso-position-horizontal-relative:page;mso-position-vertical-relative:paragraph;z-index:-846016" from="279.549988pt,16.601772pt" to="282.189988pt,16.601772pt" stroked="true" strokeweight=".60004pt" strokecolor="#000000">
            <v:stroke dashstyle="solid"/>
            <w10:wrap type="none"/>
          </v:line>
        </w:pict>
      </w:r>
      <w:r>
        <w:rPr/>
        <w:t>4.469.929 e fondo pari ad Euro 3.178.748), si riferisce a costi sostenuti per l’allestimento del centro di ricerche Rivalta Scrivia.</w:t>
      </w:r>
    </w:p>
    <w:p>
      <w:pPr>
        <w:pStyle w:val="BodyText"/>
        <w:ind w:left="1418"/>
      </w:pPr>
      <w:r>
        <w:rPr>
          <w:u w:val="single"/>
        </w:rPr>
        <w:t>Attività svolta</w:t>
      </w:r>
    </w:p>
    <w:p>
      <w:pPr>
        <w:pStyle w:val="BodyText"/>
      </w:pPr>
    </w:p>
    <w:p>
      <w:pPr>
        <w:pStyle w:val="BodyText"/>
        <w:spacing w:line="480" w:lineRule="auto"/>
        <w:ind w:left="1418" w:right="1518"/>
      </w:pPr>
      <w:r>
        <w:rPr/>
        <w:t>Gli scriventi hanno preso visione dei mastrini contabili, e copia di alcune fatture chieste a campione, per analizzare la natura dei costi capitalizzati, se ne riportano alcune:</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43"/>
        </w:numPr>
        <w:tabs>
          <w:tab w:pos="2127" w:val="left" w:leader="none"/>
        </w:tabs>
        <w:spacing w:line="470" w:lineRule="auto" w:before="78" w:after="0"/>
        <w:ind w:left="2138" w:right="1411" w:hanging="360"/>
        <w:jc w:val="both"/>
        <w:rPr>
          <w:i/>
          <w:sz w:val="24"/>
        </w:rPr>
      </w:pPr>
      <w:r>
        <w:rPr>
          <w:sz w:val="24"/>
        </w:rPr>
        <w:t>Ft. n. 517 del 30 giugno 2008, fornitore Famar Srl emessa </w:t>
      </w:r>
      <w:r>
        <w:rPr>
          <w:i/>
          <w:sz w:val="24"/>
        </w:rPr>
        <w:t>“per opere edili strutturali pareti- </w:t>
      </w:r>
      <w:r>
        <w:rPr>
          <w:i/>
          <w:sz w:val="24"/>
        </w:rPr>
        <w:t>porte in cristallo finiture arredi per nuova bussola di ingresso presso ns. sede pst R</w:t>
      </w:r>
      <w:r>
        <w:rPr>
          <w:sz w:val="24"/>
        </w:rPr>
        <w:t>iva</w:t>
      </w:r>
      <w:r>
        <w:rPr>
          <w:i/>
          <w:sz w:val="24"/>
        </w:rPr>
        <w:t>lta a corpo” </w:t>
      </w:r>
      <w:r>
        <w:rPr>
          <w:sz w:val="24"/>
        </w:rPr>
        <w:t>Euro 169.800</w:t>
      </w:r>
      <w:r>
        <w:rPr>
          <w:i/>
          <w:sz w:val="24"/>
        </w:rPr>
        <w:t>;</w:t>
      </w:r>
    </w:p>
    <w:p>
      <w:pPr>
        <w:pStyle w:val="ListParagraph"/>
        <w:numPr>
          <w:ilvl w:val="0"/>
          <w:numId w:val="43"/>
        </w:numPr>
        <w:tabs>
          <w:tab w:pos="2127" w:val="left" w:leader="none"/>
        </w:tabs>
        <w:spacing w:line="470" w:lineRule="auto" w:before="10" w:after="0"/>
        <w:ind w:left="2138" w:right="1412" w:hanging="360"/>
        <w:jc w:val="both"/>
        <w:rPr>
          <w:i/>
          <w:sz w:val="24"/>
        </w:rPr>
      </w:pPr>
      <w:r>
        <w:rPr>
          <w:sz w:val="24"/>
        </w:rPr>
        <w:t>Ft. n. 24 del 30 maggio 2008, fornitore Egad Società Cooperativa, “</w:t>
      </w:r>
      <w:r>
        <w:rPr>
          <w:i/>
          <w:sz w:val="24"/>
        </w:rPr>
        <w:t>per lavori di installazione </w:t>
      </w:r>
      <w:r>
        <w:rPr>
          <w:i/>
          <w:sz w:val="24"/>
        </w:rPr>
        <w:t>impianto elettrico, rete dati e impianti speciali presso vostri nuovi laboratori e aree esterne </w:t>
      </w:r>
      <w:r>
        <w:rPr>
          <w:i/>
          <w:spacing w:val="2"/>
          <w:sz w:val="24"/>
        </w:rPr>
        <w:t>siti </w:t>
      </w:r>
      <w:r>
        <w:rPr>
          <w:i/>
          <w:sz w:val="24"/>
        </w:rPr>
        <w:t>in R</w:t>
      </w:r>
      <w:r>
        <w:rPr>
          <w:sz w:val="24"/>
        </w:rPr>
        <w:t>iva</w:t>
      </w:r>
      <w:r>
        <w:rPr>
          <w:i/>
          <w:sz w:val="24"/>
        </w:rPr>
        <w:t>lta </w:t>
      </w:r>
      <w:r>
        <w:rPr>
          <w:i/>
          <w:sz w:val="24"/>
        </w:rPr>
        <w:t>Scrivia” </w:t>
      </w:r>
      <w:r>
        <w:rPr>
          <w:sz w:val="24"/>
        </w:rPr>
        <w:t>per Euro</w:t>
      </w:r>
      <w:r>
        <w:rPr>
          <w:spacing w:val="-5"/>
          <w:sz w:val="24"/>
        </w:rPr>
        <w:t> </w:t>
      </w:r>
      <w:r>
        <w:rPr>
          <w:sz w:val="24"/>
        </w:rPr>
        <w:t>70.200</w:t>
      </w:r>
      <w:r>
        <w:rPr>
          <w:i/>
          <w:sz w:val="24"/>
        </w:rPr>
        <w:t>;</w:t>
      </w:r>
    </w:p>
    <w:p>
      <w:pPr>
        <w:pStyle w:val="ListParagraph"/>
        <w:numPr>
          <w:ilvl w:val="0"/>
          <w:numId w:val="43"/>
        </w:numPr>
        <w:tabs>
          <w:tab w:pos="2127" w:val="left" w:leader="none"/>
        </w:tabs>
        <w:spacing w:line="470" w:lineRule="auto" w:before="10" w:after="0"/>
        <w:ind w:left="2138" w:right="1412" w:hanging="360"/>
        <w:jc w:val="both"/>
        <w:rPr>
          <w:sz w:val="24"/>
        </w:rPr>
      </w:pPr>
      <w:r>
        <w:rPr>
          <w:sz w:val="24"/>
        </w:rPr>
        <w:t>Ft. n. 31496 del 31 marzo 2008 e Ft. n. 44610 del 30 aprile 2008, fornitore Rivoira S.p.A., rispettivamente per </w:t>
      </w:r>
      <w:r>
        <w:rPr>
          <w:i/>
          <w:sz w:val="24"/>
        </w:rPr>
        <w:t>“per acconto impianto nuovi laboratori” </w:t>
      </w:r>
      <w:r>
        <w:rPr>
          <w:sz w:val="24"/>
        </w:rPr>
        <w:t>per Euro 60.000</w:t>
      </w:r>
      <w:r>
        <w:rPr>
          <w:i/>
          <w:sz w:val="24"/>
        </w:rPr>
        <w:t>; “per saldo impianto </w:t>
      </w:r>
      <w:r>
        <w:rPr>
          <w:i/>
          <w:sz w:val="24"/>
        </w:rPr>
        <w:t>nuovo laboratori” </w:t>
      </w:r>
      <w:r>
        <w:rPr>
          <w:sz w:val="24"/>
        </w:rPr>
        <w:t>per Euro</w:t>
      </w:r>
      <w:r>
        <w:rPr>
          <w:spacing w:val="-7"/>
          <w:sz w:val="24"/>
        </w:rPr>
        <w:t> </w:t>
      </w:r>
      <w:r>
        <w:rPr>
          <w:sz w:val="24"/>
        </w:rPr>
        <w:t>62.340.</w:t>
      </w:r>
    </w:p>
    <w:p>
      <w:pPr>
        <w:pStyle w:val="ListParagraph"/>
        <w:numPr>
          <w:ilvl w:val="0"/>
          <w:numId w:val="43"/>
        </w:numPr>
        <w:tabs>
          <w:tab w:pos="2127" w:val="left" w:leader="none"/>
        </w:tabs>
        <w:spacing w:line="470" w:lineRule="auto" w:before="10" w:after="0"/>
        <w:ind w:left="2138" w:right="1416" w:hanging="360"/>
        <w:jc w:val="both"/>
        <w:rPr>
          <w:sz w:val="24"/>
        </w:rPr>
      </w:pPr>
      <w:r>
        <w:rPr>
          <w:sz w:val="24"/>
        </w:rPr>
        <w:t>Ft. n. 86 del 27 febbraio 2009, Famar Srl, “</w:t>
      </w:r>
      <w:r>
        <w:rPr>
          <w:i/>
          <w:sz w:val="24"/>
        </w:rPr>
        <w:t>realizzazione e posa in opera comprese opere murarie e </w:t>
      </w:r>
      <w:r>
        <w:rPr>
          <w:i/>
          <w:sz w:val="24"/>
        </w:rPr>
        <w:t>modifica recinzione di struttura per edicola contatore Gas in acciaio Inox AISI310 con due ante apribili e chiusura semplice con chiave esagonale. Progetto PROESA” </w:t>
      </w:r>
      <w:r>
        <w:rPr>
          <w:sz w:val="24"/>
        </w:rPr>
        <w:t>per Euro</w:t>
      </w:r>
      <w:r>
        <w:rPr>
          <w:spacing w:val="-11"/>
          <w:sz w:val="24"/>
        </w:rPr>
        <w:t> </w:t>
      </w:r>
      <w:r>
        <w:rPr>
          <w:sz w:val="24"/>
        </w:rPr>
        <w:t>2.760;</w:t>
      </w:r>
    </w:p>
    <w:p>
      <w:pPr>
        <w:pStyle w:val="BodyText"/>
        <w:spacing w:before="10"/>
        <w:ind w:left="1418"/>
        <w:jc w:val="both"/>
      </w:pPr>
      <w:r>
        <w:rPr>
          <w:u w:val="single"/>
        </w:rPr>
        <w:t>Valorizzazione concordataria</w:t>
      </w:r>
    </w:p>
    <w:p>
      <w:pPr>
        <w:pStyle w:val="BodyText"/>
        <w:spacing w:before="10"/>
        <w:rPr>
          <w:sz w:val="23"/>
        </w:rPr>
      </w:pPr>
    </w:p>
    <w:p>
      <w:pPr>
        <w:pStyle w:val="BodyText"/>
        <w:spacing w:line="480" w:lineRule="auto"/>
        <w:ind w:left="1418" w:right="1413"/>
        <w:jc w:val="both"/>
      </w:pPr>
      <w:r>
        <w:rPr/>
        <w:t>Ai fini della valorizzazione concordataria, si segnala che le voci sono ricomprese nel perimetro dell’offerta formulata da Versalis, pertanto la voce rientra nella valorizzazione complessiva del ramo, pari ad Euro 28.785.813. Si rimanda per tale argomento al paragrafo in premessa dell’attivo concordatario ed al capitolo 3, che meglio descrivono le condizioni contrattuali dell’offerta da parte del potenziale acquirente.</w:t>
      </w:r>
    </w:p>
    <w:p>
      <w:pPr>
        <w:pStyle w:val="Heading2"/>
        <w:numPr>
          <w:ilvl w:val="0"/>
          <w:numId w:val="44"/>
        </w:numPr>
        <w:tabs>
          <w:tab w:pos="2126" w:val="left" w:leader="none"/>
          <w:tab w:pos="2127" w:val="left" w:leader="none"/>
        </w:tabs>
        <w:spacing w:line="304" w:lineRule="exact" w:before="0" w:after="0"/>
        <w:ind w:left="2126" w:right="0" w:hanging="348"/>
        <w:jc w:val="left"/>
      </w:pPr>
      <w:r>
        <w:rPr>
          <w:u w:val="single"/>
        </w:rPr>
        <w:t>Impianti e</w:t>
      </w:r>
      <w:r>
        <w:rPr>
          <w:spacing w:val="-8"/>
          <w:u w:val="single"/>
        </w:rPr>
        <w:t> </w:t>
      </w:r>
      <w:r>
        <w:rPr>
          <w:u w:val="single"/>
        </w:rPr>
        <w:t>macchinari</w:t>
      </w:r>
    </w:p>
    <w:p>
      <w:pPr>
        <w:pStyle w:val="BodyText"/>
        <w:spacing w:before="4"/>
        <w:rPr>
          <w:b/>
          <w:sz w:val="15"/>
        </w:rPr>
      </w:pPr>
    </w:p>
    <w:p>
      <w:pPr>
        <w:pStyle w:val="BodyText"/>
        <w:spacing w:line="480" w:lineRule="auto" w:before="100"/>
        <w:ind w:left="1418" w:right="1413"/>
      </w:pPr>
      <w:r>
        <w:rPr/>
        <w:t>Alla data del 15 ottobre 2017 nella situazione contabile risultano iscritti impianti e macchinari per complessivi Euro 577.038. La voce è principalmente riferibile a:</w:t>
      </w:r>
    </w:p>
    <w:p>
      <w:pPr>
        <w:pStyle w:val="ListParagraph"/>
        <w:numPr>
          <w:ilvl w:val="0"/>
          <w:numId w:val="43"/>
        </w:numPr>
        <w:tabs>
          <w:tab w:pos="2126" w:val="left" w:leader="none"/>
          <w:tab w:pos="2127" w:val="left" w:leader="none"/>
        </w:tabs>
        <w:spacing w:line="460" w:lineRule="auto" w:before="0" w:after="0"/>
        <w:ind w:left="2138" w:right="1418" w:hanging="360"/>
        <w:jc w:val="left"/>
        <w:rPr>
          <w:sz w:val="24"/>
        </w:rPr>
      </w:pPr>
      <w:r>
        <w:rPr>
          <w:sz w:val="24"/>
        </w:rPr>
        <w:t>impianti e macchinari specifici per Euro 523.329 (valore lordo Euro 42.928.937, fondo ammortamento Euro</w:t>
      </w:r>
      <w:r>
        <w:rPr>
          <w:spacing w:val="-9"/>
          <w:sz w:val="24"/>
        </w:rPr>
        <w:t> </w:t>
      </w:r>
      <w:r>
        <w:rPr>
          <w:sz w:val="24"/>
        </w:rPr>
        <w:t>42.405.608);</w:t>
      </w:r>
    </w:p>
    <w:p>
      <w:pPr>
        <w:spacing w:after="0" w:line="46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43"/>
        </w:numPr>
        <w:tabs>
          <w:tab w:pos="2126" w:val="left" w:leader="none"/>
          <w:tab w:pos="2127" w:val="left" w:leader="none"/>
        </w:tabs>
        <w:spacing w:line="460" w:lineRule="auto" w:before="78" w:after="0"/>
        <w:ind w:left="2138" w:right="1420" w:hanging="360"/>
        <w:jc w:val="left"/>
        <w:rPr>
          <w:sz w:val="24"/>
        </w:rPr>
      </w:pPr>
      <w:r>
        <w:rPr>
          <w:sz w:val="24"/>
        </w:rPr>
        <w:t>impianti e macchinari generici per Euro 53.708 (valore lordo Euro 103.500, fondo ammortamento Euro</w:t>
      </w:r>
      <w:r>
        <w:rPr>
          <w:spacing w:val="-10"/>
          <w:sz w:val="24"/>
        </w:rPr>
        <w:t> </w:t>
      </w:r>
      <w:r>
        <w:rPr>
          <w:sz w:val="24"/>
        </w:rPr>
        <w:t>49.792).</w:t>
      </w:r>
    </w:p>
    <w:p>
      <w:pPr>
        <w:pStyle w:val="BodyText"/>
        <w:spacing w:line="480" w:lineRule="auto" w:before="21"/>
        <w:ind w:left="1418" w:right="1412"/>
        <w:jc w:val="both"/>
      </w:pPr>
      <w:r>
        <w:rPr/>
        <w:t>Gli scriventi segnalano che in data 28 dicembre 2007 la Biochemtex, in qualità di conduttrice, ed il Consorzio per la promozione della cultura plastica (Proplast), in qualità di affittuaria, hanno sottoscritto un contratto di affitto di ramo di azienda (atto Notaio Pantè, Rep. 32559) avente ad oggetto l’affitto di un ramo costituito dal complesso di beni materiali ed immateriali, rapporti organizzati per lo svolgimento dell’attività di ricerca e sviluppo, in particolare il </w:t>
      </w:r>
      <w:r>
        <w:rPr>
          <w:i/>
        </w:rPr>
        <w:t>Know-How </w:t>
      </w:r>
      <w:r>
        <w:rPr/>
        <w:t>relativo alla conoscenza dei processi di trasformazione e caratterizzazione delle materie plastiche, sito presso l’unità locale di Rivalta Scrivia (AL). Nel complesso di beni è ricompresa parte degli impianti generici, parte degli impianti specifici, mobili, arredi e attrezzature, e rapporti di lavoro subordinato relativo a 6 dipendenti come meglio identificati nell’atto di affitto nell’allegato C, ad un corrispettivo di Euro 120.000 annui. Il contratto da durata triennale, rinnovabile. Nel corso degli anni il canone di affitto è stato adattato e ridotto sulla base dell’usura e della successiva dismissione di parte dei cespiti. L’ultima modifica contrattuale, ai sensi dell’art. 3, risale al 19 dicembre 2016, ove il canone è pari ad Euro 15.000</w:t>
      </w:r>
      <w:r>
        <w:rPr>
          <w:spacing w:val="-24"/>
        </w:rPr>
        <w:t> </w:t>
      </w:r>
      <w:r>
        <w:rPr/>
        <w:t>annui.</w:t>
      </w:r>
    </w:p>
    <w:p>
      <w:pPr>
        <w:pStyle w:val="BodyText"/>
        <w:spacing w:line="480" w:lineRule="auto"/>
        <w:ind w:left="1418" w:right="1411"/>
        <w:jc w:val="both"/>
      </w:pPr>
      <w:r>
        <w:rPr/>
        <w:t>Inoltre, si segnala che nel corso degli anni, dal 2008 al 2013, parte degli impianti affittati sono stati dismessi, per un importo complessivo pari ad Euro 524.190, di cui gli scriventi hanno visionato a campione le seguenti Fatture: Ft. n. 12/11 del 21 febbraio 2011 emessa a Husky Injection Molding System S.A. per Euro 30.000, Ft. n. 13/11 del 21 febbraio 2011 emessa alla Husky Italia Srl per Euro 30.000, la Ft. n. 156/11 del 28 dicembre 2011 emessa alla IN.TE.CO Srl per Euro 60,50, la Ft. n. 46/08 del 27 marzo 2008, emessa alla M&amp;G Polymers Usa LLC per Euro 151.500, Ft. n. 11/08 del 29 gennaio 2008 emessa alla Iran Food Industries Co. per Euro 32.500, la Ft. n. 114/08 del 23 settembre 2008 emessa alla Acetati S.p.A. per Euro 1.200.</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Attività svolta</w:t>
      </w:r>
    </w:p>
    <w:p>
      <w:pPr>
        <w:pStyle w:val="BodyText"/>
        <w:spacing w:before="11"/>
        <w:rPr>
          <w:sz w:val="23"/>
        </w:rPr>
      </w:pPr>
    </w:p>
    <w:p>
      <w:pPr>
        <w:pStyle w:val="BodyText"/>
        <w:spacing w:line="480" w:lineRule="auto"/>
        <w:ind w:left="1418" w:right="1416"/>
        <w:jc w:val="both"/>
      </w:pPr>
      <w:r>
        <w:rPr/>
        <w:t>Gli scriventi hanno preso visione del riepilogo dei cespiti, dei mastrini contabili, del contratto di affitto del ramo, della lettera di modifica del canone annuo, e delle fatture di vendita dei beni.</w:t>
      </w:r>
    </w:p>
    <w:p>
      <w:pPr>
        <w:pStyle w:val="BodyText"/>
        <w:ind w:left="1418"/>
        <w:jc w:val="both"/>
      </w:pPr>
      <w:r>
        <w:rPr>
          <w:u w:val="single"/>
        </w:rPr>
        <w:t>Valorizzazione concordataria</w:t>
      </w:r>
    </w:p>
    <w:p>
      <w:pPr>
        <w:pStyle w:val="BodyText"/>
      </w:pPr>
    </w:p>
    <w:p>
      <w:pPr>
        <w:pStyle w:val="BodyText"/>
        <w:spacing w:line="480" w:lineRule="auto"/>
        <w:ind w:left="1418" w:right="1414"/>
        <w:jc w:val="both"/>
      </w:pPr>
      <w:r>
        <w:rPr/>
        <w:t>Ai fini della valorizzazione concordataria, si segnala che le voci sono ricomprese nel perimetro dell’offerta formulata da Versalis, pertanto la voce rientra nella valorizzazione complessiva del ramo, pari ad Euro 28.785.813. Si rimanda per tale argomento al paragrafo in premessa dell’attivo concordatario ed al capitolo 3, che meglio descrivono le condizioni contrattuali dell’offerta da parte del potenziale acquirente.</w:t>
      </w:r>
    </w:p>
    <w:p>
      <w:pPr>
        <w:pStyle w:val="Heading2"/>
        <w:numPr>
          <w:ilvl w:val="0"/>
          <w:numId w:val="44"/>
        </w:numPr>
        <w:tabs>
          <w:tab w:pos="2126" w:val="left" w:leader="none"/>
          <w:tab w:pos="2127" w:val="left" w:leader="none"/>
        </w:tabs>
        <w:spacing w:line="304" w:lineRule="exact" w:before="0" w:after="0"/>
        <w:ind w:left="2126" w:right="0" w:hanging="348"/>
        <w:jc w:val="left"/>
      </w:pPr>
      <w:r>
        <w:rPr>
          <w:u w:val="single"/>
        </w:rPr>
        <w:t>Attrezzature</w:t>
      </w:r>
      <w:r>
        <w:rPr>
          <w:spacing w:val="-16"/>
          <w:u w:val="single"/>
        </w:rPr>
        <w:t> </w:t>
      </w:r>
      <w:r>
        <w:rPr>
          <w:u w:val="single"/>
        </w:rPr>
        <w:t>industriali</w:t>
      </w:r>
    </w:p>
    <w:p>
      <w:pPr>
        <w:pStyle w:val="BodyText"/>
        <w:spacing w:before="3"/>
        <w:rPr>
          <w:b/>
          <w:sz w:val="15"/>
        </w:rPr>
      </w:pPr>
    </w:p>
    <w:p>
      <w:pPr>
        <w:pStyle w:val="BodyText"/>
        <w:spacing w:line="480" w:lineRule="auto" w:before="100"/>
        <w:ind w:left="1418" w:right="1416"/>
        <w:jc w:val="both"/>
      </w:pPr>
      <w:r>
        <w:rPr/>
        <w:t>Alla data del 15 ottobre 2017 nella situazione contabile risultano iscritte attrezzature per complessivi Euro 482.586 (di cui valore lordo pari ad Euro 5.547.504 e fondo per Euro 5.064.918)</w:t>
      </w:r>
    </w:p>
    <w:p>
      <w:pPr>
        <w:pStyle w:val="BodyText"/>
        <w:spacing w:line="480" w:lineRule="auto"/>
        <w:ind w:left="1418" w:right="1421"/>
        <w:jc w:val="both"/>
      </w:pPr>
      <w:r>
        <w:rPr/>
        <w:t>Gli scriventi segnalano che parte delle attrezzature sono ricomprese nel contratto di affitto del ramo di azienda (atto Notaio Pantè, Rep. 32559), già descritto nel precedente paragrafo.</w:t>
      </w:r>
    </w:p>
    <w:p>
      <w:pPr>
        <w:pStyle w:val="BodyText"/>
        <w:ind w:left="1418"/>
        <w:jc w:val="both"/>
      </w:pPr>
      <w:r>
        <w:rPr>
          <w:u w:val="single"/>
        </w:rPr>
        <w:t>Attività svolta</w:t>
      </w:r>
    </w:p>
    <w:p>
      <w:pPr>
        <w:pStyle w:val="BodyText"/>
        <w:spacing w:before="10"/>
        <w:rPr>
          <w:sz w:val="23"/>
        </w:rPr>
      </w:pPr>
    </w:p>
    <w:p>
      <w:pPr>
        <w:pStyle w:val="BodyText"/>
        <w:spacing w:line="480" w:lineRule="auto"/>
        <w:ind w:left="1418" w:right="1419"/>
        <w:jc w:val="both"/>
      </w:pPr>
      <w:r>
        <w:rPr/>
        <w:t>Gli scriventi hanno preso visione del riepilogo dei cespiti, dei mastrini contabili, del contratto di affitto del ramo, della lettera di modifica del canone annuo.</w:t>
      </w:r>
    </w:p>
    <w:p>
      <w:pPr>
        <w:pStyle w:val="BodyText"/>
        <w:ind w:left="1418"/>
        <w:jc w:val="both"/>
      </w:pPr>
      <w:r>
        <w:rPr>
          <w:u w:val="single"/>
        </w:rPr>
        <w:t>Valorizzazione concordataria</w:t>
      </w:r>
    </w:p>
    <w:p>
      <w:pPr>
        <w:pStyle w:val="BodyText"/>
        <w:spacing w:before="11"/>
        <w:rPr>
          <w:sz w:val="23"/>
        </w:rPr>
      </w:pPr>
    </w:p>
    <w:p>
      <w:pPr>
        <w:pStyle w:val="BodyText"/>
        <w:spacing w:line="480" w:lineRule="auto"/>
        <w:ind w:left="1418" w:right="1415"/>
        <w:jc w:val="both"/>
      </w:pPr>
      <w:r>
        <w:rPr/>
        <w:t>Ai fini della valorizzazione concordataria, si segnala che le voci sono ricomprese nel perimetro dell’offerta formulata da Versalis, pertanto la voce rientra nella valorizzazione complessiva del ramo, pari ad Euro 28.785.813. Si rimanda per tale argomento al paragrafo in premessa dell’attivo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concordatario ed al capitolo 3, che meglio descrivono le condizioni contrattuali dell’offerta da parte del potenziale acquirente.</w:t>
      </w:r>
    </w:p>
    <w:p>
      <w:pPr>
        <w:pStyle w:val="Heading2"/>
        <w:numPr>
          <w:ilvl w:val="0"/>
          <w:numId w:val="44"/>
        </w:numPr>
        <w:tabs>
          <w:tab w:pos="2126" w:val="left" w:leader="none"/>
          <w:tab w:pos="2127" w:val="left" w:leader="none"/>
        </w:tabs>
        <w:spacing w:line="304" w:lineRule="exact" w:before="0" w:after="0"/>
        <w:ind w:left="2126" w:right="0" w:hanging="348"/>
        <w:jc w:val="left"/>
      </w:pPr>
      <w:r>
        <w:rPr>
          <w:u w:val="single"/>
        </w:rPr>
        <w:t>Altri</w:t>
      </w:r>
      <w:r>
        <w:rPr>
          <w:spacing w:val="-6"/>
          <w:u w:val="single"/>
        </w:rPr>
        <w:t> </w:t>
      </w:r>
      <w:r>
        <w:rPr>
          <w:u w:val="single"/>
        </w:rPr>
        <w:t>beni</w:t>
      </w:r>
    </w:p>
    <w:p>
      <w:pPr>
        <w:pStyle w:val="BodyText"/>
        <w:spacing w:before="3"/>
        <w:rPr>
          <w:b/>
          <w:sz w:val="15"/>
        </w:rPr>
      </w:pPr>
    </w:p>
    <w:p>
      <w:pPr>
        <w:pStyle w:val="BodyText"/>
        <w:spacing w:line="480" w:lineRule="auto" w:before="100"/>
        <w:ind w:left="1418" w:right="1416"/>
        <w:jc w:val="both"/>
      </w:pPr>
      <w:r>
        <w:rPr/>
        <w:t>Alla data del 15 ottobre 2017 nella situazione contabile risultano iscritti altri beni per complessivi Euro 39.232 (di cui valore lordo Euro 990.770 e fondo ammortamento Euro 951.539) rappresentati da</w:t>
      </w:r>
    </w:p>
    <w:p>
      <w:pPr>
        <w:pStyle w:val="ListParagraph"/>
        <w:numPr>
          <w:ilvl w:val="0"/>
          <w:numId w:val="43"/>
        </w:numPr>
        <w:tabs>
          <w:tab w:pos="2126" w:val="left" w:leader="none"/>
          <w:tab w:pos="2127" w:val="left" w:leader="none"/>
        </w:tabs>
        <w:spacing w:line="460" w:lineRule="auto" w:before="0" w:after="0"/>
        <w:ind w:left="2138" w:right="1418" w:hanging="360"/>
        <w:jc w:val="left"/>
        <w:rPr>
          <w:sz w:val="24"/>
        </w:rPr>
      </w:pPr>
      <w:r>
        <w:rPr>
          <w:sz w:val="24"/>
        </w:rPr>
        <w:t>mobili e arredi per netti 24.670 (di cui valore lordo pari ad Euro 290.350 e ammortamento 265.680)</w:t>
      </w:r>
    </w:p>
    <w:p>
      <w:pPr>
        <w:pStyle w:val="ListParagraph"/>
        <w:numPr>
          <w:ilvl w:val="0"/>
          <w:numId w:val="43"/>
        </w:numPr>
        <w:tabs>
          <w:tab w:pos="2126" w:val="left" w:leader="none"/>
          <w:tab w:pos="2127" w:val="left" w:leader="none"/>
        </w:tabs>
        <w:spacing w:line="240" w:lineRule="auto" w:before="22" w:after="0"/>
        <w:ind w:left="2126" w:right="0" w:hanging="348"/>
        <w:jc w:val="left"/>
        <w:rPr>
          <w:sz w:val="24"/>
        </w:rPr>
      </w:pPr>
      <w:r>
        <w:rPr>
          <w:sz w:val="24"/>
        </w:rPr>
        <w:t>computer e  macchine  elettroniche  per  Euro 14.561  (di cui  valore  lordo  pari ad </w:t>
      </w:r>
      <w:r>
        <w:rPr>
          <w:spacing w:val="3"/>
          <w:sz w:val="24"/>
        </w:rPr>
        <w:t> </w:t>
      </w:r>
      <w:r>
        <w:rPr>
          <w:sz w:val="24"/>
        </w:rPr>
        <w:t>Euro</w:t>
      </w:r>
    </w:p>
    <w:p>
      <w:pPr>
        <w:pStyle w:val="BodyText"/>
        <w:spacing w:before="9"/>
        <w:rPr>
          <w:sz w:val="23"/>
        </w:rPr>
      </w:pPr>
    </w:p>
    <w:p>
      <w:pPr>
        <w:pStyle w:val="BodyText"/>
        <w:ind w:left="2138"/>
      </w:pPr>
      <w:r>
        <w:rPr/>
        <w:t>643.505 e ammortamento pari ad Euro 628.943)</w:t>
      </w:r>
    </w:p>
    <w:p>
      <w:pPr>
        <w:pStyle w:val="BodyText"/>
        <w:spacing w:before="10"/>
        <w:rPr>
          <w:sz w:val="23"/>
        </w:rPr>
      </w:pPr>
    </w:p>
    <w:p>
      <w:pPr>
        <w:pStyle w:val="ListParagraph"/>
        <w:numPr>
          <w:ilvl w:val="0"/>
          <w:numId w:val="43"/>
        </w:numPr>
        <w:tabs>
          <w:tab w:pos="2126" w:val="left" w:leader="none"/>
          <w:tab w:pos="2127" w:val="left" w:leader="none"/>
        </w:tabs>
        <w:spacing w:line="460" w:lineRule="auto" w:before="0" w:after="0"/>
        <w:ind w:left="2138" w:right="1422" w:hanging="360"/>
        <w:jc w:val="left"/>
        <w:rPr>
          <w:sz w:val="24"/>
        </w:rPr>
      </w:pPr>
      <w:r>
        <w:rPr>
          <w:sz w:val="24"/>
        </w:rPr>
        <w:t>automezzi completamente ammortizzati (di cui valore lordo pari ad Euro 56.915 e ammortamento pari ad Euro</w:t>
      </w:r>
      <w:r>
        <w:rPr>
          <w:spacing w:val="-11"/>
          <w:sz w:val="24"/>
        </w:rPr>
        <w:t> </w:t>
      </w:r>
      <w:r>
        <w:rPr>
          <w:sz w:val="24"/>
        </w:rPr>
        <w:t>56.915).</w:t>
      </w:r>
    </w:p>
    <w:p>
      <w:pPr>
        <w:pStyle w:val="BodyText"/>
        <w:spacing w:before="21"/>
        <w:ind w:left="1418"/>
        <w:jc w:val="both"/>
      </w:pPr>
      <w:r>
        <w:rPr>
          <w:u w:val="single"/>
        </w:rPr>
        <w:t>Attività svolta</w:t>
      </w:r>
    </w:p>
    <w:p>
      <w:pPr>
        <w:pStyle w:val="BodyText"/>
        <w:spacing w:before="11"/>
        <w:rPr>
          <w:sz w:val="23"/>
        </w:rPr>
      </w:pPr>
    </w:p>
    <w:p>
      <w:pPr>
        <w:pStyle w:val="BodyText"/>
        <w:spacing w:line="480" w:lineRule="auto"/>
        <w:ind w:left="1418" w:right="2981"/>
      </w:pPr>
      <w:r>
        <w:rPr/>
        <w:t>Gli scriventi hanno preso visione del riepilogo dei cespiti e dei mastrini contabili. </w:t>
      </w:r>
      <w:r>
        <w:rPr>
          <w:u w:val="single"/>
        </w:rPr>
        <w:t>Valorizzazione concordataria</w:t>
      </w:r>
    </w:p>
    <w:p>
      <w:pPr>
        <w:pStyle w:val="BodyText"/>
        <w:spacing w:line="480" w:lineRule="auto"/>
        <w:ind w:left="1418" w:right="1419"/>
        <w:jc w:val="both"/>
      </w:pPr>
      <w:r>
        <w:rPr/>
        <w:t>Ai fini della valorizzazione concordataria, si segnala che le voci sono ricomprese nel perimetro dell’offerta formulata da Versalis, pertanto la voce rientra nella valorizzazione complessiva del ramo, pari ad Euro 28.785.813. Si rimanda per tale argomento al paragrafo in premessa dell’attivo concordatario ed al capitolo 3, che meglio descrivono le condizioni contrattuali dell’offerta da parte del potenziale acquirente.</w:t>
      </w:r>
    </w:p>
    <w:p>
      <w:pPr>
        <w:pStyle w:val="Heading2"/>
        <w:numPr>
          <w:ilvl w:val="0"/>
          <w:numId w:val="44"/>
        </w:numPr>
        <w:tabs>
          <w:tab w:pos="2126" w:val="left" w:leader="none"/>
          <w:tab w:pos="2127" w:val="left" w:leader="none"/>
        </w:tabs>
        <w:spacing w:line="304" w:lineRule="exact" w:before="0" w:after="0"/>
        <w:ind w:left="2126" w:right="0" w:hanging="348"/>
        <w:jc w:val="left"/>
      </w:pPr>
      <w:r>
        <w:rPr>
          <w:u w:val="single"/>
        </w:rPr>
        <w:t>Immobilizzazioni materiali in</w:t>
      </w:r>
      <w:r>
        <w:rPr>
          <w:spacing w:val="-19"/>
          <w:u w:val="single"/>
        </w:rPr>
        <w:t> </w:t>
      </w:r>
      <w:r>
        <w:rPr>
          <w:u w:val="single"/>
        </w:rPr>
        <w:t>corso</w:t>
      </w:r>
    </w:p>
    <w:p>
      <w:pPr>
        <w:pStyle w:val="BodyText"/>
        <w:spacing w:line="480" w:lineRule="auto" w:before="269"/>
        <w:ind w:left="1418" w:right="1418"/>
        <w:jc w:val="both"/>
      </w:pPr>
      <w:r>
        <w:rPr/>
        <w:t>Alla data del 15 ottobre 2017 nella situazione contabile risultano iscritte immobilizzazioni materiali in corso per complessivi Euro 14.364 rappresentate da costi sostenuti per la</w:t>
      </w:r>
      <w:r>
        <w:rPr>
          <w:spacing w:val="12"/>
        </w:rPr>
        <w:t> </w:t>
      </w:r>
      <w:r>
        <w:rPr/>
        <w:t>costruzione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43"/>
      </w:pPr>
      <w:r>
        <w:rPr/>
        <w:t>dell’impianto sito a Modugno, mai stato ultimato per mancanza di autorizzazioni </w:t>
      </w:r>
      <w:r>
        <w:rPr>
          <w:spacing w:val="2"/>
        </w:rPr>
        <w:t>del </w:t>
      </w:r>
      <w:r>
        <w:rPr/>
        <w:t>comune, ed il costo capitalizzato è riferito alle seguenti</w:t>
      </w:r>
      <w:r>
        <w:rPr>
          <w:spacing w:val="-21"/>
        </w:rPr>
        <w:t> </w:t>
      </w:r>
      <w:r>
        <w:rPr/>
        <w:t>fatture:</w:t>
      </w:r>
    </w:p>
    <w:p>
      <w:pPr>
        <w:pStyle w:val="ListParagraph"/>
        <w:numPr>
          <w:ilvl w:val="0"/>
          <w:numId w:val="43"/>
        </w:numPr>
        <w:tabs>
          <w:tab w:pos="2126" w:val="left" w:leader="none"/>
          <w:tab w:pos="2127" w:val="left" w:leader="none"/>
        </w:tabs>
        <w:spacing w:line="460" w:lineRule="auto" w:before="0" w:after="0"/>
        <w:ind w:left="2138" w:right="1423" w:hanging="360"/>
        <w:jc w:val="left"/>
        <w:rPr>
          <w:sz w:val="24"/>
        </w:rPr>
      </w:pPr>
      <w:r>
        <w:rPr>
          <w:sz w:val="24"/>
        </w:rPr>
        <w:t>Ft. n. 55/2013 della Special Tanks per Euro 96.800 al netto della nota di credito n. 45/14 per Euro 81.800, relativa ad apparecchi per l’impianto pilota sito in Puglia-</w:t>
      </w:r>
      <w:r>
        <w:rPr>
          <w:spacing w:val="-18"/>
          <w:sz w:val="24"/>
        </w:rPr>
        <w:t> </w:t>
      </w:r>
      <w:r>
        <w:rPr>
          <w:sz w:val="24"/>
        </w:rPr>
        <w:t>Modugno.</w:t>
      </w:r>
    </w:p>
    <w:p>
      <w:pPr>
        <w:pStyle w:val="ListParagraph"/>
        <w:numPr>
          <w:ilvl w:val="0"/>
          <w:numId w:val="43"/>
        </w:numPr>
        <w:tabs>
          <w:tab w:pos="2126" w:val="left" w:leader="none"/>
          <w:tab w:pos="2127" w:val="left" w:leader="none"/>
        </w:tabs>
        <w:spacing w:line="460" w:lineRule="auto" w:before="21" w:after="0"/>
        <w:ind w:left="2138" w:right="1420" w:hanging="360"/>
        <w:jc w:val="left"/>
        <w:rPr>
          <w:sz w:val="24"/>
        </w:rPr>
      </w:pPr>
      <w:r>
        <w:rPr>
          <w:sz w:val="24"/>
        </w:rPr>
        <w:t>Ft. n. 620 2014 della Ideal Cart per Euro 199,91 relativo ad un convertitore della potenza di 3000</w:t>
      </w:r>
      <w:r>
        <w:rPr>
          <w:spacing w:val="1"/>
          <w:sz w:val="24"/>
        </w:rPr>
        <w:t> </w:t>
      </w:r>
      <w:r>
        <w:rPr>
          <w:sz w:val="24"/>
        </w:rPr>
        <w:t>W.</w:t>
      </w:r>
    </w:p>
    <w:p>
      <w:pPr>
        <w:pStyle w:val="BodyText"/>
        <w:spacing w:before="21"/>
        <w:ind w:left="1418"/>
        <w:jc w:val="both"/>
      </w:pPr>
      <w:r>
        <w:rPr>
          <w:u w:val="single"/>
        </w:rPr>
        <w:t>Attività svolta</w:t>
      </w:r>
    </w:p>
    <w:p>
      <w:pPr>
        <w:pStyle w:val="BodyText"/>
      </w:pPr>
    </w:p>
    <w:p>
      <w:pPr>
        <w:pStyle w:val="BodyText"/>
        <w:spacing w:line="480" w:lineRule="auto"/>
        <w:ind w:left="1418" w:right="1518"/>
      </w:pPr>
      <w:r>
        <w:rPr/>
        <w:t>Gli scriventi hanno preso visione del riepilogo dei cespiti, dei mastrini contabili e delle fatture su descritte.</w:t>
      </w:r>
    </w:p>
    <w:p>
      <w:pPr>
        <w:pStyle w:val="BodyText"/>
        <w:ind w:left="1418"/>
        <w:jc w:val="both"/>
      </w:pPr>
      <w:r>
        <w:rPr>
          <w:u w:val="single"/>
        </w:rPr>
        <w:t>Valorizzazione concordataria</w:t>
      </w:r>
    </w:p>
    <w:p>
      <w:pPr>
        <w:pStyle w:val="BodyText"/>
      </w:pPr>
    </w:p>
    <w:p>
      <w:pPr>
        <w:pStyle w:val="BodyText"/>
        <w:spacing w:line="480" w:lineRule="auto"/>
        <w:ind w:left="1418" w:right="1417"/>
        <w:jc w:val="both"/>
      </w:pPr>
      <w:r>
        <w:rPr/>
        <w:t>Ai fini della valorizzazione concordataria, si segnala che le voci sono impropriamente ricomprese nel perimetro dell’offerta formulata da Versalis, pertanto la voce rientra nella valorizzazione complessiva del ramo, pari ad Euro 28.785.813. In realtà le stesse meglio sarebbero classificabili sul valore del sito immobiliare di Modugno. L’importo è ritenuto comunque dagli scriventi non significativo.</w:t>
      </w:r>
    </w:p>
    <w:p>
      <w:pPr>
        <w:pStyle w:val="BodyText"/>
        <w:spacing w:before="3"/>
        <w:rPr>
          <w:sz w:val="21"/>
        </w:rPr>
      </w:pPr>
    </w:p>
    <w:p>
      <w:pPr>
        <w:pStyle w:val="Heading2"/>
        <w:jc w:val="both"/>
      </w:pPr>
      <w:r>
        <w:rPr>
          <w:u w:val="single"/>
        </w:rPr>
        <w:t>IMMOBILIZZAZIONI FINANZIARIE</w:t>
      </w:r>
    </w:p>
    <w:p>
      <w:pPr>
        <w:pStyle w:val="BodyText"/>
        <w:spacing w:before="10"/>
        <w:rPr>
          <w:b/>
          <w:sz w:val="23"/>
        </w:rPr>
      </w:pPr>
    </w:p>
    <w:p>
      <w:pPr>
        <w:pStyle w:val="BodyText"/>
        <w:ind w:left="1418"/>
        <w:jc w:val="both"/>
      </w:pPr>
      <w:r>
        <w:rPr/>
        <w:t>La voce nella situazione contabile al 15 ottobre 2017 è cosi dettagliata:</w:t>
      </w:r>
    </w:p>
    <w:p>
      <w:pPr>
        <w:pStyle w:val="BodyText"/>
        <w:rPr>
          <w:sz w:val="20"/>
        </w:rPr>
      </w:pPr>
    </w:p>
    <w:p>
      <w:pPr>
        <w:pStyle w:val="BodyText"/>
        <w:spacing w:before="11"/>
        <w:rPr>
          <w:sz w:val="23"/>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66"/>
        <w:gridCol w:w="2791"/>
        <w:gridCol w:w="866"/>
        <w:gridCol w:w="1134"/>
        <w:gridCol w:w="802"/>
        <w:gridCol w:w="1444"/>
        <w:gridCol w:w="1144"/>
      </w:tblGrid>
      <w:tr>
        <w:trPr>
          <w:trHeight w:val="770" w:hRule="exact"/>
        </w:trPr>
        <w:tc>
          <w:tcPr>
            <w:tcW w:w="866" w:type="dxa"/>
            <w:shd w:val="clear" w:color="auto" w:fill="BEBEBE"/>
          </w:tcPr>
          <w:p>
            <w:pPr>
              <w:pStyle w:val="TableParagraph"/>
              <w:spacing w:before="10"/>
              <w:jc w:val="left"/>
              <w:rPr>
                <w:sz w:val="25"/>
              </w:rPr>
            </w:pPr>
          </w:p>
          <w:p>
            <w:pPr>
              <w:pStyle w:val="TableParagraph"/>
              <w:spacing w:before="0"/>
              <w:ind w:right="197"/>
              <w:rPr>
                <w:b/>
                <w:sz w:val="17"/>
              </w:rPr>
            </w:pPr>
            <w:r>
              <w:rPr>
                <w:b/>
                <w:sz w:val="17"/>
              </w:rPr>
              <w:t>Conto</w:t>
            </w:r>
          </w:p>
        </w:tc>
        <w:tc>
          <w:tcPr>
            <w:tcW w:w="2791" w:type="dxa"/>
            <w:shd w:val="clear" w:color="auto" w:fill="BEBEBE"/>
          </w:tcPr>
          <w:p>
            <w:pPr>
              <w:pStyle w:val="TableParagraph"/>
              <w:spacing w:before="10"/>
              <w:jc w:val="left"/>
              <w:rPr>
                <w:sz w:val="25"/>
              </w:rPr>
            </w:pPr>
          </w:p>
          <w:p>
            <w:pPr>
              <w:pStyle w:val="TableParagraph"/>
              <w:spacing w:before="0"/>
              <w:ind w:left="942" w:right="939"/>
              <w:jc w:val="center"/>
              <w:rPr>
                <w:b/>
                <w:sz w:val="17"/>
              </w:rPr>
            </w:pPr>
            <w:r>
              <w:rPr>
                <w:b/>
                <w:sz w:val="17"/>
              </w:rPr>
              <w:t>Descrizione</w:t>
            </w:r>
          </w:p>
        </w:tc>
        <w:tc>
          <w:tcPr>
            <w:tcW w:w="866" w:type="dxa"/>
            <w:shd w:val="clear" w:color="auto" w:fill="BEBEBE"/>
          </w:tcPr>
          <w:p>
            <w:pPr>
              <w:pStyle w:val="TableParagraph"/>
              <w:spacing w:before="4"/>
              <w:jc w:val="left"/>
              <w:rPr>
                <w:sz w:val="16"/>
              </w:rPr>
            </w:pPr>
          </w:p>
          <w:p>
            <w:pPr>
              <w:pStyle w:val="TableParagraph"/>
              <w:spacing w:line="280" w:lineRule="auto" w:before="1"/>
              <w:ind w:left="74" w:right="72" w:firstLine="107"/>
              <w:jc w:val="left"/>
              <w:rPr>
                <w:b/>
                <w:sz w:val="17"/>
              </w:rPr>
            </w:pPr>
            <w:r>
              <w:rPr>
                <w:b/>
                <w:sz w:val="17"/>
              </w:rPr>
              <w:t>BdV al 15.10.2017</w:t>
            </w:r>
          </w:p>
        </w:tc>
        <w:tc>
          <w:tcPr>
            <w:tcW w:w="1134" w:type="dxa"/>
            <w:shd w:val="clear" w:color="auto" w:fill="BEBEBE"/>
          </w:tcPr>
          <w:p>
            <w:pPr>
              <w:pStyle w:val="TableParagraph"/>
              <w:spacing w:before="4"/>
              <w:jc w:val="left"/>
              <w:rPr>
                <w:sz w:val="16"/>
              </w:rPr>
            </w:pPr>
          </w:p>
          <w:p>
            <w:pPr>
              <w:pStyle w:val="TableParagraph"/>
              <w:spacing w:line="280" w:lineRule="auto" w:before="1"/>
              <w:ind w:left="267" w:right="134" w:hanging="129"/>
              <w:jc w:val="left"/>
              <w:rPr>
                <w:b/>
                <w:sz w:val="17"/>
              </w:rPr>
            </w:pPr>
            <w:r>
              <w:rPr>
                <w:b/>
                <w:sz w:val="17"/>
              </w:rPr>
              <w:t>Trasferito a Versalis</w:t>
            </w:r>
          </w:p>
        </w:tc>
        <w:tc>
          <w:tcPr>
            <w:tcW w:w="802" w:type="dxa"/>
            <w:shd w:val="clear" w:color="auto" w:fill="BEBEBE"/>
          </w:tcPr>
          <w:p>
            <w:pPr>
              <w:pStyle w:val="TableParagraph"/>
              <w:spacing w:before="4"/>
              <w:jc w:val="left"/>
              <w:rPr>
                <w:sz w:val="16"/>
              </w:rPr>
            </w:pPr>
          </w:p>
          <w:p>
            <w:pPr>
              <w:pStyle w:val="TableParagraph"/>
              <w:spacing w:line="280" w:lineRule="auto" w:before="1"/>
              <w:ind w:left="64" w:right="64" w:firstLine="160"/>
              <w:jc w:val="left"/>
              <w:rPr>
                <w:b/>
                <w:sz w:val="17"/>
              </w:rPr>
            </w:pPr>
            <w:r>
              <w:rPr>
                <w:b/>
                <w:sz w:val="17"/>
              </w:rPr>
              <w:t>Non trasferito</w:t>
            </w:r>
          </w:p>
        </w:tc>
        <w:tc>
          <w:tcPr>
            <w:tcW w:w="1444" w:type="dxa"/>
            <w:shd w:val="clear" w:color="auto" w:fill="BEBEBE"/>
          </w:tcPr>
          <w:p>
            <w:pPr>
              <w:pStyle w:val="TableParagraph"/>
              <w:spacing w:before="4"/>
              <w:jc w:val="left"/>
              <w:rPr>
                <w:sz w:val="16"/>
              </w:rPr>
            </w:pPr>
          </w:p>
          <w:p>
            <w:pPr>
              <w:pStyle w:val="TableParagraph"/>
              <w:spacing w:line="280" w:lineRule="auto" w:before="1"/>
              <w:ind w:left="203" w:firstLine="160"/>
              <w:jc w:val="left"/>
              <w:rPr>
                <w:b/>
                <w:sz w:val="17"/>
              </w:rPr>
            </w:pPr>
            <w:r>
              <w:rPr>
                <w:b/>
                <w:sz w:val="17"/>
              </w:rPr>
              <w:t>Rettifiche concordatarie</w:t>
            </w:r>
          </w:p>
        </w:tc>
        <w:tc>
          <w:tcPr>
            <w:tcW w:w="1144" w:type="dxa"/>
            <w:shd w:val="clear" w:color="auto" w:fill="BEBEBE"/>
          </w:tcPr>
          <w:p>
            <w:pPr>
              <w:pStyle w:val="TableParagraph"/>
              <w:spacing w:line="280" w:lineRule="auto" w:before="67"/>
              <w:ind w:left="53" w:right="46" w:firstLine="203"/>
              <w:jc w:val="left"/>
              <w:rPr>
                <w:b/>
                <w:sz w:val="17"/>
              </w:rPr>
            </w:pPr>
            <w:r>
              <w:rPr>
                <w:b/>
                <w:sz w:val="17"/>
              </w:rPr>
              <w:t>valore di realizzo ai fini concordatario</w:t>
            </w:r>
          </w:p>
        </w:tc>
      </w:tr>
      <w:tr>
        <w:trPr>
          <w:trHeight w:val="237" w:hRule="exact"/>
        </w:trPr>
        <w:tc>
          <w:tcPr>
            <w:tcW w:w="866" w:type="dxa"/>
            <w:tcBorders>
              <w:bottom w:val="nil"/>
            </w:tcBorders>
          </w:tcPr>
          <w:p>
            <w:pPr>
              <w:pStyle w:val="TableParagraph"/>
              <w:spacing w:before="24"/>
              <w:ind w:right="234"/>
              <w:rPr>
                <w:sz w:val="17"/>
              </w:rPr>
            </w:pPr>
            <w:r>
              <w:rPr>
                <w:sz w:val="17"/>
              </w:rPr>
              <w:t>2139010</w:t>
            </w:r>
          </w:p>
        </w:tc>
        <w:tc>
          <w:tcPr>
            <w:tcW w:w="2791" w:type="dxa"/>
            <w:tcBorders>
              <w:bottom w:val="nil"/>
            </w:tcBorders>
          </w:tcPr>
          <w:p>
            <w:pPr>
              <w:pStyle w:val="TableParagraph"/>
              <w:spacing w:before="24"/>
              <w:ind w:left="74"/>
              <w:jc w:val="left"/>
              <w:rPr>
                <w:sz w:val="17"/>
              </w:rPr>
            </w:pPr>
            <w:r>
              <w:rPr>
                <w:sz w:val="17"/>
              </w:rPr>
              <w:t>Partecipazioni in Società  Controllate</w:t>
            </w:r>
          </w:p>
        </w:tc>
        <w:tc>
          <w:tcPr>
            <w:tcW w:w="866" w:type="dxa"/>
            <w:tcBorders>
              <w:bottom w:val="nil"/>
            </w:tcBorders>
          </w:tcPr>
          <w:p>
            <w:pPr>
              <w:pStyle w:val="TableParagraph"/>
              <w:spacing w:before="24"/>
              <w:ind w:right="68"/>
              <w:rPr>
                <w:sz w:val="17"/>
              </w:rPr>
            </w:pPr>
            <w:r>
              <w:rPr>
                <w:sz w:val="17"/>
              </w:rPr>
              <w:t>10.000</w:t>
            </w:r>
          </w:p>
        </w:tc>
        <w:tc>
          <w:tcPr>
            <w:tcW w:w="1134" w:type="dxa"/>
            <w:tcBorders>
              <w:bottom w:val="nil"/>
            </w:tcBorders>
          </w:tcPr>
          <w:p>
            <w:pPr>
              <w:pStyle w:val="TableParagraph"/>
              <w:spacing w:before="24"/>
              <w:ind w:right="147"/>
              <w:rPr>
                <w:sz w:val="17"/>
              </w:rPr>
            </w:pPr>
            <w:r>
              <w:rPr>
                <w:w w:val="101"/>
                <w:sz w:val="17"/>
              </w:rPr>
              <w:t>-</w:t>
            </w:r>
          </w:p>
        </w:tc>
        <w:tc>
          <w:tcPr>
            <w:tcW w:w="802" w:type="dxa"/>
            <w:tcBorders>
              <w:bottom w:val="nil"/>
            </w:tcBorders>
          </w:tcPr>
          <w:p>
            <w:pPr>
              <w:pStyle w:val="TableParagraph"/>
              <w:spacing w:before="24"/>
              <w:ind w:right="68"/>
              <w:rPr>
                <w:sz w:val="17"/>
              </w:rPr>
            </w:pPr>
            <w:r>
              <w:rPr>
                <w:sz w:val="17"/>
              </w:rPr>
              <w:t>10.000</w:t>
            </w:r>
          </w:p>
        </w:tc>
        <w:tc>
          <w:tcPr>
            <w:tcW w:w="1444" w:type="dxa"/>
            <w:tcBorders>
              <w:bottom w:val="nil"/>
            </w:tcBorders>
          </w:tcPr>
          <w:p>
            <w:pPr>
              <w:pStyle w:val="TableParagraph"/>
              <w:spacing w:before="24"/>
              <w:ind w:right="24"/>
              <w:rPr>
                <w:sz w:val="17"/>
              </w:rPr>
            </w:pPr>
            <w:r>
              <w:rPr>
                <w:sz w:val="17"/>
              </w:rPr>
              <w:t>(10.000)</w:t>
            </w:r>
          </w:p>
        </w:tc>
        <w:tc>
          <w:tcPr>
            <w:tcW w:w="1144" w:type="dxa"/>
            <w:tcBorders>
              <w:bottom w:val="nil"/>
            </w:tcBorders>
          </w:tcPr>
          <w:p>
            <w:pPr>
              <w:pStyle w:val="TableParagraph"/>
              <w:spacing w:before="24"/>
              <w:ind w:right="147"/>
              <w:rPr>
                <w:sz w:val="17"/>
              </w:rPr>
            </w:pPr>
            <w:r>
              <w:rPr>
                <w:w w:val="101"/>
                <w:sz w:val="17"/>
              </w:rPr>
              <w:t>-</w:t>
            </w:r>
          </w:p>
        </w:tc>
      </w:tr>
      <w:tr>
        <w:trPr>
          <w:trHeight w:val="212" w:hRule="exact"/>
        </w:trPr>
        <w:tc>
          <w:tcPr>
            <w:tcW w:w="866" w:type="dxa"/>
            <w:tcBorders>
              <w:top w:val="nil"/>
            </w:tcBorders>
          </w:tcPr>
          <w:p>
            <w:pPr>
              <w:pStyle w:val="TableParagraph"/>
              <w:spacing w:before="17"/>
              <w:ind w:right="234"/>
              <w:rPr>
                <w:sz w:val="17"/>
              </w:rPr>
            </w:pPr>
            <w:r>
              <w:rPr>
                <w:sz w:val="17"/>
              </w:rPr>
              <w:t>2160010</w:t>
            </w:r>
          </w:p>
        </w:tc>
        <w:tc>
          <w:tcPr>
            <w:tcW w:w="2791" w:type="dxa"/>
            <w:tcBorders>
              <w:top w:val="nil"/>
            </w:tcBorders>
          </w:tcPr>
          <w:p>
            <w:pPr>
              <w:pStyle w:val="TableParagraph"/>
              <w:spacing w:before="17"/>
              <w:ind w:left="74"/>
              <w:jc w:val="left"/>
              <w:rPr>
                <w:sz w:val="17"/>
              </w:rPr>
            </w:pPr>
            <w:r>
              <w:rPr>
                <w:sz w:val="17"/>
              </w:rPr>
              <w:t>Depositi cauzionali presso Terzi</w:t>
            </w:r>
          </w:p>
        </w:tc>
        <w:tc>
          <w:tcPr>
            <w:tcW w:w="866" w:type="dxa"/>
            <w:tcBorders>
              <w:top w:val="nil"/>
            </w:tcBorders>
          </w:tcPr>
          <w:p>
            <w:pPr>
              <w:pStyle w:val="TableParagraph"/>
              <w:spacing w:before="17"/>
              <w:ind w:right="68"/>
              <w:rPr>
                <w:sz w:val="17"/>
              </w:rPr>
            </w:pPr>
            <w:r>
              <w:rPr>
                <w:sz w:val="17"/>
              </w:rPr>
              <w:t>49.750</w:t>
            </w:r>
          </w:p>
        </w:tc>
        <w:tc>
          <w:tcPr>
            <w:tcW w:w="1134" w:type="dxa"/>
            <w:tcBorders>
              <w:top w:val="nil"/>
            </w:tcBorders>
          </w:tcPr>
          <w:p>
            <w:pPr>
              <w:pStyle w:val="TableParagraph"/>
              <w:spacing w:before="17"/>
              <w:ind w:right="147"/>
              <w:rPr>
                <w:sz w:val="17"/>
              </w:rPr>
            </w:pPr>
            <w:r>
              <w:rPr>
                <w:w w:val="101"/>
                <w:sz w:val="17"/>
              </w:rPr>
              <w:t>-</w:t>
            </w:r>
          </w:p>
        </w:tc>
        <w:tc>
          <w:tcPr>
            <w:tcW w:w="802" w:type="dxa"/>
            <w:tcBorders>
              <w:top w:val="nil"/>
            </w:tcBorders>
          </w:tcPr>
          <w:p>
            <w:pPr>
              <w:pStyle w:val="TableParagraph"/>
              <w:spacing w:before="17"/>
              <w:ind w:right="68"/>
              <w:rPr>
                <w:sz w:val="17"/>
              </w:rPr>
            </w:pPr>
            <w:r>
              <w:rPr>
                <w:sz w:val="17"/>
              </w:rPr>
              <w:t>49.750</w:t>
            </w:r>
          </w:p>
        </w:tc>
        <w:tc>
          <w:tcPr>
            <w:tcW w:w="1444" w:type="dxa"/>
            <w:tcBorders>
              <w:top w:val="nil"/>
            </w:tcBorders>
          </w:tcPr>
          <w:p>
            <w:pPr>
              <w:pStyle w:val="TableParagraph"/>
              <w:spacing w:before="17"/>
              <w:ind w:right="24"/>
              <w:rPr>
                <w:sz w:val="17"/>
              </w:rPr>
            </w:pPr>
            <w:r>
              <w:rPr>
                <w:sz w:val="17"/>
              </w:rPr>
              <w:t>(8.000)</w:t>
            </w:r>
          </w:p>
        </w:tc>
        <w:tc>
          <w:tcPr>
            <w:tcW w:w="1144" w:type="dxa"/>
            <w:tcBorders>
              <w:top w:val="nil"/>
            </w:tcBorders>
          </w:tcPr>
          <w:p>
            <w:pPr>
              <w:pStyle w:val="TableParagraph"/>
              <w:spacing w:before="17"/>
              <w:ind w:right="68"/>
              <w:rPr>
                <w:sz w:val="17"/>
              </w:rPr>
            </w:pPr>
            <w:r>
              <w:rPr>
                <w:sz w:val="17"/>
              </w:rPr>
              <w:t>41.750</w:t>
            </w:r>
          </w:p>
        </w:tc>
      </w:tr>
      <w:tr>
        <w:trPr>
          <w:trHeight w:val="224" w:hRule="exact"/>
        </w:trPr>
        <w:tc>
          <w:tcPr>
            <w:tcW w:w="3658" w:type="dxa"/>
            <w:gridSpan w:val="2"/>
            <w:tcBorders>
              <w:bottom w:val="single" w:sz="4" w:space="0" w:color="000000"/>
            </w:tcBorders>
            <w:shd w:val="clear" w:color="auto" w:fill="BEBEBE"/>
          </w:tcPr>
          <w:p>
            <w:pPr>
              <w:pStyle w:val="TableParagraph"/>
              <w:spacing w:before="24"/>
              <w:ind w:left="21"/>
              <w:jc w:val="left"/>
              <w:rPr>
                <w:b/>
                <w:sz w:val="17"/>
              </w:rPr>
            </w:pPr>
            <w:r>
              <w:rPr>
                <w:b/>
                <w:sz w:val="17"/>
              </w:rPr>
              <w:t>Totale Imm. Finanzierie</w:t>
            </w:r>
          </w:p>
        </w:tc>
        <w:tc>
          <w:tcPr>
            <w:tcW w:w="866" w:type="dxa"/>
            <w:tcBorders>
              <w:bottom w:val="single" w:sz="4" w:space="0" w:color="000000"/>
            </w:tcBorders>
            <w:shd w:val="clear" w:color="auto" w:fill="BEBEBE"/>
          </w:tcPr>
          <w:p>
            <w:pPr>
              <w:pStyle w:val="TableParagraph"/>
              <w:spacing w:before="24"/>
              <w:ind w:right="68"/>
              <w:rPr>
                <w:b/>
                <w:sz w:val="17"/>
              </w:rPr>
            </w:pPr>
            <w:r>
              <w:rPr>
                <w:b/>
                <w:sz w:val="17"/>
              </w:rPr>
              <w:t>59.750</w:t>
            </w:r>
          </w:p>
        </w:tc>
        <w:tc>
          <w:tcPr>
            <w:tcW w:w="1134" w:type="dxa"/>
            <w:tcBorders>
              <w:bottom w:val="single" w:sz="4" w:space="0" w:color="000000"/>
            </w:tcBorders>
            <w:shd w:val="clear" w:color="auto" w:fill="BEBEBE"/>
          </w:tcPr>
          <w:p>
            <w:pPr/>
          </w:p>
        </w:tc>
        <w:tc>
          <w:tcPr>
            <w:tcW w:w="802" w:type="dxa"/>
            <w:tcBorders>
              <w:bottom w:val="single" w:sz="4" w:space="0" w:color="000000"/>
            </w:tcBorders>
            <w:shd w:val="clear" w:color="auto" w:fill="BEBEBE"/>
          </w:tcPr>
          <w:p>
            <w:pPr>
              <w:pStyle w:val="TableParagraph"/>
              <w:spacing w:before="24"/>
              <w:ind w:right="67"/>
              <w:rPr>
                <w:b/>
                <w:sz w:val="17"/>
              </w:rPr>
            </w:pPr>
            <w:r>
              <w:rPr>
                <w:b/>
                <w:sz w:val="17"/>
              </w:rPr>
              <w:t>59.750</w:t>
            </w:r>
          </w:p>
        </w:tc>
        <w:tc>
          <w:tcPr>
            <w:tcW w:w="1444" w:type="dxa"/>
            <w:tcBorders>
              <w:bottom w:val="single" w:sz="4" w:space="0" w:color="000000"/>
            </w:tcBorders>
            <w:shd w:val="clear" w:color="auto" w:fill="BEBEBE"/>
          </w:tcPr>
          <w:p>
            <w:pPr>
              <w:pStyle w:val="TableParagraph"/>
              <w:spacing w:before="24"/>
              <w:ind w:right="24"/>
              <w:rPr>
                <w:b/>
                <w:sz w:val="17"/>
              </w:rPr>
            </w:pPr>
            <w:r>
              <w:rPr>
                <w:b/>
                <w:sz w:val="17"/>
              </w:rPr>
              <w:t>(18.000)</w:t>
            </w:r>
          </w:p>
        </w:tc>
        <w:tc>
          <w:tcPr>
            <w:tcW w:w="1144" w:type="dxa"/>
            <w:tcBorders>
              <w:bottom w:val="single" w:sz="4" w:space="0" w:color="000000"/>
            </w:tcBorders>
            <w:shd w:val="clear" w:color="auto" w:fill="BEBEBE"/>
          </w:tcPr>
          <w:p>
            <w:pPr>
              <w:pStyle w:val="TableParagraph"/>
              <w:spacing w:before="24"/>
              <w:ind w:right="68"/>
              <w:rPr>
                <w:b/>
                <w:sz w:val="17"/>
              </w:rPr>
            </w:pPr>
            <w:r>
              <w:rPr>
                <w:b/>
                <w:sz w:val="17"/>
              </w:rPr>
              <w:t>41.750</w:t>
            </w:r>
          </w:p>
        </w:tc>
      </w:tr>
    </w:tbl>
    <w:p>
      <w:pPr>
        <w:spacing w:after="0"/>
        <w:rPr>
          <w:sz w:val="17"/>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jc w:val="both"/>
      </w:pPr>
      <w:r>
        <w:rPr>
          <w:u w:val="single"/>
        </w:rPr>
        <w:t>Partecipazioni in società controllate</w:t>
      </w:r>
    </w:p>
    <w:p>
      <w:pPr>
        <w:pStyle w:val="BodyText"/>
        <w:spacing w:before="11"/>
        <w:rPr>
          <w:b/>
          <w:sz w:val="23"/>
        </w:rPr>
      </w:pPr>
    </w:p>
    <w:p>
      <w:pPr>
        <w:pStyle w:val="BodyText"/>
        <w:spacing w:line="480" w:lineRule="auto"/>
        <w:ind w:left="1418" w:right="1422"/>
        <w:jc w:val="both"/>
      </w:pPr>
      <w:r>
        <w:rPr/>
        <w:t>Il valore contabile alla data del 15 ottobre 2017 ammonta ad Euro 10.000 ed è rappresentata dalla partecipazione nella società C5-6 Srl.</w:t>
      </w:r>
    </w:p>
    <w:p>
      <w:pPr>
        <w:pStyle w:val="BodyText"/>
        <w:spacing w:line="480" w:lineRule="auto"/>
        <w:ind w:left="1418" w:right="1416"/>
        <w:jc w:val="both"/>
      </w:pPr>
      <w:r>
        <w:rPr/>
        <w:t>Nella presente posta contabile non appaiono le partecipazioni nelle società IBP Srl, IBP Energia Srl, Beta Renewables S.p.A che risultano essere state totalmente svalutate in data anteriore al deposito della domanda di concordato preventivo ai sensi dell’art 161, comma 6, L.F.</w:t>
      </w:r>
    </w:p>
    <w:p>
      <w:pPr>
        <w:pStyle w:val="BodyText"/>
        <w:spacing w:line="480" w:lineRule="auto"/>
        <w:ind w:left="1418" w:right="1413"/>
      </w:pPr>
      <w:r>
        <w:rPr/>
        <w:t>Con riferimento alla rilevazione iniziale delle partecipazioni, gli scriventi segnalano quanto segue. In data 16 giugno 2015 è stata redatta dalla società Deloitte una relazione di stima del valore del capitale economico del Gruppo Bio rappresentato da IBP, IBP Energia e Biochemtex Agro, con data di riferimento della valutazione al 31 dicembre 2014.</w:t>
      </w:r>
    </w:p>
    <w:p>
      <w:pPr>
        <w:spacing w:line="480" w:lineRule="auto" w:before="0"/>
        <w:ind w:left="1418" w:right="1413" w:firstLine="0"/>
        <w:jc w:val="both"/>
        <w:rPr>
          <w:sz w:val="24"/>
        </w:rPr>
      </w:pPr>
      <w:r>
        <w:rPr>
          <w:sz w:val="24"/>
        </w:rPr>
        <w:t>La valutazione del Gruppo Bio è stata svolta sulla base delle proiezioni economico-finanziarie 2015-2025 predisposte dalla società utilizzando il metodo del </w:t>
      </w:r>
      <w:r>
        <w:rPr>
          <w:i/>
          <w:sz w:val="24"/>
        </w:rPr>
        <w:t>Discounted Cash Flow </w:t>
      </w:r>
      <w:r>
        <w:rPr>
          <w:sz w:val="24"/>
        </w:rPr>
        <w:t>(di seguito anche indicato come DCF</w:t>
      </w:r>
      <w:r>
        <w:rPr>
          <w:i/>
          <w:sz w:val="24"/>
        </w:rPr>
        <w:t>)</w:t>
      </w:r>
      <w:r>
        <w:rPr>
          <w:sz w:val="24"/>
        </w:rPr>
        <w:t>, considerando </w:t>
      </w:r>
      <w:r>
        <w:rPr>
          <w:i/>
          <w:sz w:val="24"/>
        </w:rPr>
        <w:t>“le società come un gruppo unico la cui gestione operat</w:t>
      </w:r>
      <w:r>
        <w:rPr>
          <w:sz w:val="24"/>
        </w:rPr>
        <w:t>iva </w:t>
      </w:r>
      <w:r>
        <w:rPr>
          <w:i/>
          <w:sz w:val="24"/>
        </w:rPr>
        <w:t>è </w:t>
      </w:r>
      <w:r>
        <w:rPr>
          <w:i/>
          <w:sz w:val="24"/>
        </w:rPr>
        <w:t>totalmente integrata ed è pianifica all’unisono” </w:t>
      </w:r>
      <w:r>
        <w:rPr>
          <w:sz w:val="24"/>
        </w:rPr>
        <w:t>(cfr. Paragrafo 1.2 perizia Deloitte).</w:t>
      </w:r>
    </w:p>
    <w:p>
      <w:pPr>
        <w:pStyle w:val="BodyText"/>
        <w:spacing w:line="480" w:lineRule="auto"/>
        <w:ind w:left="1418" w:right="1418"/>
        <w:jc w:val="both"/>
      </w:pPr>
      <w:r>
        <w:rPr/>
        <w:t>L’</w:t>
      </w:r>
      <w:r>
        <w:rPr>
          <w:i/>
        </w:rPr>
        <w:t>equity value </w:t>
      </w:r>
      <w:r>
        <w:rPr/>
        <w:t>del Gruppo Bio in base al metodo DCF è stato stimato in detta perizia estimativa in Euro 80,9 Milioni.</w:t>
      </w:r>
    </w:p>
    <w:p>
      <w:pPr>
        <w:pStyle w:val="BodyText"/>
        <w:spacing w:line="480" w:lineRule="auto"/>
        <w:ind w:left="1418" w:right="1420"/>
        <w:jc w:val="both"/>
      </w:pPr>
      <w:r>
        <w:rPr/>
        <w:t>Si segnala che l’analisi di sensitività sviluppata da Deloitte ha portato all’individuazione di un intervallo di </w:t>
      </w:r>
      <w:r>
        <w:rPr>
          <w:i/>
        </w:rPr>
        <w:t>equity value </w:t>
      </w:r>
      <w:r>
        <w:rPr/>
        <w:t>compreso fra 77 Euro/Milioni e 85 Euro/Milioni.</w:t>
      </w:r>
    </w:p>
    <w:p>
      <w:pPr>
        <w:pStyle w:val="BodyText"/>
        <w:spacing w:line="480" w:lineRule="auto"/>
        <w:ind w:left="1418" w:right="1414"/>
        <w:jc w:val="both"/>
      </w:pPr>
      <w:r>
        <w:rPr/>
        <w:t>Sulla base della valutazione peritale, in data 30 giugno 2015, la M&amp;G Finanziaria ha ceduto alla Biochemtex le partecipazioni in IBP, IBPE, Biochemtex Agro, ad un corrispettivo totale di Euro 84,753 mln (atto Notaio Pantè, Rep. 17923 raccolta 9490), così imputato alle singole società:</w:t>
      </w:r>
    </w:p>
    <w:p>
      <w:pPr>
        <w:pStyle w:val="BodyText"/>
        <w:tabs>
          <w:tab w:pos="2126" w:val="left" w:leader="none"/>
        </w:tabs>
        <w:ind w:left="1778"/>
      </w:pPr>
      <w:r>
        <w:rPr>
          <w:rFonts w:ascii="Calibri"/>
        </w:rPr>
        <w:t>-</w:t>
        <w:tab/>
      </w:r>
      <w:r>
        <w:rPr/>
        <w:t>IBP Euro</w:t>
      </w:r>
      <w:r>
        <w:rPr>
          <w:spacing w:val="-6"/>
        </w:rPr>
        <w:t> </w:t>
      </w:r>
      <w:r>
        <w:rPr/>
        <w:t>63.970.608;</w:t>
      </w:r>
    </w:p>
    <w:p>
      <w:pPr>
        <w:pStyle w:val="BodyText"/>
        <w:spacing w:before="10"/>
        <w:rPr>
          <w:sz w:val="23"/>
        </w:rPr>
      </w:pPr>
    </w:p>
    <w:p>
      <w:pPr>
        <w:pStyle w:val="BodyText"/>
        <w:tabs>
          <w:tab w:pos="2126" w:val="left" w:leader="none"/>
        </w:tabs>
        <w:ind w:left="1778"/>
      </w:pPr>
      <w:r>
        <w:rPr>
          <w:rFonts w:ascii="Calibri"/>
        </w:rPr>
        <w:t>-</w:t>
        <w:tab/>
      </w:r>
      <w:r>
        <w:rPr/>
        <w:t>IBPE Euro</w:t>
      </w:r>
      <w:r>
        <w:rPr>
          <w:spacing w:val="-5"/>
        </w:rPr>
        <w:t> </w:t>
      </w:r>
      <w:r>
        <w:rPr/>
        <w:t>19.208.532;</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43"/>
        </w:numPr>
        <w:tabs>
          <w:tab w:pos="2126" w:val="left" w:leader="none"/>
          <w:tab w:pos="2127" w:val="left" w:leader="none"/>
        </w:tabs>
        <w:spacing w:line="240" w:lineRule="auto" w:before="78" w:after="0"/>
        <w:ind w:left="2126" w:right="0" w:hanging="348"/>
        <w:jc w:val="left"/>
        <w:rPr>
          <w:sz w:val="24"/>
        </w:rPr>
      </w:pPr>
      <w:r>
        <w:rPr>
          <w:sz w:val="24"/>
        </w:rPr>
        <w:t>Biochemtex Agro Euro</w:t>
      </w:r>
      <w:r>
        <w:rPr>
          <w:spacing w:val="-11"/>
          <w:sz w:val="24"/>
        </w:rPr>
        <w:t> </w:t>
      </w:r>
      <w:r>
        <w:rPr>
          <w:sz w:val="24"/>
        </w:rPr>
        <w:t>1.573.860.</w:t>
      </w:r>
    </w:p>
    <w:p>
      <w:pPr>
        <w:pStyle w:val="BodyText"/>
        <w:spacing w:before="9"/>
        <w:rPr>
          <w:sz w:val="23"/>
        </w:rPr>
      </w:pPr>
    </w:p>
    <w:p>
      <w:pPr>
        <w:pStyle w:val="BodyText"/>
        <w:spacing w:line="480" w:lineRule="auto"/>
        <w:ind w:left="1418" w:right="1412"/>
        <w:jc w:val="both"/>
      </w:pPr>
      <w:r>
        <w:rPr/>
        <w:t>Il pagamento è stato effettuato mediante parziale compensazione del debito infragruppo di </w:t>
      </w:r>
      <w:r>
        <w:rPr>
          <w:i/>
        </w:rPr>
        <w:t>Cash </w:t>
      </w:r>
      <w:r>
        <w:rPr>
          <w:i/>
        </w:rPr>
        <w:t>pooling</w:t>
      </w:r>
      <w:r>
        <w:rPr/>
        <w:t>. Si precisa altresì che la partecipazione nella Italian Bio Products (IBP) è stata interessata dalle seguenti operazioni, che hanno portato ad un incremento del valore della partecipazione:</w:t>
      </w:r>
    </w:p>
    <w:p>
      <w:pPr>
        <w:pStyle w:val="ListParagraph"/>
        <w:numPr>
          <w:ilvl w:val="0"/>
          <w:numId w:val="43"/>
        </w:numPr>
        <w:tabs>
          <w:tab w:pos="2126" w:val="left" w:leader="none"/>
          <w:tab w:pos="2127" w:val="left" w:leader="none"/>
        </w:tabs>
        <w:spacing w:line="240" w:lineRule="auto" w:before="0" w:after="0"/>
        <w:ind w:left="2126" w:right="0" w:hanging="348"/>
        <w:jc w:val="left"/>
        <w:rPr>
          <w:sz w:val="24"/>
        </w:rPr>
      </w:pPr>
      <w:r>
        <w:rPr>
          <w:sz w:val="24"/>
        </w:rPr>
        <w:t>In data 31 dicembre 2015 Biochemtex Agro è stata fusa nella</w:t>
      </w:r>
      <w:r>
        <w:rPr>
          <w:spacing w:val="-28"/>
          <w:sz w:val="24"/>
        </w:rPr>
        <w:t> </w:t>
      </w:r>
      <w:r>
        <w:rPr>
          <w:sz w:val="24"/>
        </w:rPr>
        <w:t>IBP;</w:t>
      </w:r>
    </w:p>
    <w:p>
      <w:pPr>
        <w:pStyle w:val="BodyText"/>
        <w:spacing w:before="11"/>
        <w:rPr>
          <w:sz w:val="23"/>
        </w:rPr>
      </w:pPr>
    </w:p>
    <w:p>
      <w:pPr>
        <w:pStyle w:val="ListParagraph"/>
        <w:numPr>
          <w:ilvl w:val="0"/>
          <w:numId w:val="43"/>
        </w:numPr>
        <w:tabs>
          <w:tab w:pos="2126" w:val="left" w:leader="none"/>
          <w:tab w:pos="2127" w:val="left" w:leader="none"/>
        </w:tabs>
        <w:spacing w:line="460" w:lineRule="auto" w:before="0" w:after="0"/>
        <w:ind w:left="2138" w:right="1419" w:hanging="360"/>
        <w:jc w:val="left"/>
        <w:rPr>
          <w:sz w:val="24"/>
        </w:rPr>
      </w:pPr>
      <w:r>
        <w:rPr>
          <w:sz w:val="24"/>
        </w:rPr>
        <w:t>In data 31 dicembre 2015 Biochemtex ha deliberato un versamento in conto copertura perdite per l’ammontare di Euro</w:t>
      </w:r>
      <w:r>
        <w:rPr>
          <w:spacing w:val="-4"/>
          <w:sz w:val="24"/>
        </w:rPr>
        <w:t> </w:t>
      </w:r>
      <w:r>
        <w:rPr>
          <w:sz w:val="24"/>
        </w:rPr>
        <w:t>20.000.000;</w:t>
      </w:r>
    </w:p>
    <w:p>
      <w:pPr>
        <w:pStyle w:val="ListParagraph"/>
        <w:numPr>
          <w:ilvl w:val="0"/>
          <w:numId w:val="43"/>
        </w:numPr>
        <w:tabs>
          <w:tab w:pos="2126" w:val="left" w:leader="none"/>
          <w:tab w:pos="2127" w:val="left" w:leader="none"/>
        </w:tabs>
        <w:spacing w:line="240" w:lineRule="auto" w:before="21" w:after="0"/>
        <w:ind w:left="2126" w:right="0" w:hanging="348"/>
        <w:jc w:val="left"/>
        <w:rPr>
          <w:sz w:val="24"/>
        </w:rPr>
      </w:pPr>
      <w:r>
        <w:rPr>
          <w:sz w:val="24"/>
        </w:rPr>
        <w:t>In data 14 dicembre 2016 Biochemtex ha effettuato un versamento per Euro</w:t>
      </w:r>
      <w:r>
        <w:rPr>
          <w:spacing w:val="-29"/>
          <w:sz w:val="24"/>
        </w:rPr>
        <w:t> </w:t>
      </w:r>
      <w:r>
        <w:rPr>
          <w:sz w:val="24"/>
        </w:rPr>
        <w:t>6.500.000;</w:t>
      </w:r>
    </w:p>
    <w:p>
      <w:pPr>
        <w:pStyle w:val="BodyText"/>
        <w:spacing w:before="9"/>
        <w:rPr>
          <w:sz w:val="23"/>
        </w:rPr>
      </w:pPr>
    </w:p>
    <w:p>
      <w:pPr>
        <w:pStyle w:val="ListParagraph"/>
        <w:numPr>
          <w:ilvl w:val="0"/>
          <w:numId w:val="43"/>
        </w:numPr>
        <w:tabs>
          <w:tab w:pos="2126" w:val="left" w:leader="none"/>
          <w:tab w:pos="2127" w:val="left" w:leader="none"/>
        </w:tabs>
        <w:spacing w:line="460" w:lineRule="auto" w:before="0" w:after="0"/>
        <w:ind w:left="2138" w:right="1419" w:hanging="360"/>
        <w:jc w:val="left"/>
        <w:rPr>
          <w:sz w:val="24"/>
        </w:rPr>
      </w:pPr>
      <w:r>
        <w:rPr>
          <w:sz w:val="24"/>
        </w:rPr>
        <w:t>In data 21 dicembre 2016 Biochemtex ha deliberato un versamento in conto copertura perdite per l’ammontare di Euro</w:t>
      </w:r>
      <w:r>
        <w:rPr>
          <w:spacing w:val="-5"/>
          <w:sz w:val="24"/>
        </w:rPr>
        <w:t> </w:t>
      </w:r>
      <w:r>
        <w:rPr>
          <w:sz w:val="24"/>
        </w:rPr>
        <w:t>20.000.000;</w:t>
      </w:r>
    </w:p>
    <w:p>
      <w:pPr>
        <w:pStyle w:val="ListParagraph"/>
        <w:numPr>
          <w:ilvl w:val="0"/>
          <w:numId w:val="43"/>
        </w:numPr>
        <w:tabs>
          <w:tab w:pos="2126" w:val="left" w:leader="none"/>
          <w:tab w:pos="2127" w:val="left" w:leader="none"/>
        </w:tabs>
        <w:spacing w:line="240" w:lineRule="auto" w:before="21" w:after="0"/>
        <w:ind w:left="2126" w:right="0" w:hanging="348"/>
        <w:jc w:val="left"/>
        <w:rPr>
          <w:sz w:val="24"/>
        </w:rPr>
      </w:pPr>
      <w:r>
        <w:rPr>
          <w:sz w:val="24"/>
        </w:rPr>
        <w:t>In data 19 luglio 2017 Biochemtex ha effettuato un versamento di Euro</w:t>
      </w:r>
      <w:r>
        <w:rPr>
          <w:spacing w:val="-19"/>
          <w:sz w:val="24"/>
        </w:rPr>
        <w:t> </w:t>
      </w:r>
      <w:r>
        <w:rPr>
          <w:sz w:val="24"/>
        </w:rPr>
        <w:t>6.000.000;</w:t>
      </w:r>
    </w:p>
    <w:p>
      <w:pPr>
        <w:pStyle w:val="BodyText"/>
        <w:spacing w:before="10"/>
        <w:rPr>
          <w:sz w:val="23"/>
        </w:rPr>
      </w:pPr>
    </w:p>
    <w:p>
      <w:pPr>
        <w:pStyle w:val="ListParagraph"/>
        <w:numPr>
          <w:ilvl w:val="0"/>
          <w:numId w:val="43"/>
        </w:numPr>
        <w:tabs>
          <w:tab w:pos="2127" w:val="left" w:leader="none"/>
        </w:tabs>
        <w:spacing w:line="470" w:lineRule="auto" w:before="0" w:after="0"/>
        <w:ind w:left="2138" w:right="1418" w:hanging="360"/>
        <w:jc w:val="both"/>
        <w:rPr>
          <w:sz w:val="24"/>
        </w:rPr>
      </w:pPr>
      <w:r>
        <w:rPr>
          <w:sz w:val="24"/>
        </w:rPr>
        <w:t>In data 6 settembre 2017 Biochemtex, titolare di un credito complessivo di 10.000.000 verso IBP Srl, ha rinunciato a detto credito permettendone così la capitalizzazione in IBP Srl</w:t>
      </w:r>
    </w:p>
    <w:p>
      <w:pPr>
        <w:pStyle w:val="BodyText"/>
        <w:spacing w:line="480" w:lineRule="auto" w:before="10"/>
        <w:ind w:left="1418" w:right="1417"/>
        <w:jc w:val="both"/>
      </w:pPr>
      <w:r>
        <w:rPr/>
        <w:t>Alla luce delle operazioni su descritte, il valore della partecipazione in IBP Srl è passato da Euro 63.970.608 ad Euro 128.044.468, successivamente azzerate in data precedente al deposito del ricorso per concordato.</w:t>
      </w:r>
    </w:p>
    <w:p>
      <w:pPr>
        <w:pStyle w:val="BodyText"/>
        <w:ind w:left="1418"/>
        <w:jc w:val="both"/>
      </w:pPr>
      <w:r>
        <w:rPr>
          <w:u w:val="single"/>
        </w:rPr>
        <w:t>Attività svolta</w:t>
      </w:r>
    </w:p>
    <w:p>
      <w:pPr>
        <w:pStyle w:val="BodyText"/>
        <w:spacing w:before="2"/>
        <w:rPr>
          <w:sz w:val="15"/>
        </w:rPr>
      </w:pPr>
    </w:p>
    <w:p>
      <w:pPr>
        <w:pStyle w:val="BodyText"/>
        <w:spacing w:line="480" w:lineRule="auto" w:before="100"/>
        <w:ind w:left="1418" w:right="1416"/>
        <w:jc w:val="both"/>
      </w:pPr>
      <w:r>
        <w:rPr/>
        <w:t>Ai fini dell’analisi della veridicità dei dati gli scriventi hanno preso visione delle schede contabili, della perizia redatta da Deloitte in data 16 giugno 2015 ed hanno chiesto alla Società copia del Bilancio della partecipata C5-6.</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Valorizzazione concordataria</w:t>
      </w:r>
    </w:p>
    <w:p>
      <w:pPr>
        <w:pStyle w:val="BodyText"/>
        <w:spacing w:before="11"/>
        <w:rPr>
          <w:sz w:val="23"/>
        </w:rPr>
      </w:pPr>
    </w:p>
    <w:p>
      <w:pPr>
        <w:pStyle w:val="BodyText"/>
        <w:spacing w:line="480" w:lineRule="auto"/>
        <w:ind w:left="1418" w:right="1415"/>
        <w:jc w:val="both"/>
      </w:pPr>
      <w:r>
        <w:rPr/>
        <w:t>Si precisa che la partecipazione in C5-6 non è ricompresa nel perimetro aziendale oggetto dell’offerta vincolante di acquisto formulata da Versalis ed è stata prudenzialmente svalutata in ottica concordataria.</w:t>
      </w:r>
    </w:p>
    <w:p>
      <w:pPr>
        <w:pStyle w:val="Heading2"/>
        <w:numPr>
          <w:ilvl w:val="0"/>
          <w:numId w:val="44"/>
        </w:numPr>
        <w:tabs>
          <w:tab w:pos="2126" w:val="left" w:leader="none"/>
          <w:tab w:pos="2127" w:val="left" w:leader="none"/>
        </w:tabs>
        <w:spacing w:line="304" w:lineRule="exact" w:before="0" w:after="0"/>
        <w:ind w:left="2126" w:right="0" w:hanging="348"/>
        <w:jc w:val="left"/>
      </w:pPr>
      <w:r>
        <w:rPr>
          <w:u w:val="single"/>
        </w:rPr>
        <w:t>Crediti per depositi</w:t>
      </w:r>
      <w:r>
        <w:rPr>
          <w:spacing w:val="-9"/>
          <w:u w:val="single"/>
        </w:rPr>
        <w:t> </w:t>
      </w:r>
      <w:r>
        <w:rPr>
          <w:u w:val="single"/>
        </w:rPr>
        <w:t>cauzionali</w:t>
      </w:r>
    </w:p>
    <w:p>
      <w:pPr>
        <w:pStyle w:val="BodyText"/>
        <w:spacing w:before="4"/>
        <w:rPr>
          <w:b/>
          <w:sz w:val="15"/>
        </w:rPr>
      </w:pPr>
    </w:p>
    <w:p>
      <w:pPr>
        <w:pStyle w:val="BodyText"/>
        <w:spacing w:before="100"/>
        <w:ind w:left="1418"/>
      </w:pPr>
      <w:r>
        <w:rPr/>
        <w:t>Alla data del 15 ottobre 2017 tale posta ammonta ad Euro 49.750 così costituita:</w:t>
      </w:r>
    </w:p>
    <w:p>
      <w:pPr>
        <w:pStyle w:val="BodyText"/>
        <w:rPr>
          <w:sz w:val="20"/>
        </w:rPr>
      </w:pPr>
    </w:p>
    <w:p>
      <w:pPr>
        <w:pStyle w:val="BodyText"/>
        <w:rPr>
          <w:sz w:val="20"/>
        </w:rPr>
      </w:pPr>
    </w:p>
    <w:p>
      <w:pPr>
        <w:pStyle w:val="BodyText"/>
        <w:spacing w:before="2"/>
      </w:pPr>
    </w:p>
    <w:tbl>
      <w:tblPr>
        <w:tblW w:w="0" w:type="auto"/>
        <w:jc w:val="left"/>
        <w:tblInd w:w="18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064"/>
        <w:gridCol w:w="1215"/>
      </w:tblGrid>
      <w:tr>
        <w:trPr>
          <w:trHeight w:val="315" w:hRule="exact"/>
        </w:trPr>
        <w:tc>
          <w:tcPr>
            <w:tcW w:w="7064" w:type="dxa"/>
            <w:shd w:val="clear" w:color="auto" w:fill="BEBEBE"/>
          </w:tcPr>
          <w:p>
            <w:pPr>
              <w:pStyle w:val="TableParagraph"/>
              <w:spacing w:before="33"/>
              <w:ind w:left="1979"/>
              <w:jc w:val="left"/>
              <w:rPr>
                <w:b/>
                <w:sz w:val="24"/>
              </w:rPr>
            </w:pPr>
            <w:r>
              <w:rPr>
                <w:b/>
                <w:sz w:val="24"/>
              </w:rPr>
              <w:t>Depositi cauzionali verso terzi</w:t>
            </w:r>
          </w:p>
        </w:tc>
        <w:tc>
          <w:tcPr>
            <w:tcW w:w="1215" w:type="dxa"/>
            <w:shd w:val="clear" w:color="auto" w:fill="BEBEBE"/>
          </w:tcPr>
          <w:p>
            <w:pPr>
              <w:pStyle w:val="TableParagraph"/>
              <w:spacing w:before="33"/>
              <w:ind w:left="149"/>
              <w:jc w:val="left"/>
              <w:rPr>
                <w:b/>
                <w:sz w:val="24"/>
              </w:rPr>
            </w:pPr>
            <w:r>
              <w:rPr>
                <w:b/>
                <w:sz w:val="24"/>
              </w:rPr>
              <w:t>Importo</w:t>
            </w:r>
          </w:p>
        </w:tc>
      </w:tr>
      <w:tr>
        <w:trPr>
          <w:trHeight w:val="333" w:hRule="exact"/>
        </w:trPr>
        <w:tc>
          <w:tcPr>
            <w:tcW w:w="7064" w:type="dxa"/>
            <w:tcBorders>
              <w:bottom w:val="nil"/>
            </w:tcBorders>
          </w:tcPr>
          <w:p>
            <w:pPr>
              <w:pStyle w:val="TableParagraph"/>
              <w:spacing w:before="33"/>
              <w:ind w:left="29"/>
              <w:jc w:val="left"/>
              <w:rPr>
                <w:sz w:val="24"/>
              </w:rPr>
            </w:pPr>
            <w:r>
              <w:rPr>
                <w:sz w:val="24"/>
              </w:rPr>
              <w:t>- Parco scientifico e Tecnologico  (Centro/Rivalta)</w:t>
            </w:r>
          </w:p>
        </w:tc>
        <w:tc>
          <w:tcPr>
            <w:tcW w:w="1215" w:type="dxa"/>
            <w:tcBorders>
              <w:bottom w:val="nil"/>
            </w:tcBorders>
          </w:tcPr>
          <w:p>
            <w:pPr>
              <w:pStyle w:val="TableParagraph"/>
              <w:spacing w:before="33"/>
              <w:ind w:right="112"/>
              <w:rPr>
                <w:sz w:val="24"/>
              </w:rPr>
            </w:pPr>
            <w:r>
              <w:rPr>
                <w:sz w:val="24"/>
              </w:rPr>
              <w:t>32.250</w:t>
            </w:r>
          </w:p>
        </w:tc>
      </w:tr>
      <w:tr>
        <w:trPr>
          <w:trHeight w:val="315" w:hRule="exact"/>
        </w:trPr>
        <w:tc>
          <w:tcPr>
            <w:tcW w:w="7064" w:type="dxa"/>
            <w:tcBorders>
              <w:top w:val="nil"/>
              <w:bottom w:val="nil"/>
            </w:tcBorders>
          </w:tcPr>
          <w:p>
            <w:pPr>
              <w:pStyle w:val="TableParagraph"/>
              <w:spacing w:before="22"/>
              <w:ind w:left="29"/>
              <w:jc w:val="left"/>
              <w:rPr>
                <w:sz w:val="24"/>
              </w:rPr>
            </w:pPr>
            <w:r>
              <w:rPr>
                <w:sz w:val="24"/>
              </w:rPr>
              <w:t>- Parco scientifico e Tecnologico  (Centro/Rivalta)</w:t>
            </w:r>
          </w:p>
        </w:tc>
        <w:tc>
          <w:tcPr>
            <w:tcW w:w="1215" w:type="dxa"/>
            <w:tcBorders>
              <w:top w:val="nil"/>
              <w:bottom w:val="nil"/>
            </w:tcBorders>
          </w:tcPr>
          <w:p>
            <w:pPr>
              <w:pStyle w:val="TableParagraph"/>
              <w:spacing w:before="22"/>
              <w:ind w:right="111"/>
              <w:rPr>
                <w:sz w:val="24"/>
              </w:rPr>
            </w:pPr>
            <w:r>
              <w:rPr>
                <w:sz w:val="24"/>
              </w:rPr>
              <w:t>1.000</w:t>
            </w:r>
          </w:p>
        </w:tc>
      </w:tr>
      <w:tr>
        <w:trPr>
          <w:trHeight w:val="315" w:hRule="exact"/>
        </w:trPr>
        <w:tc>
          <w:tcPr>
            <w:tcW w:w="7064" w:type="dxa"/>
            <w:tcBorders>
              <w:top w:val="nil"/>
              <w:bottom w:val="nil"/>
            </w:tcBorders>
          </w:tcPr>
          <w:p>
            <w:pPr>
              <w:pStyle w:val="TableParagraph"/>
              <w:spacing w:before="22"/>
              <w:ind w:left="29"/>
              <w:jc w:val="left"/>
              <w:rPr>
                <w:sz w:val="24"/>
              </w:rPr>
            </w:pPr>
            <w:r>
              <w:rPr>
                <w:sz w:val="24"/>
              </w:rPr>
              <w:t>- IPSI (Sede di Caserta)</w:t>
            </w:r>
          </w:p>
        </w:tc>
        <w:tc>
          <w:tcPr>
            <w:tcW w:w="1215" w:type="dxa"/>
            <w:tcBorders>
              <w:top w:val="nil"/>
              <w:bottom w:val="nil"/>
            </w:tcBorders>
          </w:tcPr>
          <w:p>
            <w:pPr>
              <w:pStyle w:val="TableParagraph"/>
              <w:spacing w:before="22"/>
              <w:ind w:right="111"/>
              <w:rPr>
                <w:sz w:val="24"/>
              </w:rPr>
            </w:pPr>
            <w:r>
              <w:rPr>
                <w:sz w:val="24"/>
              </w:rPr>
              <w:t>1.000</w:t>
            </w:r>
          </w:p>
        </w:tc>
      </w:tr>
      <w:tr>
        <w:trPr>
          <w:trHeight w:val="315" w:hRule="exact"/>
        </w:trPr>
        <w:tc>
          <w:tcPr>
            <w:tcW w:w="7064" w:type="dxa"/>
            <w:tcBorders>
              <w:top w:val="nil"/>
              <w:bottom w:val="nil"/>
            </w:tcBorders>
          </w:tcPr>
          <w:p>
            <w:pPr>
              <w:pStyle w:val="TableParagraph"/>
              <w:spacing w:before="22"/>
              <w:ind w:left="29"/>
              <w:jc w:val="left"/>
              <w:rPr>
                <w:sz w:val="24"/>
              </w:rPr>
            </w:pPr>
            <w:r>
              <w:rPr>
                <w:sz w:val="24"/>
              </w:rPr>
              <w:t>- Italia Affitti (Affitto appartamento foresteria a TO uso  Amministrat.)</w:t>
            </w:r>
          </w:p>
        </w:tc>
        <w:tc>
          <w:tcPr>
            <w:tcW w:w="1215" w:type="dxa"/>
            <w:tcBorders>
              <w:top w:val="nil"/>
              <w:bottom w:val="nil"/>
            </w:tcBorders>
          </w:tcPr>
          <w:p>
            <w:pPr>
              <w:pStyle w:val="TableParagraph"/>
              <w:spacing w:before="22"/>
              <w:ind w:right="111"/>
              <w:rPr>
                <w:sz w:val="24"/>
              </w:rPr>
            </w:pPr>
            <w:r>
              <w:rPr>
                <w:sz w:val="24"/>
              </w:rPr>
              <w:t>7.500</w:t>
            </w:r>
          </w:p>
        </w:tc>
      </w:tr>
      <w:tr>
        <w:trPr>
          <w:trHeight w:val="297" w:hRule="exact"/>
        </w:trPr>
        <w:tc>
          <w:tcPr>
            <w:tcW w:w="7064" w:type="dxa"/>
            <w:tcBorders>
              <w:top w:val="nil"/>
            </w:tcBorders>
          </w:tcPr>
          <w:p>
            <w:pPr>
              <w:pStyle w:val="TableParagraph"/>
              <w:spacing w:before="22"/>
              <w:ind w:left="29"/>
              <w:jc w:val="left"/>
              <w:rPr>
                <w:sz w:val="24"/>
              </w:rPr>
            </w:pPr>
            <w:r>
              <w:rPr>
                <w:sz w:val="24"/>
              </w:rPr>
              <w:t>- Locabox</w:t>
            </w:r>
          </w:p>
        </w:tc>
        <w:tc>
          <w:tcPr>
            <w:tcW w:w="1215" w:type="dxa"/>
            <w:tcBorders>
              <w:top w:val="nil"/>
            </w:tcBorders>
          </w:tcPr>
          <w:p>
            <w:pPr>
              <w:pStyle w:val="TableParagraph"/>
              <w:spacing w:before="22"/>
              <w:ind w:right="111"/>
              <w:rPr>
                <w:sz w:val="24"/>
              </w:rPr>
            </w:pPr>
            <w:r>
              <w:rPr>
                <w:sz w:val="24"/>
              </w:rPr>
              <w:t>8.000</w:t>
            </w:r>
          </w:p>
        </w:tc>
      </w:tr>
      <w:tr>
        <w:trPr>
          <w:trHeight w:val="315" w:hRule="exact"/>
        </w:trPr>
        <w:tc>
          <w:tcPr>
            <w:tcW w:w="7064" w:type="dxa"/>
            <w:shd w:val="clear" w:color="auto" w:fill="BEBEBE"/>
          </w:tcPr>
          <w:p>
            <w:pPr>
              <w:pStyle w:val="TableParagraph"/>
              <w:spacing w:before="33"/>
              <w:ind w:left="29"/>
              <w:jc w:val="left"/>
              <w:rPr>
                <w:b/>
                <w:sz w:val="24"/>
              </w:rPr>
            </w:pPr>
            <w:r>
              <w:rPr>
                <w:b/>
                <w:sz w:val="24"/>
              </w:rPr>
              <w:t>Totale</w:t>
            </w:r>
          </w:p>
        </w:tc>
        <w:tc>
          <w:tcPr>
            <w:tcW w:w="1215" w:type="dxa"/>
            <w:shd w:val="clear" w:color="auto" w:fill="BEBEBE"/>
          </w:tcPr>
          <w:p>
            <w:pPr>
              <w:pStyle w:val="TableParagraph"/>
              <w:spacing w:before="33"/>
              <w:ind w:right="112"/>
              <w:rPr>
                <w:b/>
                <w:sz w:val="24"/>
              </w:rPr>
            </w:pPr>
            <w:r>
              <w:rPr>
                <w:b/>
                <w:sz w:val="24"/>
              </w:rPr>
              <w:t>49.750</w:t>
            </w:r>
          </w:p>
        </w:tc>
      </w:tr>
    </w:tbl>
    <w:p>
      <w:pPr>
        <w:pStyle w:val="BodyText"/>
        <w:rPr>
          <w:sz w:val="20"/>
        </w:rPr>
      </w:pPr>
    </w:p>
    <w:p>
      <w:pPr>
        <w:pStyle w:val="BodyText"/>
        <w:spacing w:before="8"/>
        <w:rPr>
          <w:sz w:val="17"/>
        </w:rPr>
      </w:pPr>
    </w:p>
    <w:p>
      <w:pPr>
        <w:pStyle w:val="BodyText"/>
        <w:spacing w:line="480" w:lineRule="auto" w:before="100"/>
        <w:ind w:left="1418" w:right="1418"/>
        <w:jc w:val="both"/>
      </w:pPr>
      <w:r>
        <w:rPr/>
        <w:t>I depositi cauzionali inerenti al centro di Rivalta Scrivia ammontano a Euro 33.250 e se ne prevede la restituzione a seguito del subentro di Versalis nel contratto di affitto stipulato con PST (Parco Scientifico Tecnologico).</w:t>
      </w:r>
    </w:p>
    <w:p>
      <w:pPr>
        <w:pStyle w:val="BodyText"/>
        <w:spacing w:line="480" w:lineRule="auto"/>
        <w:ind w:left="1418" w:right="1416"/>
        <w:jc w:val="both"/>
      </w:pPr>
      <w:r>
        <w:rPr/>
        <w:t>I depositi cauzionali inerenti a IPSI, di Euro 1.000, si riferiscono ad importo versato a titolo di cauzione nell’ambito del contratto di locazione dell’immobile ad uso ufficio sito in San Marco Evangelista (Caserta). La Società ha disposto la chiusura della sede e prevede il recupero della somma.</w:t>
      </w:r>
    </w:p>
    <w:p>
      <w:pPr>
        <w:pStyle w:val="BodyText"/>
        <w:spacing w:line="480" w:lineRule="auto"/>
        <w:ind w:left="1418" w:right="1421"/>
        <w:jc w:val="both"/>
      </w:pPr>
      <w:r>
        <w:rPr/>
        <w:t>I depositi inerenti ad Italia Affitti, dell’importo di Euro 7.500, si riferiscono ad un contratto per la locazione dell’immobile sito in Torino, corso Einaudi 20, uso foresteria. Il contratto è stato  risolto e si prevede il recupero della</w:t>
      </w:r>
      <w:r>
        <w:rPr>
          <w:spacing w:val="-19"/>
        </w:rPr>
        <w:t> </w:t>
      </w:r>
      <w:r>
        <w:rPr/>
        <w:t>somma.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1"/>
        <w:jc w:val="both"/>
      </w:pPr>
      <w:r>
        <w:rPr/>
        <w:t>Il deposito cauzionale relativo a Locabox si riferisce al noleggio di strutture prefabbricate ad uso industriale, effettuato nel mese di agosto 2012. In data 22 gennaio 2018 Locabox ha restituito la cauzione per Euro 8.000, sul conto Banco Desio n. 253.</w:t>
      </w:r>
    </w:p>
    <w:p>
      <w:pPr>
        <w:pStyle w:val="BodyText"/>
        <w:ind w:left="1418"/>
        <w:jc w:val="both"/>
      </w:pPr>
      <w:r>
        <w:rPr>
          <w:u w:val="single"/>
        </w:rPr>
        <w:t>Attività svolta</w:t>
      </w:r>
    </w:p>
    <w:p>
      <w:pPr>
        <w:pStyle w:val="BodyText"/>
      </w:pPr>
    </w:p>
    <w:p>
      <w:pPr>
        <w:pStyle w:val="BodyText"/>
        <w:spacing w:line="480" w:lineRule="auto"/>
        <w:ind w:left="1418" w:right="1412"/>
        <w:jc w:val="both"/>
      </w:pPr>
      <w:r>
        <w:rPr/>
        <w:t>Ai fini dell’analisi della veridicità dei dati gli scriventi hanno preso visione delle schede contabili, delle contabili bancarie di pagamento delle cauzioni, della contabile bancaria di restituzione della cauzione Locabox.</w:t>
      </w:r>
    </w:p>
    <w:p>
      <w:pPr>
        <w:pStyle w:val="BodyText"/>
        <w:ind w:left="1418"/>
        <w:jc w:val="both"/>
      </w:pPr>
      <w:r>
        <w:rPr>
          <w:u w:val="single"/>
        </w:rPr>
        <w:t>Valorizzazione concordataria</w:t>
      </w:r>
    </w:p>
    <w:p>
      <w:pPr>
        <w:pStyle w:val="BodyText"/>
      </w:pPr>
    </w:p>
    <w:p>
      <w:pPr>
        <w:pStyle w:val="BodyText"/>
        <w:spacing w:line="480" w:lineRule="auto"/>
        <w:ind w:left="1418" w:right="1413"/>
        <w:jc w:val="both"/>
      </w:pPr>
      <w:r>
        <w:rPr/>
        <w:t>Si precisa che la posta in esame per quando riguarda i depositi Ipsi, Italia Affitti, e Locabox, non  è ricompresa nel perimetro aziendale oggetto dell’offerta vincolante di acquisto formulata da Versalis ed è stata stimato un valore di realizzo pari ad Euro 8.500. I depositi versati al Parco Scientifico Tecnologico di Rivalta Scrivia, saranno invece parte del perimetro aziendale oggetto dell’offerta vincolante di acquisto formulata da Versalis, e pertanto valorizzati nel prezzo complessivo.</w:t>
      </w:r>
    </w:p>
    <w:p>
      <w:pPr>
        <w:pStyle w:val="BodyText"/>
        <w:spacing w:before="3"/>
        <w:rPr>
          <w:sz w:val="21"/>
        </w:rPr>
      </w:pPr>
    </w:p>
    <w:p>
      <w:pPr>
        <w:pStyle w:val="Heading2"/>
        <w:jc w:val="both"/>
      </w:pPr>
      <w:r>
        <w:rPr>
          <w:u w:val="single"/>
        </w:rPr>
        <w:t>CREDITI VERSO CLIENTI</w:t>
      </w:r>
    </w:p>
    <w:p>
      <w:pPr>
        <w:pStyle w:val="BodyText"/>
        <w:spacing w:before="10"/>
        <w:rPr>
          <w:b/>
          <w:sz w:val="23"/>
        </w:rPr>
      </w:pPr>
    </w:p>
    <w:p>
      <w:pPr>
        <w:pStyle w:val="BodyText"/>
        <w:spacing w:line="480" w:lineRule="auto"/>
        <w:ind w:left="1418" w:right="1421"/>
        <w:jc w:val="both"/>
      </w:pPr>
      <w:r>
        <w:rPr/>
        <w:t>La posta in esame nella situazione contabile al 15.10.2017 ammonta ad Euro 19.935.182 e risulta così suddivisa: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8"/>
        </w:rPr>
      </w:pPr>
    </w:p>
    <w:tbl>
      <w:tblPr>
        <w:tblW w:w="0" w:type="auto"/>
        <w:jc w:val="left"/>
        <w:tblInd w:w="23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70"/>
        <w:gridCol w:w="3150"/>
        <w:gridCol w:w="1905"/>
      </w:tblGrid>
      <w:tr>
        <w:trPr>
          <w:trHeight w:val="315" w:hRule="exact"/>
        </w:trPr>
        <w:tc>
          <w:tcPr>
            <w:tcW w:w="2070" w:type="dxa"/>
            <w:shd w:val="clear" w:color="auto" w:fill="BEBEBE"/>
          </w:tcPr>
          <w:p>
            <w:pPr>
              <w:pStyle w:val="TableParagraph"/>
              <w:spacing w:before="33"/>
              <w:ind w:left="29"/>
              <w:jc w:val="left"/>
              <w:rPr>
                <w:b/>
                <w:sz w:val="24"/>
              </w:rPr>
            </w:pPr>
            <w:r>
              <w:rPr>
                <w:b/>
                <w:sz w:val="24"/>
              </w:rPr>
              <w:t>Conto</w:t>
            </w:r>
          </w:p>
        </w:tc>
        <w:tc>
          <w:tcPr>
            <w:tcW w:w="3150" w:type="dxa"/>
            <w:shd w:val="clear" w:color="auto" w:fill="BEBEBE"/>
          </w:tcPr>
          <w:p>
            <w:pPr>
              <w:pStyle w:val="TableParagraph"/>
              <w:spacing w:before="33"/>
              <w:ind w:left="29"/>
              <w:jc w:val="left"/>
              <w:rPr>
                <w:b/>
                <w:sz w:val="24"/>
              </w:rPr>
            </w:pPr>
            <w:r>
              <w:rPr>
                <w:b/>
                <w:sz w:val="24"/>
              </w:rPr>
              <w:t>Clienti terzi</w:t>
            </w:r>
          </w:p>
        </w:tc>
        <w:tc>
          <w:tcPr>
            <w:tcW w:w="1905" w:type="dxa"/>
            <w:shd w:val="clear" w:color="auto" w:fill="BEBEBE"/>
          </w:tcPr>
          <w:p>
            <w:pPr>
              <w:pStyle w:val="TableParagraph"/>
              <w:spacing w:before="33"/>
              <w:ind w:left="524"/>
              <w:jc w:val="left"/>
              <w:rPr>
                <w:b/>
                <w:sz w:val="24"/>
              </w:rPr>
            </w:pPr>
            <w:r>
              <w:rPr>
                <w:b/>
                <w:sz w:val="24"/>
              </w:rPr>
              <w:t>Importo</w:t>
            </w:r>
          </w:p>
        </w:tc>
      </w:tr>
      <w:tr>
        <w:trPr>
          <w:trHeight w:val="333" w:hRule="exact"/>
        </w:trPr>
        <w:tc>
          <w:tcPr>
            <w:tcW w:w="2070" w:type="dxa"/>
            <w:tcBorders>
              <w:bottom w:val="nil"/>
            </w:tcBorders>
          </w:tcPr>
          <w:p>
            <w:pPr>
              <w:pStyle w:val="TableParagraph"/>
              <w:spacing w:before="33"/>
              <w:ind w:left="29"/>
              <w:jc w:val="left"/>
              <w:rPr>
                <w:sz w:val="24"/>
              </w:rPr>
            </w:pPr>
            <w:r>
              <w:rPr>
                <w:sz w:val="24"/>
              </w:rPr>
              <w:t>105767</w:t>
            </w:r>
          </w:p>
        </w:tc>
        <w:tc>
          <w:tcPr>
            <w:tcW w:w="3150" w:type="dxa"/>
            <w:tcBorders>
              <w:bottom w:val="nil"/>
            </w:tcBorders>
          </w:tcPr>
          <w:p>
            <w:pPr>
              <w:pStyle w:val="TableParagraph"/>
              <w:spacing w:before="33"/>
              <w:ind w:left="29"/>
              <w:jc w:val="left"/>
              <w:rPr>
                <w:sz w:val="24"/>
              </w:rPr>
            </w:pPr>
            <w:r>
              <w:rPr>
                <w:sz w:val="24"/>
              </w:rPr>
              <w:t>2G Bioetanolo  Tunisie</w:t>
            </w:r>
          </w:p>
        </w:tc>
        <w:tc>
          <w:tcPr>
            <w:tcW w:w="1905" w:type="dxa"/>
            <w:tcBorders>
              <w:bottom w:val="nil"/>
            </w:tcBorders>
          </w:tcPr>
          <w:p>
            <w:pPr>
              <w:pStyle w:val="TableParagraph"/>
              <w:spacing w:before="33"/>
              <w:ind w:right="110"/>
              <w:rPr>
                <w:sz w:val="24"/>
              </w:rPr>
            </w:pPr>
            <w:r>
              <w:rPr>
                <w:sz w:val="24"/>
              </w:rPr>
              <w:t>8.280.000</w:t>
            </w:r>
          </w:p>
        </w:tc>
      </w:tr>
      <w:tr>
        <w:trPr>
          <w:trHeight w:val="315" w:hRule="exact"/>
        </w:trPr>
        <w:tc>
          <w:tcPr>
            <w:tcW w:w="2070" w:type="dxa"/>
            <w:tcBorders>
              <w:top w:val="nil"/>
              <w:bottom w:val="nil"/>
            </w:tcBorders>
          </w:tcPr>
          <w:p>
            <w:pPr>
              <w:pStyle w:val="TableParagraph"/>
              <w:spacing w:before="22"/>
              <w:ind w:left="29"/>
              <w:jc w:val="left"/>
              <w:rPr>
                <w:sz w:val="24"/>
              </w:rPr>
            </w:pPr>
            <w:r>
              <w:rPr>
                <w:sz w:val="24"/>
              </w:rPr>
              <w:t>104578</w:t>
            </w:r>
          </w:p>
        </w:tc>
        <w:tc>
          <w:tcPr>
            <w:tcW w:w="3150" w:type="dxa"/>
            <w:tcBorders>
              <w:top w:val="nil"/>
              <w:bottom w:val="nil"/>
            </w:tcBorders>
          </w:tcPr>
          <w:p>
            <w:pPr>
              <w:pStyle w:val="TableParagraph"/>
              <w:spacing w:before="22"/>
              <w:ind w:left="29"/>
              <w:jc w:val="left"/>
              <w:rPr>
                <w:sz w:val="24"/>
              </w:rPr>
            </w:pPr>
            <w:r>
              <w:rPr>
                <w:sz w:val="24"/>
              </w:rPr>
              <w:t>Bioflex</w:t>
            </w:r>
          </w:p>
        </w:tc>
        <w:tc>
          <w:tcPr>
            <w:tcW w:w="1905" w:type="dxa"/>
            <w:tcBorders>
              <w:top w:val="nil"/>
              <w:bottom w:val="nil"/>
            </w:tcBorders>
          </w:tcPr>
          <w:p>
            <w:pPr>
              <w:pStyle w:val="TableParagraph"/>
              <w:spacing w:before="22"/>
              <w:ind w:right="110"/>
              <w:rPr>
                <w:sz w:val="24"/>
              </w:rPr>
            </w:pPr>
            <w:r>
              <w:rPr>
                <w:sz w:val="24"/>
              </w:rPr>
              <w:t>3.588.213</w:t>
            </w:r>
          </w:p>
        </w:tc>
      </w:tr>
      <w:tr>
        <w:trPr>
          <w:trHeight w:val="315" w:hRule="exact"/>
        </w:trPr>
        <w:tc>
          <w:tcPr>
            <w:tcW w:w="2070" w:type="dxa"/>
            <w:tcBorders>
              <w:top w:val="nil"/>
              <w:bottom w:val="nil"/>
            </w:tcBorders>
          </w:tcPr>
          <w:p>
            <w:pPr>
              <w:pStyle w:val="TableParagraph"/>
              <w:spacing w:before="22"/>
              <w:ind w:left="29"/>
              <w:jc w:val="left"/>
              <w:rPr>
                <w:sz w:val="24"/>
              </w:rPr>
            </w:pPr>
            <w:r>
              <w:rPr>
                <w:sz w:val="24"/>
              </w:rPr>
              <w:t>105764</w:t>
            </w:r>
          </w:p>
        </w:tc>
        <w:tc>
          <w:tcPr>
            <w:tcW w:w="3150" w:type="dxa"/>
            <w:tcBorders>
              <w:top w:val="nil"/>
              <w:bottom w:val="nil"/>
            </w:tcBorders>
          </w:tcPr>
          <w:p>
            <w:pPr>
              <w:pStyle w:val="TableParagraph"/>
              <w:spacing w:before="22"/>
              <w:ind w:left="29"/>
              <w:jc w:val="left"/>
              <w:rPr>
                <w:sz w:val="24"/>
              </w:rPr>
            </w:pPr>
            <w:r>
              <w:rPr>
                <w:sz w:val="24"/>
              </w:rPr>
              <w:t>China Construction Equipment</w:t>
            </w:r>
          </w:p>
        </w:tc>
        <w:tc>
          <w:tcPr>
            <w:tcW w:w="1905" w:type="dxa"/>
            <w:tcBorders>
              <w:top w:val="nil"/>
              <w:bottom w:val="nil"/>
            </w:tcBorders>
          </w:tcPr>
          <w:p>
            <w:pPr>
              <w:pStyle w:val="TableParagraph"/>
              <w:spacing w:before="22"/>
              <w:ind w:right="110"/>
              <w:rPr>
                <w:sz w:val="24"/>
              </w:rPr>
            </w:pPr>
            <w:r>
              <w:rPr>
                <w:sz w:val="24"/>
              </w:rPr>
              <w:t>609.653</w:t>
            </w:r>
          </w:p>
        </w:tc>
      </w:tr>
      <w:tr>
        <w:trPr>
          <w:trHeight w:val="315" w:hRule="exact"/>
        </w:trPr>
        <w:tc>
          <w:tcPr>
            <w:tcW w:w="2070" w:type="dxa"/>
            <w:tcBorders>
              <w:top w:val="nil"/>
              <w:bottom w:val="nil"/>
            </w:tcBorders>
          </w:tcPr>
          <w:p>
            <w:pPr>
              <w:pStyle w:val="TableParagraph"/>
              <w:spacing w:before="22"/>
              <w:ind w:left="29"/>
              <w:jc w:val="left"/>
              <w:rPr>
                <w:sz w:val="24"/>
              </w:rPr>
            </w:pPr>
            <w:r>
              <w:rPr>
                <w:sz w:val="24"/>
              </w:rPr>
              <w:t>105217</w:t>
            </w:r>
          </w:p>
        </w:tc>
        <w:tc>
          <w:tcPr>
            <w:tcW w:w="3150" w:type="dxa"/>
            <w:tcBorders>
              <w:top w:val="nil"/>
              <w:bottom w:val="nil"/>
            </w:tcBorders>
          </w:tcPr>
          <w:p>
            <w:pPr>
              <w:pStyle w:val="TableParagraph"/>
              <w:spacing w:before="22"/>
              <w:ind w:left="29"/>
              <w:jc w:val="left"/>
              <w:rPr>
                <w:sz w:val="24"/>
              </w:rPr>
            </w:pPr>
            <w:r>
              <w:rPr>
                <w:sz w:val="24"/>
              </w:rPr>
              <w:t>Energochemica</w:t>
            </w:r>
          </w:p>
        </w:tc>
        <w:tc>
          <w:tcPr>
            <w:tcW w:w="1905" w:type="dxa"/>
            <w:tcBorders>
              <w:top w:val="nil"/>
              <w:bottom w:val="nil"/>
            </w:tcBorders>
          </w:tcPr>
          <w:p>
            <w:pPr>
              <w:pStyle w:val="TableParagraph"/>
              <w:spacing w:before="22"/>
              <w:ind w:right="110"/>
              <w:rPr>
                <w:sz w:val="24"/>
              </w:rPr>
            </w:pPr>
            <w:r>
              <w:rPr>
                <w:sz w:val="24"/>
              </w:rPr>
              <w:t>4.798.372</w:t>
            </w:r>
          </w:p>
        </w:tc>
      </w:tr>
      <w:tr>
        <w:trPr>
          <w:trHeight w:val="315" w:hRule="exact"/>
        </w:trPr>
        <w:tc>
          <w:tcPr>
            <w:tcW w:w="2070" w:type="dxa"/>
            <w:tcBorders>
              <w:top w:val="nil"/>
              <w:bottom w:val="nil"/>
            </w:tcBorders>
          </w:tcPr>
          <w:p>
            <w:pPr>
              <w:pStyle w:val="TableParagraph"/>
              <w:spacing w:before="22"/>
              <w:ind w:left="29"/>
              <w:jc w:val="left"/>
              <w:rPr>
                <w:sz w:val="24"/>
              </w:rPr>
            </w:pPr>
            <w:r>
              <w:rPr>
                <w:sz w:val="24"/>
              </w:rPr>
              <w:t>105521</w:t>
            </w:r>
          </w:p>
        </w:tc>
        <w:tc>
          <w:tcPr>
            <w:tcW w:w="3150" w:type="dxa"/>
            <w:tcBorders>
              <w:top w:val="nil"/>
              <w:bottom w:val="nil"/>
            </w:tcBorders>
          </w:tcPr>
          <w:p>
            <w:pPr>
              <w:pStyle w:val="TableParagraph"/>
              <w:spacing w:before="22"/>
              <w:ind w:left="29"/>
              <w:jc w:val="left"/>
              <w:rPr>
                <w:sz w:val="24"/>
              </w:rPr>
            </w:pPr>
            <w:r>
              <w:rPr>
                <w:sz w:val="24"/>
              </w:rPr>
              <w:t>Entsorga  West Virginia</w:t>
            </w:r>
          </w:p>
        </w:tc>
        <w:tc>
          <w:tcPr>
            <w:tcW w:w="1905" w:type="dxa"/>
            <w:tcBorders>
              <w:top w:val="nil"/>
              <w:bottom w:val="nil"/>
            </w:tcBorders>
          </w:tcPr>
          <w:p>
            <w:pPr>
              <w:pStyle w:val="TableParagraph"/>
              <w:spacing w:before="22"/>
              <w:ind w:right="110"/>
              <w:rPr>
                <w:sz w:val="24"/>
              </w:rPr>
            </w:pPr>
            <w:r>
              <w:rPr>
                <w:sz w:val="24"/>
              </w:rPr>
              <w:t>1.735.648</w:t>
            </w:r>
          </w:p>
        </w:tc>
      </w:tr>
      <w:tr>
        <w:trPr>
          <w:trHeight w:val="315" w:hRule="exact"/>
        </w:trPr>
        <w:tc>
          <w:tcPr>
            <w:tcW w:w="2070" w:type="dxa"/>
            <w:tcBorders>
              <w:top w:val="nil"/>
              <w:bottom w:val="nil"/>
            </w:tcBorders>
          </w:tcPr>
          <w:p>
            <w:pPr>
              <w:pStyle w:val="TableParagraph"/>
              <w:spacing w:before="22"/>
              <w:ind w:left="29"/>
              <w:jc w:val="left"/>
              <w:rPr>
                <w:sz w:val="24"/>
              </w:rPr>
            </w:pPr>
            <w:r>
              <w:rPr>
                <w:sz w:val="24"/>
              </w:rPr>
              <w:t>105760</w:t>
            </w:r>
          </w:p>
        </w:tc>
        <w:tc>
          <w:tcPr>
            <w:tcW w:w="3150" w:type="dxa"/>
            <w:tcBorders>
              <w:top w:val="nil"/>
              <w:bottom w:val="nil"/>
            </w:tcBorders>
          </w:tcPr>
          <w:p>
            <w:pPr>
              <w:pStyle w:val="TableParagraph"/>
              <w:spacing w:before="22"/>
              <w:ind w:left="29"/>
              <w:jc w:val="left"/>
              <w:rPr>
                <w:sz w:val="24"/>
              </w:rPr>
            </w:pPr>
            <w:r>
              <w:rPr>
                <w:sz w:val="24"/>
              </w:rPr>
              <w:t>Re-Cord</w:t>
            </w:r>
          </w:p>
        </w:tc>
        <w:tc>
          <w:tcPr>
            <w:tcW w:w="1905" w:type="dxa"/>
            <w:tcBorders>
              <w:top w:val="nil"/>
              <w:bottom w:val="nil"/>
            </w:tcBorders>
          </w:tcPr>
          <w:p>
            <w:pPr>
              <w:pStyle w:val="TableParagraph"/>
              <w:spacing w:before="22"/>
              <w:ind w:right="110"/>
              <w:rPr>
                <w:sz w:val="24"/>
              </w:rPr>
            </w:pPr>
            <w:r>
              <w:rPr>
                <w:sz w:val="24"/>
              </w:rPr>
              <w:t>2.715</w:t>
            </w:r>
          </w:p>
        </w:tc>
      </w:tr>
      <w:tr>
        <w:trPr>
          <w:trHeight w:val="297" w:hRule="exact"/>
        </w:trPr>
        <w:tc>
          <w:tcPr>
            <w:tcW w:w="2070" w:type="dxa"/>
            <w:tcBorders>
              <w:top w:val="nil"/>
            </w:tcBorders>
          </w:tcPr>
          <w:p>
            <w:pPr>
              <w:pStyle w:val="TableParagraph"/>
              <w:spacing w:before="22"/>
              <w:ind w:left="29"/>
              <w:jc w:val="left"/>
              <w:rPr>
                <w:sz w:val="24"/>
              </w:rPr>
            </w:pPr>
            <w:r>
              <w:rPr>
                <w:sz w:val="24"/>
              </w:rPr>
              <w:t>105648</w:t>
            </w:r>
          </w:p>
        </w:tc>
        <w:tc>
          <w:tcPr>
            <w:tcW w:w="3150" w:type="dxa"/>
            <w:tcBorders>
              <w:top w:val="nil"/>
            </w:tcBorders>
          </w:tcPr>
          <w:p>
            <w:pPr>
              <w:pStyle w:val="TableParagraph"/>
              <w:spacing w:before="22"/>
              <w:ind w:left="29"/>
              <w:jc w:val="left"/>
              <w:rPr>
                <w:sz w:val="24"/>
              </w:rPr>
            </w:pPr>
            <w:r>
              <w:rPr>
                <w:sz w:val="24"/>
              </w:rPr>
              <w:t>Xinfengming</w:t>
            </w:r>
          </w:p>
        </w:tc>
        <w:tc>
          <w:tcPr>
            <w:tcW w:w="1905" w:type="dxa"/>
            <w:tcBorders>
              <w:top w:val="nil"/>
            </w:tcBorders>
          </w:tcPr>
          <w:p>
            <w:pPr>
              <w:pStyle w:val="TableParagraph"/>
              <w:spacing w:before="22"/>
              <w:ind w:right="110"/>
              <w:rPr>
                <w:sz w:val="24"/>
              </w:rPr>
            </w:pPr>
            <w:r>
              <w:rPr>
                <w:sz w:val="24"/>
              </w:rPr>
              <w:t>920.581</w:t>
            </w:r>
          </w:p>
        </w:tc>
      </w:tr>
      <w:tr>
        <w:trPr>
          <w:trHeight w:val="315" w:hRule="exact"/>
        </w:trPr>
        <w:tc>
          <w:tcPr>
            <w:tcW w:w="5220" w:type="dxa"/>
            <w:gridSpan w:val="2"/>
            <w:shd w:val="clear" w:color="auto" w:fill="BEBEBE"/>
          </w:tcPr>
          <w:p>
            <w:pPr>
              <w:pStyle w:val="TableParagraph"/>
              <w:spacing w:before="33"/>
              <w:ind w:left="29"/>
              <w:jc w:val="left"/>
              <w:rPr>
                <w:b/>
                <w:sz w:val="24"/>
              </w:rPr>
            </w:pPr>
            <w:r>
              <w:rPr>
                <w:b/>
                <w:sz w:val="24"/>
              </w:rPr>
              <w:t>Totale</w:t>
            </w:r>
          </w:p>
        </w:tc>
        <w:tc>
          <w:tcPr>
            <w:tcW w:w="1905" w:type="dxa"/>
            <w:shd w:val="clear" w:color="auto" w:fill="BEBEBE"/>
          </w:tcPr>
          <w:p>
            <w:pPr>
              <w:pStyle w:val="TableParagraph"/>
              <w:spacing w:before="33"/>
              <w:ind w:right="96"/>
              <w:rPr>
                <w:b/>
                <w:sz w:val="24"/>
              </w:rPr>
            </w:pPr>
            <w:r>
              <w:rPr>
                <w:b/>
                <w:sz w:val="24"/>
              </w:rPr>
              <w:t>19.935.183</w:t>
            </w:r>
          </w:p>
        </w:tc>
      </w:tr>
    </w:tbl>
    <w:p>
      <w:pPr>
        <w:pStyle w:val="BodyText"/>
        <w:rPr>
          <w:sz w:val="20"/>
        </w:rPr>
      </w:pPr>
    </w:p>
    <w:p>
      <w:pPr>
        <w:pStyle w:val="BodyText"/>
        <w:spacing w:before="9"/>
        <w:rPr>
          <w:sz w:val="17"/>
        </w:rPr>
      </w:pPr>
    </w:p>
    <w:p>
      <w:pPr>
        <w:pStyle w:val="BodyText"/>
        <w:spacing w:line="480" w:lineRule="auto" w:before="100"/>
        <w:ind w:left="1418" w:right="1411"/>
        <w:jc w:val="both"/>
      </w:pPr>
      <w:r>
        <w:rPr/>
        <w:t>Dalla nota integrativa della società relativa al bilancio chiuso al 31 dicembre 2016 alle pagine 20- 21, si evince il metodo di contabilizzazione delle relative commessa, così come segue:</w:t>
      </w:r>
    </w:p>
    <w:p>
      <w:pPr>
        <w:spacing w:line="480" w:lineRule="auto" w:before="0"/>
        <w:ind w:left="1418" w:right="1411" w:firstLine="0"/>
        <w:jc w:val="both"/>
        <w:rPr>
          <w:i/>
          <w:sz w:val="24"/>
        </w:rPr>
      </w:pPr>
      <w:r>
        <w:rPr>
          <w:i/>
          <w:sz w:val="24"/>
        </w:rPr>
        <w:t>“Quando il risultato di una commessa a lungo e breve termine può essere stimato con attendibilità, i ricavi e i costi </w:t>
      </w:r>
      <w:r>
        <w:rPr>
          <w:i/>
          <w:sz w:val="24"/>
        </w:rPr>
        <w:t>di commessa riferibili alla commessa devono essere rilevati in relazione allo stato di avanzamento dell'attività di commessa alia data di riferimento del bilancio. Lo stato di avanzamento della commessa viene determinato </w:t>
      </w:r>
      <w:r>
        <w:rPr>
          <w:i/>
          <w:spacing w:val="6"/>
          <w:sz w:val="24"/>
        </w:rPr>
        <w:t>in </w:t>
      </w:r>
      <w:r>
        <w:rPr>
          <w:i/>
          <w:sz w:val="24"/>
        </w:rPr>
        <w:t>base alia proporzione fra i costi di commessa sostenuti per lavori svolti fino alia data di riferimento e i costi tota li stimati di commessa, ad eccezione dei casi in cui tale metodo non sia rappresentativo dello stato di avanzamento.  Le variazioni al contratto, le richieste danni e gli incentivi sono inclusi nella misura in cui gli importi possano essere misurati attendibilmente e che il relativo rimborso sia considerato</w:t>
      </w:r>
      <w:r>
        <w:rPr>
          <w:i/>
          <w:spacing w:val="-27"/>
          <w:sz w:val="24"/>
        </w:rPr>
        <w:t> </w:t>
      </w:r>
      <w:r>
        <w:rPr>
          <w:i/>
          <w:sz w:val="24"/>
        </w:rPr>
        <w:t>probabile.</w:t>
      </w:r>
    </w:p>
    <w:p>
      <w:pPr>
        <w:spacing w:before="0"/>
        <w:ind w:left="1418" w:right="0" w:firstLine="0"/>
        <w:jc w:val="both"/>
        <w:rPr>
          <w:i/>
          <w:sz w:val="24"/>
        </w:rPr>
      </w:pPr>
      <w:r>
        <w:rPr>
          <w:i/>
          <w:sz w:val="24"/>
        </w:rPr>
        <w:t>Per la determinazione della percentuale di completamento si adotta il criterio del cost-to-cost.</w:t>
      </w:r>
    </w:p>
    <w:p>
      <w:pPr>
        <w:pStyle w:val="BodyText"/>
        <w:spacing w:before="11"/>
        <w:rPr>
          <w:i/>
          <w:sz w:val="23"/>
        </w:rPr>
      </w:pPr>
    </w:p>
    <w:p>
      <w:pPr>
        <w:spacing w:line="480" w:lineRule="auto" w:before="0"/>
        <w:ind w:left="1418" w:right="1411" w:firstLine="0"/>
        <w:jc w:val="both"/>
        <w:rPr>
          <w:i/>
          <w:sz w:val="24"/>
        </w:rPr>
      </w:pPr>
      <w:r>
        <w:rPr>
          <w:i/>
          <w:sz w:val="24"/>
        </w:rPr>
        <w:t>Ad ogni data di riferimento, per tutte le commesse in corso per le quali i costi sostenuti più i margini rilevati (meno </w:t>
      </w:r>
      <w:r>
        <w:rPr>
          <w:i/>
          <w:sz w:val="24"/>
        </w:rPr>
        <w:t>le perdite rilevate) eccedono la fatturazione ad avanzamento lavori, la Società espone come valore dell'attivo l'ammontare lordo dovuto dai committenti per lavori di commessa e lo classifica nella situazione patrimoniale- finanziaria nella voce "Lavori in corso su ordinazione".</w:t>
      </w:r>
    </w:p>
    <w:p>
      <w:pPr>
        <w:spacing w:line="480" w:lineRule="auto" w:before="0"/>
        <w:ind w:left="1418" w:right="1418" w:firstLine="0"/>
        <w:jc w:val="both"/>
        <w:rPr>
          <w:i/>
          <w:sz w:val="24"/>
        </w:rPr>
      </w:pPr>
      <w:r>
        <w:rPr>
          <w:i/>
          <w:sz w:val="24"/>
        </w:rPr>
        <w:t>Similmente, ad ogni data di riferimento, per tutte le commesse in corso per le quali la fatturazione ad avanzamento </w:t>
      </w:r>
      <w:r>
        <w:rPr>
          <w:i/>
          <w:sz w:val="24"/>
        </w:rPr>
        <w:t>lavori eccede i costi sostenuti più i margini rileva ti (meno le perdite rileva te), la Società espone come valore del</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23" w:firstLine="0"/>
        <w:jc w:val="both"/>
        <w:rPr>
          <w:i/>
          <w:sz w:val="24"/>
        </w:rPr>
      </w:pPr>
      <w:r>
        <w:rPr>
          <w:i/>
          <w:sz w:val="24"/>
        </w:rPr>
        <w:t>passivo l'ammontare lordo dovuto ai committenti per lavori di commessa e Io classifica nella situazione </w:t>
      </w:r>
      <w:r>
        <w:rPr>
          <w:i/>
          <w:sz w:val="24"/>
        </w:rPr>
        <w:t>patrimoniale-finanziaria nella voce "Anticipi per lavori in corso su ordinazione".</w:t>
      </w:r>
    </w:p>
    <w:p>
      <w:pPr>
        <w:spacing w:line="480" w:lineRule="auto" w:before="0"/>
        <w:ind w:left="1418" w:right="1413" w:firstLine="0"/>
        <w:jc w:val="both"/>
        <w:rPr>
          <w:i/>
          <w:sz w:val="24"/>
        </w:rPr>
      </w:pPr>
      <w:r>
        <w:rPr>
          <w:i/>
          <w:sz w:val="24"/>
        </w:rPr>
        <w:t>Quando il risultato di una commessa non può essere stimato con attendibilità, i ricavi sono rilevati solo nei limiti d </w:t>
      </w:r>
      <w:r>
        <w:rPr>
          <w:i/>
          <w:sz w:val="24"/>
        </w:rPr>
        <w:t>ei costi di commessa sostenuti che e probabile saranno recuperati e i costi di commessa sono rilevati come costi nell'esercizio nel quale essi sono sostenuti.</w:t>
      </w:r>
    </w:p>
    <w:p>
      <w:pPr>
        <w:spacing w:line="480" w:lineRule="auto" w:before="0"/>
        <w:ind w:left="1418" w:right="1412" w:firstLine="0"/>
        <w:jc w:val="both"/>
        <w:rPr>
          <w:i/>
          <w:sz w:val="24"/>
        </w:rPr>
      </w:pPr>
      <w:r>
        <w:rPr>
          <w:i/>
          <w:sz w:val="24"/>
        </w:rPr>
        <w:t>Quando e probabile che i costi totali di commessa eccederanno i ricavi totali di commessa, la perdita attesa viene </w:t>
      </w:r>
      <w:r>
        <w:rPr>
          <w:i/>
          <w:sz w:val="24"/>
        </w:rPr>
        <w:t>immediatamente rilevata come costo.”</w:t>
      </w:r>
    </w:p>
    <w:p>
      <w:pPr>
        <w:pStyle w:val="BodyText"/>
        <w:spacing w:line="480" w:lineRule="auto"/>
        <w:ind w:left="1418" w:right="1412"/>
        <w:jc w:val="both"/>
      </w:pPr>
      <w:r>
        <w:rPr/>
        <w:t>Gli scriventi segnalano che in data 16 marzo 2018 la società Ricorrente ha conferito alla Società Deloitte Financial Advisory s.r.l. incarico avente ad oggetto il supporto professionale per l’effettuazione di attività tecniche, per lo più, di natura ricostruttiva documentale e contabile, funzionali esclusivamente agli adempimenti della procedura concorsuale. Nello specifico Deloitte si è occupata, tra le altre attività:</w:t>
      </w:r>
    </w:p>
    <w:p>
      <w:pPr>
        <w:pStyle w:val="ListParagraph"/>
        <w:numPr>
          <w:ilvl w:val="0"/>
          <w:numId w:val="45"/>
        </w:numPr>
        <w:tabs>
          <w:tab w:pos="2127" w:val="left" w:leader="none"/>
        </w:tabs>
        <w:spacing w:line="472" w:lineRule="auto" w:before="0" w:after="0"/>
        <w:ind w:left="2138" w:right="1413" w:hanging="360"/>
        <w:jc w:val="both"/>
        <w:rPr>
          <w:sz w:val="24"/>
        </w:rPr>
      </w:pPr>
      <w:r>
        <w:rPr>
          <w:sz w:val="24"/>
        </w:rPr>
        <w:t>del riepilogo e della mappatura, sulla base della documentazione messa a disposizione dalla ricorrente e dagli </w:t>
      </w:r>
      <w:r>
        <w:rPr>
          <w:i/>
          <w:sz w:val="24"/>
        </w:rPr>
        <w:t>Advisor</w:t>
      </w:r>
      <w:r>
        <w:rPr>
          <w:sz w:val="24"/>
        </w:rPr>
        <w:t>, dei contratti attivi e passivi di natura per lo più commerciale sottoscritti dalla Società e tutt’ora in corso di esecuzione, con indicazione delle principali clausole e condizioni</w:t>
      </w:r>
      <w:r>
        <w:rPr>
          <w:spacing w:val="-22"/>
          <w:sz w:val="24"/>
        </w:rPr>
        <w:t> </w:t>
      </w:r>
      <w:r>
        <w:rPr>
          <w:sz w:val="24"/>
        </w:rPr>
        <w:t>economiche;</w:t>
      </w:r>
    </w:p>
    <w:p>
      <w:pPr>
        <w:pStyle w:val="ListParagraph"/>
        <w:numPr>
          <w:ilvl w:val="0"/>
          <w:numId w:val="45"/>
        </w:numPr>
        <w:tabs>
          <w:tab w:pos="2127" w:val="left" w:leader="none"/>
        </w:tabs>
        <w:spacing w:line="470" w:lineRule="auto" w:before="7" w:after="0"/>
        <w:ind w:left="2138" w:right="1415" w:hanging="360"/>
        <w:jc w:val="both"/>
        <w:rPr>
          <w:sz w:val="24"/>
        </w:rPr>
      </w:pPr>
      <w:r>
        <w:rPr>
          <w:sz w:val="24"/>
        </w:rPr>
        <w:t>del supporto alla Società ed ai suoi advisor nella verifica delle risposte pervenute alle  lettere di circolarizzazione inviate dalla Società ai fini accertare i saldi creditori e debitori risultanti dalle scritture contabili con riferimento alla data del 15 ottobre</w:t>
      </w:r>
      <w:r>
        <w:rPr>
          <w:spacing w:val="-26"/>
          <w:sz w:val="24"/>
        </w:rPr>
        <w:t> </w:t>
      </w:r>
      <w:r>
        <w:rPr>
          <w:sz w:val="24"/>
        </w:rPr>
        <w:t>2017.</w:t>
      </w:r>
    </w:p>
    <w:p>
      <w:pPr>
        <w:pStyle w:val="BodyText"/>
        <w:spacing w:line="480" w:lineRule="auto" w:before="10"/>
        <w:ind w:left="1778" w:right="1413"/>
        <w:jc w:val="both"/>
      </w:pPr>
      <w:r>
        <w:rPr/>
        <w:t>I sottoscritti hanno preso visione dei </w:t>
      </w:r>
      <w:r>
        <w:rPr>
          <w:i/>
        </w:rPr>
        <w:t>deliverables </w:t>
      </w:r>
      <w:r>
        <w:rPr/>
        <w:t>consegnati loro dal management della Società e predisposti da Deloitte ed hanno verificato a campione la documentazione e gli esiti del lavoro svolto. Nello specifico, per quanto riguarda le circolarizzazioni hanno analizzato gli importi delle conferme saldi ove significativi, le ragioni di eventuali </w:t>
      </w:r>
      <w:r>
        <w:rPr>
          <w:i/>
        </w:rPr>
        <w:t>adjustments</w:t>
      </w:r>
      <w:r>
        <w:rPr/>
        <w:t>;    hanno altresì</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778" w:right="1413"/>
        <w:jc w:val="both"/>
      </w:pPr>
      <w:r>
        <w:rPr/>
        <w:t>verificato a campione la documentazione probativa a supporto delle procedure alternative (fatture/incassi/pagamenti successivi). Per quanto riguarda i contratti in essere sia oggetto di perimetro dell’offerta Versalis che non, gli scriventi hanno concordato le principali clausole afferenti passività potenziali che potrebbero insorgere da penali, sulla base della mappatura riportata nei </w:t>
      </w:r>
      <w:r>
        <w:rPr>
          <w:i/>
        </w:rPr>
        <w:t>Deliverables </w:t>
      </w:r>
      <w:r>
        <w:rPr/>
        <w:t>di Deloitte con i riscontri documentali dei contratti, hanno poi analizzato l’opinione dello studio legale GOP in merito a contenziosi in essere o ad eventuali clausole contrattuali identificate che potrebbero dare adito a contestazioni/ contenziosi.</w:t>
      </w:r>
    </w:p>
    <w:p>
      <w:pPr>
        <w:pStyle w:val="BodyText"/>
        <w:spacing w:line="480" w:lineRule="auto"/>
        <w:ind w:left="1418" w:right="1413"/>
        <w:jc w:val="both"/>
      </w:pPr>
      <w:r>
        <w:rPr/>
        <w:t>Come anticipato, la società ha provveduto a circolarizzare i saldi dei crediti verso i clienti al 15 ottobre 2017 e Deloitte ha ha supportato la Società nella verifica pervenute, degli importi discordanti, analizzato le risposte pervenute oltre che nella riconciliazione degli importi discordanti e nella successiva imputazione contabile delle eventuali rettifiche da parte  della Società stessa.</w:t>
      </w:r>
    </w:p>
    <w:p>
      <w:pPr>
        <w:pStyle w:val="BodyText"/>
        <w:spacing w:line="480" w:lineRule="auto"/>
        <w:ind w:left="1418" w:right="1413"/>
        <w:jc w:val="both"/>
      </w:pPr>
      <w:r>
        <w:rPr/>
        <w:t>Di seguito la tabella riepilogativa con l’analisi delle risposte alle lettere di circolarizzazione effettuata dalla Società e riportata nei </w:t>
      </w:r>
      <w:r>
        <w:rPr>
          <w:i/>
        </w:rPr>
        <w:t>Deliverables </w:t>
      </w:r>
      <w:r>
        <w:rPr/>
        <w:t>di Deloitte:</w:t>
      </w:r>
    </w:p>
    <w:p>
      <w:pPr>
        <w:pStyle w:val="BodyText"/>
        <w:spacing w:before="1"/>
        <w:rPr>
          <w:sz w:val="13"/>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54"/>
        <w:gridCol w:w="2271"/>
        <w:gridCol w:w="1113"/>
        <w:gridCol w:w="954"/>
        <w:gridCol w:w="716"/>
        <w:gridCol w:w="1378"/>
        <w:gridCol w:w="1016"/>
        <w:gridCol w:w="1105"/>
      </w:tblGrid>
      <w:tr>
        <w:trPr>
          <w:trHeight w:val="300" w:hRule="exact"/>
        </w:trPr>
        <w:tc>
          <w:tcPr>
            <w:tcW w:w="654" w:type="dxa"/>
            <w:tcBorders>
              <w:bottom w:val="single" w:sz="4" w:space="0" w:color="000000"/>
            </w:tcBorders>
            <w:shd w:val="clear" w:color="auto" w:fill="85BB24"/>
          </w:tcPr>
          <w:p>
            <w:pPr>
              <w:pStyle w:val="TableParagraph"/>
              <w:spacing w:before="84"/>
              <w:ind w:right="157"/>
              <w:rPr>
                <w:rFonts w:ascii="Verdana"/>
                <w:b/>
                <w:sz w:val="10"/>
              </w:rPr>
            </w:pPr>
            <w:r>
              <w:rPr>
                <w:rFonts w:ascii="Verdana"/>
                <w:b/>
                <w:color w:val="FFFFFF"/>
                <w:w w:val="105"/>
                <w:sz w:val="10"/>
              </w:rPr>
              <w:t>Co.ge</w:t>
            </w:r>
          </w:p>
        </w:tc>
        <w:tc>
          <w:tcPr>
            <w:tcW w:w="2271" w:type="dxa"/>
            <w:tcBorders>
              <w:bottom w:val="single" w:sz="4" w:space="0" w:color="000000"/>
              <w:right w:val="single" w:sz="4" w:space="0" w:color="000000"/>
            </w:tcBorders>
            <w:shd w:val="clear" w:color="auto" w:fill="85BB24"/>
          </w:tcPr>
          <w:p>
            <w:pPr>
              <w:pStyle w:val="TableParagraph"/>
              <w:spacing w:before="84"/>
              <w:ind w:left="922" w:right="922"/>
              <w:jc w:val="center"/>
              <w:rPr>
                <w:rFonts w:ascii="Verdana"/>
                <w:b/>
                <w:sz w:val="10"/>
              </w:rPr>
            </w:pPr>
            <w:r>
              <w:rPr>
                <w:rFonts w:ascii="Verdana"/>
                <w:b/>
                <w:color w:val="FFFFFF"/>
                <w:w w:val="105"/>
                <w:sz w:val="10"/>
              </w:rPr>
              <w:t>Clienti</w:t>
            </w:r>
          </w:p>
        </w:tc>
        <w:tc>
          <w:tcPr>
            <w:tcW w:w="1113" w:type="dxa"/>
            <w:tcBorders>
              <w:left w:val="single" w:sz="4" w:space="0" w:color="000000"/>
              <w:bottom w:val="single" w:sz="4" w:space="0" w:color="000000"/>
            </w:tcBorders>
            <w:shd w:val="clear" w:color="auto" w:fill="85BB24"/>
          </w:tcPr>
          <w:p>
            <w:pPr>
              <w:pStyle w:val="TableParagraph"/>
              <w:spacing w:before="14"/>
              <w:ind w:left="220"/>
              <w:jc w:val="left"/>
              <w:rPr>
                <w:rFonts w:ascii="Verdana"/>
                <w:b/>
                <w:sz w:val="10"/>
              </w:rPr>
            </w:pPr>
            <w:r>
              <w:rPr>
                <w:rFonts w:ascii="Verdana"/>
                <w:b/>
                <w:color w:val="FFFFFF"/>
                <w:w w:val="105"/>
                <w:sz w:val="10"/>
              </w:rPr>
              <w:t>Saldo al 15</w:t>
            </w:r>
          </w:p>
          <w:p>
            <w:pPr>
              <w:pStyle w:val="TableParagraph"/>
              <w:spacing w:before="10"/>
              <w:ind w:left="158"/>
              <w:jc w:val="left"/>
              <w:rPr>
                <w:rFonts w:ascii="Verdana"/>
                <w:b/>
                <w:sz w:val="10"/>
              </w:rPr>
            </w:pPr>
            <w:r>
              <w:rPr>
                <w:rFonts w:ascii="Verdana"/>
                <w:b/>
                <w:color w:val="FFFFFF"/>
                <w:w w:val="105"/>
                <w:sz w:val="10"/>
              </w:rPr>
              <w:t>ottobre 2017</w:t>
            </w:r>
          </w:p>
        </w:tc>
        <w:tc>
          <w:tcPr>
            <w:tcW w:w="954" w:type="dxa"/>
            <w:tcBorders>
              <w:bottom w:val="single" w:sz="4" w:space="0" w:color="000000"/>
            </w:tcBorders>
            <w:shd w:val="clear" w:color="auto" w:fill="85BB24"/>
          </w:tcPr>
          <w:p>
            <w:pPr>
              <w:pStyle w:val="TableParagraph"/>
              <w:spacing w:before="84"/>
              <w:ind w:left="123"/>
              <w:jc w:val="left"/>
              <w:rPr>
                <w:rFonts w:ascii="Verdana"/>
                <w:b/>
                <w:sz w:val="10"/>
              </w:rPr>
            </w:pPr>
            <w:r>
              <w:rPr>
                <w:rFonts w:ascii="Verdana"/>
                <w:b/>
                <w:color w:val="FFFFFF"/>
                <w:w w:val="105"/>
                <w:sz w:val="10"/>
              </w:rPr>
              <w:t>Delta cambi</w:t>
            </w:r>
          </w:p>
        </w:tc>
        <w:tc>
          <w:tcPr>
            <w:tcW w:w="716" w:type="dxa"/>
            <w:tcBorders>
              <w:bottom w:val="single" w:sz="4" w:space="0" w:color="000000"/>
              <w:right w:val="single" w:sz="4" w:space="0" w:color="000000"/>
            </w:tcBorders>
            <w:shd w:val="clear" w:color="auto" w:fill="85BB24"/>
          </w:tcPr>
          <w:p>
            <w:pPr>
              <w:pStyle w:val="TableParagraph"/>
              <w:spacing w:before="84"/>
              <w:ind w:left="80" w:right="80"/>
              <w:jc w:val="center"/>
              <w:rPr>
                <w:rFonts w:ascii="Verdana"/>
                <w:b/>
                <w:sz w:val="10"/>
              </w:rPr>
            </w:pPr>
            <w:r>
              <w:rPr>
                <w:rFonts w:ascii="Verdana"/>
                <w:b/>
                <w:color w:val="FFFFFF"/>
                <w:w w:val="105"/>
                <w:sz w:val="10"/>
              </w:rPr>
              <w:t>Risposta</w:t>
            </w:r>
          </w:p>
        </w:tc>
        <w:tc>
          <w:tcPr>
            <w:tcW w:w="1378" w:type="dxa"/>
            <w:tcBorders>
              <w:left w:val="single" w:sz="4" w:space="0" w:color="000000"/>
              <w:bottom w:val="single" w:sz="4" w:space="0" w:color="000000"/>
            </w:tcBorders>
            <w:shd w:val="clear" w:color="auto" w:fill="85BB24"/>
          </w:tcPr>
          <w:p>
            <w:pPr>
              <w:pStyle w:val="TableParagraph"/>
              <w:spacing w:line="295" w:lineRule="auto" w:before="14"/>
              <w:ind w:left="538" w:hanging="354"/>
              <w:jc w:val="left"/>
              <w:rPr>
                <w:rFonts w:ascii="Verdana"/>
                <w:b/>
                <w:sz w:val="10"/>
              </w:rPr>
            </w:pPr>
            <w:r>
              <w:rPr>
                <w:rFonts w:ascii="Verdana"/>
                <w:b/>
                <w:color w:val="FFFFFF"/>
                <w:w w:val="105"/>
                <w:sz w:val="10"/>
              </w:rPr>
              <w:t>Circolarizzazione Esito</w:t>
            </w:r>
          </w:p>
        </w:tc>
        <w:tc>
          <w:tcPr>
            <w:tcW w:w="1016" w:type="dxa"/>
            <w:tcBorders>
              <w:bottom w:val="single" w:sz="4" w:space="0" w:color="000000"/>
            </w:tcBorders>
            <w:shd w:val="clear" w:color="auto" w:fill="85BB24"/>
          </w:tcPr>
          <w:p>
            <w:pPr>
              <w:pStyle w:val="TableParagraph"/>
              <w:spacing w:before="84"/>
              <w:ind w:left="370" w:right="370"/>
              <w:jc w:val="center"/>
              <w:rPr>
                <w:rFonts w:ascii="Verdana"/>
                <w:b/>
                <w:sz w:val="10"/>
              </w:rPr>
            </w:pPr>
            <w:r>
              <w:rPr>
                <w:rFonts w:ascii="Verdana"/>
                <w:b/>
                <w:color w:val="FFFFFF"/>
                <w:w w:val="105"/>
                <w:sz w:val="10"/>
              </w:rPr>
              <w:t>ADJ</w:t>
            </w:r>
          </w:p>
        </w:tc>
        <w:tc>
          <w:tcPr>
            <w:tcW w:w="1105" w:type="dxa"/>
            <w:tcBorders>
              <w:bottom w:val="single" w:sz="4" w:space="0" w:color="000000"/>
            </w:tcBorders>
            <w:shd w:val="clear" w:color="auto" w:fill="85BB24"/>
          </w:tcPr>
          <w:p>
            <w:pPr>
              <w:pStyle w:val="TableParagraph"/>
              <w:spacing w:before="84"/>
              <w:ind w:right="28"/>
              <w:rPr>
                <w:rFonts w:ascii="Verdana"/>
                <w:b/>
                <w:sz w:val="10"/>
              </w:rPr>
            </w:pPr>
            <w:r>
              <w:rPr>
                <w:rFonts w:ascii="Verdana"/>
                <w:b/>
                <w:color w:val="FFFFFF"/>
                <w:w w:val="105"/>
                <w:sz w:val="10"/>
              </w:rPr>
              <w:t>Saldo post ADJ</w:t>
            </w:r>
          </w:p>
        </w:tc>
      </w:tr>
      <w:tr>
        <w:trPr>
          <w:trHeight w:val="185" w:hRule="exact"/>
        </w:trPr>
        <w:tc>
          <w:tcPr>
            <w:tcW w:w="654" w:type="dxa"/>
            <w:tcBorders>
              <w:top w:val="single" w:sz="4" w:space="0" w:color="000000"/>
            </w:tcBorders>
          </w:tcPr>
          <w:p>
            <w:pPr>
              <w:pStyle w:val="TableParagraph"/>
              <w:spacing w:before="20"/>
              <w:ind w:right="201"/>
              <w:rPr>
                <w:sz w:val="14"/>
              </w:rPr>
            </w:pPr>
            <w:r>
              <w:rPr>
                <w:sz w:val="14"/>
              </w:rPr>
              <w:t>105767</w:t>
            </w:r>
          </w:p>
        </w:tc>
        <w:tc>
          <w:tcPr>
            <w:tcW w:w="2271" w:type="dxa"/>
            <w:tcBorders>
              <w:top w:val="single" w:sz="4" w:space="0" w:color="000000"/>
              <w:right w:val="single" w:sz="4" w:space="0" w:color="000000"/>
            </w:tcBorders>
          </w:tcPr>
          <w:p>
            <w:pPr>
              <w:pStyle w:val="TableParagraph"/>
              <w:spacing w:before="20"/>
              <w:ind w:left="17"/>
              <w:jc w:val="left"/>
              <w:rPr>
                <w:sz w:val="14"/>
              </w:rPr>
            </w:pPr>
            <w:r>
              <w:rPr>
                <w:sz w:val="14"/>
              </w:rPr>
              <w:t>2G BIOTECH  tunisia</w:t>
            </w:r>
          </w:p>
        </w:tc>
        <w:tc>
          <w:tcPr>
            <w:tcW w:w="1113" w:type="dxa"/>
            <w:tcBorders>
              <w:top w:val="single" w:sz="4" w:space="0" w:color="000000"/>
              <w:left w:val="single" w:sz="4" w:space="0" w:color="000000"/>
            </w:tcBorders>
          </w:tcPr>
          <w:p>
            <w:pPr>
              <w:pStyle w:val="TableParagraph"/>
              <w:spacing w:before="20"/>
              <w:ind w:right="66"/>
              <w:rPr>
                <w:sz w:val="14"/>
              </w:rPr>
            </w:pPr>
            <w:r>
              <w:rPr>
                <w:sz w:val="14"/>
              </w:rPr>
              <w:t>8.280.000,00</w:t>
            </w:r>
          </w:p>
        </w:tc>
        <w:tc>
          <w:tcPr>
            <w:tcW w:w="954" w:type="dxa"/>
            <w:tcBorders>
              <w:top w:val="single" w:sz="4" w:space="0" w:color="000000"/>
            </w:tcBorders>
          </w:tcPr>
          <w:p>
            <w:pPr/>
          </w:p>
        </w:tc>
        <w:tc>
          <w:tcPr>
            <w:tcW w:w="716" w:type="dxa"/>
            <w:tcBorders>
              <w:top w:val="single" w:sz="4" w:space="0" w:color="000000"/>
              <w:right w:val="single" w:sz="4" w:space="0" w:color="000000"/>
            </w:tcBorders>
          </w:tcPr>
          <w:p>
            <w:pPr/>
          </w:p>
        </w:tc>
        <w:tc>
          <w:tcPr>
            <w:tcW w:w="1378" w:type="dxa"/>
            <w:tcBorders>
              <w:top w:val="single" w:sz="4" w:space="0" w:color="000000"/>
              <w:left w:val="single" w:sz="4" w:space="0" w:color="000000"/>
            </w:tcBorders>
          </w:tcPr>
          <w:p>
            <w:pPr>
              <w:pStyle w:val="TableParagraph"/>
              <w:spacing w:before="20"/>
              <w:ind w:left="87" w:right="92"/>
              <w:jc w:val="center"/>
              <w:rPr>
                <w:sz w:val="14"/>
              </w:rPr>
            </w:pPr>
            <w:r>
              <w:rPr>
                <w:sz w:val="14"/>
              </w:rPr>
              <w:t>Procedura alternativa</w:t>
            </w:r>
          </w:p>
        </w:tc>
        <w:tc>
          <w:tcPr>
            <w:tcW w:w="1016" w:type="dxa"/>
            <w:tcBorders>
              <w:top w:val="single" w:sz="4" w:space="0" w:color="000000"/>
            </w:tcBorders>
          </w:tcPr>
          <w:p>
            <w:pPr>
              <w:pStyle w:val="TableParagraph"/>
              <w:spacing w:before="20"/>
              <w:ind w:right="201"/>
              <w:rPr>
                <w:sz w:val="14"/>
              </w:rPr>
            </w:pPr>
            <w:r>
              <w:rPr>
                <w:w w:val="101"/>
                <w:sz w:val="14"/>
              </w:rPr>
              <w:t>-</w:t>
            </w:r>
          </w:p>
        </w:tc>
        <w:tc>
          <w:tcPr>
            <w:tcW w:w="1105" w:type="dxa"/>
            <w:tcBorders>
              <w:top w:val="single" w:sz="4" w:space="0" w:color="000000"/>
            </w:tcBorders>
          </w:tcPr>
          <w:p>
            <w:pPr>
              <w:pStyle w:val="TableParagraph"/>
              <w:spacing w:before="20"/>
              <w:ind w:right="66"/>
              <w:rPr>
                <w:sz w:val="14"/>
              </w:rPr>
            </w:pPr>
            <w:r>
              <w:rPr>
                <w:sz w:val="14"/>
              </w:rPr>
              <w:t>8.280.000,00</w:t>
            </w:r>
          </w:p>
        </w:tc>
      </w:tr>
      <w:tr>
        <w:trPr>
          <w:trHeight w:val="185" w:hRule="exact"/>
        </w:trPr>
        <w:tc>
          <w:tcPr>
            <w:tcW w:w="654" w:type="dxa"/>
          </w:tcPr>
          <w:p>
            <w:pPr>
              <w:pStyle w:val="TableParagraph"/>
              <w:spacing w:before="20"/>
              <w:ind w:right="201"/>
              <w:rPr>
                <w:sz w:val="14"/>
              </w:rPr>
            </w:pPr>
            <w:r>
              <w:rPr>
                <w:sz w:val="14"/>
              </w:rPr>
              <w:t>104578</w:t>
            </w:r>
          </w:p>
        </w:tc>
        <w:tc>
          <w:tcPr>
            <w:tcW w:w="2271" w:type="dxa"/>
            <w:tcBorders>
              <w:right w:val="single" w:sz="4" w:space="0" w:color="000000"/>
            </w:tcBorders>
          </w:tcPr>
          <w:p>
            <w:pPr>
              <w:pStyle w:val="TableParagraph"/>
              <w:spacing w:before="20"/>
              <w:ind w:left="17"/>
              <w:jc w:val="left"/>
              <w:rPr>
                <w:sz w:val="14"/>
              </w:rPr>
            </w:pPr>
            <w:r>
              <w:rPr>
                <w:sz w:val="14"/>
              </w:rPr>
              <w:t>BIOFLEX</w:t>
            </w:r>
          </w:p>
        </w:tc>
        <w:tc>
          <w:tcPr>
            <w:tcW w:w="1113" w:type="dxa"/>
            <w:tcBorders>
              <w:left w:val="single" w:sz="4" w:space="0" w:color="000000"/>
            </w:tcBorders>
          </w:tcPr>
          <w:p>
            <w:pPr>
              <w:pStyle w:val="TableParagraph"/>
              <w:spacing w:before="20"/>
              <w:ind w:right="66"/>
              <w:rPr>
                <w:sz w:val="14"/>
              </w:rPr>
            </w:pPr>
            <w:r>
              <w:rPr>
                <w:sz w:val="14"/>
              </w:rPr>
              <w:t>3.588.213,11</w:t>
            </w:r>
          </w:p>
        </w:tc>
        <w:tc>
          <w:tcPr>
            <w:tcW w:w="954" w:type="dxa"/>
          </w:tcPr>
          <w:p>
            <w:pPr/>
          </w:p>
        </w:tc>
        <w:tc>
          <w:tcPr>
            <w:tcW w:w="716" w:type="dxa"/>
            <w:tcBorders>
              <w:right w:val="single" w:sz="4" w:space="0" w:color="000000"/>
            </w:tcBorders>
          </w:tcPr>
          <w:p>
            <w:pPr/>
          </w:p>
        </w:tc>
        <w:tc>
          <w:tcPr>
            <w:tcW w:w="1378" w:type="dxa"/>
            <w:tcBorders>
              <w:left w:val="single" w:sz="4" w:space="0" w:color="000000"/>
            </w:tcBorders>
          </w:tcPr>
          <w:p>
            <w:pPr>
              <w:pStyle w:val="TableParagraph"/>
              <w:spacing w:before="20"/>
              <w:ind w:left="87" w:right="92"/>
              <w:jc w:val="center"/>
              <w:rPr>
                <w:sz w:val="14"/>
              </w:rPr>
            </w:pPr>
            <w:r>
              <w:rPr>
                <w:sz w:val="14"/>
              </w:rPr>
              <w:t>Procedura alternativa</w:t>
            </w:r>
          </w:p>
        </w:tc>
        <w:tc>
          <w:tcPr>
            <w:tcW w:w="1016" w:type="dxa"/>
          </w:tcPr>
          <w:p>
            <w:pPr>
              <w:pStyle w:val="TableParagraph"/>
              <w:spacing w:before="20"/>
              <w:ind w:right="201"/>
              <w:rPr>
                <w:sz w:val="14"/>
              </w:rPr>
            </w:pPr>
            <w:r>
              <w:rPr>
                <w:w w:val="101"/>
                <w:sz w:val="14"/>
              </w:rPr>
              <w:t>-</w:t>
            </w:r>
          </w:p>
        </w:tc>
        <w:tc>
          <w:tcPr>
            <w:tcW w:w="1105" w:type="dxa"/>
          </w:tcPr>
          <w:p>
            <w:pPr>
              <w:pStyle w:val="TableParagraph"/>
              <w:spacing w:before="20"/>
              <w:ind w:right="66"/>
              <w:rPr>
                <w:sz w:val="14"/>
              </w:rPr>
            </w:pPr>
            <w:r>
              <w:rPr>
                <w:sz w:val="14"/>
              </w:rPr>
              <w:t>3.588.213,11</w:t>
            </w:r>
          </w:p>
        </w:tc>
      </w:tr>
      <w:tr>
        <w:trPr>
          <w:trHeight w:val="185" w:hRule="exact"/>
        </w:trPr>
        <w:tc>
          <w:tcPr>
            <w:tcW w:w="654" w:type="dxa"/>
          </w:tcPr>
          <w:p>
            <w:pPr>
              <w:pStyle w:val="TableParagraph"/>
              <w:spacing w:before="20"/>
              <w:ind w:right="201"/>
              <w:rPr>
                <w:sz w:val="14"/>
              </w:rPr>
            </w:pPr>
            <w:r>
              <w:rPr>
                <w:sz w:val="14"/>
              </w:rPr>
              <w:t>105764</w:t>
            </w:r>
          </w:p>
        </w:tc>
        <w:tc>
          <w:tcPr>
            <w:tcW w:w="2271" w:type="dxa"/>
            <w:tcBorders>
              <w:right w:val="single" w:sz="4" w:space="0" w:color="000000"/>
            </w:tcBorders>
          </w:tcPr>
          <w:p>
            <w:pPr>
              <w:pStyle w:val="TableParagraph"/>
              <w:spacing w:before="20"/>
              <w:ind w:left="17"/>
              <w:jc w:val="left"/>
              <w:rPr>
                <w:sz w:val="14"/>
              </w:rPr>
            </w:pPr>
            <w:r>
              <w:rPr>
                <w:sz w:val="14"/>
              </w:rPr>
              <w:t>Cina Constraction Equipment</w:t>
            </w:r>
          </w:p>
        </w:tc>
        <w:tc>
          <w:tcPr>
            <w:tcW w:w="1113" w:type="dxa"/>
            <w:tcBorders>
              <w:left w:val="single" w:sz="4" w:space="0" w:color="000000"/>
            </w:tcBorders>
          </w:tcPr>
          <w:p>
            <w:pPr>
              <w:pStyle w:val="TableParagraph"/>
              <w:spacing w:before="20"/>
              <w:ind w:right="65"/>
              <w:rPr>
                <w:sz w:val="14"/>
              </w:rPr>
            </w:pPr>
            <w:r>
              <w:rPr>
                <w:sz w:val="14"/>
              </w:rPr>
              <w:t>630.749,01</w:t>
            </w:r>
          </w:p>
        </w:tc>
        <w:tc>
          <w:tcPr>
            <w:tcW w:w="954" w:type="dxa"/>
          </w:tcPr>
          <w:p>
            <w:pPr>
              <w:pStyle w:val="TableParagraph"/>
              <w:spacing w:before="20"/>
              <w:ind w:right="55"/>
              <w:rPr>
                <w:sz w:val="14"/>
              </w:rPr>
            </w:pPr>
            <w:r>
              <w:rPr>
                <w:sz w:val="14"/>
              </w:rPr>
              <w:t>(21.096,17)</w:t>
            </w:r>
          </w:p>
        </w:tc>
        <w:tc>
          <w:tcPr>
            <w:tcW w:w="716" w:type="dxa"/>
            <w:tcBorders>
              <w:right w:val="single" w:sz="4" w:space="0" w:color="000000"/>
            </w:tcBorders>
          </w:tcPr>
          <w:p>
            <w:pPr/>
          </w:p>
        </w:tc>
        <w:tc>
          <w:tcPr>
            <w:tcW w:w="1378" w:type="dxa"/>
            <w:tcBorders>
              <w:left w:val="single" w:sz="4" w:space="0" w:color="000000"/>
            </w:tcBorders>
          </w:tcPr>
          <w:p>
            <w:pPr>
              <w:pStyle w:val="TableParagraph"/>
              <w:spacing w:before="20"/>
              <w:ind w:left="87" w:right="92"/>
              <w:jc w:val="center"/>
              <w:rPr>
                <w:sz w:val="14"/>
              </w:rPr>
            </w:pPr>
            <w:r>
              <w:rPr>
                <w:sz w:val="14"/>
              </w:rPr>
              <w:t>Procedura alternativa</w:t>
            </w:r>
          </w:p>
        </w:tc>
        <w:tc>
          <w:tcPr>
            <w:tcW w:w="1016" w:type="dxa"/>
          </w:tcPr>
          <w:p>
            <w:pPr>
              <w:pStyle w:val="TableParagraph"/>
              <w:spacing w:before="20"/>
              <w:ind w:right="201"/>
              <w:rPr>
                <w:sz w:val="14"/>
              </w:rPr>
            </w:pPr>
            <w:r>
              <w:rPr>
                <w:w w:val="101"/>
                <w:sz w:val="14"/>
              </w:rPr>
              <w:t>-</w:t>
            </w:r>
          </w:p>
        </w:tc>
        <w:tc>
          <w:tcPr>
            <w:tcW w:w="1105" w:type="dxa"/>
          </w:tcPr>
          <w:p>
            <w:pPr>
              <w:pStyle w:val="TableParagraph"/>
              <w:spacing w:before="20"/>
              <w:ind w:right="65"/>
              <w:rPr>
                <w:sz w:val="14"/>
              </w:rPr>
            </w:pPr>
            <w:r>
              <w:rPr>
                <w:sz w:val="14"/>
              </w:rPr>
              <w:t>609.652,84</w:t>
            </w:r>
          </w:p>
        </w:tc>
      </w:tr>
      <w:tr>
        <w:trPr>
          <w:trHeight w:val="185" w:hRule="exact"/>
        </w:trPr>
        <w:tc>
          <w:tcPr>
            <w:tcW w:w="654" w:type="dxa"/>
          </w:tcPr>
          <w:p>
            <w:pPr>
              <w:pStyle w:val="TableParagraph"/>
              <w:spacing w:before="20"/>
              <w:ind w:right="201"/>
              <w:rPr>
                <w:sz w:val="14"/>
              </w:rPr>
            </w:pPr>
            <w:r>
              <w:rPr>
                <w:sz w:val="14"/>
              </w:rPr>
              <w:t>105217</w:t>
            </w:r>
          </w:p>
        </w:tc>
        <w:tc>
          <w:tcPr>
            <w:tcW w:w="2271" w:type="dxa"/>
            <w:tcBorders>
              <w:right w:val="single" w:sz="4" w:space="0" w:color="000000"/>
            </w:tcBorders>
          </w:tcPr>
          <w:p>
            <w:pPr>
              <w:pStyle w:val="TableParagraph"/>
              <w:spacing w:before="20"/>
              <w:ind w:left="17"/>
              <w:jc w:val="left"/>
              <w:rPr>
                <w:sz w:val="14"/>
              </w:rPr>
            </w:pPr>
            <w:r>
              <w:rPr>
                <w:sz w:val="14"/>
              </w:rPr>
              <w:t>ENERGOCHEMICA</w:t>
            </w:r>
          </w:p>
        </w:tc>
        <w:tc>
          <w:tcPr>
            <w:tcW w:w="1113" w:type="dxa"/>
            <w:tcBorders>
              <w:left w:val="single" w:sz="4" w:space="0" w:color="000000"/>
            </w:tcBorders>
          </w:tcPr>
          <w:p>
            <w:pPr>
              <w:pStyle w:val="TableParagraph"/>
              <w:spacing w:before="20"/>
              <w:ind w:right="66"/>
              <w:rPr>
                <w:sz w:val="14"/>
              </w:rPr>
            </w:pPr>
            <w:r>
              <w:rPr>
                <w:sz w:val="14"/>
              </w:rPr>
              <w:t>4.889.930,53</w:t>
            </w:r>
          </w:p>
        </w:tc>
        <w:tc>
          <w:tcPr>
            <w:tcW w:w="954" w:type="dxa"/>
          </w:tcPr>
          <w:p>
            <w:pPr/>
          </w:p>
        </w:tc>
        <w:tc>
          <w:tcPr>
            <w:tcW w:w="716" w:type="dxa"/>
            <w:tcBorders>
              <w:right w:val="single" w:sz="4" w:space="0" w:color="000000"/>
            </w:tcBorders>
          </w:tcPr>
          <w:p>
            <w:pPr>
              <w:pStyle w:val="TableParagraph"/>
              <w:spacing w:before="20"/>
              <w:ind w:left="7"/>
              <w:jc w:val="center"/>
              <w:rPr>
                <w:sz w:val="14"/>
              </w:rPr>
            </w:pPr>
            <w:r>
              <w:rPr>
                <w:w w:val="101"/>
                <w:sz w:val="14"/>
              </w:rPr>
              <w:t>√</w:t>
            </w:r>
          </w:p>
        </w:tc>
        <w:tc>
          <w:tcPr>
            <w:tcW w:w="1378" w:type="dxa"/>
            <w:tcBorders>
              <w:left w:val="single" w:sz="4" w:space="0" w:color="000000"/>
            </w:tcBorders>
          </w:tcPr>
          <w:p>
            <w:pPr>
              <w:pStyle w:val="TableParagraph"/>
              <w:spacing w:before="20"/>
              <w:ind w:left="87" w:right="79"/>
              <w:jc w:val="center"/>
              <w:rPr>
                <w:sz w:val="14"/>
              </w:rPr>
            </w:pPr>
            <w:r>
              <w:rPr>
                <w:sz w:val="14"/>
              </w:rPr>
              <w:t>Riconciliato</w:t>
            </w:r>
          </w:p>
        </w:tc>
        <w:tc>
          <w:tcPr>
            <w:tcW w:w="1016" w:type="dxa"/>
          </w:tcPr>
          <w:p>
            <w:pPr>
              <w:pStyle w:val="TableParagraph"/>
              <w:tabs>
                <w:tab w:pos="362" w:val="left" w:leader="none"/>
              </w:tabs>
              <w:spacing w:before="20"/>
              <w:ind w:right="65"/>
              <w:rPr>
                <w:sz w:val="14"/>
              </w:rPr>
            </w:pPr>
            <w:r>
              <w:rPr>
                <w:sz w:val="14"/>
              </w:rPr>
              <w:t>-</w:t>
              <w:tab/>
            </w:r>
            <w:r>
              <w:rPr>
                <w:spacing w:val="3"/>
                <w:sz w:val="14"/>
              </w:rPr>
              <w:t>91.558,50</w:t>
            </w:r>
          </w:p>
        </w:tc>
        <w:tc>
          <w:tcPr>
            <w:tcW w:w="1105" w:type="dxa"/>
          </w:tcPr>
          <w:p>
            <w:pPr>
              <w:pStyle w:val="TableParagraph"/>
              <w:spacing w:before="20"/>
              <w:ind w:right="66"/>
              <w:rPr>
                <w:sz w:val="14"/>
              </w:rPr>
            </w:pPr>
            <w:r>
              <w:rPr>
                <w:sz w:val="14"/>
              </w:rPr>
              <w:t>4.798.372,03</w:t>
            </w:r>
          </w:p>
        </w:tc>
      </w:tr>
      <w:tr>
        <w:trPr>
          <w:trHeight w:val="185" w:hRule="exact"/>
        </w:trPr>
        <w:tc>
          <w:tcPr>
            <w:tcW w:w="654" w:type="dxa"/>
          </w:tcPr>
          <w:p>
            <w:pPr>
              <w:pStyle w:val="TableParagraph"/>
              <w:spacing w:before="20"/>
              <w:ind w:right="201"/>
              <w:rPr>
                <w:sz w:val="14"/>
              </w:rPr>
            </w:pPr>
            <w:r>
              <w:rPr>
                <w:sz w:val="14"/>
              </w:rPr>
              <w:t>105521</w:t>
            </w:r>
          </w:p>
        </w:tc>
        <w:tc>
          <w:tcPr>
            <w:tcW w:w="2271" w:type="dxa"/>
            <w:tcBorders>
              <w:right w:val="single" w:sz="4" w:space="0" w:color="000000"/>
            </w:tcBorders>
          </w:tcPr>
          <w:p>
            <w:pPr>
              <w:pStyle w:val="TableParagraph"/>
              <w:spacing w:before="20"/>
              <w:ind w:left="17"/>
              <w:jc w:val="left"/>
              <w:rPr>
                <w:sz w:val="14"/>
              </w:rPr>
            </w:pPr>
            <w:r>
              <w:rPr>
                <w:sz w:val="14"/>
              </w:rPr>
              <w:t>ENTSORGA  West Virginia</w:t>
            </w:r>
          </w:p>
        </w:tc>
        <w:tc>
          <w:tcPr>
            <w:tcW w:w="1113" w:type="dxa"/>
            <w:tcBorders>
              <w:left w:val="single" w:sz="4" w:space="0" w:color="000000"/>
            </w:tcBorders>
          </w:tcPr>
          <w:p>
            <w:pPr>
              <w:pStyle w:val="TableParagraph"/>
              <w:spacing w:before="20"/>
              <w:ind w:right="66"/>
              <w:rPr>
                <w:sz w:val="14"/>
              </w:rPr>
            </w:pPr>
            <w:r>
              <w:rPr>
                <w:sz w:val="14"/>
              </w:rPr>
              <w:t>1.843.324,00</w:t>
            </w:r>
          </w:p>
        </w:tc>
        <w:tc>
          <w:tcPr>
            <w:tcW w:w="954" w:type="dxa"/>
          </w:tcPr>
          <w:p>
            <w:pPr>
              <w:pStyle w:val="TableParagraph"/>
              <w:spacing w:before="20"/>
              <w:ind w:right="55"/>
              <w:rPr>
                <w:sz w:val="14"/>
              </w:rPr>
            </w:pPr>
            <w:r>
              <w:rPr>
                <w:sz w:val="14"/>
              </w:rPr>
              <w:t>(107.675,95)</w:t>
            </w:r>
          </w:p>
        </w:tc>
        <w:tc>
          <w:tcPr>
            <w:tcW w:w="716" w:type="dxa"/>
            <w:tcBorders>
              <w:right w:val="single" w:sz="4" w:space="0" w:color="000000"/>
            </w:tcBorders>
          </w:tcPr>
          <w:p>
            <w:pPr/>
          </w:p>
        </w:tc>
        <w:tc>
          <w:tcPr>
            <w:tcW w:w="1378" w:type="dxa"/>
            <w:tcBorders>
              <w:left w:val="single" w:sz="4" w:space="0" w:color="000000"/>
            </w:tcBorders>
          </w:tcPr>
          <w:p>
            <w:pPr>
              <w:pStyle w:val="TableParagraph"/>
              <w:spacing w:before="20"/>
              <w:ind w:left="87" w:right="92"/>
              <w:jc w:val="center"/>
              <w:rPr>
                <w:sz w:val="14"/>
              </w:rPr>
            </w:pPr>
            <w:r>
              <w:rPr>
                <w:sz w:val="14"/>
              </w:rPr>
              <w:t>Procedura alternativa</w:t>
            </w:r>
          </w:p>
        </w:tc>
        <w:tc>
          <w:tcPr>
            <w:tcW w:w="1016" w:type="dxa"/>
          </w:tcPr>
          <w:p>
            <w:pPr>
              <w:pStyle w:val="TableParagraph"/>
              <w:spacing w:before="20"/>
              <w:ind w:right="201"/>
              <w:rPr>
                <w:sz w:val="14"/>
              </w:rPr>
            </w:pPr>
            <w:r>
              <w:rPr>
                <w:w w:val="101"/>
                <w:sz w:val="14"/>
              </w:rPr>
              <w:t>-</w:t>
            </w:r>
          </w:p>
        </w:tc>
        <w:tc>
          <w:tcPr>
            <w:tcW w:w="1105" w:type="dxa"/>
          </w:tcPr>
          <w:p>
            <w:pPr>
              <w:pStyle w:val="TableParagraph"/>
              <w:spacing w:before="20"/>
              <w:ind w:right="66"/>
              <w:rPr>
                <w:sz w:val="14"/>
              </w:rPr>
            </w:pPr>
            <w:r>
              <w:rPr>
                <w:sz w:val="14"/>
              </w:rPr>
              <w:t>1.735.648,05</w:t>
            </w:r>
          </w:p>
        </w:tc>
      </w:tr>
      <w:tr>
        <w:trPr>
          <w:trHeight w:val="185" w:hRule="exact"/>
        </w:trPr>
        <w:tc>
          <w:tcPr>
            <w:tcW w:w="654" w:type="dxa"/>
          </w:tcPr>
          <w:p>
            <w:pPr>
              <w:pStyle w:val="TableParagraph"/>
              <w:spacing w:before="20"/>
              <w:ind w:right="201"/>
              <w:rPr>
                <w:sz w:val="14"/>
              </w:rPr>
            </w:pPr>
            <w:r>
              <w:rPr>
                <w:sz w:val="14"/>
              </w:rPr>
              <w:t>105760</w:t>
            </w:r>
          </w:p>
        </w:tc>
        <w:tc>
          <w:tcPr>
            <w:tcW w:w="2271" w:type="dxa"/>
            <w:tcBorders>
              <w:right w:val="single" w:sz="4" w:space="0" w:color="000000"/>
            </w:tcBorders>
          </w:tcPr>
          <w:p>
            <w:pPr>
              <w:pStyle w:val="TableParagraph"/>
              <w:spacing w:before="20"/>
              <w:ind w:left="17"/>
              <w:jc w:val="left"/>
              <w:rPr>
                <w:sz w:val="14"/>
              </w:rPr>
            </w:pPr>
            <w:r>
              <w:rPr>
                <w:sz w:val="14"/>
              </w:rPr>
              <w:t>RE-Cord</w:t>
            </w:r>
          </w:p>
        </w:tc>
        <w:tc>
          <w:tcPr>
            <w:tcW w:w="1113" w:type="dxa"/>
            <w:tcBorders>
              <w:left w:val="single" w:sz="4" w:space="0" w:color="000000"/>
            </w:tcBorders>
          </w:tcPr>
          <w:p>
            <w:pPr>
              <w:pStyle w:val="TableParagraph"/>
              <w:spacing w:before="20"/>
              <w:ind w:right="65"/>
              <w:rPr>
                <w:sz w:val="14"/>
              </w:rPr>
            </w:pPr>
            <w:r>
              <w:rPr>
                <w:sz w:val="14"/>
              </w:rPr>
              <w:t>2.715,40</w:t>
            </w:r>
          </w:p>
        </w:tc>
        <w:tc>
          <w:tcPr>
            <w:tcW w:w="954" w:type="dxa"/>
          </w:tcPr>
          <w:p>
            <w:pPr/>
          </w:p>
        </w:tc>
        <w:tc>
          <w:tcPr>
            <w:tcW w:w="716" w:type="dxa"/>
            <w:tcBorders>
              <w:right w:val="single" w:sz="4" w:space="0" w:color="000000"/>
            </w:tcBorders>
          </w:tcPr>
          <w:p>
            <w:pPr/>
          </w:p>
        </w:tc>
        <w:tc>
          <w:tcPr>
            <w:tcW w:w="1378" w:type="dxa"/>
            <w:tcBorders>
              <w:left w:val="single" w:sz="4" w:space="0" w:color="000000"/>
            </w:tcBorders>
          </w:tcPr>
          <w:p>
            <w:pPr>
              <w:pStyle w:val="TableParagraph"/>
              <w:spacing w:before="20"/>
              <w:ind w:left="87" w:right="92"/>
              <w:jc w:val="center"/>
              <w:rPr>
                <w:sz w:val="14"/>
              </w:rPr>
            </w:pPr>
            <w:r>
              <w:rPr>
                <w:sz w:val="14"/>
              </w:rPr>
              <w:t>Procedura alternativa</w:t>
            </w:r>
          </w:p>
        </w:tc>
        <w:tc>
          <w:tcPr>
            <w:tcW w:w="1016" w:type="dxa"/>
          </w:tcPr>
          <w:p>
            <w:pPr>
              <w:pStyle w:val="TableParagraph"/>
              <w:spacing w:before="20"/>
              <w:ind w:right="201"/>
              <w:rPr>
                <w:sz w:val="14"/>
              </w:rPr>
            </w:pPr>
            <w:r>
              <w:rPr>
                <w:w w:val="101"/>
                <w:sz w:val="14"/>
              </w:rPr>
              <w:t>-</w:t>
            </w:r>
          </w:p>
        </w:tc>
        <w:tc>
          <w:tcPr>
            <w:tcW w:w="1105" w:type="dxa"/>
          </w:tcPr>
          <w:p>
            <w:pPr>
              <w:pStyle w:val="TableParagraph"/>
              <w:spacing w:before="20"/>
              <w:ind w:right="65"/>
              <w:rPr>
                <w:sz w:val="14"/>
              </w:rPr>
            </w:pPr>
            <w:r>
              <w:rPr>
                <w:sz w:val="14"/>
              </w:rPr>
              <w:t>2.715,40</w:t>
            </w:r>
          </w:p>
        </w:tc>
      </w:tr>
      <w:tr>
        <w:trPr>
          <w:trHeight w:val="185" w:hRule="exact"/>
        </w:trPr>
        <w:tc>
          <w:tcPr>
            <w:tcW w:w="654" w:type="dxa"/>
          </w:tcPr>
          <w:p>
            <w:pPr>
              <w:pStyle w:val="TableParagraph"/>
              <w:spacing w:before="20"/>
              <w:ind w:right="201"/>
              <w:rPr>
                <w:sz w:val="14"/>
              </w:rPr>
            </w:pPr>
            <w:r>
              <w:rPr>
                <w:sz w:val="14"/>
              </w:rPr>
              <w:t>105648</w:t>
            </w:r>
          </w:p>
        </w:tc>
        <w:tc>
          <w:tcPr>
            <w:tcW w:w="2271" w:type="dxa"/>
            <w:tcBorders>
              <w:right w:val="single" w:sz="4" w:space="0" w:color="000000"/>
            </w:tcBorders>
          </w:tcPr>
          <w:p>
            <w:pPr>
              <w:pStyle w:val="TableParagraph"/>
              <w:spacing w:before="20"/>
              <w:ind w:left="17"/>
              <w:jc w:val="left"/>
              <w:rPr>
                <w:sz w:val="14"/>
              </w:rPr>
            </w:pPr>
            <w:r>
              <w:rPr>
                <w:sz w:val="14"/>
              </w:rPr>
              <w:t>XINFENMING</w:t>
            </w:r>
          </w:p>
        </w:tc>
        <w:tc>
          <w:tcPr>
            <w:tcW w:w="1113" w:type="dxa"/>
            <w:tcBorders>
              <w:left w:val="single" w:sz="4" w:space="0" w:color="000000"/>
            </w:tcBorders>
          </w:tcPr>
          <w:p>
            <w:pPr>
              <w:pStyle w:val="TableParagraph"/>
              <w:spacing w:before="20"/>
              <w:ind w:right="65"/>
              <w:rPr>
                <w:sz w:val="14"/>
              </w:rPr>
            </w:pPr>
            <w:r>
              <w:rPr>
                <w:sz w:val="14"/>
              </w:rPr>
              <w:t>769.074,90</w:t>
            </w:r>
          </w:p>
        </w:tc>
        <w:tc>
          <w:tcPr>
            <w:tcW w:w="954" w:type="dxa"/>
          </w:tcPr>
          <w:p>
            <w:pPr>
              <w:pStyle w:val="TableParagraph"/>
              <w:spacing w:before="20"/>
              <w:ind w:right="54"/>
              <w:rPr>
                <w:sz w:val="14"/>
              </w:rPr>
            </w:pPr>
            <w:r>
              <w:rPr>
                <w:sz w:val="14"/>
              </w:rPr>
              <w:t>(23,25)</w:t>
            </w:r>
          </w:p>
        </w:tc>
        <w:tc>
          <w:tcPr>
            <w:tcW w:w="716" w:type="dxa"/>
            <w:tcBorders>
              <w:right w:val="single" w:sz="4" w:space="0" w:color="000000"/>
            </w:tcBorders>
          </w:tcPr>
          <w:p>
            <w:pPr/>
          </w:p>
        </w:tc>
        <w:tc>
          <w:tcPr>
            <w:tcW w:w="1378" w:type="dxa"/>
            <w:tcBorders>
              <w:left w:val="single" w:sz="4" w:space="0" w:color="000000"/>
            </w:tcBorders>
          </w:tcPr>
          <w:p>
            <w:pPr>
              <w:pStyle w:val="TableParagraph"/>
              <w:spacing w:before="20"/>
              <w:ind w:left="87" w:right="92"/>
              <w:jc w:val="center"/>
              <w:rPr>
                <w:sz w:val="14"/>
              </w:rPr>
            </w:pPr>
            <w:r>
              <w:rPr>
                <w:sz w:val="14"/>
              </w:rPr>
              <w:t>Procedura alternativa</w:t>
            </w:r>
          </w:p>
        </w:tc>
        <w:tc>
          <w:tcPr>
            <w:tcW w:w="1016" w:type="dxa"/>
          </w:tcPr>
          <w:p>
            <w:pPr>
              <w:pStyle w:val="TableParagraph"/>
              <w:spacing w:before="20"/>
              <w:ind w:right="65"/>
              <w:rPr>
                <w:sz w:val="14"/>
              </w:rPr>
            </w:pPr>
            <w:r>
              <w:rPr>
                <w:sz w:val="14"/>
              </w:rPr>
              <w:t>151.529,27</w:t>
            </w:r>
          </w:p>
        </w:tc>
        <w:tc>
          <w:tcPr>
            <w:tcW w:w="1105" w:type="dxa"/>
          </w:tcPr>
          <w:p>
            <w:pPr>
              <w:pStyle w:val="TableParagraph"/>
              <w:spacing w:before="20"/>
              <w:ind w:right="65"/>
              <w:rPr>
                <w:sz w:val="14"/>
              </w:rPr>
            </w:pPr>
            <w:r>
              <w:rPr>
                <w:sz w:val="14"/>
              </w:rPr>
              <w:t>920.580,92</w:t>
            </w:r>
          </w:p>
        </w:tc>
      </w:tr>
      <w:tr>
        <w:trPr>
          <w:trHeight w:val="185" w:hRule="exact"/>
        </w:trPr>
        <w:tc>
          <w:tcPr>
            <w:tcW w:w="654" w:type="dxa"/>
          </w:tcPr>
          <w:p>
            <w:pPr>
              <w:pStyle w:val="TableParagraph"/>
              <w:spacing w:before="20"/>
              <w:ind w:right="153"/>
              <w:rPr>
                <w:b/>
                <w:sz w:val="14"/>
              </w:rPr>
            </w:pPr>
            <w:r>
              <w:rPr>
                <w:b/>
                <w:sz w:val="14"/>
              </w:rPr>
              <w:t>2230010</w:t>
            </w:r>
          </w:p>
        </w:tc>
        <w:tc>
          <w:tcPr>
            <w:tcW w:w="2271" w:type="dxa"/>
            <w:tcBorders>
              <w:right w:val="single" w:sz="4" w:space="0" w:color="000000"/>
            </w:tcBorders>
          </w:tcPr>
          <w:p>
            <w:pPr>
              <w:pStyle w:val="TableParagraph"/>
              <w:spacing w:before="20"/>
              <w:ind w:left="17"/>
              <w:jc w:val="left"/>
              <w:rPr>
                <w:b/>
                <w:sz w:val="14"/>
              </w:rPr>
            </w:pPr>
            <w:r>
              <w:rPr>
                <w:b/>
                <w:sz w:val="14"/>
              </w:rPr>
              <w:t>Crediti verso clienti terzi</w:t>
            </w:r>
          </w:p>
        </w:tc>
        <w:tc>
          <w:tcPr>
            <w:tcW w:w="1113" w:type="dxa"/>
            <w:tcBorders>
              <w:left w:val="single" w:sz="4" w:space="0" w:color="000000"/>
            </w:tcBorders>
          </w:tcPr>
          <w:p>
            <w:pPr>
              <w:pStyle w:val="TableParagraph"/>
              <w:spacing w:before="20"/>
              <w:ind w:right="66"/>
              <w:rPr>
                <w:b/>
                <w:sz w:val="14"/>
              </w:rPr>
            </w:pPr>
            <w:r>
              <w:rPr>
                <w:b/>
                <w:sz w:val="14"/>
              </w:rPr>
              <w:t>20.004.006,95</w:t>
            </w:r>
          </w:p>
        </w:tc>
        <w:tc>
          <w:tcPr>
            <w:tcW w:w="954" w:type="dxa"/>
          </w:tcPr>
          <w:p>
            <w:pPr>
              <w:pStyle w:val="TableParagraph"/>
              <w:spacing w:before="20"/>
              <w:ind w:right="55"/>
              <w:rPr>
                <w:b/>
                <w:sz w:val="14"/>
              </w:rPr>
            </w:pPr>
            <w:r>
              <w:rPr>
                <w:b/>
                <w:sz w:val="14"/>
              </w:rPr>
              <w:t>(128.795,37)</w:t>
            </w:r>
          </w:p>
        </w:tc>
        <w:tc>
          <w:tcPr>
            <w:tcW w:w="716" w:type="dxa"/>
            <w:tcBorders>
              <w:right w:val="single" w:sz="4" w:space="0" w:color="000000"/>
            </w:tcBorders>
          </w:tcPr>
          <w:p>
            <w:pPr/>
          </w:p>
        </w:tc>
        <w:tc>
          <w:tcPr>
            <w:tcW w:w="1378" w:type="dxa"/>
            <w:tcBorders>
              <w:left w:val="single" w:sz="4" w:space="0" w:color="000000"/>
            </w:tcBorders>
          </w:tcPr>
          <w:p>
            <w:pPr/>
          </w:p>
        </w:tc>
        <w:tc>
          <w:tcPr>
            <w:tcW w:w="1016" w:type="dxa"/>
          </w:tcPr>
          <w:p>
            <w:pPr>
              <w:pStyle w:val="TableParagraph"/>
              <w:spacing w:before="20"/>
              <w:ind w:right="65"/>
              <w:rPr>
                <w:b/>
                <w:sz w:val="14"/>
              </w:rPr>
            </w:pPr>
            <w:r>
              <w:rPr>
                <w:b/>
                <w:sz w:val="14"/>
              </w:rPr>
              <w:t>59.970,77</w:t>
            </w:r>
          </w:p>
        </w:tc>
        <w:tc>
          <w:tcPr>
            <w:tcW w:w="1105" w:type="dxa"/>
          </w:tcPr>
          <w:p>
            <w:pPr>
              <w:pStyle w:val="TableParagraph"/>
              <w:spacing w:before="20"/>
              <w:ind w:right="65"/>
              <w:rPr>
                <w:b/>
                <w:sz w:val="14"/>
              </w:rPr>
            </w:pPr>
            <w:r>
              <w:rPr>
                <w:b/>
                <w:sz w:val="14"/>
              </w:rPr>
              <w:t>19.935.182,35</w:t>
            </w:r>
          </w:p>
        </w:tc>
      </w:tr>
    </w:tbl>
    <w:p>
      <w:pPr>
        <w:pStyle w:val="BodyText"/>
        <w:spacing w:before="9"/>
        <w:rPr>
          <w:sz w:val="28"/>
        </w:rPr>
      </w:pPr>
    </w:p>
    <w:p>
      <w:pPr>
        <w:pStyle w:val="BodyText"/>
        <w:spacing w:line="480" w:lineRule="auto" w:before="100"/>
        <w:ind w:left="1418" w:right="1518"/>
      </w:pPr>
      <w:r>
        <w:rPr/>
        <w:t>Ai fini della verifica dell’attendibilità dei dati, si propone di seguito una breve descrizione delle voci che compongono la posta in esame.</w:t>
      </w:r>
    </w:p>
    <w:p>
      <w:pPr>
        <w:pStyle w:val="Heading2"/>
      </w:pPr>
      <w:r>
        <w:rPr>
          <w:u w:val="single"/>
        </w:rPr>
        <w:t>2G Bioetanolo Tunisie</w:t>
      </w:r>
    </w:p>
    <w:p>
      <w:pPr>
        <w:pStyle w:val="BodyText"/>
        <w:rPr>
          <w:b/>
        </w:rPr>
      </w:pPr>
    </w:p>
    <w:p>
      <w:pPr>
        <w:pStyle w:val="BodyText"/>
        <w:ind w:left="1418"/>
      </w:pPr>
      <w:r>
        <w:rPr/>
        <w:t>Il credito risultante dalla situazione contabile al 15 ottobre è pari ad Euro 8.280.000.</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09"/>
        <w:jc w:val="both"/>
      </w:pPr>
      <w:r>
        <w:rPr/>
        <w:t>In data 13 giugno 2017, Biochemtex e 2G Bioethanol Tunisie hanno sottoscritto due contratti, uno volto alla fornitura di </w:t>
      </w:r>
      <w:r>
        <w:rPr>
          <w:i/>
        </w:rPr>
        <w:t>Basic Engeenering Package</w:t>
      </w:r>
      <w:r>
        <w:rPr/>
        <w:t>, l’altro volto alla fornitura del </w:t>
      </w:r>
      <w:r>
        <w:rPr>
          <w:i/>
        </w:rPr>
        <w:t>Critical Equipment</w:t>
      </w:r>
      <w:r>
        <w:rPr/>
        <w:t>. Per ciò che riguarda il primo contratto era previsto un corrispettivo di Euro 2.000.000, di  cui Euro 500.000 da pagarsi a titolo di down payment e la rimanenre parte da pagarsi in sei rate mensili.  Per  quanto  riguarda  il  secondo  contratto  era  previsto  un  coorrispettivo  di     Euro</w:t>
      </w:r>
    </w:p>
    <w:p>
      <w:pPr>
        <w:pStyle w:val="BodyText"/>
        <w:spacing w:line="480" w:lineRule="auto"/>
        <w:ind w:left="1418" w:right="1417"/>
        <w:jc w:val="both"/>
      </w:pPr>
      <w:r>
        <w:rPr/>
        <w:t>38.900.000 di cui 7.780.000 a titolo di down payment, Euro 19.450.000 da pagarsi dopo 5 mesi dalla sottoscrizone del contratto ed Euro 11.670.000 da pagarsi alla consegna del servizio.</w:t>
      </w:r>
    </w:p>
    <w:p>
      <w:pPr>
        <w:pStyle w:val="BodyText"/>
        <w:spacing w:line="480" w:lineRule="auto"/>
        <w:ind w:left="1418" w:right="1418"/>
        <w:jc w:val="both"/>
      </w:pPr>
      <w:r>
        <w:rPr/>
        <w:t>Il credito iscritto nella situazione contabile al 15 ottobre pari ada Euro 8.280.000 è rappresentato dai due </w:t>
      </w:r>
      <w:r>
        <w:rPr>
          <w:i/>
        </w:rPr>
        <w:t>down payments </w:t>
      </w:r>
      <w:r>
        <w:rPr/>
        <w:t>ed è scaturito dalle fatture n. 1117060073 del 22 giugno 2017 e fattura n. 1117060074 del 22 giugno 2017, rimaste impagate. Tale posta è stata totalmente compensata da un eguale posta iscritta nei debiti nel conto 2320080 “billed in Excess”  dato che la commessa  non è</w:t>
      </w:r>
      <w:r>
        <w:rPr>
          <w:spacing w:val="-4"/>
        </w:rPr>
        <w:t> </w:t>
      </w:r>
      <w:r>
        <w:rPr/>
        <w:t>iniziata.</w:t>
      </w:r>
    </w:p>
    <w:p>
      <w:pPr>
        <w:pStyle w:val="BodyText"/>
        <w:spacing w:line="480" w:lineRule="auto"/>
        <w:ind w:left="1418" w:right="1418"/>
        <w:jc w:val="both"/>
      </w:pPr>
      <w:r>
        <w:rPr/>
        <w:t>In data 10 luglio 2017, la 2G Bioethanol, tramite lettera indirizzata alla Biochemtex, ha chiesto di poter unificare i precedenti contratti su descritti, in un unico contratto che prevedesse la fornitura di tutti i servizi inclusi nei precedenti contratti. al fine di agevolare la loro attività amministrativa e fiscale.</w:t>
      </w:r>
    </w:p>
    <w:p>
      <w:pPr>
        <w:pStyle w:val="BodyText"/>
        <w:spacing w:line="480" w:lineRule="auto"/>
        <w:ind w:left="1418" w:right="1423"/>
        <w:jc w:val="both"/>
      </w:pPr>
      <w:r>
        <w:rPr/>
        <w:t>Alla luce di quanto esposto, in data 13 settembre 2017, Biochemtex e 2G Bioethanol Tunisie hanno sottoscritto un nuovo ed unico contratto, che prevede:</w:t>
      </w:r>
    </w:p>
    <w:p>
      <w:pPr>
        <w:pStyle w:val="ListParagraph"/>
        <w:numPr>
          <w:ilvl w:val="0"/>
          <w:numId w:val="46"/>
        </w:numPr>
        <w:tabs>
          <w:tab w:pos="2127" w:val="left" w:leader="none"/>
        </w:tabs>
        <w:spacing w:line="472" w:lineRule="auto" w:before="1" w:after="0"/>
        <w:ind w:left="2138" w:right="1417" w:hanging="360"/>
        <w:jc w:val="both"/>
        <w:rPr>
          <w:sz w:val="24"/>
        </w:rPr>
      </w:pPr>
      <w:r>
        <w:rPr>
          <w:sz w:val="24"/>
        </w:rPr>
        <w:t>La concessione da parte di Biochemtex a Bioethanol Tunisie di un diritto non trasferibile di utilizzo e sfruttamento mediante licenza del "Process Design Package" (PDP), delle informazioni tecniche e del know how relativi alla tecnologia “BETA Renewables 2G EtOH” per l'esclusiva progettazione, costruzione, gestione e manutenzione di  </w:t>
      </w:r>
      <w:r>
        <w:rPr>
          <w:spacing w:val="37"/>
          <w:sz w:val="24"/>
        </w:rPr>
        <w:t> </w:t>
      </w:r>
      <w:r>
        <w:rPr>
          <w:sz w:val="24"/>
        </w:rPr>
        <w:t>efficienza</w:t>
      </w:r>
    </w:p>
    <w:p>
      <w:pPr>
        <w:spacing w:after="0" w:line="472"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138" w:right="1518"/>
      </w:pPr>
      <w:r>
        <w:rPr/>
        <w:t>di un impianto presso El-Hamma, Gabes (Tunisia) per la produzione di etanolo da biomasse;</w:t>
      </w:r>
    </w:p>
    <w:p>
      <w:pPr>
        <w:pStyle w:val="ListParagraph"/>
        <w:numPr>
          <w:ilvl w:val="0"/>
          <w:numId w:val="46"/>
        </w:numPr>
        <w:tabs>
          <w:tab w:pos="2126" w:val="left" w:leader="none"/>
          <w:tab w:pos="2127" w:val="left" w:leader="none"/>
        </w:tabs>
        <w:spacing w:line="460" w:lineRule="auto" w:before="0" w:after="0"/>
        <w:ind w:left="2138" w:right="1419" w:hanging="360"/>
        <w:jc w:val="left"/>
        <w:rPr>
          <w:sz w:val="24"/>
        </w:rPr>
      </w:pPr>
      <w:r>
        <w:rPr>
          <w:sz w:val="24"/>
        </w:rPr>
        <w:t>La Fornitura da parte di Biochemtex della componente meccanica ("Critical Equipment") necessaria per la costruzione e il funzionamento dell'impianto</w:t>
      </w:r>
      <w:r>
        <w:rPr>
          <w:spacing w:val="-26"/>
          <w:sz w:val="24"/>
        </w:rPr>
        <w:t> </w:t>
      </w:r>
      <w:r>
        <w:rPr>
          <w:sz w:val="24"/>
        </w:rPr>
        <w:t>medesimo.</w:t>
      </w:r>
    </w:p>
    <w:p>
      <w:pPr>
        <w:pStyle w:val="BodyText"/>
        <w:spacing w:line="480" w:lineRule="auto" w:before="21"/>
        <w:ind w:left="1418" w:right="1420"/>
        <w:jc w:val="both"/>
      </w:pPr>
      <w:r>
        <w:rPr/>
        <w:t>In forza di tale contratto Biochemtex garantisce a Bioetanol Tunisie l'opzione ("Option right") di acquistare, entro n.18 mesi dalla data di stipula del contratto, l’ulteriore componente meccanica aggiuntiva c.d. "Additional Critical Equipment" necessaria per l'ampliamento della capacità produttiva dell'impianto in Tunisia.</w:t>
      </w:r>
    </w:p>
    <w:p>
      <w:pPr>
        <w:pStyle w:val="BodyText"/>
        <w:ind w:left="1478"/>
        <w:jc w:val="both"/>
      </w:pPr>
      <w:r>
        <w:rPr/>
        <w:t>Il contratto prevede un corrispettivo pari a Euro 34.000.000 di cui:</w:t>
      </w:r>
    </w:p>
    <w:p>
      <w:pPr>
        <w:pStyle w:val="BodyText"/>
      </w:pPr>
    </w:p>
    <w:p>
      <w:pPr>
        <w:pStyle w:val="ListParagraph"/>
        <w:numPr>
          <w:ilvl w:val="0"/>
          <w:numId w:val="47"/>
        </w:numPr>
        <w:tabs>
          <w:tab w:pos="1719" w:val="left" w:leader="none"/>
        </w:tabs>
        <w:spacing w:line="480" w:lineRule="auto" w:before="0" w:after="0"/>
        <w:ind w:left="1418" w:right="1415" w:firstLine="0"/>
        <w:jc w:val="both"/>
        <w:rPr>
          <w:sz w:val="24"/>
        </w:rPr>
      </w:pPr>
      <w:r>
        <w:rPr>
          <w:sz w:val="24"/>
        </w:rPr>
        <w:t>Euro 2.500.000 quale "down payment" da corrispondere alla stipula del contratto (c.d. "Effective Date") e alla relativa</w:t>
      </w:r>
      <w:r>
        <w:rPr>
          <w:spacing w:val="-17"/>
          <w:sz w:val="24"/>
        </w:rPr>
        <w:t> </w:t>
      </w:r>
      <w:r>
        <w:rPr>
          <w:sz w:val="24"/>
        </w:rPr>
        <w:t>fatturazione;</w:t>
      </w:r>
    </w:p>
    <w:p>
      <w:pPr>
        <w:pStyle w:val="ListParagraph"/>
        <w:numPr>
          <w:ilvl w:val="0"/>
          <w:numId w:val="47"/>
        </w:numPr>
        <w:tabs>
          <w:tab w:pos="1681" w:val="left" w:leader="none"/>
        </w:tabs>
        <w:spacing w:line="480" w:lineRule="auto" w:before="0" w:after="0"/>
        <w:ind w:left="1418" w:right="1414" w:firstLine="0"/>
        <w:jc w:val="both"/>
        <w:rPr>
          <w:sz w:val="24"/>
        </w:rPr>
      </w:pPr>
      <w:r>
        <w:rPr>
          <w:sz w:val="24"/>
        </w:rPr>
        <w:t>Euro 7.500.000 quale "down payment" da corrispondere entro 30 giorni dalla entro 30 giorni dalla c.d. "Effective Date", a seguito di emissione delle specifiche relative alla principale componente meccanica c.d. "Critical Equipment" e della relativa</w:t>
      </w:r>
      <w:r>
        <w:rPr>
          <w:spacing w:val="-30"/>
          <w:sz w:val="24"/>
        </w:rPr>
        <w:t> </w:t>
      </w:r>
      <w:r>
        <w:rPr>
          <w:sz w:val="24"/>
        </w:rPr>
        <w:t>fatturazione;</w:t>
      </w:r>
    </w:p>
    <w:p>
      <w:pPr>
        <w:pStyle w:val="ListParagraph"/>
        <w:numPr>
          <w:ilvl w:val="0"/>
          <w:numId w:val="47"/>
        </w:numPr>
        <w:tabs>
          <w:tab w:pos="1698" w:val="left" w:leader="none"/>
        </w:tabs>
        <w:spacing w:line="480" w:lineRule="auto" w:before="0" w:after="0"/>
        <w:ind w:left="1418" w:right="1420" w:firstLine="0"/>
        <w:jc w:val="both"/>
        <w:rPr>
          <w:sz w:val="24"/>
        </w:rPr>
      </w:pPr>
      <w:r>
        <w:rPr>
          <w:sz w:val="24"/>
        </w:rPr>
        <w:t>Euro 5.000.000 da corrispondere alla consegna del Process Design Package e alla relativa fatturazione;</w:t>
      </w:r>
    </w:p>
    <w:p>
      <w:pPr>
        <w:pStyle w:val="ListParagraph"/>
        <w:numPr>
          <w:ilvl w:val="0"/>
          <w:numId w:val="47"/>
        </w:numPr>
        <w:tabs>
          <w:tab w:pos="1710" w:val="left" w:leader="none"/>
        </w:tabs>
        <w:spacing w:line="480" w:lineRule="auto" w:before="0" w:after="0"/>
        <w:ind w:left="1418" w:right="1415" w:firstLine="0"/>
        <w:jc w:val="both"/>
        <w:rPr>
          <w:sz w:val="24"/>
        </w:rPr>
      </w:pPr>
      <w:r>
        <w:rPr>
          <w:sz w:val="24"/>
        </w:rPr>
        <w:t>Euro 12.000.000 da corrispondere decorsi 5 mesi dalla c.d. "Effective Date", al momento dell'acquisto della componente meccanica e della relativa</w:t>
      </w:r>
      <w:r>
        <w:rPr>
          <w:spacing w:val="-27"/>
          <w:sz w:val="24"/>
        </w:rPr>
        <w:t> </w:t>
      </w:r>
      <w:r>
        <w:rPr>
          <w:sz w:val="24"/>
        </w:rPr>
        <w:t>fatturazione;</w:t>
      </w:r>
    </w:p>
    <w:p>
      <w:pPr>
        <w:pStyle w:val="ListParagraph"/>
        <w:numPr>
          <w:ilvl w:val="0"/>
          <w:numId w:val="47"/>
        </w:numPr>
        <w:tabs>
          <w:tab w:pos="1750" w:val="left" w:leader="none"/>
        </w:tabs>
        <w:spacing w:line="480" w:lineRule="auto" w:before="1" w:after="0"/>
        <w:ind w:left="1418" w:right="1424" w:firstLine="0"/>
        <w:jc w:val="both"/>
        <w:rPr>
          <w:sz w:val="24"/>
        </w:rPr>
      </w:pPr>
      <w:r>
        <w:rPr>
          <w:sz w:val="24"/>
        </w:rPr>
        <w:t>Euro 2.500.000 da corrispondere alla consegna delle istruzioni di processo (Process Instructions) e della documentazione inerente gli</w:t>
      </w:r>
      <w:r>
        <w:rPr>
          <w:spacing w:val="-17"/>
          <w:sz w:val="24"/>
        </w:rPr>
        <w:t> </w:t>
      </w:r>
      <w:r>
        <w:rPr>
          <w:sz w:val="24"/>
        </w:rPr>
        <w:t>enzimi;</w:t>
      </w:r>
    </w:p>
    <w:p>
      <w:pPr>
        <w:pStyle w:val="ListParagraph"/>
        <w:numPr>
          <w:ilvl w:val="0"/>
          <w:numId w:val="47"/>
        </w:numPr>
        <w:tabs>
          <w:tab w:pos="1686" w:val="left" w:leader="none"/>
        </w:tabs>
        <w:spacing w:line="480" w:lineRule="auto" w:before="0" w:after="0"/>
        <w:ind w:left="1418" w:right="1417" w:firstLine="0"/>
        <w:jc w:val="both"/>
        <w:rPr>
          <w:sz w:val="24"/>
        </w:rPr>
      </w:pPr>
      <w:r>
        <w:rPr>
          <w:sz w:val="24"/>
        </w:rPr>
        <w:t>Euro 2.500.000 da corrispondere "pro-rata" in relazione alle consegne della componente meccanica e a seguito di ricezione della relativa fattura, lista di imballaggio e della c.d. "clean on board bill of</w:t>
      </w:r>
      <w:r>
        <w:rPr>
          <w:spacing w:val="-12"/>
          <w:sz w:val="24"/>
        </w:rPr>
        <w:t> </w:t>
      </w:r>
      <w:r>
        <w:rPr>
          <w:sz w:val="24"/>
        </w:rPr>
        <w:t>landing";</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47"/>
        </w:numPr>
        <w:tabs>
          <w:tab w:pos="1681" w:val="left" w:leader="none"/>
        </w:tabs>
        <w:spacing w:line="480" w:lineRule="auto" w:before="100" w:after="0"/>
        <w:ind w:left="1418" w:right="1417" w:firstLine="0"/>
        <w:jc w:val="both"/>
        <w:rPr>
          <w:sz w:val="24"/>
        </w:rPr>
      </w:pPr>
      <w:r>
        <w:rPr>
          <w:sz w:val="24"/>
        </w:rPr>
        <w:t>Euro 2.000.000 da corrispondere decorsi 15 mesi dalla c.d. "Effective Date" contro relativa fatturazione.</w:t>
      </w:r>
    </w:p>
    <w:p>
      <w:pPr>
        <w:pStyle w:val="BodyText"/>
        <w:spacing w:line="480" w:lineRule="auto"/>
        <w:ind w:left="1418" w:right="1413"/>
        <w:jc w:val="both"/>
      </w:pPr>
      <w:r>
        <w:rPr/>
        <w:t>Il corrispettivo stabilito per il c.d. "Additional Critical Equipment" è pari a Euro 14.800.000 da corrispondersi similarmente a quanto sopra riportato. Non sussistono garanzie rilasciate a fronte di tale commessa.</w:t>
      </w:r>
    </w:p>
    <w:p>
      <w:pPr>
        <w:pStyle w:val="BodyText"/>
        <w:ind w:left="1418"/>
        <w:jc w:val="both"/>
      </w:pPr>
      <w:r>
        <w:rPr>
          <w:u w:val="single"/>
        </w:rPr>
        <w:t>Attività svolta</w:t>
      </w:r>
    </w:p>
    <w:p>
      <w:pPr>
        <w:pStyle w:val="BodyText"/>
        <w:spacing w:before="10"/>
        <w:rPr>
          <w:sz w:val="23"/>
        </w:rPr>
      </w:pPr>
    </w:p>
    <w:p>
      <w:pPr>
        <w:pStyle w:val="BodyText"/>
        <w:spacing w:line="480" w:lineRule="auto"/>
        <w:ind w:left="1418" w:right="1411"/>
        <w:jc w:val="both"/>
      </w:pPr>
      <w:r>
        <w:rPr/>
        <w:t>Ai fini dell’analisi della veridicità dei dati gli scriventi hanno preso visione delle schede contabili, della copia dei contratti e della lettera di richiesta per unificare i contratti in essere. Hanno preso inoltre visione delle attività fattuali di ricostruzione e verifica riportate nei </w:t>
      </w:r>
      <w:r>
        <w:rPr>
          <w:i/>
        </w:rPr>
        <w:t>Deliverables </w:t>
      </w:r>
      <w:r>
        <w:rPr/>
        <w:t>di Deloitte circa le circolarizzazioni e circa la mappatura dei contratti consegnatoci dal management della società nonché dei commenti dello studio legale GOP circa eventuali passività potenziali insorgenti per pretese risarcitorie. In particolare, lo studio legale con sua missiva del 20 aprile  2018 inviata agli scriventi ha precisato che “sulla base della disciplina contrattuale – art. 12.4 – Biochemtex può liberamente trasferire il contratto a un terzo, ma sarà in ogni caso responsabile per le obbligazioni sorte in data antecedente al trasferimento. Il contratto prevede l’efficacia dopo il pagamento del </w:t>
      </w:r>
      <w:r>
        <w:rPr>
          <w:i/>
        </w:rPr>
        <w:t>down payment </w:t>
      </w:r>
      <w:r>
        <w:rPr/>
        <w:t>e la possibilità di terminare l’accordo se il pagamento non avviene entro 30 giorni dalla firma (13 giugno 2017); poiché il versamento non è mai stato effettuato dal cliente il contratto potrebbe sciogliersi in qualsiasi momento senza applicazioni di penali. Da colloqui con il management della società è emerso che la stessa da informazioni informali con il cliente ha appreso che lo stesso attende di trattare con la nuova proprietà. I legali ritengono che sulla base di quanto comunicato dalla società non essendo sorte contestazioni allo stato non sembrano sussistere rischi di future pretese</w:t>
      </w:r>
      <w:r>
        <w:rPr>
          <w:spacing w:val="-27"/>
        </w:rPr>
        <w:t> </w:t>
      </w:r>
      <w:r>
        <w:rPr/>
        <w:t>risarcitorie.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Valorizzazione concordataria</w:t>
      </w:r>
    </w:p>
    <w:p>
      <w:pPr>
        <w:pStyle w:val="BodyText"/>
        <w:spacing w:before="11"/>
        <w:rPr>
          <w:sz w:val="23"/>
        </w:rPr>
      </w:pPr>
    </w:p>
    <w:p>
      <w:pPr>
        <w:pStyle w:val="BodyText"/>
        <w:spacing w:line="480" w:lineRule="auto"/>
        <w:ind w:left="1418" w:right="1416"/>
        <w:jc w:val="both"/>
      </w:pPr>
      <w:r>
        <w:rPr/>
        <w:t>Si precisa che la commessa 2G Bioethanol è ricompresa nel perimetro aziendale oggetto dell’offerta vincolante di acquisto formulata da Versalis, pertanto non è stata oggetto di rettifiche o svalutazioni da parte della società. Tuttavia, la posta viene compensata con il corrispondente debito iscritto in bilancio nel conto 2320080 “Billed in excess” pari ad Euro 8.280.000, in quanto la commessa non è stata avviata.</w:t>
      </w:r>
    </w:p>
    <w:p>
      <w:pPr>
        <w:pStyle w:val="Heading2"/>
        <w:jc w:val="both"/>
      </w:pPr>
      <w:r>
        <w:rPr>
          <w:u w:val="single"/>
        </w:rPr>
        <w:t>Bioflex Agroindustrial Ltda</w:t>
      </w:r>
    </w:p>
    <w:p>
      <w:pPr>
        <w:pStyle w:val="BodyText"/>
        <w:spacing w:before="1"/>
        <w:rPr>
          <w:b/>
          <w:sz w:val="15"/>
        </w:rPr>
      </w:pPr>
    </w:p>
    <w:p>
      <w:pPr>
        <w:pStyle w:val="BodyText"/>
        <w:spacing w:before="100"/>
        <w:ind w:left="1418"/>
        <w:jc w:val="both"/>
      </w:pPr>
      <w:r>
        <w:rPr/>
        <w:t>Il credito nella situzione contabile al 15 ottobre 2017 è pari ada Euro 3.588.213.</w:t>
      </w:r>
    </w:p>
    <w:p>
      <w:pPr>
        <w:pStyle w:val="BodyText"/>
        <w:spacing w:before="10"/>
        <w:rPr>
          <w:sz w:val="23"/>
        </w:rPr>
      </w:pPr>
    </w:p>
    <w:p>
      <w:pPr>
        <w:pStyle w:val="BodyText"/>
        <w:spacing w:line="480" w:lineRule="auto" w:before="1"/>
        <w:ind w:left="1418" w:right="1413"/>
        <w:jc w:val="both"/>
      </w:pPr>
      <w:r>
        <w:rPr/>
        <w:t>In data 15 maggio del 2012, Bioflex Agroindustrial LTDA e Biochemtex S.p.A (già Chemtex Italia S.p.A.), hanno firmato due accordi. Il primo riferito a “Engeneering e Technical services” che</w:t>
      </w:r>
      <w:r>
        <w:rPr>
          <w:spacing w:val="26"/>
        </w:rPr>
        <w:t> </w:t>
      </w:r>
      <w:r>
        <w:rPr/>
        <w:t>prevedeva</w:t>
      </w:r>
      <w:r>
        <w:rPr>
          <w:spacing w:val="25"/>
        </w:rPr>
        <w:t> </w:t>
      </w:r>
      <w:r>
        <w:rPr/>
        <w:t>un</w:t>
      </w:r>
      <w:r>
        <w:rPr>
          <w:spacing w:val="25"/>
        </w:rPr>
        <w:t> </w:t>
      </w:r>
      <w:r>
        <w:rPr/>
        <w:t>corrispettivo</w:t>
      </w:r>
      <w:r>
        <w:rPr>
          <w:spacing w:val="25"/>
        </w:rPr>
        <w:t> </w:t>
      </w:r>
      <w:r>
        <w:rPr/>
        <w:t>di</w:t>
      </w:r>
      <w:r>
        <w:rPr>
          <w:spacing w:val="25"/>
        </w:rPr>
        <w:t> </w:t>
      </w:r>
      <w:r>
        <w:rPr/>
        <w:t>Euro</w:t>
      </w:r>
      <w:r>
        <w:rPr>
          <w:spacing w:val="25"/>
        </w:rPr>
        <w:t> </w:t>
      </w:r>
      <w:r>
        <w:rPr/>
        <w:t>1.500.000</w:t>
      </w:r>
      <w:r>
        <w:rPr>
          <w:spacing w:val="23"/>
        </w:rPr>
        <w:t> </w:t>
      </w:r>
      <w:r>
        <w:rPr/>
        <w:t>per</w:t>
      </w:r>
      <w:r>
        <w:rPr>
          <w:spacing w:val="25"/>
        </w:rPr>
        <w:t> </w:t>
      </w:r>
      <w:r>
        <w:rPr/>
        <w:t>l’attività</w:t>
      </w:r>
      <w:r>
        <w:rPr>
          <w:spacing w:val="26"/>
        </w:rPr>
        <w:t> </w:t>
      </w:r>
      <w:r>
        <w:rPr/>
        <w:t>di</w:t>
      </w:r>
      <w:r>
        <w:rPr>
          <w:spacing w:val="25"/>
        </w:rPr>
        <w:t> </w:t>
      </w:r>
      <w:r>
        <w:rPr/>
        <w:t>Basic</w:t>
      </w:r>
      <w:r>
        <w:rPr>
          <w:spacing w:val="25"/>
        </w:rPr>
        <w:t> </w:t>
      </w:r>
      <w:r>
        <w:rPr/>
        <w:t>Engeneering</w:t>
      </w:r>
      <w:r>
        <w:rPr>
          <w:spacing w:val="25"/>
        </w:rPr>
        <w:t> </w:t>
      </w:r>
      <w:r>
        <w:rPr/>
        <w:t>e</w:t>
      </w:r>
      <w:r>
        <w:rPr>
          <w:spacing w:val="25"/>
        </w:rPr>
        <w:t> </w:t>
      </w:r>
      <w:r>
        <w:rPr/>
        <w:t>di</w:t>
      </w:r>
      <w:r>
        <w:rPr>
          <w:spacing w:val="25"/>
        </w:rPr>
        <w:t> </w:t>
      </w:r>
      <w:r>
        <w:rPr/>
        <w:t>Euro</w:t>
      </w:r>
    </w:p>
    <w:p>
      <w:pPr>
        <w:pStyle w:val="BodyText"/>
        <w:spacing w:line="480" w:lineRule="auto"/>
        <w:ind w:left="1418" w:right="1417"/>
        <w:jc w:val="both"/>
      </w:pPr>
      <w:r>
        <w:rPr/>
        <w:t>468.000 per l’attività di Technical services. Il secondo riferito alla costruzione di un impianto di bioetanolo in Brasile, dove il corrispettivo totale previsto era di Euro 34.250.000. La società come anche Gral Bio è riferibile al signor Bernardo Gradin.</w:t>
      </w:r>
    </w:p>
    <w:p>
      <w:pPr>
        <w:pStyle w:val="BodyText"/>
        <w:spacing w:line="480" w:lineRule="auto"/>
        <w:ind w:left="1418" w:right="1413"/>
        <w:jc w:val="both"/>
      </w:pPr>
      <w:r>
        <w:rPr/>
        <w:t>Il credito iscritto nella situazione contabile al 15 ottobre pari ad Euro 3.588.213 scaturisce dalle fatture 1116060029-30-31-32-33 del 27 aprile 2016, di cui la fattura n 1116060030 pari ad Euro 2.499.780 si riferisce alla penale calcolata ai sensi dell’art. 4.3 prevista nel contratto di Basic Engeneering. Si precisa che nel conto “Billed in excess” è presente un saldo pari ad Euro 364.260.Gli scriventi hanno appreso dall’ing. Bolcheni amministratore di Biochemtex che le forniture sono state interamente consegnate e che la posizione è anch’essa legata al contenzioso GRAL BIO ovvero un arbitrato a Londra promosso sia da Gral Bio che da Bio Flex  nei confronti di Biochemtex e di Beta per la pretesa rappresentazione ingannevole, il preteso inadempimento contrattuale; tuttavia eventuali pretese risarcitorie  come anche confermato  dallo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studio legale GOP sono oggetto dell’accordo transattivo la cui bozza soggetta ad autorizzazione degli organi della procedura è stata trasmessa con mail del 20 aprile e presa in visione dai sottoscritti attestatori. La bozza prevede un </w:t>
      </w:r>
      <w:r>
        <w:rPr>
          <w:i/>
        </w:rPr>
        <w:t>Master settlement agreement </w:t>
      </w:r>
      <w:r>
        <w:rPr/>
        <w:t>unitamente ai relativi undici allegati da sottoscrivere da Beta, Biochemtex, M &amp; G Finanziaria Gran Bio, Bioflex e Gran Bio Investimenos S.A., un </w:t>
      </w:r>
      <w:r>
        <w:rPr>
          <w:i/>
        </w:rPr>
        <w:t>Licence agreement con relativo allegato 1 </w:t>
      </w:r>
      <w:r>
        <w:rPr/>
        <w:t>da sottoscrivere da Beta R. e Gran Bio LLC , una proposta e accettazione del settlement con le assicurazioni. Attualmente è in corso la procedura di raccolta delle sottoscrizioni dei testi e la traduzione dei testi degli accordi. In via generale il Master settlement agreement sarà efficace previa ammissione di Beta e Biochemtex alle procedure di concordato preventivo, previa autorizzazione delle società Beta e Biochemtex ai sensi dell’art. 167 della L.F alla sottoscrizione del Master settlement agreement. Entro 7 giorni dall’efficacia del Master Settlement agreement e dell’Accordo transattivo Quadro, primarie compagnie assicurative pagheranno direttamente a Gran Bio e/o a Bioflex un importo forfettario di 25.000.000 di dollari che le parti concordano costituire pieno e definitivo pagamento, comprensivo di ogni interesse, costo, tasse e simili a Gran Bio e/o Bioflex in conformità ai termini e alle condizioni previste dagli articoli 2.1 e 3 dell’Accordo Transattivo Quadro.</w:t>
      </w:r>
    </w:p>
    <w:p>
      <w:pPr>
        <w:spacing w:line="480" w:lineRule="auto" w:before="0"/>
        <w:ind w:left="1418" w:right="1411" w:firstLine="0"/>
        <w:jc w:val="both"/>
        <w:rPr>
          <w:i/>
          <w:sz w:val="24"/>
        </w:rPr>
      </w:pPr>
      <w:r>
        <w:rPr>
          <w:sz w:val="24"/>
        </w:rPr>
        <w:t>In particolare l’art. 2.1 prevede quanto segue: “</w:t>
      </w:r>
      <w:r>
        <w:rPr>
          <w:i/>
          <w:sz w:val="24"/>
        </w:rPr>
        <w:t>L’entrata in vigore del presente Accordo Transattivo è </w:t>
      </w:r>
      <w:r>
        <w:rPr>
          <w:i/>
          <w:sz w:val="24"/>
        </w:rPr>
        <w:t>subordinata e condizionata all’avveramento delle condizioni sospensive previste al successivo Articolo 8.1. Entro sette (7) giorni dall’entrata in vigore del presente Accordo Transattivo, i Primi Assicuratori pagheranno la somma forfettaria compless</w:t>
      </w:r>
      <w:r>
        <w:rPr>
          <w:sz w:val="24"/>
        </w:rPr>
        <w:t>iva </w:t>
      </w:r>
      <w:r>
        <w:rPr>
          <w:i/>
          <w:sz w:val="24"/>
        </w:rPr>
        <w:t>di US$ 25.000.000 (venticinque milioni di Dollari U.S.A.) (che le Parti convengono </w:t>
      </w:r>
      <w:r>
        <w:rPr>
          <w:i/>
          <w:sz w:val="24"/>
        </w:rPr>
        <w:t>essere la somma transatt</w:t>
      </w:r>
      <w:r>
        <w:rPr>
          <w:sz w:val="24"/>
        </w:rPr>
        <w:t>iva </w:t>
      </w:r>
      <w:r>
        <w:rPr>
          <w:i/>
          <w:sz w:val="24"/>
        </w:rPr>
        <w:t>definit</w:t>
      </w:r>
      <w:r>
        <w:rPr>
          <w:sz w:val="24"/>
        </w:rPr>
        <w:t>iva </w:t>
      </w:r>
      <w:r>
        <w:rPr>
          <w:i/>
          <w:sz w:val="24"/>
        </w:rPr>
        <w:t>e totale comprens</w:t>
      </w:r>
      <w:r>
        <w:rPr>
          <w:sz w:val="24"/>
        </w:rPr>
        <w:t>iva </w:t>
      </w:r>
      <w:r>
        <w:rPr>
          <w:i/>
          <w:sz w:val="24"/>
        </w:rPr>
        <w:t>di tutti gli interessi, i costi, le imposte e importi </w:t>
      </w:r>
      <w:r>
        <w:rPr>
          <w:i/>
          <w:sz w:val="24"/>
        </w:rPr>
        <w:t>analoghi) e, in particolare, US$ 6.000.000,00 a GranBio e US$ 19.000.000,00 a Bioflex, in base ai termini e alle condizioni di cui al successivo Articolo 3 dell’Accordo Transattivo</w:t>
      </w:r>
      <w:r>
        <w:rPr>
          <w:i/>
          <w:spacing w:val="-18"/>
          <w:sz w:val="24"/>
        </w:rPr>
        <w:t> </w:t>
      </w:r>
      <w:r>
        <w:rPr>
          <w:i/>
          <w:sz w:val="24"/>
        </w:rPr>
        <w:t>(“Pagamento”)”.</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pStyle w:val="BodyText"/>
        <w:spacing w:line="480" w:lineRule="auto" w:before="100"/>
        <w:ind w:left="1418" w:right="1413"/>
        <w:jc w:val="both"/>
      </w:pPr>
      <w:r>
        <w:rPr/>
        <w:t>Detto pagamento non implica in qualsivoglia modo il riconoscimento che le contestazioni effettuate nei confronti degli assicurati di cui alle premesse siano fondate e che le contestazioni degli assicurati per l’indennizzo siano ricomprese o comunque coperte dalle polizze.</w:t>
      </w:r>
    </w:p>
    <w:p>
      <w:pPr>
        <w:pStyle w:val="BodyText"/>
        <w:spacing w:line="480" w:lineRule="auto"/>
        <w:ind w:left="1418" w:right="1413"/>
        <w:jc w:val="both"/>
      </w:pPr>
      <w:r>
        <w:rPr/>
        <w:t>Il </w:t>
      </w:r>
      <w:r>
        <w:rPr>
          <w:i/>
        </w:rPr>
        <w:t>licence agreement </w:t>
      </w:r>
      <w:r>
        <w:rPr/>
        <w:t>stipulato fra Beta e GRAN Bio LLC prevede che subordinatamente all’efficacia del </w:t>
      </w:r>
      <w:r>
        <w:rPr>
          <w:i/>
        </w:rPr>
        <w:t>Settlement agreement </w:t>
      </w:r>
      <w:r>
        <w:rPr/>
        <w:t>sopra descritto Beta garantisce a Gran Bio due licenze non esclusive, non cedibili, non trasferibili, gratuite ed esenti da royalties per l’uso dei brevetti ai soli scopi di design, costruzione, mantenimento di due impianti in Brasile per la produzione massima di 65 Kt/y di etanolo cellulosico in ogni impianto e di usare, vendere offrire in vendita esportare e dustribuire tale etanolo cellulosico dovunque nel mondo.</w:t>
      </w:r>
    </w:p>
    <w:p>
      <w:pPr>
        <w:pStyle w:val="BodyText"/>
        <w:spacing w:line="480" w:lineRule="auto"/>
        <w:ind w:left="1418" w:right="1418"/>
        <w:jc w:val="both"/>
      </w:pPr>
      <w:r>
        <w:rPr/>
        <w:t>L’accordo inoltre prevede che sia sottoscritto tra le parti un addendum con il quale si precisa che il termine per l’avveramento delle condizioni è stabilito in giorni 60 dalla sottoscrizione, estendibili fino al 30 settembre 2018, nel caso in cui il ritardo dipenda da esigenze delle procedure di Concordato Preventivo di Beta Renewables e di</w:t>
      </w:r>
      <w:r>
        <w:rPr>
          <w:spacing w:val="-32"/>
        </w:rPr>
        <w:t> </w:t>
      </w:r>
      <w:r>
        <w:rPr/>
        <w:t>Biochemtex.</w:t>
      </w:r>
    </w:p>
    <w:p>
      <w:pPr>
        <w:pStyle w:val="BodyText"/>
        <w:spacing w:line="480" w:lineRule="auto"/>
        <w:ind w:left="1418" w:right="1420"/>
        <w:jc w:val="both"/>
      </w:pPr>
      <w:r>
        <w:rPr/>
        <w:t>L’addendum inoltre da atto che nel caso le condizioni sospensive non abbiano ad avverarsi entro il suddetto termine ultimo, il Settlement Agreement non avrà alcuna efficacia tra le parti.</w:t>
      </w:r>
    </w:p>
    <w:p>
      <w:pPr>
        <w:pStyle w:val="BodyText"/>
        <w:ind w:left="1418"/>
        <w:jc w:val="both"/>
      </w:pPr>
      <w:r>
        <w:rPr>
          <w:u w:val="single"/>
        </w:rPr>
        <w:t>Attività svolta</w:t>
      </w:r>
    </w:p>
    <w:p>
      <w:pPr>
        <w:pStyle w:val="BodyText"/>
        <w:spacing w:before="11"/>
        <w:rPr>
          <w:sz w:val="23"/>
        </w:rPr>
      </w:pPr>
    </w:p>
    <w:p>
      <w:pPr>
        <w:pStyle w:val="BodyText"/>
        <w:spacing w:line="480" w:lineRule="auto"/>
        <w:ind w:left="1418" w:right="1414"/>
        <w:jc w:val="both"/>
      </w:pPr>
      <w:r>
        <w:rPr/>
        <w:t>Ai fini dell’analisi della veridicità dei dati gli scriventi hanno preso visione delle schede contabili, delle ricostruzioni effettuate dalla Società e riportate nei </w:t>
      </w:r>
      <w:r>
        <w:rPr>
          <w:i/>
        </w:rPr>
        <w:t>Deliverables </w:t>
      </w:r>
      <w:r>
        <w:rPr/>
        <w:t>di Deloitte circa le circolarizzazioni e circa la mappatura dei contratti consegnatoci dal management della società nonché dei commenti dello studio legale GOP circa eventuali passività potenziali insorgenti da pretese risarcitorie, della bozza dell’accordo transattivo appena sopra descritta.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Valorizzazione concordataria</w:t>
      </w:r>
    </w:p>
    <w:p>
      <w:pPr>
        <w:pStyle w:val="BodyText"/>
        <w:spacing w:before="11"/>
        <w:rPr>
          <w:sz w:val="23"/>
        </w:rPr>
      </w:pPr>
    </w:p>
    <w:p>
      <w:pPr>
        <w:pStyle w:val="BodyText"/>
        <w:spacing w:line="480" w:lineRule="auto"/>
        <w:ind w:left="1418" w:right="1414"/>
        <w:jc w:val="both"/>
      </w:pPr>
      <w:r>
        <w:rPr/>
        <w:t>Si precisa che il credito è relativo a commessa non ricompresa nel perimetro aziendale oggetto dell’offerta vincolante di acquisto formulata da Versalis, e che, essendo legato alla posizione GRAN BIO e al contenzioso in corso, è stato prudenzialmente svalutato.</w:t>
      </w:r>
    </w:p>
    <w:p>
      <w:pPr>
        <w:pStyle w:val="Heading2"/>
        <w:jc w:val="both"/>
      </w:pPr>
      <w:r>
        <w:rPr>
          <w:u w:val="single"/>
        </w:rPr>
        <w:t>China Construction Equipment &amp; Engeneering Co. Ltd</w:t>
      </w:r>
    </w:p>
    <w:p>
      <w:pPr>
        <w:pStyle w:val="BodyText"/>
        <w:spacing w:before="2"/>
        <w:rPr>
          <w:b/>
          <w:sz w:val="15"/>
        </w:rPr>
      </w:pPr>
    </w:p>
    <w:p>
      <w:pPr>
        <w:pStyle w:val="BodyText"/>
        <w:spacing w:before="100"/>
        <w:ind w:left="1418"/>
        <w:jc w:val="both"/>
      </w:pPr>
      <w:r>
        <w:rPr/>
        <w:t>Il credito nella situazione contabile al 15 ottobre 2017 è pari ad Euro 630.749.</w:t>
      </w:r>
    </w:p>
    <w:p>
      <w:pPr>
        <w:pStyle w:val="BodyText"/>
      </w:pPr>
    </w:p>
    <w:p>
      <w:pPr>
        <w:pStyle w:val="BodyText"/>
        <w:spacing w:line="480" w:lineRule="auto"/>
        <w:ind w:left="1418" w:right="1415"/>
        <w:jc w:val="both"/>
      </w:pPr>
      <w:r>
        <w:rPr/>
        <w:t>In data 10 aprile 2017, la Biochemtex con il cliente China Construction, ha stipulato un contratto di fornitura di “</w:t>
      </w:r>
      <w:r>
        <w:rPr>
          <w:i/>
        </w:rPr>
        <w:t>Critical equipment</w:t>
      </w:r>
      <w:r>
        <w:rPr/>
        <w:t>”, per il progetto di costruzione di un impianto per la produzione di bioetanolo (sviluppato dalla società americana Carolina Cellulosic Biofuels LLC) a Sampson County in North Carolina - USA tramite l'utilizzo della tecnologia "PROESA" di proprietà di Beta.</w:t>
      </w:r>
    </w:p>
    <w:p>
      <w:pPr>
        <w:pStyle w:val="BodyText"/>
        <w:ind w:left="1418"/>
        <w:jc w:val="both"/>
      </w:pPr>
      <w:r>
        <w:rPr/>
        <w:t>Il corrispettivo pattuito pari a USD 18.000.000 di cui:</w:t>
      </w:r>
    </w:p>
    <w:p>
      <w:pPr>
        <w:pStyle w:val="BodyText"/>
        <w:spacing w:before="10"/>
        <w:rPr>
          <w:sz w:val="23"/>
        </w:rPr>
      </w:pPr>
    </w:p>
    <w:p>
      <w:pPr>
        <w:pStyle w:val="ListParagraph"/>
        <w:numPr>
          <w:ilvl w:val="0"/>
          <w:numId w:val="48"/>
        </w:numPr>
        <w:tabs>
          <w:tab w:pos="1657" w:val="left" w:leader="none"/>
        </w:tabs>
        <w:spacing w:line="480" w:lineRule="auto" w:before="1" w:after="0"/>
        <w:ind w:left="1418" w:right="1415" w:firstLine="0"/>
        <w:jc w:val="both"/>
        <w:rPr>
          <w:sz w:val="24"/>
        </w:rPr>
      </w:pPr>
      <w:r>
        <w:rPr>
          <w:sz w:val="24"/>
        </w:rPr>
        <w:t>4% pari a USD 720.000 quale </w:t>
      </w:r>
      <w:r>
        <w:rPr>
          <w:i/>
          <w:sz w:val="24"/>
        </w:rPr>
        <w:t>advance payment </w:t>
      </w:r>
      <w:r>
        <w:rPr>
          <w:sz w:val="24"/>
        </w:rPr>
        <w:t>da corrispondere entro 15 giorni dal ricevimento della seguente</w:t>
      </w:r>
      <w:r>
        <w:rPr>
          <w:spacing w:val="-10"/>
          <w:sz w:val="24"/>
        </w:rPr>
        <w:t> </w:t>
      </w:r>
      <w:r>
        <w:rPr>
          <w:sz w:val="24"/>
        </w:rPr>
        <w:t>documentazione:</w:t>
      </w:r>
    </w:p>
    <w:p>
      <w:pPr>
        <w:pStyle w:val="ListParagraph"/>
        <w:numPr>
          <w:ilvl w:val="1"/>
          <w:numId w:val="48"/>
        </w:numPr>
        <w:tabs>
          <w:tab w:pos="1981" w:val="left" w:leader="none"/>
        </w:tabs>
        <w:spacing w:line="240" w:lineRule="auto" w:before="0" w:after="0"/>
        <w:ind w:left="1846" w:right="0" w:firstLine="0"/>
        <w:jc w:val="both"/>
        <w:rPr>
          <w:sz w:val="24"/>
        </w:rPr>
      </w:pPr>
      <w:r>
        <w:rPr>
          <w:sz w:val="24"/>
        </w:rPr>
        <w:t>cinque copie firmate della fattura proforma emessa da Biochemtex a copertura</w:t>
      </w:r>
      <w:r>
        <w:rPr>
          <w:spacing w:val="-41"/>
          <w:sz w:val="24"/>
        </w:rPr>
        <w:t> </w:t>
      </w:r>
      <w:r>
        <w:rPr>
          <w:sz w:val="24"/>
        </w:rPr>
        <w:t>dell'anticipo;</w:t>
      </w:r>
    </w:p>
    <w:p>
      <w:pPr>
        <w:pStyle w:val="BodyText"/>
        <w:spacing w:before="11"/>
        <w:rPr>
          <w:sz w:val="23"/>
        </w:rPr>
      </w:pPr>
    </w:p>
    <w:p>
      <w:pPr>
        <w:pStyle w:val="ListParagraph"/>
        <w:numPr>
          <w:ilvl w:val="1"/>
          <w:numId w:val="48"/>
        </w:numPr>
        <w:tabs>
          <w:tab w:pos="2031" w:val="left" w:leader="none"/>
        </w:tabs>
        <w:spacing w:line="480" w:lineRule="auto" w:before="0" w:after="0"/>
        <w:ind w:left="1846" w:right="1416" w:firstLine="0"/>
        <w:jc w:val="both"/>
        <w:rPr>
          <w:sz w:val="24"/>
        </w:rPr>
      </w:pPr>
      <w:r>
        <w:rPr>
          <w:sz w:val="24"/>
        </w:rPr>
        <w:t>una garanzia bancaria incondizionata o </w:t>
      </w:r>
      <w:r>
        <w:rPr>
          <w:i/>
          <w:sz w:val="24"/>
        </w:rPr>
        <w:t>stand-by letter </w:t>
      </w:r>
      <w:r>
        <w:rPr>
          <w:sz w:val="24"/>
        </w:rPr>
        <w:t>emessa da un primario istituto di credito che garantisca il rimborso dell'anticipo da parte di Biochemtex in caso di cancellazione del</w:t>
      </w:r>
      <w:r>
        <w:rPr>
          <w:spacing w:val="-18"/>
          <w:sz w:val="24"/>
        </w:rPr>
        <w:t> </w:t>
      </w:r>
      <w:r>
        <w:rPr>
          <w:sz w:val="24"/>
        </w:rPr>
        <w:t>contratto;</w:t>
      </w:r>
    </w:p>
    <w:p>
      <w:pPr>
        <w:pStyle w:val="ListParagraph"/>
        <w:numPr>
          <w:ilvl w:val="1"/>
          <w:numId w:val="48"/>
        </w:numPr>
        <w:tabs>
          <w:tab w:pos="1981" w:val="left" w:leader="none"/>
        </w:tabs>
        <w:spacing w:line="240" w:lineRule="auto" w:before="0" w:after="0"/>
        <w:ind w:left="1980" w:right="0" w:hanging="134"/>
        <w:jc w:val="both"/>
        <w:rPr>
          <w:sz w:val="24"/>
        </w:rPr>
      </w:pPr>
      <w:r>
        <w:rPr>
          <w:sz w:val="24"/>
        </w:rPr>
        <w:t>cinque copie della “</w:t>
      </w:r>
      <w:r>
        <w:rPr>
          <w:i/>
          <w:sz w:val="24"/>
        </w:rPr>
        <w:t>commercial</w:t>
      </w:r>
      <w:r>
        <w:rPr>
          <w:i/>
          <w:spacing w:val="-9"/>
          <w:sz w:val="24"/>
        </w:rPr>
        <w:t> </w:t>
      </w:r>
      <w:r>
        <w:rPr>
          <w:i/>
          <w:sz w:val="24"/>
        </w:rPr>
        <w:t>invoice”</w:t>
      </w:r>
      <w:r>
        <w:rPr>
          <w:sz w:val="24"/>
        </w:rPr>
        <w:t>;</w:t>
      </w:r>
    </w:p>
    <w:p>
      <w:pPr>
        <w:pStyle w:val="BodyText"/>
        <w:spacing w:before="10"/>
        <w:rPr>
          <w:sz w:val="23"/>
        </w:rPr>
      </w:pPr>
    </w:p>
    <w:p>
      <w:pPr>
        <w:pStyle w:val="ListParagraph"/>
        <w:numPr>
          <w:ilvl w:val="0"/>
          <w:numId w:val="48"/>
        </w:numPr>
        <w:tabs>
          <w:tab w:pos="1732" w:val="left" w:leader="none"/>
        </w:tabs>
        <w:spacing w:line="240" w:lineRule="auto" w:before="0" w:after="0"/>
        <w:ind w:left="1731" w:right="0" w:hanging="313"/>
        <w:jc w:val="both"/>
        <w:rPr>
          <w:sz w:val="24"/>
        </w:rPr>
      </w:pPr>
      <w:r>
        <w:rPr>
          <w:sz w:val="24"/>
        </w:rPr>
        <w:t>96% pari a USD 17.280.000 entro 15 giorni dal ricevimento della seguente</w:t>
      </w:r>
      <w:r>
        <w:rPr>
          <w:spacing w:val="-25"/>
          <w:sz w:val="24"/>
        </w:rPr>
        <w:t> </w:t>
      </w:r>
      <w:r>
        <w:rPr>
          <w:sz w:val="24"/>
        </w:rPr>
        <w:t>documentazione:</w:t>
      </w:r>
    </w:p>
    <w:p>
      <w:pPr>
        <w:pStyle w:val="BodyText"/>
        <w:spacing w:before="10"/>
        <w:rPr>
          <w:sz w:val="23"/>
        </w:rPr>
      </w:pPr>
    </w:p>
    <w:p>
      <w:pPr>
        <w:pStyle w:val="ListParagraph"/>
        <w:numPr>
          <w:ilvl w:val="1"/>
          <w:numId w:val="48"/>
        </w:numPr>
        <w:tabs>
          <w:tab w:pos="1981" w:val="left" w:leader="none"/>
        </w:tabs>
        <w:spacing w:line="240" w:lineRule="auto" w:before="0" w:after="0"/>
        <w:ind w:left="1846" w:right="0" w:firstLine="0"/>
        <w:jc w:val="both"/>
        <w:rPr>
          <w:sz w:val="24"/>
        </w:rPr>
      </w:pPr>
      <w:r>
        <w:rPr>
          <w:i/>
          <w:sz w:val="24"/>
        </w:rPr>
        <w:t>bill of lading</w:t>
      </w:r>
      <w:r>
        <w:rPr>
          <w:sz w:val="24"/>
        </w:rPr>
        <w:t>;</w:t>
      </w:r>
    </w:p>
    <w:p>
      <w:pPr>
        <w:pStyle w:val="BodyText"/>
        <w:spacing w:before="10"/>
        <w:rPr>
          <w:sz w:val="23"/>
        </w:rPr>
      </w:pPr>
    </w:p>
    <w:p>
      <w:pPr>
        <w:pStyle w:val="ListParagraph"/>
        <w:numPr>
          <w:ilvl w:val="1"/>
          <w:numId w:val="48"/>
        </w:numPr>
        <w:tabs>
          <w:tab w:pos="2017" w:val="left" w:leader="none"/>
        </w:tabs>
        <w:spacing w:line="480" w:lineRule="auto" w:before="0" w:after="0"/>
        <w:ind w:left="1846" w:right="1412" w:firstLine="0"/>
        <w:jc w:val="both"/>
        <w:rPr>
          <w:sz w:val="24"/>
        </w:rPr>
      </w:pPr>
      <w:r>
        <w:rPr>
          <w:sz w:val="24"/>
        </w:rPr>
        <w:t>polizza assicurativa relativa al trasporto beni a copertura del 110% del valore del </w:t>
      </w:r>
      <w:r>
        <w:rPr>
          <w:i/>
          <w:sz w:val="24"/>
        </w:rPr>
        <w:t>critical </w:t>
      </w:r>
      <w:r>
        <w:rPr>
          <w:i/>
          <w:sz w:val="24"/>
        </w:rPr>
        <w:t>equipment</w:t>
      </w:r>
      <w:r>
        <w:rPr>
          <w:sz w:val="24"/>
        </w:rPr>
        <w:t>;</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1"/>
          <w:numId w:val="48"/>
        </w:numPr>
        <w:tabs>
          <w:tab w:pos="1981" w:val="left" w:leader="none"/>
        </w:tabs>
        <w:spacing w:line="240" w:lineRule="auto" w:before="100" w:after="0"/>
        <w:ind w:left="1980" w:right="0" w:hanging="134"/>
        <w:jc w:val="left"/>
        <w:rPr>
          <w:sz w:val="24"/>
        </w:rPr>
      </w:pPr>
      <w:r>
        <w:rPr>
          <w:sz w:val="24"/>
        </w:rPr>
        <w:t>cinque copie della </w:t>
      </w:r>
      <w:r>
        <w:rPr>
          <w:i/>
          <w:sz w:val="24"/>
        </w:rPr>
        <w:t>packing</w:t>
      </w:r>
      <w:r>
        <w:rPr>
          <w:i/>
          <w:spacing w:val="-11"/>
          <w:sz w:val="24"/>
        </w:rPr>
        <w:t> </w:t>
      </w:r>
      <w:r>
        <w:rPr>
          <w:i/>
          <w:sz w:val="24"/>
        </w:rPr>
        <w:t>list</w:t>
      </w:r>
      <w:r>
        <w:rPr>
          <w:sz w:val="24"/>
        </w:rPr>
        <w:t>;</w:t>
      </w:r>
    </w:p>
    <w:p>
      <w:pPr>
        <w:pStyle w:val="BodyText"/>
        <w:spacing w:before="11"/>
        <w:rPr>
          <w:sz w:val="23"/>
        </w:rPr>
      </w:pPr>
    </w:p>
    <w:p>
      <w:pPr>
        <w:pStyle w:val="ListParagraph"/>
        <w:numPr>
          <w:ilvl w:val="1"/>
          <w:numId w:val="48"/>
        </w:numPr>
        <w:tabs>
          <w:tab w:pos="1981" w:val="left" w:leader="none"/>
        </w:tabs>
        <w:spacing w:line="240" w:lineRule="auto" w:before="0" w:after="0"/>
        <w:ind w:left="1980" w:right="0" w:hanging="134"/>
        <w:jc w:val="left"/>
        <w:rPr>
          <w:sz w:val="24"/>
        </w:rPr>
      </w:pPr>
      <w:r>
        <w:rPr>
          <w:sz w:val="24"/>
        </w:rPr>
        <w:t>cinque copie della “</w:t>
      </w:r>
      <w:r>
        <w:rPr>
          <w:i/>
          <w:sz w:val="24"/>
        </w:rPr>
        <w:t>commercial</w:t>
      </w:r>
      <w:r>
        <w:rPr>
          <w:i/>
          <w:spacing w:val="-9"/>
          <w:sz w:val="24"/>
        </w:rPr>
        <w:t> </w:t>
      </w:r>
      <w:r>
        <w:rPr>
          <w:i/>
          <w:sz w:val="24"/>
        </w:rPr>
        <w:t>invoice”</w:t>
      </w:r>
      <w:r>
        <w:rPr>
          <w:sz w:val="24"/>
        </w:rPr>
        <w:t>;</w:t>
      </w:r>
    </w:p>
    <w:p>
      <w:pPr>
        <w:pStyle w:val="BodyText"/>
        <w:spacing w:before="11"/>
        <w:rPr>
          <w:sz w:val="23"/>
        </w:rPr>
      </w:pPr>
    </w:p>
    <w:p>
      <w:pPr>
        <w:pStyle w:val="ListParagraph"/>
        <w:numPr>
          <w:ilvl w:val="1"/>
          <w:numId w:val="48"/>
        </w:numPr>
        <w:tabs>
          <w:tab w:pos="1981" w:val="left" w:leader="none"/>
        </w:tabs>
        <w:spacing w:line="240" w:lineRule="auto" w:before="0" w:after="0"/>
        <w:ind w:left="1980" w:right="0" w:hanging="134"/>
        <w:jc w:val="left"/>
        <w:rPr>
          <w:sz w:val="24"/>
        </w:rPr>
      </w:pPr>
      <w:r>
        <w:rPr>
          <w:sz w:val="24"/>
        </w:rPr>
        <w:t>una copia del certificato di</w:t>
      </w:r>
      <w:r>
        <w:rPr>
          <w:spacing w:val="-14"/>
          <w:sz w:val="24"/>
        </w:rPr>
        <w:t> </w:t>
      </w:r>
      <w:r>
        <w:rPr>
          <w:sz w:val="24"/>
        </w:rPr>
        <w:t>origine.</w:t>
      </w:r>
    </w:p>
    <w:p>
      <w:pPr>
        <w:pStyle w:val="BodyText"/>
        <w:spacing w:before="11"/>
        <w:rPr>
          <w:sz w:val="23"/>
        </w:rPr>
      </w:pPr>
    </w:p>
    <w:p>
      <w:pPr>
        <w:pStyle w:val="BodyText"/>
        <w:spacing w:line="480" w:lineRule="auto"/>
        <w:ind w:left="1418" w:right="1413"/>
        <w:jc w:val="both"/>
      </w:pPr>
      <w:r>
        <w:rPr/>
        <w:t>Sulla base di tale contratto la società ha emesso fattura n 1117060088 in data 14 luglio 2017 per totali $720.000 equivalenti a 630.749 Euro. Da quanto ricostruito dalla Società e riportato nei </w:t>
      </w:r>
      <w:r>
        <w:rPr>
          <w:i/>
        </w:rPr>
        <w:t>Deliverables </w:t>
      </w:r>
      <w:r>
        <w:rPr/>
        <w:t>di Deloitte risulta un </w:t>
      </w:r>
      <w:r>
        <w:rPr>
          <w:i/>
        </w:rPr>
        <w:t>adjustment </w:t>
      </w:r>
      <w:r>
        <w:rPr/>
        <w:t>per rilevazione differenza cambi pari ad Euro 21.096, pertanto l’importo del credito rettificato risulta pari ad Euro 609.652. Nella situazione contabile al 15 ottobre 2017 la posta contabile risulta completamente rettificata dalla voce contabile iscritta come debito nel conto 2320080 “Billed in excess” per Euro 630.749. Gli scriventi hanno appreso dall’ing. Bolcheni che la commessa non è oggetto del perimetro dell’offerta Versalis, e dalla risposta di Banca Intesa si evince la presenza di una garanzia prestata a favore di Biochemtex per China Costruction scadente al 15 maggio 2018 per 610.000 Euro. Dalle informazioni ottenute dall’ing. Bolcheni abbiamo appreso che la garanzia si attiva solo al momento del pagamento del </w:t>
      </w:r>
      <w:r>
        <w:rPr>
          <w:i/>
        </w:rPr>
        <w:t>down payment </w:t>
      </w:r>
      <w:r>
        <w:rPr/>
        <w:t>da parte del cliente che allo stato non è avvenuto.</w:t>
      </w:r>
    </w:p>
    <w:p>
      <w:pPr>
        <w:pStyle w:val="BodyText"/>
        <w:ind w:left="1418"/>
        <w:jc w:val="both"/>
      </w:pPr>
      <w:r>
        <w:rPr>
          <w:u w:val="single"/>
        </w:rPr>
        <w:t>Attività svolta</w:t>
      </w:r>
    </w:p>
    <w:p>
      <w:pPr>
        <w:pStyle w:val="BodyText"/>
      </w:pPr>
    </w:p>
    <w:p>
      <w:pPr>
        <w:pStyle w:val="BodyText"/>
        <w:spacing w:line="480" w:lineRule="auto"/>
        <w:ind w:left="1418" w:right="1412"/>
        <w:jc w:val="both"/>
      </w:pPr>
      <w:r>
        <w:rPr/>
        <w:t>Ai fini dell’analisi della veridicità dei dati gli scriventi hanno preso visione delle schede contabili, delle ricostruzioni effettuate dalla Società e riportate nei </w:t>
      </w:r>
      <w:r>
        <w:rPr>
          <w:i/>
        </w:rPr>
        <w:t>Deliverables </w:t>
      </w:r>
      <w:r>
        <w:rPr/>
        <w:t>di Deloitte circa le circolarizzazioni e circa la mappatura dei contratti consegnatoci dal management della società nonché dei commenti dello studio legale GOP circa eventuali passività potenziali insorgenti da pretese risarcitorie. Lo studio legale GOP ha precisato nella sua del 20 aprile 2018 che per quanto riguarda tale commessa sulla base dell’art. 7.1 il contratto può essere sciolto anticipatamente per mutuo consenso tra le parti senza alcuna penale in caso di scioglimento anticipato; lo studio  legale conclude che sulla base di quanto comunicato dalla società il contratto non è mai </w:t>
      </w:r>
      <w:r>
        <w:rPr>
          <w:spacing w:val="19"/>
        </w:rPr>
        <w:t> </w:t>
      </w:r>
      <w:r>
        <w:rPr/>
        <w:t>divenuto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efficace in quanto il </w:t>
      </w:r>
      <w:r>
        <w:rPr>
          <w:i/>
        </w:rPr>
        <w:t>down payment </w:t>
      </w:r>
      <w:r>
        <w:rPr/>
        <w:t>non è mai stato versato e dunque non sembrano sussistere rischi di future pretese risarcitorie di controparte neppure con riguardo all’eventuale scioglimento anticipato.</w:t>
      </w:r>
    </w:p>
    <w:p>
      <w:pPr>
        <w:pStyle w:val="BodyText"/>
        <w:ind w:left="1418"/>
        <w:jc w:val="both"/>
      </w:pPr>
      <w:r>
        <w:rPr>
          <w:u w:val="single"/>
        </w:rPr>
        <w:t>Valorizzazione concordataria</w:t>
      </w:r>
    </w:p>
    <w:p>
      <w:pPr>
        <w:pStyle w:val="BodyText"/>
      </w:pPr>
    </w:p>
    <w:p>
      <w:pPr>
        <w:pStyle w:val="BodyText"/>
        <w:spacing w:line="480" w:lineRule="auto"/>
        <w:ind w:left="1418" w:right="1420"/>
        <w:jc w:val="both"/>
      </w:pPr>
      <w:r>
        <w:rPr/>
        <w:t>Il valore del credito è compensato dal saldo a debito contabilizzato nel conto “Billed in excess” per Euro 630.749. Gli scriventi rilevano una differenza non significativa tra il saldo attivo e il saldo passivo dovuta ai delta cambi che non ha aggiornato la voce “Billed in</w:t>
      </w:r>
      <w:r>
        <w:rPr>
          <w:spacing w:val="-21"/>
        </w:rPr>
        <w:t> </w:t>
      </w:r>
      <w:r>
        <w:rPr/>
        <w:t>excess”.</w:t>
      </w:r>
    </w:p>
    <w:p>
      <w:pPr>
        <w:pStyle w:val="Heading2"/>
        <w:jc w:val="both"/>
      </w:pPr>
      <w:r>
        <w:rPr>
          <w:u w:val="single"/>
        </w:rPr>
        <w:t>Energochemica Trading</w:t>
      </w:r>
    </w:p>
    <w:p>
      <w:pPr>
        <w:pStyle w:val="BodyText"/>
        <w:rPr>
          <w:b/>
        </w:rPr>
      </w:pPr>
    </w:p>
    <w:p>
      <w:pPr>
        <w:pStyle w:val="BodyText"/>
        <w:ind w:left="1418"/>
        <w:jc w:val="both"/>
      </w:pPr>
      <w:r>
        <w:rPr/>
        <w:t>Il credito nella situazione contabile al 15 ottobre 2017 è pari ad Euro 4.798.372</w:t>
      </w:r>
    </w:p>
    <w:p>
      <w:pPr>
        <w:pStyle w:val="BodyText"/>
        <w:spacing w:before="11"/>
        <w:rPr>
          <w:sz w:val="23"/>
        </w:rPr>
      </w:pPr>
    </w:p>
    <w:p>
      <w:pPr>
        <w:pStyle w:val="BodyText"/>
        <w:spacing w:line="480" w:lineRule="auto"/>
        <w:ind w:left="1418" w:right="1416"/>
        <w:jc w:val="both"/>
      </w:pPr>
      <w:r>
        <w:rPr/>
        <w:t>In data 24 settembre 2014, Biochemtex e Energochemica Trading A.S. hanno sottoscritto due contratti.</w:t>
      </w:r>
    </w:p>
    <w:p>
      <w:pPr>
        <w:pStyle w:val="BodyText"/>
        <w:ind w:left="1418"/>
        <w:jc w:val="both"/>
      </w:pPr>
      <w:r>
        <w:rPr/>
        <w:t>Il primo contratto è relativo alla fornitura di:</w:t>
      </w:r>
    </w:p>
    <w:p>
      <w:pPr>
        <w:pStyle w:val="BodyText"/>
        <w:spacing w:before="11"/>
        <w:rPr>
          <w:sz w:val="23"/>
        </w:rPr>
      </w:pPr>
    </w:p>
    <w:p>
      <w:pPr>
        <w:pStyle w:val="ListParagraph"/>
        <w:numPr>
          <w:ilvl w:val="0"/>
          <w:numId w:val="49"/>
        </w:numPr>
        <w:tabs>
          <w:tab w:pos="1648" w:val="left" w:leader="none"/>
        </w:tabs>
        <w:spacing w:line="240" w:lineRule="auto" w:before="0" w:after="0"/>
        <w:ind w:left="1647" w:right="0" w:hanging="229"/>
        <w:jc w:val="both"/>
        <w:rPr>
          <w:sz w:val="24"/>
        </w:rPr>
      </w:pPr>
      <w:r>
        <w:rPr>
          <w:sz w:val="24"/>
        </w:rPr>
        <w:t>licenza relativa alla c.d. "</w:t>
      </w:r>
      <w:r>
        <w:rPr>
          <w:i/>
          <w:sz w:val="24"/>
        </w:rPr>
        <w:t>First Unit</w:t>
      </w:r>
      <w:r>
        <w:rPr>
          <w:sz w:val="24"/>
        </w:rPr>
        <w:t>" comprensiva</w:t>
      </w:r>
      <w:r>
        <w:rPr>
          <w:spacing w:val="-14"/>
          <w:sz w:val="24"/>
        </w:rPr>
        <w:t> </w:t>
      </w:r>
      <w:r>
        <w:rPr>
          <w:sz w:val="24"/>
        </w:rPr>
        <w:t>di:</w:t>
      </w:r>
    </w:p>
    <w:p>
      <w:pPr>
        <w:pStyle w:val="BodyText"/>
      </w:pPr>
    </w:p>
    <w:p>
      <w:pPr>
        <w:pStyle w:val="ListParagraph"/>
        <w:numPr>
          <w:ilvl w:val="1"/>
          <w:numId w:val="49"/>
        </w:numPr>
        <w:tabs>
          <w:tab w:pos="1981" w:val="left" w:leader="none"/>
        </w:tabs>
        <w:spacing w:line="240" w:lineRule="auto" w:before="0" w:after="0"/>
        <w:ind w:left="1846" w:right="0" w:firstLine="0"/>
        <w:jc w:val="left"/>
        <w:rPr>
          <w:sz w:val="24"/>
        </w:rPr>
      </w:pPr>
      <w:r>
        <w:rPr>
          <w:sz w:val="24"/>
        </w:rPr>
        <w:t>"</w:t>
      </w:r>
      <w:r>
        <w:rPr>
          <w:i/>
          <w:sz w:val="24"/>
        </w:rPr>
        <w:t>Process Design Package</w:t>
      </w:r>
      <w:r>
        <w:rPr>
          <w:sz w:val="24"/>
        </w:rPr>
        <w:t>" (PDP) e manuale operativo (della tecnologia</w:t>
      </w:r>
      <w:r>
        <w:rPr>
          <w:spacing w:val="-30"/>
          <w:sz w:val="24"/>
        </w:rPr>
        <w:t> </w:t>
      </w:r>
      <w:r>
        <w:rPr>
          <w:sz w:val="24"/>
        </w:rPr>
        <w:t>"PROESA");</w:t>
      </w:r>
    </w:p>
    <w:p>
      <w:pPr>
        <w:pStyle w:val="BodyText"/>
        <w:spacing w:before="11"/>
        <w:rPr>
          <w:sz w:val="23"/>
        </w:rPr>
      </w:pPr>
    </w:p>
    <w:p>
      <w:pPr>
        <w:pStyle w:val="ListParagraph"/>
        <w:numPr>
          <w:ilvl w:val="1"/>
          <w:numId w:val="49"/>
        </w:numPr>
        <w:tabs>
          <w:tab w:pos="1981" w:val="left" w:leader="none"/>
        </w:tabs>
        <w:spacing w:line="240" w:lineRule="auto" w:before="0" w:after="0"/>
        <w:ind w:left="1980" w:right="0" w:hanging="134"/>
        <w:jc w:val="left"/>
        <w:rPr>
          <w:sz w:val="24"/>
        </w:rPr>
      </w:pPr>
      <w:r>
        <w:rPr>
          <w:sz w:val="24"/>
        </w:rPr>
        <w:t>servizi di training (relativi al</w:t>
      </w:r>
      <w:r>
        <w:rPr>
          <w:spacing w:val="-16"/>
          <w:sz w:val="24"/>
        </w:rPr>
        <w:t> </w:t>
      </w:r>
      <w:r>
        <w:rPr>
          <w:sz w:val="24"/>
        </w:rPr>
        <w:t>processo);</w:t>
      </w:r>
    </w:p>
    <w:p>
      <w:pPr>
        <w:pStyle w:val="BodyText"/>
        <w:spacing w:before="11"/>
        <w:rPr>
          <w:sz w:val="23"/>
        </w:rPr>
      </w:pPr>
    </w:p>
    <w:p>
      <w:pPr>
        <w:pStyle w:val="ListParagraph"/>
        <w:numPr>
          <w:ilvl w:val="1"/>
          <w:numId w:val="49"/>
        </w:numPr>
        <w:tabs>
          <w:tab w:pos="1993" w:val="left" w:leader="none"/>
        </w:tabs>
        <w:spacing w:line="480" w:lineRule="auto" w:before="0" w:after="0"/>
        <w:ind w:left="1846" w:right="1411" w:firstLine="0"/>
        <w:jc w:val="left"/>
        <w:rPr>
          <w:sz w:val="24"/>
        </w:rPr>
      </w:pPr>
      <w:r>
        <w:rPr>
          <w:sz w:val="24"/>
        </w:rPr>
        <w:t>supporto tecnico (relativi al processo) da effettuarsi presso la Unit durante le fasi di "</w:t>
      </w:r>
      <w:r>
        <w:rPr>
          <w:i/>
          <w:sz w:val="24"/>
        </w:rPr>
        <w:t>Start- </w:t>
      </w:r>
      <w:r>
        <w:rPr>
          <w:i/>
          <w:sz w:val="24"/>
        </w:rPr>
        <w:t>up</w:t>
      </w:r>
      <w:r>
        <w:rPr>
          <w:sz w:val="24"/>
        </w:rPr>
        <w:t>" e "</w:t>
      </w:r>
      <w:r>
        <w:rPr>
          <w:i/>
          <w:sz w:val="24"/>
        </w:rPr>
        <w:t>Performance Test</w:t>
      </w:r>
      <w:r>
        <w:rPr>
          <w:sz w:val="24"/>
        </w:rPr>
        <w:t>", il tutto in linea con il "</w:t>
      </w:r>
      <w:r>
        <w:rPr>
          <w:i/>
          <w:sz w:val="24"/>
        </w:rPr>
        <w:t>Time Schedule</w:t>
      </w:r>
      <w:r>
        <w:rPr>
          <w:sz w:val="24"/>
        </w:rPr>
        <w:t>"</w:t>
      </w:r>
      <w:r>
        <w:rPr>
          <w:spacing w:val="-27"/>
          <w:sz w:val="24"/>
        </w:rPr>
        <w:t> </w:t>
      </w:r>
      <w:r>
        <w:rPr>
          <w:sz w:val="24"/>
        </w:rPr>
        <w:t>previsto;</w:t>
      </w:r>
    </w:p>
    <w:p>
      <w:pPr>
        <w:pStyle w:val="ListParagraph"/>
        <w:numPr>
          <w:ilvl w:val="0"/>
          <w:numId w:val="49"/>
        </w:numPr>
        <w:tabs>
          <w:tab w:pos="1672" w:val="left" w:leader="none"/>
        </w:tabs>
        <w:spacing w:line="240" w:lineRule="auto" w:before="0" w:after="0"/>
        <w:ind w:left="1671" w:right="0" w:hanging="253"/>
        <w:jc w:val="both"/>
        <w:rPr>
          <w:sz w:val="24"/>
        </w:rPr>
      </w:pPr>
      <w:r>
        <w:rPr>
          <w:sz w:val="24"/>
        </w:rPr>
        <w:t>"</w:t>
      </w:r>
      <w:r>
        <w:rPr>
          <w:i/>
          <w:sz w:val="24"/>
        </w:rPr>
        <w:t>Engineering, Procurement &amp; Services</w:t>
      </w:r>
      <w:r>
        <w:rPr>
          <w:sz w:val="24"/>
        </w:rPr>
        <w:t>" relativi alla c.d. "</w:t>
      </w:r>
      <w:r>
        <w:rPr>
          <w:i/>
          <w:sz w:val="24"/>
        </w:rPr>
        <w:t>First Unit</w:t>
      </w:r>
      <w:r>
        <w:rPr>
          <w:sz w:val="24"/>
        </w:rPr>
        <w:t>" comprensivi</w:t>
      </w:r>
      <w:r>
        <w:rPr>
          <w:spacing w:val="-22"/>
          <w:sz w:val="24"/>
        </w:rPr>
        <w:t> </w:t>
      </w:r>
      <w:r>
        <w:rPr>
          <w:sz w:val="24"/>
        </w:rPr>
        <w:t>di:</w:t>
      </w:r>
    </w:p>
    <w:p>
      <w:pPr>
        <w:pStyle w:val="BodyText"/>
      </w:pPr>
    </w:p>
    <w:p>
      <w:pPr>
        <w:pStyle w:val="ListParagraph"/>
        <w:numPr>
          <w:ilvl w:val="1"/>
          <w:numId w:val="49"/>
        </w:numPr>
        <w:tabs>
          <w:tab w:pos="1981" w:val="left" w:leader="none"/>
        </w:tabs>
        <w:spacing w:line="240" w:lineRule="auto" w:before="0" w:after="0"/>
        <w:ind w:left="1846" w:right="0" w:firstLine="0"/>
        <w:jc w:val="left"/>
        <w:rPr>
          <w:sz w:val="24"/>
        </w:rPr>
      </w:pPr>
      <w:r>
        <w:rPr>
          <w:sz w:val="24"/>
        </w:rPr>
        <w:t>"</w:t>
      </w:r>
      <w:r>
        <w:rPr>
          <w:i/>
          <w:sz w:val="24"/>
        </w:rPr>
        <w:t>Basic Engineering Package</w:t>
      </w:r>
      <w:r>
        <w:rPr>
          <w:sz w:val="24"/>
        </w:rPr>
        <w:t>"</w:t>
      </w:r>
      <w:r>
        <w:rPr>
          <w:spacing w:val="-13"/>
          <w:sz w:val="24"/>
        </w:rPr>
        <w:t> </w:t>
      </w:r>
      <w:r>
        <w:rPr>
          <w:sz w:val="24"/>
        </w:rPr>
        <w:t>(BEP);</w:t>
      </w:r>
    </w:p>
    <w:p>
      <w:pPr>
        <w:pStyle w:val="BodyText"/>
        <w:spacing w:before="10"/>
        <w:rPr>
          <w:sz w:val="23"/>
        </w:rPr>
      </w:pPr>
    </w:p>
    <w:p>
      <w:pPr>
        <w:pStyle w:val="ListParagraph"/>
        <w:numPr>
          <w:ilvl w:val="1"/>
          <w:numId w:val="49"/>
        </w:numPr>
        <w:tabs>
          <w:tab w:pos="1981" w:val="left" w:leader="none"/>
        </w:tabs>
        <w:spacing w:line="240" w:lineRule="auto" w:before="0" w:after="0"/>
        <w:ind w:left="1980" w:right="0" w:hanging="134"/>
        <w:jc w:val="left"/>
        <w:rPr>
          <w:sz w:val="24"/>
        </w:rPr>
      </w:pPr>
      <w:r>
        <w:rPr>
          <w:sz w:val="24"/>
        </w:rPr>
        <w:t>"</w:t>
      </w:r>
      <w:r>
        <w:rPr>
          <w:i/>
          <w:sz w:val="24"/>
        </w:rPr>
        <w:t>Critical Equipment</w:t>
      </w:r>
      <w:r>
        <w:rPr>
          <w:sz w:val="24"/>
        </w:rPr>
        <w:t>"</w:t>
      </w:r>
      <w:r>
        <w:rPr>
          <w:spacing w:val="-15"/>
          <w:sz w:val="24"/>
        </w:rPr>
        <w:t> </w:t>
      </w:r>
      <w:r>
        <w:rPr>
          <w:sz w:val="24"/>
        </w:rPr>
        <w:t>(CE);</w:t>
      </w:r>
    </w:p>
    <w:p>
      <w:pPr>
        <w:pStyle w:val="BodyText"/>
        <w:spacing w:before="10"/>
        <w:rPr>
          <w:sz w:val="23"/>
        </w:rPr>
      </w:pPr>
    </w:p>
    <w:p>
      <w:pPr>
        <w:pStyle w:val="ListParagraph"/>
        <w:numPr>
          <w:ilvl w:val="1"/>
          <w:numId w:val="49"/>
        </w:numPr>
        <w:tabs>
          <w:tab w:pos="2070" w:val="left" w:leader="none"/>
        </w:tabs>
        <w:spacing w:line="480" w:lineRule="auto" w:before="0" w:after="0"/>
        <w:ind w:left="1846" w:right="1412" w:firstLine="0"/>
        <w:jc w:val="left"/>
        <w:rPr>
          <w:sz w:val="24"/>
        </w:rPr>
      </w:pPr>
      <w:r>
        <w:rPr>
          <w:sz w:val="24"/>
        </w:rPr>
        <w:t>supervisione tecnica, da effettuarsi all'interno del sito, durante le fasi di "</w:t>
      </w:r>
      <w:r>
        <w:rPr>
          <w:i/>
          <w:sz w:val="24"/>
        </w:rPr>
        <w:t>erection</w:t>
      </w:r>
      <w:r>
        <w:rPr>
          <w:sz w:val="24"/>
        </w:rPr>
        <w:t>", "</w:t>
      </w:r>
      <w:r>
        <w:rPr>
          <w:i/>
          <w:sz w:val="24"/>
        </w:rPr>
        <w:t>commissioning</w:t>
      </w:r>
      <w:r>
        <w:rPr>
          <w:sz w:val="24"/>
        </w:rPr>
        <w:t>", "Start-up" e "</w:t>
      </w:r>
      <w:r>
        <w:rPr>
          <w:i/>
          <w:sz w:val="24"/>
        </w:rPr>
        <w:t>Performance Test</w:t>
      </w:r>
      <w:r>
        <w:rPr>
          <w:sz w:val="24"/>
        </w:rPr>
        <w:t>" della</w:t>
      </w:r>
      <w:r>
        <w:rPr>
          <w:spacing w:val="-27"/>
          <w:sz w:val="24"/>
        </w:rPr>
        <w:t> </w:t>
      </w:r>
      <w:r>
        <w:rPr>
          <w:sz w:val="24"/>
        </w:rPr>
        <w:t>Unit;</w:t>
      </w:r>
    </w:p>
    <w:p>
      <w:pPr>
        <w:spacing w:after="0" w:line="48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1"/>
          <w:numId w:val="49"/>
        </w:numPr>
        <w:tabs>
          <w:tab w:pos="1991" w:val="left" w:leader="none"/>
        </w:tabs>
        <w:spacing w:line="480" w:lineRule="auto" w:before="100" w:after="0"/>
        <w:ind w:left="1846" w:right="1413" w:firstLine="0"/>
        <w:jc w:val="left"/>
        <w:rPr>
          <w:sz w:val="24"/>
        </w:rPr>
      </w:pPr>
      <w:r>
        <w:rPr>
          <w:sz w:val="24"/>
        </w:rPr>
        <w:t>assistenza tecnica nell'ambito della gestione del processo di ingegneria, "</w:t>
      </w:r>
      <w:r>
        <w:rPr>
          <w:b/>
          <w:sz w:val="24"/>
        </w:rPr>
        <w:t>Start-up</w:t>
      </w:r>
      <w:r>
        <w:rPr>
          <w:sz w:val="24"/>
        </w:rPr>
        <w:t>" e test di funzionamento della lignina</w:t>
      </w:r>
      <w:r>
        <w:rPr>
          <w:spacing w:val="-13"/>
          <w:sz w:val="24"/>
        </w:rPr>
        <w:t> </w:t>
      </w:r>
      <w:r>
        <w:rPr>
          <w:sz w:val="24"/>
        </w:rPr>
        <w:t>(combustibile).</w:t>
      </w:r>
    </w:p>
    <w:p>
      <w:pPr>
        <w:pStyle w:val="BodyText"/>
        <w:ind w:left="1418"/>
        <w:jc w:val="both"/>
      </w:pPr>
      <w:r>
        <w:rPr/>
        <w:t>Il contratto, pertanto, prevede la concessione a Energochemica:</w:t>
      </w:r>
    </w:p>
    <w:p>
      <w:pPr>
        <w:pStyle w:val="BodyText"/>
      </w:pPr>
    </w:p>
    <w:p>
      <w:pPr>
        <w:pStyle w:val="ListParagraph"/>
        <w:numPr>
          <w:ilvl w:val="0"/>
          <w:numId w:val="50"/>
        </w:numPr>
        <w:tabs>
          <w:tab w:pos="1656" w:val="left" w:leader="none"/>
        </w:tabs>
        <w:spacing w:line="480" w:lineRule="auto" w:before="0" w:after="0"/>
        <w:ind w:left="1418" w:right="1417" w:firstLine="0"/>
        <w:jc w:val="both"/>
        <w:rPr>
          <w:sz w:val="24"/>
        </w:rPr>
      </w:pPr>
      <w:r>
        <w:rPr>
          <w:sz w:val="24"/>
        </w:rPr>
        <w:t>del diritto di utilizzo, a partire dalla "</w:t>
      </w:r>
      <w:r>
        <w:rPr>
          <w:i/>
          <w:sz w:val="24"/>
        </w:rPr>
        <w:t>Commencement date</w:t>
      </w:r>
      <w:r>
        <w:rPr>
          <w:sz w:val="24"/>
        </w:rPr>
        <w:t>", della "</w:t>
      </w:r>
      <w:r>
        <w:rPr>
          <w:i/>
          <w:sz w:val="24"/>
        </w:rPr>
        <w:t>PROESA Process Technology</w:t>
      </w:r>
      <w:r>
        <w:rPr>
          <w:sz w:val="24"/>
        </w:rPr>
        <w:t>" per la progettazione, il realizzo e il mantenimento di un impianto di etanolo della capacità produttiva annua di 55.000 tonnellate (c.d. "First Unit") a Strazske (Repubblica Slovacca), nonchè per la produzione di Etanolo (a partire dalle biomasse) (art.</w:t>
      </w:r>
      <w:r>
        <w:rPr>
          <w:spacing w:val="-25"/>
          <w:sz w:val="24"/>
        </w:rPr>
        <w:t> </w:t>
      </w:r>
      <w:r>
        <w:rPr>
          <w:sz w:val="24"/>
        </w:rPr>
        <w:t>4.1);</w:t>
      </w:r>
    </w:p>
    <w:p>
      <w:pPr>
        <w:pStyle w:val="ListParagraph"/>
        <w:numPr>
          <w:ilvl w:val="0"/>
          <w:numId w:val="50"/>
        </w:numPr>
        <w:tabs>
          <w:tab w:pos="1736" w:val="left" w:leader="none"/>
        </w:tabs>
        <w:spacing w:line="480" w:lineRule="auto" w:before="0" w:after="0"/>
        <w:ind w:left="1418" w:right="1418" w:firstLine="0"/>
        <w:jc w:val="both"/>
        <w:rPr>
          <w:sz w:val="24"/>
        </w:rPr>
      </w:pPr>
      <w:r>
        <w:rPr>
          <w:sz w:val="24"/>
        </w:rPr>
        <w:t>per un periodo di 36 mesi dalla "</w:t>
      </w:r>
      <w:r>
        <w:rPr>
          <w:i/>
          <w:sz w:val="24"/>
        </w:rPr>
        <w:t>Commencement Date</w:t>
      </w:r>
      <w:r>
        <w:rPr>
          <w:sz w:val="24"/>
        </w:rPr>
        <w:t>" l'opzione di utilizzare la suddetta tecnologia anche per  il  realizzo di  un  impianto  di  etanolo  della capacità  produttiva  annua</w:t>
      </w:r>
      <w:r>
        <w:rPr>
          <w:spacing w:val="46"/>
          <w:sz w:val="24"/>
        </w:rPr>
        <w:t> </w:t>
      </w:r>
      <w:r>
        <w:rPr>
          <w:sz w:val="24"/>
        </w:rPr>
        <w:t>di</w:t>
      </w:r>
    </w:p>
    <w:p>
      <w:pPr>
        <w:pStyle w:val="BodyText"/>
        <w:spacing w:line="480" w:lineRule="auto"/>
        <w:ind w:left="1418" w:right="1418"/>
        <w:jc w:val="both"/>
      </w:pPr>
      <w:r>
        <w:rPr/>
        <w:t>55.000 tonnellate (c.d. "Second Unit") nella zona territoriale c.d. "V4" (Repubblica Slovacca, Polonia, Repubblica Ceca e Ungheria), nonchè per la produzione di etanolo a partire dalle biomasse (art. 4.2);</w:t>
      </w:r>
    </w:p>
    <w:p>
      <w:pPr>
        <w:pStyle w:val="ListParagraph"/>
        <w:numPr>
          <w:ilvl w:val="0"/>
          <w:numId w:val="50"/>
        </w:numPr>
        <w:tabs>
          <w:tab w:pos="1676" w:val="left" w:leader="none"/>
        </w:tabs>
        <w:spacing w:line="480" w:lineRule="auto" w:before="0" w:after="0"/>
        <w:ind w:left="1418" w:right="1413" w:firstLine="0"/>
        <w:jc w:val="both"/>
        <w:rPr>
          <w:sz w:val="24"/>
        </w:rPr>
      </w:pPr>
      <w:r>
        <w:rPr>
          <w:sz w:val="24"/>
        </w:rPr>
        <w:t>della possibilità, per un periodo di dieci anni dalla data di concessione della licenza di cui al punto precedente (c.d. "</w:t>
      </w:r>
      <w:r>
        <w:rPr>
          <w:i/>
          <w:sz w:val="24"/>
        </w:rPr>
        <w:t>Second Unit</w:t>
      </w:r>
      <w:r>
        <w:rPr>
          <w:sz w:val="24"/>
        </w:rPr>
        <w:t>"), di utilizzare la suddetta tecnologia anche per il realizzo di una</w:t>
      </w:r>
      <w:r>
        <w:rPr>
          <w:spacing w:val="22"/>
          <w:sz w:val="24"/>
        </w:rPr>
        <w:t> </w:t>
      </w:r>
      <w:r>
        <w:rPr>
          <w:sz w:val="24"/>
        </w:rPr>
        <w:t>terza</w:t>
      </w:r>
      <w:r>
        <w:rPr>
          <w:spacing w:val="19"/>
          <w:sz w:val="24"/>
        </w:rPr>
        <w:t> </w:t>
      </w:r>
      <w:r>
        <w:rPr>
          <w:sz w:val="24"/>
        </w:rPr>
        <w:t>e</w:t>
      </w:r>
      <w:r>
        <w:rPr>
          <w:spacing w:val="22"/>
          <w:sz w:val="24"/>
        </w:rPr>
        <w:t> </w:t>
      </w:r>
      <w:r>
        <w:rPr>
          <w:sz w:val="24"/>
        </w:rPr>
        <w:t>più</w:t>
      </w:r>
      <w:r>
        <w:rPr>
          <w:spacing w:val="22"/>
          <w:sz w:val="24"/>
        </w:rPr>
        <w:t> </w:t>
      </w:r>
      <w:r>
        <w:rPr>
          <w:sz w:val="24"/>
        </w:rPr>
        <w:t>unità</w:t>
      </w:r>
      <w:r>
        <w:rPr>
          <w:spacing w:val="22"/>
          <w:sz w:val="24"/>
        </w:rPr>
        <w:t> </w:t>
      </w:r>
      <w:r>
        <w:rPr>
          <w:sz w:val="24"/>
        </w:rPr>
        <w:t>produttive</w:t>
      </w:r>
      <w:r>
        <w:rPr>
          <w:spacing w:val="22"/>
          <w:sz w:val="24"/>
        </w:rPr>
        <w:t> </w:t>
      </w:r>
      <w:r>
        <w:rPr>
          <w:sz w:val="24"/>
        </w:rPr>
        <w:t>(c.d.</w:t>
      </w:r>
      <w:r>
        <w:rPr>
          <w:spacing w:val="22"/>
          <w:sz w:val="24"/>
        </w:rPr>
        <w:t> </w:t>
      </w:r>
      <w:r>
        <w:rPr>
          <w:sz w:val="24"/>
        </w:rPr>
        <w:t>"</w:t>
      </w:r>
      <w:r>
        <w:rPr>
          <w:i/>
          <w:sz w:val="24"/>
        </w:rPr>
        <w:t>Third</w:t>
      </w:r>
      <w:r>
        <w:rPr>
          <w:i/>
          <w:spacing w:val="22"/>
          <w:sz w:val="24"/>
        </w:rPr>
        <w:t> </w:t>
      </w:r>
      <w:r>
        <w:rPr>
          <w:i/>
          <w:sz w:val="24"/>
        </w:rPr>
        <w:t>Unit</w:t>
      </w:r>
      <w:r>
        <w:rPr>
          <w:i/>
          <w:spacing w:val="19"/>
          <w:sz w:val="24"/>
        </w:rPr>
        <w:t> </w:t>
      </w:r>
      <w:r>
        <w:rPr>
          <w:i/>
          <w:sz w:val="24"/>
        </w:rPr>
        <w:t>and</w:t>
      </w:r>
      <w:r>
        <w:rPr>
          <w:i/>
          <w:spacing w:val="23"/>
          <w:sz w:val="24"/>
        </w:rPr>
        <w:t> </w:t>
      </w:r>
      <w:r>
        <w:rPr>
          <w:i/>
          <w:sz w:val="24"/>
        </w:rPr>
        <w:t>all</w:t>
      </w:r>
      <w:r>
        <w:rPr>
          <w:i/>
          <w:spacing w:val="19"/>
          <w:sz w:val="24"/>
        </w:rPr>
        <w:t> </w:t>
      </w:r>
      <w:r>
        <w:rPr>
          <w:i/>
          <w:sz w:val="24"/>
        </w:rPr>
        <w:t>other</w:t>
      </w:r>
      <w:r>
        <w:rPr>
          <w:i/>
          <w:spacing w:val="21"/>
          <w:sz w:val="24"/>
        </w:rPr>
        <w:t> </w:t>
      </w:r>
      <w:r>
        <w:rPr>
          <w:i/>
          <w:sz w:val="24"/>
        </w:rPr>
        <w:t>installations</w:t>
      </w:r>
      <w:r>
        <w:rPr>
          <w:sz w:val="24"/>
        </w:rPr>
        <w:t>")</w:t>
      </w:r>
      <w:r>
        <w:rPr>
          <w:spacing w:val="21"/>
          <w:sz w:val="24"/>
        </w:rPr>
        <w:t> </w:t>
      </w:r>
      <w:r>
        <w:rPr>
          <w:sz w:val="24"/>
        </w:rPr>
        <w:t>nella</w:t>
      </w:r>
      <w:r>
        <w:rPr>
          <w:spacing w:val="22"/>
          <w:sz w:val="24"/>
        </w:rPr>
        <w:t> </w:t>
      </w:r>
      <w:r>
        <w:rPr>
          <w:sz w:val="24"/>
        </w:rPr>
        <w:t>zona</w:t>
      </w:r>
      <w:r>
        <w:rPr>
          <w:spacing w:val="22"/>
          <w:sz w:val="24"/>
        </w:rPr>
        <w:t> </w:t>
      </w:r>
      <w:r>
        <w:rPr>
          <w:sz w:val="24"/>
        </w:rPr>
        <w:t>territoriale</w:t>
      </w:r>
    </w:p>
    <w:p>
      <w:pPr>
        <w:pStyle w:val="BodyText"/>
        <w:ind w:left="1418"/>
        <w:jc w:val="both"/>
      </w:pPr>
      <w:r>
        <w:rPr/>
        <w:t>c.d. "V4" (Repubblica Slovacca, Polonia, Repubblica Ceca e Ungheria) (art. 4.3).</w:t>
      </w:r>
    </w:p>
    <w:p>
      <w:pPr>
        <w:pStyle w:val="BodyText"/>
        <w:spacing w:before="11"/>
        <w:rPr>
          <w:sz w:val="23"/>
        </w:rPr>
      </w:pPr>
    </w:p>
    <w:p>
      <w:pPr>
        <w:pStyle w:val="BodyText"/>
        <w:ind w:left="1418"/>
        <w:jc w:val="both"/>
      </w:pPr>
      <w:r>
        <w:rPr/>
        <w:t>Il corrispettivo previsto ammonta ad Euro 2.700.000 a titolo di </w:t>
      </w:r>
      <w:r>
        <w:rPr>
          <w:i/>
        </w:rPr>
        <w:t>license fee </w:t>
      </w:r>
      <w:r>
        <w:rPr/>
        <w:t>ed Euro 21.000.000 per il</w:t>
      </w:r>
    </w:p>
    <w:p>
      <w:pPr>
        <w:pStyle w:val="BodyText"/>
        <w:spacing w:before="11"/>
        <w:rPr>
          <w:sz w:val="23"/>
        </w:rPr>
      </w:pPr>
    </w:p>
    <w:p>
      <w:pPr>
        <w:spacing w:before="0"/>
        <w:ind w:left="1418" w:right="0" w:firstLine="0"/>
        <w:jc w:val="both"/>
        <w:rPr>
          <w:sz w:val="24"/>
        </w:rPr>
      </w:pPr>
      <w:r>
        <w:rPr>
          <w:i/>
          <w:sz w:val="24"/>
        </w:rPr>
        <w:t>Basic Engineering Package </w:t>
      </w:r>
      <w:r>
        <w:rPr>
          <w:sz w:val="24"/>
        </w:rPr>
        <w:t>e il </w:t>
      </w:r>
      <w:r>
        <w:rPr>
          <w:i/>
          <w:sz w:val="24"/>
        </w:rPr>
        <w:t>Critical Equipment</w:t>
      </w:r>
      <w:r>
        <w:rPr>
          <w:sz w:val="24"/>
        </w:rPr>
        <w:t>.</w:t>
      </w:r>
    </w:p>
    <w:p>
      <w:pPr>
        <w:pStyle w:val="BodyText"/>
      </w:pPr>
    </w:p>
    <w:p>
      <w:pPr>
        <w:pStyle w:val="BodyText"/>
        <w:ind w:left="1418"/>
        <w:jc w:val="both"/>
      </w:pPr>
      <w:r>
        <w:rPr/>
        <w:t>Il pagamento di tali servizi è da effettuarsi come segue:</w:t>
      </w:r>
    </w:p>
    <w:p>
      <w:pPr>
        <w:pStyle w:val="BodyText"/>
        <w:spacing w:before="10"/>
        <w:rPr>
          <w:sz w:val="23"/>
        </w:rPr>
      </w:pPr>
    </w:p>
    <w:p>
      <w:pPr>
        <w:pStyle w:val="ListParagraph"/>
        <w:numPr>
          <w:ilvl w:val="0"/>
          <w:numId w:val="51"/>
        </w:numPr>
        <w:tabs>
          <w:tab w:pos="1664" w:val="left" w:leader="none"/>
        </w:tabs>
        <w:spacing w:line="480" w:lineRule="auto" w:before="0" w:after="0"/>
        <w:ind w:left="1418" w:right="1412" w:firstLine="0"/>
        <w:jc w:val="both"/>
        <w:rPr>
          <w:sz w:val="24"/>
        </w:rPr>
      </w:pPr>
      <w:r>
        <w:rPr>
          <w:sz w:val="24"/>
        </w:rPr>
        <w:t>10% del corrispettivo, Euro 2.100.000, quale </w:t>
      </w:r>
      <w:r>
        <w:rPr>
          <w:i/>
          <w:sz w:val="24"/>
        </w:rPr>
        <w:t>down payment </w:t>
      </w:r>
      <w:r>
        <w:rPr>
          <w:sz w:val="24"/>
        </w:rPr>
        <w:t>entro 45 giorni dall'"</w:t>
      </w:r>
      <w:r>
        <w:rPr>
          <w:i/>
          <w:sz w:val="24"/>
        </w:rPr>
        <w:t>Effective date</w:t>
      </w:r>
      <w:r>
        <w:rPr>
          <w:sz w:val="24"/>
        </w:rPr>
        <w:t>" a fronte del ricevimento della relativa fattura e di una garanzia bancaria ("</w:t>
      </w:r>
      <w:r>
        <w:rPr>
          <w:i/>
          <w:sz w:val="24"/>
        </w:rPr>
        <w:t>Performance Bond</w:t>
      </w:r>
      <w:r>
        <w:rPr>
          <w:sz w:val="24"/>
        </w:rPr>
        <w:t>") di pari ammontare</w:t>
      </w:r>
      <w:r>
        <w:rPr>
          <w:spacing w:val="19"/>
          <w:sz w:val="24"/>
        </w:rPr>
        <w:t> </w:t>
      </w:r>
      <w:r>
        <w:rPr>
          <w:sz w:val="24"/>
        </w:rPr>
        <w:t>aperta</w:t>
      </w:r>
      <w:r>
        <w:rPr>
          <w:spacing w:val="20"/>
          <w:sz w:val="24"/>
        </w:rPr>
        <w:t> </w:t>
      </w:r>
      <w:r>
        <w:rPr>
          <w:sz w:val="24"/>
        </w:rPr>
        <w:t>da</w:t>
      </w:r>
      <w:r>
        <w:rPr>
          <w:spacing w:val="20"/>
          <w:sz w:val="24"/>
        </w:rPr>
        <w:t> </w:t>
      </w:r>
      <w:r>
        <w:rPr>
          <w:sz w:val="24"/>
        </w:rPr>
        <w:t>Biochemtex</w:t>
      </w:r>
      <w:r>
        <w:rPr>
          <w:spacing w:val="20"/>
          <w:sz w:val="24"/>
        </w:rPr>
        <w:t> </w:t>
      </w:r>
      <w:r>
        <w:rPr>
          <w:sz w:val="24"/>
        </w:rPr>
        <w:t>e</w:t>
      </w:r>
      <w:r>
        <w:rPr>
          <w:spacing w:val="20"/>
          <w:sz w:val="24"/>
        </w:rPr>
        <w:t> </w:t>
      </w:r>
      <w:r>
        <w:rPr>
          <w:sz w:val="24"/>
        </w:rPr>
        <w:t>valida</w:t>
      </w:r>
      <w:r>
        <w:rPr>
          <w:spacing w:val="20"/>
          <w:sz w:val="24"/>
        </w:rPr>
        <w:t> </w:t>
      </w:r>
      <w:r>
        <w:rPr>
          <w:sz w:val="24"/>
        </w:rPr>
        <w:t>fino</w:t>
      </w:r>
      <w:r>
        <w:rPr>
          <w:spacing w:val="18"/>
          <w:sz w:val="24"/>
        </w:rPr>
        <w:t> </w:t>
      </w:r>
      <w:r>
        <w:rPr>
          <w:sz w:val="24"/>
        </w:rPr>
        <w:t>al</w:t>
      </w:r>
      <w:r>
        <w:rPr>
          <w:spacing w:val="19"/>
          <w:sz w:val="24"/>
        </w:rPr>
        <w:t> </w:t>
      </w:r>
      <w:r>
        <w:rPr>
          <w:sz w:val="24"/>
        </w:rPr>
        <w:t>completamento</w:t>
      </w:r>
      <w:r>
        <w:rPr>
          <w:spacing w:val="19"/>
          <w:sz w:val="24"/>
        </w:rPr>
        <w:t> </w:t>
      </w:r>
      <w:r>
        <w:rPr>
          <w:sz w:val="24"/>
        </w:rPr>
        <w:t>del</w:t>
      </w:r>
      <w:r>
        <w:rPr>
          <w:spacing w:val="20"/>
          <w:sz w:val="24"/>
        </w:rPr>
        <w:t> </w:t>
      </w:r>
      <w:r>
        <w:rPr>
          <w:sz w:val="24"/>
        </w:rPr>
        <w:t>"</w:t>
      </w:r>
      <w:r>
        <w:rPr>
          <w:i/>
          <w:sz w:val="24"/>
        </w:rPr>
        <w:t>Performance</w:t>
      </w:r>
      <w:r>
        <w:rPr>
          <w:i/>
          <w:spacing w:val="19"/>
          <w:sz w:val="24"/>
        </w:rPr>
        <w:t> </w:t>
      </w:r>
      <w:r>
        <w:rPr>
          <w:i/>
          <w:sz w:val="24"/>
        </w:rPr>
        <w:t>Test</w:t>
      </w:r>
      <w:r>
        <w:rPr>
          <w:sz w:val="24"/>
        </w:rPr>
        <w:t>"</w:t>
      </w:r>
      <w:r>
        <w:rPr>
          <w:spacing w:val="20"/>
          <w:sz w:val="24"/>
        </w:rPr>
        <w:t> </w:t>
      </w:r>
      <w:r>
        <w:rPr>
          <w:sz w:val="24"/>
        </w:rPr>
        <w:t>ma</w:t>
      </w:r>
      <w:r>
        <w:rPr>
          <w:spacing w:val="20"/>
          <w:sz w:val="24"/>
        </w:rPr>
        <w:t> </w:t>
      </w:r>
      <w:r>
        <w:rPr>
          <w:sz w:val="24"/>
        </w:rPr>
        <w:t>non</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3"/>
        <w:jc w:val="both"/>
      </w:pPr>
      <w:r>
        <w:rPr/>
        <w:t>oltre 14 mesi dalla data prevista di effettuazione dello stesso (come stabilito nel "Time  Schedule");</w:t>
      </w:r>
    </w:p>
    <w:p>
      <w:pPr>
        <w:pStyle w:val="ListParagraph"/>
        <w:numPr>
          <w:ilvl w:val="0"/>
          <w:numId w:val="51"/>
        </w:numPr>
        <w:tabs>
          <w:tab w:pos="1710" w:val="left" w:leader="none"/>
        </w:tabs>
        <w:spacing w:line="480" w:lineRule="auto" w:before="0" w:after="0"/>
        <w:ind w:left="1418" w:right="1413" w:firstLine="0"/>
        <w:jc w:val="both"/>
        <w:rPr>
          <w:sz w:val="24"/>
        </w:rPr>
      </w:pPr>
      <w:r>
        <w:rPr>
          <w:sz w:val="24"/>
        </w:rPr>
        <w:t>90% del corrispettivo, Euro 18.900.000, garantito da una lettera di credito irrevocabile del medesimo importo (da aprirsi a spese di Energochemica entro 45 giorni dall'</w:t>
      </w:r>
      <w:r>
        <w:rPr>
          <w:i/>
          <w:sz w:val="24"/>
        </w:rPr>
        <w:t>effective date</w:t>
      </w:r>
      <w:r>
        <w:rPr>
          <w:sz w:val="24"/>
        </w:rPr>
        <w:t>) che verrà via via decurtata a seguito del pagamento di ogni</w:t>
      </w:r>
      <w:r>
        <w:rPr>
          <w:spacing w:val="-13"/>
          <w:sz w:val="24"/>
        </w:rPr>
        <w:t> </w:t>
      </w:r>
      <w:r>
        <w:rPr>
          <w:sz w:val="24"/>
        </w:rPr>
        <w:t>"</w:t>
      </w:r>
      <w:r>
        <w:rPr>
          <w:i/>
          <w:sz w:val="24"/>
        </w:rPr>
        <w:t>instalment</w:t>
      </w:r>
      <w:r>
        <w:rPr>
          <w:sz w:val="24"/>
        </w:rPr>
        <w:t>".</w:t>
      </w:r>
    </w:p>
    <w:p>
      <w:pPr>
        <w:pStyle w:val="BodyText"/>
        <w:spacing w:line="480" w:lineRule="auto"/>
        <w:ind w:left="1418" w:right="1412"/>
        <w:jc w:val="both"/>
      </w:pPr>
      <w:r>
        <w:rPr/>
        <w:t>Si precisa che il suddetto contratto è stato successivamente modificato tramite 5 </w:t>
      </w:r>
      <w:r>
        <w:rPr>
          <w:i/>
        </w:rPr>
        <w:t>Amendments </w:t>
      </w:r>
      <w:r>
        <w:rPr/>
        <w:t>i cui dettagli che non modificano significativamente le previsioni contrattuali precedenti, sono stati identificati dall’attività di mappatura di Deloitte risultante dai </w:t>
      </w:r>
      <w:r>
        <w:rPr>
          <w:i/>
        </w:rPr>
        <w:t>Deliverables </w:t>
      </w:r>
      <w:r>
        <w:rPr/>
        <w:t>consegnati agli scriventi dal management della società.</w:t>
      </w:r>
    </w:p>
    <w:p>
      <w:pPr>
        <w:pStyle w:val="BodyText"/>
        <w:ind w:left="1418"/>
        <w:jc w:val="both"/>
      </w:pPr>
      <w:r>
        <w:rPr/>
        <w:t>Il secondo contratto prevede:</w:t>
      </w:r>
    </w:p>
    <w:p>
      <w:pPr>
        <w:pStyle w:val="BodyText"/>
      </w:pPr>
    </w:p>
    <w:p>
      <w:pPr>
        <w:pStyle w:val="ListParagraph"/>
        <w:numPr>
          <w:ilvl w:val="0"/>
          <w:numId w:val="52"/>
        </w:numPr>
        <w:tabs>
          <w:tab w:pos="1698" w:val="left" w:leader="none"/>
        </w:tabs>
        <w:spacing w:line="480" w:lineRule="auto" w:before="0" w:after="0"/>
        <w:ind w:left="1418" w:right="1412" w:firstLine="0"/>
        <w:jc w:val="both"/>
        <w:rPr>
          <w:sz w:val="24"/>
        </w:rPr>
      </w:pPr>
      <w:r>
        <w:rPr>
          <w:sz w:val="24"/>
        </w:rPr>
        <w:t>preparazione e consegna ad Energochemica del "</w:t>
      </w:r>
      <w:r>
        <w:rPr>
          <w:i/>
          <w:sz w:val="24"/>
        </w:rPr>
        <w:t>Basic Engineering Design Package</w:t>
      </w:r>
      <w:r>
        <w:rPr>
          <w:sz w:val="24"/>
        </w:rPr>
        <w:t>" (BEDP), "</w:t>
      </w:r>
      <w:r>
        <w:rPr>
          <w:i/>
          <w:sz w:val="24"/>
        </w:rPr>
        <w:t>Detailed Engineering Design Package</w:t>
      </w:r>
      <w:r>
        <w:rPr>
          <w:sz w:val="24"/>
        </w:rPr>
        <w:t>" (DEDP) e della "</w:t>
      </w:r>
      <w:r>
        <w:rPr>
          <w:i/>
          <w:sz w:val="24"/>
        </w:rPr>
        <w:t>As Built</w:t>
      </w:r>
      <w:r>
        <w:rPr>
          <w:i/>
          <w:spacing w:val="-20"/>
          <w:sz w:val="24"/>
        </w:rPr>
        <w:t> </w:t>
      </w:r>
      <w:r>
        <w:rPr>
          <w:i/>
          <w:sz w:val="24"/>
        </w:rPr>
        <w:t>documentation</w:t>
      </w:r>
      <w:r>
        <w:rPr>
          <w:sz w:val="24"/>
        </w:rPr>
        <w:t>”;</w:t>
      </w:r>
    </w:p>
    <w:p>
      <w:pPr>
        <w:pStyle w:val="ListParagraph"/>
        <w:numPr>
          <w:ilvl w:val="0"/>
          <w:numId w:val="52"/>
        </w:numPr>
        <w:tabs>
          <w:tab w:pos="1672" w:val="left" w:leader="none"/>
        </w:tabs>
        <w:spacing w:line="240" w:lineRule="auto" w:before="0" w:after="0"/>
        <w:ind w:left="1671" w:right="0" w:hanging="253"/>
        <w:jc w:val="both"/>
        <w:rPr>
          <w:sz w:val="24"/>
        </w:rPr>
      </w:pPr>
      <w:r>
        <w:rPr>
          <w:sz w:val="24"/>
        </w:rPr>
        <w:t>fornitura ad Energochemica dei "</w:t>
      </w:r>
      <w:r>
        <w:rPr>
          <w:i/>
          <w:sz w:val="24"/>
        </w:rPr>
        <w:t>Project Management</w:t>
      </w:r>
      <w:r>
        <w:rPr>
          <w:i/>
          <w:spacing w:val="-26"/>
          <w:sz w:val="24"/>
        </w:rPr>
        <w:t> </w:t>
      </w:r>
      <w:r>
        <w:rPr>
          <w:i/>
          <w:sz w:val="24"/>
        </w:rPr>
        <w:t>Services</w:t>
      </w:r>
      <w:r>
        <w:rPr>
          <w:sz w:val="24"/>
        </w:rPr>
        <w:t>".</w:t>
      </w:r>
    </w:p>
    <w:p>
      <w:pPr>
        <w:pStyle w:val="BodyText"/>
      </w:pPr>
    </w:p>
    <w:p>
      <w:pPr>
        <w:pStyle w:val="BodyText"/>
        <w:spacing w:line="480" w:lineRule="auto"/>
        <w:ind w:left="1418" w:right="1418"/>
        <w:jc w:val="both"/>
      </w:pPr>
      <w:r>
        <w:rPr/>
        <w:t>Tali attività rientrano nell'ambito del progetto, sviluppato da Energochemica, per la costruzione di un impianto di Bioetanolo a Strazske (Repubblica</w:t>
      </w:r>
      <w:r>
        <w:rPr>
          <w:spacing w:val="-17"/>
        </w:rPr>
        <w:t> </w:t>
      </w:r>
      <w:r>
        <w:rPr/>
        <w:t>Slovacca).</w:t>
      </w:r>
    </w:p>
    <w:p>
      <w:pPr>
        <w:pStyle w:val="BodyText"/>
        <w:ind w:left="1418"/>
        <w:jc w:val="both"/>
      </w:pPr>
      <w:r>
        <w:rPr/>
        <w:t>Il corrispettivo previsto è pari a Euro 5.500.000 di cui:</w:t>
      </w:r>
    </w:p>
    <w:p>
      <w:pPr>
        <w:pStyle w:val="BodyText"/>
      </w:pPr>
    </w:p>
    <w:p>
      <w:pPr>
        <w:pStyle w:val="ListParagraph"/>
        <w:numPr>
          <w:ilvl w:val="0"/>
          <w:numId w:val="53"/>
        </w:numPr>
        <w:tabs>
          <w:tab w:pos="1676" w:val="left" w:leader="none"/>
        </w:tabs>
        <w:spacing w:line="240" w:lineRule="auto" w:before="0" w:after="0"/>
        <w:ind w:left="1675" w:right="0" w:hanging="257"/>
        <w:jc w:val="both"/>
        <w:rPr>
          <w:i/>
          <w:sz w:val="24"/>
        </w:rPr>
      </w:pPr>
      <w:r>
        <w:rPr>
          <w:sz w:val="24"/>
        </w:rPr>
        <w:t>Euro</w:t>
      </w:r>
      <w:r>
        <w:rPr>
          <w:spacing w:val="26"/>
          <w:sz w:val="24"/>
        </w:rPr>
        <w:t> </w:t>
      </w:r>
      <w:r>
        <w:rPr>
          <w:sz w:val="24"/>
        </w:rPr>
        <w:t>3.000.000</w:t>
      </w:r>
      <w:r>
        <w:rPr>
          <w:spacing w:val="26"/>
          <w:sz w:val="24"/>
        </w:rPr>
        <w:t> </w:t>
      </w:r>
      <w:r>
        <w:rPr>
          <w:sz w:val="24"/>
        </w:rPr>
        <w:t>(oltre</w:t>
      </w:r>
      <w:r>
        <w:rPr>
          <w:spacing w:val="26"/>
          <w:sz w:val="24"/>
        </w:rPr>
        <w:t> </w:t>
      </w:r>
      <w:r>
        <w:rPr>
          <w:sz w:val="24"/>
        </w:rPr>
        <w:t>IVA</w:t>
      </w:r>
      <w:r>
        <w:rPr>
          <w:spacing w:val="27"/>
          <w:sz w:val="24"/>
        </w:rPr>
        <w:t> </w:t>
      </w:r>
      <w:r>
        <w:rPr>
          <w:sz w:val="24"/>
        </w:rPr>
        <w:t>se</w:t>
      </w:r>
      <w:r>
        <w:rPr>
          <w:spacing w:val="27"/>
          <w:sz w:val="24"/>
        </w:rPr>
        <w:t> </w:t>
      </w:r>
      <w:r>
        <w:rPr>
          <w:sz w:val="24"/>
        </w:rPr>
        <w:t>applicabile)</w:t>
      </w:r>
      <w:r>
        <w:rPr>
          <w:spacing w:val="26"/>
          <w:sz w:val="24"/>
        </w:rPr>
        <w:t> </w:t>
      </w:r>
      <w:r>
        <w:rPr>
          <w:sz w:val="24"/>
        </w:rPr>
        <w:t>per</w:t>
      </w:r>
      <w:r>
        <w:rPr>
          <w:spacing w:val="26"/>
          <w:sz w:val="24"/>
        </w:rPr>
        <w:t> </w:t>
      </w:r>
      <w:r>
        <w:rPr>
          <w:sz w:val="24"/>
        </w:rPr>
        <w:t>la</w:t>
      </w:r>
      <w:r>
        <w:rPr>
          <w:spacing w:val="27"/>
          <w:sz w:val="24"/>
        </w:rPr>
        <w:t> </w:t>
      </w:r>
      <w:r>
        <w:rPr>
          <w:sz w:val="24"/>
        </w:rPr>
        <w:t>fornitura</w:t>
      </w:r>
      <w:r>
        <w:rPr>
          <w:spacing w:val="27"/>
          <w:sz w:val="24"/>
        </w:rPr>
        <w:t> </w:t>
      </w:r>
      <w:r>
        <w:rPr>
          <w:sz w:val="24"/>
        </w:rPr>
        <w:t>del</w:t>
      </w:r>
      <w:r>
        <w:rPr>
          <w:spacing w:val="28"/>
          <w:sz w:val="24"/>
        </w:rPr>
        <w:t> </w:t>
      </w:r>
      <w:r>
        <w:rPr>
          <w:i/>
          <w:sz w:val="24"/>
        </w:rPr>
        <w:t>Basic</w:t>
      </w:r>
      <w:r>
        <w:rPr>
          <w:i/>
          <w:spacing w:val="25"/>
          <w:sz w:val="24"/>
        </w:rPr>
        <w:t> </w:t>
      </w:r>
      <w:r>
        <w:rPr>
          <w:i/>
          <w:sz w:val="24"/>
        </w:rPr>
        <w:t>Engineering</w:t>
      </w:r>
      <w:r>
        <w:rPr>
          <w:i/>
          <w:spacing w:val="25"/>
          <w:sz w:val="24"/>
        </w:rPr>
        <w:t> </w:t>
      </w:r>
      <w:r>
        <w:rPr>
          <w:i/>
          <w:sz w:val="24"/>
        </w:rPr>
        <w:t>Design</w:t>
      </w:r>
      <w:r>
        <w:rPr>
          <w:i/>
          <w:spacing w:val="28"/>
          <w:sz w:val="24"/>
        </w:rPr>
        <w:t> </w:t>
      </w:r>
      <w:r>
        <w:rPr>
          <w:i/>
          <w:sz w:val="24"/>
        </w:rPr>
        <w:t>Package</w:t>
      </w:r>
    </w:p>
    <w:p>
      <w:pPr>
        <w:pStyle w:val="BodyText"/>
        <w:spacing w:before="10"/>
        <w:rPr>
          <w:i/>
          <w:sz w:val="23"/>
        </w:rPr>
      </w:pPr>
    </w:p>
    <w:p>
      <w:pPr>
        <w:spacing w:before="0"/>
        <w:ind w:left="1418" w:right="0" w:firstLine="0"/>
        <w:jc w:val="both"/>
        <w:rPr>
          <w:sz w:val="24"/>
        </w:rPr>
      </w:pPr>
      <w:r>
        <w:rPr>
          <w:sz w:val="24"/>
        </w:rPr>
        <w:t>(BEDP), del Detailed Engineering Design Package (DEDP) e della "</w:t>
      </w:r>
      <w:r>
        <w:rPr>
          <w:i/>
          <w:sz w:val="24"/>
        </w:rPr>
        <w:t>As Built documentation</w:t>
      </w:r>
      <w:r>
        <w:rPr>
          <w:sz w:val="24"/>
        </w:rPr>
        <w:t>"</w:t>
      </w:r>
    </w:p>
    <w:p>
      <w:pPr>
        <w:pStyle w:val="BodyText"/>
      </w:pPr>
    </w:p>
    <w:p>
      <w:pPr>
        <w:pStyle w:val="ListParagraph"/>
        <w:numPr>
          <w:ilvl w:val="0"/>
          <w:numId w:val="53"/>
        </w:numPr>
        <w:tabs>
          <w:tab w:pos="1732" w:val="left" w:leader="none"/>
        </w:tabs>
        <w:spacing w:line="240" w:lineRule="auto" w:before="0" w:after="0"/>
        <w:ind w:left="1731" w:right="0" w:hanging="313"/>
        <w:jc w:val="both"/>
        <w:rPr>
          <w:sz w:val="24"/>
        </w:rPr>
      </w:pPr>
      <w:r>
        <w:rPr>
          <w:sz w:val="24"/>
        </w:rPr>
        <w:t>Euro 2.500.000 (oltre IVA se applicabile) per i servizi di </w:t>
      </w:r>
      <w:r>
        <w:rPr>
          <w:i/>
          <w:sz w:val="24"/>
        </w:rPr>
        <w:t>project</w:t>
      </w:r>
      <w:r>
        <w:rPr>
          <w:i/>
          <w:spacing w:val="-30"/>
          <w:sz w:val="24"/>
        </w:rPr>
        <w:t> </w:t>
      </w:r>
      <w:r>
        <w:rPr>
          <w:i/>
          <w:sz w:val="24"/>
        </w:rPr>
        <w:t>management</w:t>
      </w:r>
      <w:r>
        <w:rPr>
          <w:sz w:val="24"/>
        </w:rPr>
        <w:t>.</w:t>
      </w:r>
    </w:p>
    <w:p>
      <w:pPr>
        <w:pStyle w:val="BodyText"/>
        <w:spacing w:before="11"/>
        <w:rPr>
          <w:sz w:val="23"/>
        </w:rPr>
      </w:pPr>
    </w:p>
    <w:p>
      <w:pPr>
        <w:pStyle w:val="BodyText"/>
        <w:spacing w:line="480" w:lineRule="auto"/>
        <w:ind w:left="1418" w:right="1416"/>
        <w:jc w:val="both"/>
      </w:pPr>
      <w:r>
        <w:rPr/>
        <w:t>Nella situazione contabile al 15 ottobre 2017 il credito iscritto per Euro 4.798.372 e successivamente è stato incassato per Euro 733.143; residua un credito di Euro 4.065.229.</w:t>
      </w:r>
    </w:p>
    <w:p>
      <w:pPr>
        <w:pStyle w:val="BodyText"/>
        <w:spacing w:line="480" w:lineRule="auto"/>
        <w:ind w:left="1418" w:right="1418"/>
        <w:jc w:val="both"/>
      </w:pPr>
      <w:r>
        <w:rPr/>
        <w:t>Gli scriventi, dai chiarimenti forniti dall’Ing. Bolcheni, apprendono che, sulla base dei contratti su descritti ed esaminati, sono state completamente consegnati/eseguiti la licenza, l’ingegneria di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base e le apparecchiature tecniche, mentre non è stata fornita l’attività di assistenza all’avviamento e al montaggio dell’impianto, in quanto il cantiere non è mai stato aperto, per problemi non imputabili alla Biochemtex. Nel contratto era previsto che, al termine della costruzione e montaggio (a cura del cliente), fosse eseguito il </w:t>
      </w:r>
      <w:r>
        <w:rPr>
          <w:i/>
        </w:rPr>
        <w:t>test run </w:t>
      </w:r>
      <w:r>
        <w:rPr/>
        <w:t>per la liberazione delle garanzie.</w:t>
      </w:r>
    </w:p>
    <w:p>
      <w:pPr>
        <w:pStyle w:val="BodyText"/>
        <w:spacing w:line="480" w:lineRule="auto"/>
        <w:ind w:left="1418" w:right="1443"/>
      </w:pPr>
      <w:r>
        <w:rPr/>
        <w:t>Il </w:t>
      </w:r>
      <w:r>
        <w:rPr>
          <w:i/>
        </w:rPr>
        <w:t>test run </w:t>
      </w:r>
      <w:r>
        <w:rPr/>
        <w:t>doveva avvenire 32 mesi dopo l’entrata in vigore del contratto (14 novembre 2014). L’ing Bolcheni ha altresì precisato che, ai sensi dell’articolo 12.11 del contratto cosi come anche verificato dagli scriventi, se il </w:t>
      </w:r>
      <w:r>
        <w:rPr>
          <w:i/>
        </w:rPr>
        <w:t>test run </w:t>
      </w:r>
      <w:r>
        <w:rPr/>
        <w:t>non avviene entro 44 mesi dalla “</w:t>
      </w:r>
      <w:r>
        <w:rPr>
          <w:i/>
        </w:rPr>
        <w:t>Commencement Data</w:t>
      </w:r>
      <w:r>
        <w:rPr/>
        <w:t>“ (14/07/2018) decadono tutte le obbligazioni e relative garanzie di performance con accettazione della fine</w:t>
      </w:r>
      <w:r>
        <w:rPr>
          <w:spacing w:val="-3"/>
        </w:rPr>
        <w:t> </w:t>
      </w:r>
      <w:r>
        <w:rPr/>
        <w:t>lavori.</w:t>
      </w:r>
    </w:p>
    <w:p>
      <w:pPr>
        <w:pStyle w:val="BodyText"/>
        <w:spacing w:line="480" w:lineRule="auto"/>
        <w:ind w:left="1418" w:right="1417"/>
        <w:jc w:val="both"/>
      </w:pPr>
      <w:r>
        <w:rPr/>
        <w:t>Si precisa infine che a fronte di tale commessa, come si evince dalla risposta della banca alla circolarizzazione effettuata dalla Società con il supporto di Deloitte, sono state emesse dalla  Intesa Sanpaolo due</w:t>
      </w:r>
      <w:r>
        <w:rPr>
          <w:spacing w:val="-14"/>
        </w:rPr>
        <w:t> </w:t>
      </w:r>
      <w:r>
        <w:rPr/>
        <w:t>garanzie:</w:t>
      </w:r>
    </w:p>
    <w:p>
      <w:pPr>
        <w:pStyle w:val="ListParagraph"/>
        <w:numPr>
          <w:ilvl w:val="0"/>
          <w:numId w:val="54"/>
        </w:numPr>
        <w:tabs>
          <w:tab w:pos="2126" w:val="left" w:leader="none"/>
          <w:tab w:pos="2127" w:val="left" w:leader="none"/>
        </w:tabs>
        <w:spacing w:line="240" w:lineRule="auto" w:before="0" w:after="0"/>
        <w:ind w:left="2138" w:right="0" w:hanging="360"/>
        <w:jc w:val="left"/>
        <w:rPr>
          <w:sz w:val="24"/>
        </w:rPr>
      </w:pPr>
      <w:r>
        <w:rPr>
          <w:sz w:val="24"/>
        </w:rPr>
        <w:t>In data 12 dicembre 2016 con scadenza 18 giugno 2019 pari ad Euro</w:t>
      </w:r>
      <w:r>
        <w:rPr>
          <w:spacing w:val="-19"/>
          <w:sz w:val="24"/>
        </w:rPr>
        <w:t> </w:t>
      </w:r>
      <w:r>
        <w:rPr>
          <w:sz w:val="24"/>
        </w:rPr>
        <w:t>800.000;</w:t>
      </w:r>
    </w:p>
    <w:p>
      <w:pPr>
        <w:pStyle w:val="BodyText"/>
        <w:spacing w:before="10"/>
        <w:rPr>
          <w:sz w:val="23"/>
        </w:rPr>
      </w:pPr>
    </w:p>
    <w:p>
      <w:pPr>
        <w:pStyle w:val="ListParagraph"/>
        <w:numPr>
          <w:ilvl w:val="0"/>
          <w:numId w:val="54"/>
        </w:numPr>
        <w:tabs>
          <w:tab w:pos="2126" w:val="left" w:leader="none"/>
          <w:tab w:pos="2127" w:val="left" w:leader="none"/>
        </w:tabs>
        <w:spacing w:line="240" w:lineRule="auto" w:before="0" w:after="0"/>
        <w:ind w:left="2126" w:right="0" w:hanging="348"/>
        <w:jc w:val="left"/>
        <w:rPr>
          <w:sz w:val="24"/>
        </w:rPr>
      </w:pPr>
      <w:r>
        <w:rPr>
          <w:sz w:val="24"/>
        </w:rPr>
        <w:t>In data 14 novembre 2014 con scadenza 13 settembre 2018 pari ad Euro</w:t>
      </w:r>
      <w:r>
        <w:rPr>
          <w:spacing w:val="-22"/>
          <w:sz w:val="24"/>
        </w:rPr>
        <w:t> </w:t>
      </w:r>
      <w:r>
        <w:rPr>
          <w:sz w:val="24"/>
        </w:rPr>
        <w:t>2.100.000.</w:t>
      </w:r>
    </w:p>
    <w:p>
      <w:pPr>
        <w:pStyle w:val="BodyText"/>
        <w:spacing w:before="9"/>
        <w:rPr>
          <w:sz w:val="23"/>
        </w:rPr>
      </w:pPr>
    </w:p>
    <w:p>
      <w:pPr>
        <w:pStyle w:val="BodyText"/>
        <w:spacing w:line="480" w:lineRule="auto" w:before="1"/>
        <w:ind w:left="1418" w:right="1418"/>
        <w:jc w:val="both"/>
      </w:pPr>
      <w:r>
        <w:rPr/>
        <w:t>Il contratto è oggetto di trasferimento a Versalis e il credito residuo verrà incassato da  Biochemtex in parte nel 2018 e in parte al completamento della commessa che è previsto dall’ing. Bolcheni nel</w:t>
      </w:r>
      <w:r>
        <w:rPr>
          <w:spacing w:val="-9"/>
        </w:rPr>
        <w:t> </w:t>
      </w:r>
      <w:r>
        <w:rPr/>
        <w:t>2020.</w:t>
      </w:r>
    </w:p>
    <w:p>
      <w:pPr>
        <w:pStyle w:val="BodyText"/>
        <w:ind w:left="1418"/>
        <w:jc w:val="both"/>
      </w:pPr>
      <w:r>
        <w:rPr>
          <w:u w:val="single"/>
        </w:rPr>
        <w:t>Attività svolta</w:t>
      </w:r>
    </w:p>
    <w:p>
      <w:pPr>
        <w:pStyle w:val="BodyText"/>
        <w:spacing w:before="1"/>
        <w:rPr>
          <w:sz w:val="15"/>
        </w:rPr>
      </w:pPr>
    </w:p>
    <w:p>
      <w:pPr>
        <w:pStyle w:val="BodyText"/>
        <w:spacing w:line="480" w:lineRule="auto" w:before="100"/>
        <w:ind w:left="1418" w:right="1414"/>
        <w:jc w:val="both"/>
      </w:pPr>
      <w:r>
        <w:rPr/>
        <w:t>Ai fini dell’analisi della veridicità dei dati gli scriventi hanno preso visione delle schede contabili, della copia del contratto e della contabile bancaria di incasso di 733.143 Euro. Il cliente ha risposto alla lettera di circolarizzazione con un saldo pari ad Euro 1,2 milioni. Gli scriventi hanno chiesto chiarimenti in merito alla società ed il dott. Straccamore ha precisato che Biochemtex ha emesso</w:t>
      </w:r>
      <w:r>
        <w:rPr>
          <w:spacing w:val="52"/>
        </w:rPr>
        <w:t> </w:t>
      </w:r>
      <w:r>
        <w:rPr/>
        <w:t>le</w:t>
      </w:r>
      <w:r>
        <w:rPr>
          <w:spacing w:val="53"/>
        </w:rPr>
        <w:t> </w:t>
      </w:r>
      <w:r>
        <w:rPr/>
        <w:t>fatture</w:t>
      </w:r>
      <w:r>
        <w:rPr>
          <w:spacing w:val="53"/>
        </w:rPr>
        <w:t> </w:t>
      </w:r>
      <w:r>
        <w:rPr/>
        <w:t>equivalenti</w:t>
      </w:r>
      <w:r>
        <w:rPr>
          <w:spacing w:val="53"/>
        </w:rPr>
        <w:t> </w:t>
      </w:r>
      <w:r>
        <w:rPr/>
        <w:t>agli</w:t>
      </w:r>
      <w:r>
        <w:rPr>
          <w:spacing w:val="53"/>
        </w:rPr>
        <w:t> </w:t>
      </w:r>
      <w:r>
        <w:rPr/>
        <w:t>importi</w:t>
      </w:r>
      <w:r>
        <w:rPr>
          <w:spacing w:val="52"/>
        </w:rPr>
        <w:t> </w:t>
      </w:r>
      <w:r>
        <w:rPr/>
        <w:t>totali</w:t>
      </w:r>
      <w:r>
        <w:rPr>
          <w:spacing w:val="53"/>
        </w:rPr>
        <w:t> </w:t>
      </w:r>
      <w:r>
        <w:rPr/>
        <w:t>del</w:t>
      </w:r>
      <w:r>
        <w:rPr>
          <w:spacing w:val="53"/>
        </w:rPr>
        <w:t> </w:t>
      </w:r>
      <w:r>
        <w:rPr/>
        <w:t>credito</w:t>
      </w:r>
      <w:r>
        <w:rPr>
          <w:spacing w:val="52"/>
        </w:rPr>
        <w:t> </w:t>
      </w:r>
      <w:r>
        <w:rPr/>
        <w:t>maturato</w:t>
      </w:r>
      <w:r>
        <w:rPr>
          <w:spacing w:val="52"/>
        </w:rPr>
        <w:t> </w:t>
      </w:r>
      <w:r>
        <w:rPr/>
        <w:t>rispetto</w:t>
      </w:r>
      <w:r>
        <w:rPr>
          <w:spacing w:val="53"/>
        </w:rPr>
        <w:t> </w:t>
      </w:r>
      <w:r>
        <w:rPr/>
        <w:t>alle</w:t>
      </w:r>
      <w:r>
        <w:rPr>
          <w:spacing w:val="54"/>
        </w:rPr>
        <w:t> </w:t>
      </w:r>
      <w:r>
        <w:rPr/>
        <w:t>condizioni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previste dal contratto. Il cliente conferma invece solo il credito scaduto. Lo studio legale GOP nella sua missiva agli scriventi del 20 aprile 2018 precisa che sulla base del contratto principale  con Energochemica (rif. 3.1.1.12/2 a) Biochemtex può liberamente trasferire il contratto a un terzo, il piano prevede prudenzialmente nei fondi rischi un importo pari al 20% di Euro 2,9 milioni per la copertura della potenziale escussione delle lettere di credito in essere; lo studio  legale conclude che sulla base di quanto comunicato dalla società non essendo sorte contestazioni di alcun tipo da controparte allo stato non sembrano sussistere rischi di future pretese risarcitorie. Per quanto riguarda le cinque modifiche successive al contratto principale GOP conferma che sulla base di quanto comunicato dalla società tutte le apparecchiature sono state consegnate collaudate e fatturate e si conferma pertanto quanto espresso per il contratto principale. Per quanto riguarda il contratto di progettazione assistenza alla costruzione della centrale termoelettrica annessa all’impianto di etanolo in Slovacchia (rif. 3.1.1.43/3) lo studio GOP, sulla base delle informazioni ricevute dalla Società, conferma che il progetto è chiuso e che nessuna contestazione è stata sollevata da</w:t>
      </w:r>
      <w:r>
        <w:rPr>
          <w:spacing w:val="-9"/>
        </w:rPr>
        <w:t> </w:t>
      </w:r>
      <w:r>
        <w:rPr/>
        <w:t>controparte.</w:t>
      </w:r>
    </w:p>
    <w:p>
      <w:pPr>
        <w:pStyle w:val="BodyText"/>
        <w:ind w:left="1418"/>
        <w:jc w:val="both"/>
      </w:pPr>
      <w:r>
        <w:rPr>
          <w:u w:val="single"/>
        </w:rPr>
        <w:t>Valorizzazione concordataria</w:t>
      </w:r>
    </w:p>
    <w:p>
      <w:pPr>
        <w:pStyle w:val="BodyText"/>
      </w:pPr>
    </w:p>
    <w:p>
      <w:pPr>
        <w:pStyle w:val="BodyText"/>
        <w:spacing w:line="480" w:lineRule="auto"/>
        <w:ind w:left="1418" w:right="1414"/>
        <w:jc w:val="both"/>
      </w:pPr>
      <w:r>
        <w:rPr/>
        <w:t>Si precisa che la commessa Energochemica è ricompresa nel perimetro aziendale oggetto dell’offerta vincolante di acquisto formulata da Versalis. Sulla base del lavoro svolto possiamo concludere positivamente circa l’esistenza del credito e circa la sua esigibilità, in parte già nel  2018, ed in parte, in ottica prudenziale, al termine previsto per il completamento della commessa (fine 2020). Come sopra segnalato prudenzialmente la ricorrente ha stanziato un fondo rischi pari ad Euro 580.000 (20% di Euro 2,9 milioni lettere di credito rilasciate da Banca</w:t>
      </w:r>
      <w:r>
        <w:rPr>
          <w:spacing w:val="-23"/>
        </w:rPr>
        <w:t> </w:t>
      </w:r>
      <w:r>
        <w:rPr/>
        <w:t>Intesa).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jc w:val="both"/>
      </w:pPr>
      <w:r>
        <w:rPr>
          <w:u w:val="single"/>
        </w:rPr>
        <w:t>Entsorga West Virginia</w:t>
      </w:r>
    </w:p>
    <w:p>
      <w:pPr>
        <w:pStyle w:val="BodyText"/>
        <w:spacing w:before="11"/>
        <w:rPr>
          <w:b/>
          <w:sz w:val="23"/>
        </w:rPr>
      </w:pPr>
    </w:p>
    <w:p>
      <w:pPr>
        <w:pStyle w:val="BodyText"/>
        <w:spacing w:line="480" w:lineRule="auto"/>
        <w:ind w:left="1418" w:right="1421"/>
        <w:jc w:val="both"/>
      </w:pPr>
      <w:r>
        <w:rPr/>
        <w:t>Il credito alla data del 15 ottobre 2017 ammonta ad Euro 1.735.648, con riferimento alla nascita del credito si segnala quanto segue.</w:t>
      </w:r>
    </w:p>
    <w:p>
      <w:pPr>
        <w:pStyle w:val="BodyText"/>
        <w:spacing w:line="480" w:lineRule="auto"/>
        <w:ind w:left="1418" w:right="1413"/>
      </w:pPr>
      <w:r>
        <w:rPr/>
        <w:t>In data 9 marzo 2016 le società Chemtex International Inc. e Entosorga West Virginia LLC (di seguito anche "EWV") sottoscrivevano un accordo (</w:t>
      </w:r>
      <w:r>
        <w:rPr>
          <w:i/>
        </w:rPr>
        <w:t>Agreement For Supply of Solid Waste Conversion </w:t>
      </w:r>
      <w:r>
        <w:rPr>
          <w:i/>
        </w:rPr>
        <w:t>and Treatment Facilities</w:t>
      </w:r>
      <w:r>
        <w:rPr/>
        <w:t>) in base al quale Chemtex International Inc. si impegnava a fornire ad EWV la gestione del progetto, componenti ingegneristiche e servizi di costruzione per l'impianto che utilizza la c.d. "Entsorga Technology" (di seguito anche "EPC Agreement"). Tale tecnologia è stata sviluppata ed è di proprietà di Entsorgafin S.p.A., capogruppo di Entsorga Italia S.p.A. Contestualmente il 9 marzo 2016 Chemtex International Inc. e Lemartec Corporation sottoscrivevano un c.d. "</w:t>
      </w:r>
      <w:r>
        <w:rPr>
          <w:i/>
        </w:rPr>
        <w:t>Design-Build Lump Sum Turnley Basis Contract</w:t>
      </w:r>
      <w:r>
        <w:rPr/>
        <w:t>" per la fornitura di servizi di costruzione montaggio ed installazione relativi all'impianto di conversione dei rifiuti sito in West Virginia (USA) (c.d. "</w:t>
      </w:r>
      <w:r>
        <w:rPr>
          <w:i/>
        </w:rPr>
        <w:t>Construction Sub-contract</w:t>
      </w:r>
      <w:r>
        <w:rPr/>
        <w:t>"). In data 1 aprile 2016 Chemtex International Inc. trasferiva tale contratto a Biochemtex che ne assumeva i relativi obblighi e diritti.</w:t>
      </w:r>
    </w:p>
    <w:p>
      <w:pPr>
        <w:pStyle w:val="BodyText"/>
        <w:spacing w:line="480" w:lineRule="auto"/>
        <w:ind w:left="1418" w:right="1412"/>
        <w:jc w:val="both"/>
      </w:pPr>
      <w:r>
        <w:rPr/>
        <w:t>Il 17 marzo 2016 Chemtex International Inc. trasferiva a Biochemtex l'</w:t>
      </w:r>
      <w:r>
        <w:rPr>
          <w:i/>
        </w:rPr>
        <w:t>EPC Agreement </w:t>
      </w:r>
      <w:r>
        <w:rPr/>
        <w:t>e Biochemtex subentrava, in qualità di </w:t>
      </w:r>
      <w:r>
        <w:rPr>
          <w:i/>
        </w:rPr>
        <w:t>Contractor</w:t>
      </w:r>
      <w:r>
        <w:rPr/>
        <w:t>, ai diritti e agli obblighi in capo a Chemtex International Inc.; in virtù del predetto accordo Entsorga Italia S.p.A. si impegna a fornire e a vendere a Biochemtex assistenza tecnico-ingegneristica per la costruzione e installazione dell'impianto sottostante l'</w:t>
      </w:r>
      <w:r>
        <w:rPr>
          <w:i/>
        </w:rPr>
        <w:t>EPC Agreement</w:t>
      </w:r>
      <w:r>
        <w:rPr/>
        <w:t>.</w:t>
      </w:r>
    </w:p>
    <w:p>
      <w:pPr>
        <w:pStyle w:val="BodyText"/>
        <w:spacing w:line="480" w:lineRule="auto"/>
        <w:ind w:left="1418" w:right="1415"/>
        <w:jc w:val="both"/>
      </w:pPr>
      <w:r>
        <w:rPr/>
        <w:t>Alla luce di quanto descritto il rapporto in essere è cosi sintetizzabile: Lemartec è il fornitore di Biochemtex per la costruzione degli impianti Entsorga Italia forniva a Biochemtex assistenza tecnico-ingegneristica. A sua volta Biochemtex riforniva i suddetti impianti a Entsorga West Virginia. Pertanto, nella situazione al 15 ottobre 2017 risultano iscritti debiti verso Entsorga Italia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per 1 milione circa, debiti verso la Lemartec per Euro 700.000 circa e il credito verso ESW per Euro 1,7 milioni circa.</w:t>
      </w:r>
    </w:p>
    <w:p>
      <w:pPr>
        <w:pStyle w:val="BodyText"/>
        <w:spacing w:line="480" w:lineRule="auto"/>
        <w:ind w:left="1418" w:right="1413"/>
        <w:jc w:val="both"/>
      </w:pPr>
      <w:r>
        <w:rPr/>
        <w:t>Da informazioni ricevute dal ing. Bolcheni il contratto con Entsorga West Virginia non è più attivo in quanto interrotto a maggio 2017. Si segnala che in data 17 maggio 2016 quando Biochemtex è subentrata nel contratto attivo stipulato da Chemtex International e ESW, Biochemtex ha rilasciato una garanzia, cosiddetta a prima vista dell’importo di dollari 4.516 mila con Unicredit in relazione al </w:t>
      </w:r>
      <w:r>
        <w:rPr>
          <w:i/>
        </w:rPr>
        <w:t>Down Payment </w:t>
      </w:r>
      <w:r>
        <w:rPr/>
        <w:t>ricevuto dal cliente. Nel mese di luglio 2017 EWV richiedeva l’escussione di tale garanzia e Unicredit addebitava l’importo di 4.018 mila Euro sul cc n 40857.</w:t>
      </w:r>
    </w:p>
    <w:p>
      <w:pPr>
        <w:spacing w:line="480" w:lineRule="auto" w:before="0"/>
        <w:ind w:left="1418" w:right="1412" w:firstLine="0"/>
        <w:jc w:val="both"/>
        <w:rPr>
          <w:i/>
          <w:sz w:val="24"/>
        </w:rPr>
      </w:pPr>
      <w:r>
        <w:rPr>
          <w:sz w:val="24"/>
        </w:rPr>
        <w:t>Si segnala che nella relazione periodica n. 3 del 11 dicembre 2017, al punto 6.2.2, la Società segnala che “</w:t>
      </w:r>
      <w:r>
        <w:rPr>
          <w:i/>
          <w:sz w:val="24"/>
        </w:rPr>
        <w:t>è stata esaminata la possibilità e/o opportunità per Biochemtex di promuovere, in conformità a </w:t>
      </w:r>
      <w:r>
        <w:rPr>
          <w:i/>
          <w:sz w:val="24"/>
        </w:rPr>
        <w:t>quanto suggerito dallo Studio Venable di NY, tre diversi procedimenti arbitrali (di cui due a NY ed uno a Miami, prevedibilmente riunibili in un unico procedimento arbitrale a NY) nei confronti di Entsorga West Virginia, Lemartec e Entsorga Italia per la violazione di contratti attinenti ad un progetto di costruzione a Martinsburg, West Virginia e per la “tortious interference” dei menzionati</w:t>
      </w:r>
      <w:r>
        <w:rPr>
          <w:i/>
          <w:spacing w:val="-12"/>
          <w:sz w:val="24"/>
        </w:rPr>
        <w:t> </w:t>
      </w:r>
      <w:r>
        <w:rPr>
          <w:i/>
          <w:sz w:val="24"/>
        </w:rPr>
        <w:t>soggetti.</w:t>
      </w:r>
    </w:p>
    <w:p>
      <w:pPr>
        <w:spacing w:line="480" w:lineRule="auto" w:before="0"/>
        <w:ind w:left="1418" w:right="1412" w:firstLine="0"/>
        <w:jc w:val="both"/>
        <w:rPr>
          <w:i/>
          <w:sz w:val="24"/>
        </w:rPr>
      </w:pPr>
      <w:r>
        <w:rPr>
          <w:i/>
          <w:sz w:val="24"/>
        </w:rPr>
        <w:t>In particolare, secondo il legale americano Biochemtex avrebbe, tra le altre, la possibilità di esperire un </w:t>
      </w:r>
      <w:r>
        <w:rPr>
          <w:i/>
          <w:sz w:val="24"/>
        </w:rPr>
        <w:t>procedimento per un valore di circa USD 2 mio a fronte dell’escussione fraudolenta di una garanzia a prima richiesta rilasciata nell’interesse di Biochemtex per un importo superiore a quello previsto dalla clausola limitat</w:t>
      </w:r>
      <w:r>
        <w:rPr>
          <w:sz w:val="24"/>
        </w:rPr>
        <w:t>iva </w:t>
      </w:r>
      <w:r>
        <w:rPr>
          <w:i/>
          <w:sz w:val="24"/>
        </w:rPr>
        <w:t>di responsabilità di cui ai contratti sottoscritti inter</w:t>
      </w:r>
      <w:r>
        <w:rPr>
          <w:i/>
          <w:spacing w:val="-23"/>
          <w:sz w:val="24"/>
        </w:rPr>
        <w:t> </w:t>
      </w:r>
      <w:r>
        <w:rPr>
          <w:i/>
          <w:sz w:val="24"/>
        </w:rPr>
        <w:t>partes.</w:t>
      </w:r>
    </w:p>
    <w:p>
      <w:pPr>
        <w:spacing w:line="480" w:lineRule="auto" w:before="0"/>
        <w:ind w:left="1418" w:right="1423" w:firstLine="0"/>
        <w:jc w:val="both"/>
        <w:rPr>
          <w:i/>
          <w:sz w:val="24"/>
        </w:rPr>
      </w:pPr>
      <w:r>
        <w:rPr>
          <w:i/>
          <w:sz w:val="24"/>
        </w:rPr>
        <w:t>Ad oggi è tutt’ora in corso un’attenta analisi delle circostanze su cui si dovrebbe fondare un simile contenzioso, ivi </w:t>
      </w:r>
      <w:r>
        <w:rPr>
          <w:i/>
          <w:sz w:val="24"/>
        </w:rPr>
        <w:t>inclusa una valutazione del rischio di eventuali domande riconvenzionali delle controparti, nonché dei prevedibili costi e della durata dei procedimenti in parola e la loro compatibilità (o meno) con la procedura di concordato in bianco.”</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pStyle w:val="BodyText"/>
        <w:spacing w:line="480" w:lineRule="auto" w:before="100"/>
        <w:ind w:left="1418" w:right="1418"/>
        <w:jc w:val="both"/>
      </w:pPr>
      <w:r>
        <w:rPr/>
        <w:t>Gli scriventi, con riferimento a detta vicenda, in data 7 marzo 2018 hanno chiesto aggiornamenti alla Società ed ai legali dello studio GOP i quali in pari data, a mezzo email, segnalano:</w:t>
      </w:r>
    </w:p>
    <w:p>
      <w:pPr>
        <w:spacing w:line="480" w:lineRule="auto" w:before="0"/>
        <w:ind w:left="1418" w:right="1411" w:firstLine="0"/>
        <w:jc w:val="both"/>
        <w:rPr>
          <w:i/>
          <w:sz w:val="24"/>
        </w:rPr>
      </w:pPr>
      <w:r>
        <w:rPr>
          <w:i/>
          <w:sz w:val="24"/>
        </w:rPr>
        <w:t>“ La questione era seguita dall’Avv. Sternberg dello Studio Venable la cui intenzione, prima dell’apertura della </w:t>
      </w:r>
      <w:r>
        <w:rPr>
          <w:i/>
          <w:sz w:val="24"/>
        </w:rPr>
        <w:t>procedura di concordato in bianco a carico di Biochemtex S.p.A. (“Biochemtex”), era quella di promuovere </w:t>
      </w:r>
      <w:r>
        <w:rPr>
          <w:i/>
          <w:spacing w:val="4"/>
          <w:sz w:val="24"/>
        </w:rPr>
        <w:t>ex </w:t>
      </w:r>
      <w:r>
        <w:rPr>
          <w:i/>
          <w:sz w:val="24"/>
        </w:rPr>
        <w:t>novo tre nuovi procedimenti arbitrali (di cui due a NY e uno a Miami, con l’intento di ottenerne la riunione in un unico procedimento arbitrale a NY) nei confronti di Entsorga West Virginia, Lemartec e Entsorga Italia (le “Controparti”) per “credible claims” (“domande credibili”) per violazione dei contratti attinenti al progetto di costruzione a Martinsburg, West Virginia (il “Progetto”) e per “tortious interference” delle Controparti. In allegato Le trasmetto il memo redatto in data 26 luglio 2017 e indirizzato ai precedenti legali della Società, nonché a un (se non erro) precedente esponente con cui tuttavia non abbiamo mai</w:t>
      </w:r>
      <w:r>
        <w:rPr>
          <w:i/>
          <w:spacing w:val="-31"/>
          <w:sz w:val="24"/>
        </w:rPr>
        <w:t> </w:t>
      </w:r>
      <w:r>
        <w:rPr>
          <w:i/>
          <w:sz w:val="24"/>
        </w:rPr>
        <w:t>conferito.</w:t>
      </w:r>
    </w:p>
    <w:p>
      <w:pPr>
        <w:spacing w:line="480" w:lineRule="auto" w:before="0"/>
        <w:ind w:left="1418" w:right="1411" w:firstLine="60"/>
        <w:jc w:val="both"/>
        <w:rPr>
          <w:i/>
          <w:sz w:val="24"/>
        </w:rPr>
      </w:pPr>
      <w:r>
        <w:rPr>
          <w:i/>
          <w:sz w:val="24"/>
        </w:rPr>
        <w:t>In sostanza e in breve, secondo il parere dell’Avv. Sternberg, l’instaurazione dei menzionati contenziosi avrebbe </w:t>
      </w:r>
      <w:r>
        <w:rPr>
          <w:i/>
          <w:sz w:val="24"/>
        </w:rPr>
        <w:t>consentito a Biochemtex di aprire un tavolo delle trattative con le Controparti oppure, in assenza di una soluzione transatt</w:t>
      </w:r>
      <w:r>
        <w:rPr>
          <w:sz w:val="24"/>
        </w:rPr>
        <w:t>iva</w:t>
      </w:r>
      <w:r>
        <w:rPr>
          <w:i/>
          <w:sz w:val="24"/>
        </w:rPr>
        <w:t>, di ottenere la possibile restituzione di quelle somme che, secondo Sternberg, sarebbero state </w:t>
      </w:r>
      <w:r>
        <w:rPr>
          <w:i/>
          <w:sz w:val="24"/>
        </w:rPr>
        <w:t>illegittimamente escusse dalle Controparti a fronte di una Lettera di Credito rilasciata da Biochemtex (per USD 2 mio). Tuttavia, secondo lo stesso Avv. Sternberg, le domande di Biochemtex sarebbero “credibili” con la seguente precisazione: “When we say these contractual and tort claims are credible, we mean to say that these claims are strong enough to justify the pursuit of arbitration, but we are not saying that BCX is, or is not, likely to prevail on these claims. Each of the Counter-parties also has credible breach of contract claims against BCX, as well as potential defenses to BCX’s claims. As a result, while we think there are important strategic reasons for commencing arbitrations against the Counter-parties, </w:t>
      </w:r>
      <w:r>
        <w:rPr>
          <w:i/>
          <w:sz w:val="24"/>
          <w:u w:val="single"/>
        </w:rPr>
        <w:t>we can provide no assurance that the consolidated proceeding will be successful”.</w:t>
      </w:r>
    </w:p>
    <w:p>
      <w:pPr>
        <w:spacing w:line="480" w:lineRule="auto" w:before="0"/>
        <w:ind w:left="1418" w:right="1421" w:firstLine="60"/>
        <w:jc w:val="both"/>
        <w:rPr>
          <w:i/>
          <w:sz w:val="24"/>
        </w:rPr>
      </w:pPr>
      <w:r>
        <w:rPr>
          <w:i/>
          <w:sz w:val="24"/>
        </w:rPr>
        <w:t>Verso fine ottobre 2017 l’Avv. Sternberg ha risolto il proprio mandato di fiducia con la Società e ciò in quanto lo </w:t>
      </w:r>
      <w:r>
        <w:rPr>
          <w:i/>
          <w:sz w:val="24"/>
        </w:rPr>
        <w:t>studio legale di cui fa parte era intenzionato ad ottenere un altro mandato quale legale del comitato dei creditori del</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9" w:firstLine="0"/>
        <w:jc w:val="both"/>
        <w:rPr>
          <w:i/>
          <w:sz w:val="24"/>
        </w:rPr>
      </w:pPr>
      <w:r>
        <w:rPr>
          <w:i/>
          <w:sz w:val="24"/>
        </w:rPr>
        <w:t>Chapter 11 che sarebbe stato in conflitto con quello con Biochemtex. Quando poi il suo Studio non ha ottenuto </w:t>
      </w:r>
      <w:r>
        <w:rPr>
          <w:i/>
          <w:sz w:val="24"/>
        </w:rPr>
        <w:t>l’incarico quale legale del comitato dei creditori del Chapter 11, l’Avv. Venable si è di nuovo reso disponibile a promuovere i menzionati procedimenti nei confronti delle Controparti.</w:t>
      </w:r>
    </w:p>
    <w:p>
      <w:pPr>
        <w:spacing w:line="480" w:lineRule="auto" w:before="0"/>
        <w:ind w:left="1418" w:right="1415" w:firstLine="60"/>
        <w:jc w:val="both"/>
        <w:rPr>
          <w:i/>
          <w:sz w:val="24"/>
        </w:rPr>
      </w:pPr>
      <w:r>
        <w:rPr>
          <w:i/>
          <w:sz w:val="24"/>
        </w:rPr>
        <w:t>Insieme agli amministratori della Società abbiamo ritenuto che non sussistano i presupposti per richiedere al </w:t>
      </w:r>
      <w:r>
        <w:rPr>
          <w:i/>
          <w:sz w:val="24"/>
        </w:rPr>
        <w:t>Tribunale l’autorizzazione ad esperire i menzionati tre nuovi procedimenti arbitrali e ciò in quanto:</w:t>
      </w:r>
    </w:p>
    <w:p>
      <w:pPr>
        <w:pStyle w:val="ListParagraph"/>
        <w:numPr>
          <w:ilvl w:val="0"/>
          <w:numId w:val="54"/>
        </w:numPr>
        <w:tabs>
          <w:tab w:pos="2127" w:val="left" w:leader="none"/>
        </w:tabs>
        <w:spacing w:line="470" w:lineRule="auto" w:before="0" w:after="0"/>
        <w:ind w:left="2138" w:right="1411" w:hanging="360"/>
        <w:jc w:val="both"/>
        <w:rPr>
          <w:i/>
          <w:sz w:val="24"/>
        </w:rPr>
      </w:pPr>
      <w:r>
        <w:rPr>
          <w:i/>
          <w:sz w:val="24"/>
        </w:rPr>
        <w:t>i prevedibili costi e la durata di tre procedimenti arbitrali negli USA (anche se non ancora indicati </w:t>
      </w:r>
      <w:r>
        <w:rPr>
          <w:i/>
          <w:sz w:val="24"/>
        </w:rPr>
        <w:t>dall’Avv. Sternberg) appar</w:t>
      </w:r>
      <w:r>
        <w:rPr>
          <w:sz w:val="24"/>
        </w:rPr>
        <w:t>iva</w:t>
      </w:r>
      <w:r>
        <w:rPr>
          <w:i/>
          <w:sz w:val="24"/>
        </w:rPr>
        <w:t>no ampiamente incompatibili con la procedura di concordato in bianco di </w:t>
      </w:r>
      <w:r>
        <w:rPr>
          <w:i/>
          <w:sz w:val="24"/>
        </w:rPr>
        <w:t>Biochemtex;</w:t>
      </w:r>
    </w:p>
    <w:p>
      <w:pPr>
        <w:pStyle w:val="ListParagraph"/>
        <w:numPr>
          <w:ilvl w:val="0"/>
          <w:numId w:val="54"/>
        </w:numPr>
        <w:tabs>
          <w:tab w:pos="2127" w:val="left" w:leader="none"/>
        </w:tabs>
        <w:spacing w:line="472" w:lineRule="auto" w:before="10" w:after="0"/>
        <w:ind w:left="2138" w:right="1412" w:hanging="360"/>
        <w:jc w:val="both"/>
        <w:rPr>
          <w:i/>
          <w:sz w:val="24"/>
        </w:rPr>
      </w:pPr>
      <w:r>
        <w:rPr>
          <w:i/>
          <w:sz w:val="24"/>
        </w:rPr>
        <w:t>lo stesso legale americano lasciava intendere chiaramente che l’instaurazione dei procedimenti in parola </w:t>
      </w:r>
      <w:r>
        <w:rPr>
          <w:i/>
          <w:sz w:val="24"/>
        </w:rPr>
        <w:t>segu</w:t>
      </w:r>
      <w:r>
        <w:rPr>
          <w:sz w:val="24"/>
        </w:rPr>
        <w:t>iva </w:t>
      </w:r>
      <w:r>
        <w:rPr>
          <w:i/>
          <w:sz w:val="24"/>
        </w:rPr>
        <w:t>più una strategia stragiudiziale mentre l’Avv. Sternberg non dava alcuna assicurazione sul loro </w:t>
      </w:r>
      <w:r>
        <w:rPr>
          <w:i/>
          <w:sz w:val="24"/>
        </w:rPr>
        <w:t>esito positivo. Anzi, le Controparti avrebbero potuto svolgere domande riconvenzionali nei confronti di Biochemtex.”.</w:t>
      </w:r>
    </w:p>
    <w:p>
      <w:pPr>
        <w:pStyle w:val="BodyText"/>
        <w:spacing w:before="8"/>
        <w:ind w:left="1418"/>
        <w:jc w:val="both"/>
      </w:pPr>
      <w:r>
        <w:rPr>
          <w:u w:val="single"/>
        </w:rPr>
        <w:t>Attività svolta</w:t>
      </w:r>
    </w:p>
    <w:p>
      <w:pPr>
        <w:pStyle w:val="BodyText"/>
        <w:spacing w:before="11"/>
        <w:rPr>
          <w:sz w:val="23"/>
        </w:rPr>
      </w:pPr>
    </w:p>
    <w:p>
      <w:pPr>
        <w:pStyle w:val="BodyText"/>
        <w:spacing w:line="480" w:lineRule="auto"/>
        <w:ind w:left="1418" w:right="1411"/>
        <w:jc w:val="both"/>
      </w:pPr>
      <w:r>
        <w:rPr/>
        <w:t>Gli scriventi hanno preso visione delle schede contabili, degli esiti del lavoro svolto dalla Società con il suppporto di Deloitte sulle circolarizzazioni e sulle procedure alternative sia per quanto riguarda il cliente che i fornitori correlati Lemartec ed Ensorga Italia riportate nei </w:t>
      </w:r>
      <w:r>
        <w:rPr>
          <w:i/>
        </w:rPr>
        <w:t>Deliverables </w:t>
      </w:r>
      <w:r>
        <w:rPr/>
        <w:t>di Deloitte che ci sono stati consegnati e commentati dal management della Società ed hanno altresì ricevuto informazioni dallo studio legale GOP circa l’opportunità di esperire azioni risarcitorie.</w:t>
      </w:r>
    </w:p>
    <w:p>
      <w:pPr>
        <w:pStyle w:val="BodyText"/>
        <w:ind w:left="1418"/>
        <w:jc w:val="both"/>
      </w:pPr>
      <w:r>
        <w:rPr>
          <w:u w:val="single"/>
        </w:rPr>
        <w:t>Valorizzazione concordataria</w:t>
      </w:r>
    </w:p>
    <w:p>
      <w:pPr>
        <w:pStyle w:val="BodyText"/>
        <w:spacing w:before="10"/>
        <w:rPr>
          <w:sz w:val="23"/>
        </w:rPr>
      </w:pPr>
    </w:p>
    <w:p>
      <w:pPr>
        <w:pStyle w:val="BodyText"/>
        <w:spacing w:line="480" w:lineRule="auto" w:before="1"/>
        <w:ind w:left="1418" w:right="1414"/>
        <w:jc w:val="both"/>
      </w:pPr>
      <w:r>
        <w:rPr/>
        <w:t>Alla luce di quanto segnalato dalla Società e dallo studio legale, nel piano concordatario la Società ha prudenzialmente svalutato il credito in esame, in quanto di dubbia esigibilità, non compensando le poste creditorie e debitorie in quanto riferibili a soggetti giuridici differenti ancorché riconducibili al medesimo soggetto. Per quanto riguarda la posizione verso il   fornitore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Entsorga Italia dalla circolarizzazione è emerso che il fornitore ha avanzato una pretesa creditoria di complessivi USD 4.712 mila, di cui solo USD 1.288 mila in riconciliazione con il debito inscritto in contabilità e idoneamente supportato a livello documentale.</w:t>
      </w:r>
    </w:p>
    <w:p>
      <w:pPr>
        <w:pStyle w:val="BodyText"/>
        <w:spacing w:line="480" w:lineRule="auto"/>
        <w:ind w:left="1418" w:right="1419"/>
        <w:jc w:val="both"/>
      </w:pPr>
      <w:r>
        <w:rPr/>
        <w:t>Per quanto riguarda i restanti USD 3.424 mila, Entsroga non presenta alcuna documentazione sottostante la pretesa creditoria, limitandosi solo a scrivere che la stessa deriverebbe da merce dalla stessa ordinata, acquistata e pagata e non ritirate ovvero ricevute da Biochemtex in  violazione delle disposizioni</w:t>
      </w:r>
      <w:r>
        <w:rPr>
          <w:spacing w:val="-20"/>
        </w:rPr>
        <w:t> </w:t>
      </w:r>
      <w:r>
        <w:rPr/>
        <w:t>contrattuali.</w:t>
      </w:r>
    </w:p>
    <w:p>
      <w:pPr>
        <w:pStyle w:val="BodyText"/>
        <w:spacing w:line="480" w:lineRule="auto"/>
        <w:ind w:left="1418" w:right="1416"/>
        <w:jc w:val="both"/>
      </w:pPr>
      <w:r>
        <w:rPr/>
        <w:t>Lo studio legale GOP sulla base di quanto comunicato dalla Società per quanto riguarda Entsorga West Virginia (nel seguito anche EWV) afferma che non sembra possano ravvisarsi passività, atteso che EWV ha - in modo pretestuoso - escusso la garanzia per corretta esecuzione lavori e, ad oggi , il credito  residuo potrà essere recuperato solo con idonee azioni; quanto al rapporto  con Entsorga Italia il debito, benché contestato da Biochemtex, è stato incluso al chirografo nel piano concordatario per Euro 1.090.000. Il contratto con Entsorga West Virginia fu stipulato il 9 marzo 2016 da Chemtex International Inc. la quale poi ha ceduto </w:t>
      </w:r>
      <w:r>
        <w:rPr>
          <w:spacing w:val="3"/>
        </w:rPr>
        <w:t>il </w:t>
      </w:r>
      <w:r>
        <w:rPr/>
        <w:t>contratto a Biochemtex; per effetto di ciò Biochemtex è subentrata al contratto sia per quanto riguarda diritti e che doveri e comunque Chemtex International resta solidalmente responsabile con Biochemtex ai sensi dell’art. 3 del contratto</w:t>
      </w:r>
      <w:r>
        <w:rPr>
          <w:spacing w:val="-6"/>
        </w:rPr>
        <w:t> </w:t>
      </w:r>
      <w:r>
        <w:rPr/>
        <w:t>medesimo.</w:t>
      </w:r>
    </w:p>
    <w:p>
      <w:pPr>
        <w:pStyle w:val="Heading2"/>
        <w:jc w:val="both"/>
      </w:pPr>
      <w:r>
        <w:rPr>
          <w:u w:val="single"/>
        </w:rPr>
        <w:t>Record</w:t>
      </w:r>
    </w:p>
    <w:p>
      <w:pPr>
        <w:pStyle w:val="BodyText"/>
        <w:spacing w:before="1"/>
        <w:rPr>
          <w:b/>
          <w:sz w:val="15"/>
        </w:rPr>
      </w:pPr>
    </w:p>
    <w:p>
      <w:pPr>
        <w:pStyle w:val="BodyText"/>
        <w:spacing w:line="480" w:lineRule="auto" w:before="101"/>
        <w:ind w:left="1418" w:right="1413"/>
      </w:pPr>
      <w:r>
        <w:rPr/>
        <w:t>Il credito alla data del 15 ottobre 2017 ammonta ad Euro 2.715,40 ed è stato incassato in data 25 ottobre 2017 sul conto Banco Desio n. 253.</w:t>
      </w:r>
    </w:p>
    <w:p>
      <w:pPr>
        <w:pStyle w:val="BodyText"/>
        <w:ind w:left="1418"/>
      </w:pPr>
      <w:r>
        <w:rPr>
          <w:u w:val="single"/>
        </w:rPr>
        <w:t>Attività svolta</w:t>
      </w:r>
    </w:p>
    <w:p>
      <w:pPr>
        <w:pStyle w:val="BodyText"/>
        <w:spacing w:before="11"/>
        <w:rPr>
          <w:sz w:val="23"/>
        </w:rPr>
      </w:pPr>
    </w:p>
    <w:p>
      <w:pPr>
        <w:pStyle w:val="BodyText"/>
        <w:ind w:left="1418"/>
      </w:pPr>
      <w:r>
        <w:rPr/>
        <w:t>Gli scriventi hanno preso visione della fattura relativa al credito e della contabile di incasso.</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jc w:val="both"/>
      </w:pPr>
      <w:r>
        <w:rPr>
          <w:u w:val="single"/>
        </w:rPr>
        <w:t>NewFengming, Xinfengming, Tongxiang Zhongxin</w:t>
      </w:r>
    </w:p>
    <w:p>
      <w:pPr>
        <w:pStyle w:val="BodyText"/>
        <w:spacing w:before="11"/>
        <w:rPr>
          <w:b/>
          <w:sz w:val="23"/>
        </w:rPr>
      </w:pPr>
    </w:p>
    <w:p>
      <w:pPr>
        <w:pStyle w:val="BodyText"/>
        <w:spacing w:line="480" w:lineRule="auto"/>
        <w:ind w:left="1418" w:right="1413"/>
        <w:jc w:val="both"/>
      </w:pPr>
      <w:r>
        <w:rPr>
          <w:u w:val="single"/>
        </w:rPr>
        <w:t>Il credito alla data del 15 ottobre 2017 ammonta ad Euro 920.581 </w:t>
      </w:r>
      <w:r>
        <w:rPr/>
        <w:t>ed è stato interamente  incassato</w:t>
      </w:r>
      <w:r>
        <w:rPr>
          <w:spacing w:val="33"/>
        </w:rPr>
        <w:t> </w:t>
      </w:r>
      <w:r>
        <w:rPr/>
        <w:t>nel</w:t>
      </w:r>
      <w:r>
        <w:rPr>
          <w:spacing w:val="34"/>
        </w:rPr>
        <w:t> </w:t>
      </w:r>
      <w:r>
        <w:rPr/>
        <w:t>mese</w:t>
      </w:r>
      <w:r>
        <w:rPr>
          <w:spacing w:val="34"/>
        </w:rPr>
        <w:t> </w:t>
      </w:r>
      <w:r>
        <w:rPr/>
        <w:t>di</w:t>
      </w:r>
      <w:r>
        <w:rPr>
          <w:spacing w:val="34"/>
        </w:rPr>
        <w:t> </w:t>
      </w:r>
      <w:r>
        <w:rPr/>
        <w:t>novembre</w:t>
      </w:r>
      <w:r>
        <w:rPr>
          <w:spacing w:val="34"/>
        </w:rPr>
        <w:t> </w:t>
      </w:r>
      <w:r>
        <w:rPr/>
        <w:t>2017.</w:t>
      </w:r>
      <w:r>
        <w:rPr>
          <w:spacing w:val="34"/>
        </w:rPr>
        <w:t> </w:t>
      </w:r>
      <w:r>
        <w:rPr/>
        <w:t>Successivamente</w:t>
      </w:r>
      <w:r>
        <w:rPr>
          <w:spacing w:val="34"/>
        </w:rPr>
        <w:t> </w:t>
      </w:r>
      <w:r>
        <w:rPr/>
        <w:t>è</w:t>
      </w:r>
      <w:r>
        <w:rPr>
          <w:spacing w:val="34"/>
        </w:rPr>
        <w:t> </w:t>
      </w:r>
      <w:r>
        <w:rPr/>
        <w:t>maturato</w:t>
      </w:r>
      <w:r>
        <w:rPr>
          <w:spacing w:val="33"/>
        </w:rPr>
        <w:t> </w:t>
      </w:r>
      <w:r>
        <w:rPr/>
        <w:t>ulteriore</w:t>
      </w:r>
      <w:r>
        <w:rPr>
          <w:spacing w:val="34"/>
        </w:rPr>
        <w:t> </w:t>
      </w:r>
      <w:r>
        <w:rPr/>
        <w:t>credito</w:t>
      </w:r>
      <w:r>
        <w:rPr>
          <w:spacing w:val="33"/>
        </w:rPr>
        <w:t> </w:t>
      </w:r>
      <w:r>
        <w:rPr/>
        <w:t>per</w:t>
      </w:r>
      <w:r>
        <w:rPr>
          <w:spacing w:val="33"/>
        </w:rPr>
        <w:t> </w:t>
      </w:r>
      <w:r>
        <w:rPr/>
        <w:t>Euro</w:t>
      </w:r>
    </w:p>
    <w:p>
      <w:pPr>
        <w:pStyle w:val="BodyText"/>
        <w:spacing w:line="480" w:lineRule="auto"/>
        <w:ind w:left="1418" w:right="1417"/>
        <w:jc w:val="both"/>
      </w:pPr>
      <w:r>
        <w:rPr/>
        <w:t>1.197.368 portato dalle fatture n. 118 del 20 ottobre 2017 di USD 53.900 e n. 119 del 20 ottobre 2017 di USD 1.361.150.</w:t>
      </w:r>
    </w:p>
    <w:p>
      <w:pPr>
        <w:pStyle w:val="BodyText"/>
        <w:spacing w:line="480" w:lineRule="auto"/>
        <w:ind w:left="1418" w:right="1414"/>
        <w:jc w:val="both"/>
      </w:pPr>
      <w:r>
        <w:rPr/>
        <w:t>La società ha sottoscritto tre contratti per la fornitura di apparecchiature per 3 linee di  produzione PET in forza dei quali Biochemtex ha coordinato l’organizzazione del progetto e subappaltato a Chemtex International l’acquisto e l’invio delle apparecchiature prodotte essenzialmente in</w:t>
      </w:r>
      <w:r>
        <w:rPr>
          <w:spacing w:val="-5"/>
        </w:rPr>
        <w:t> </w:t>
      </w:r>
      <w:r>
        <w:rPr/>
        <w:t>USA.</w:t>
      </w:r>
    </w:p>
    <w:p>
      <w:pPr>
        <w:pStyle w:val="BodyText"/>
        <w:ind w:left="1418"/>
        <w:jc w:val="both"/>
      </w:pPr>
      <w:r>
        <w:rPr/>
        <w:t>Di seguito si riporta la descrizione dei suddetti contratti:</w:t>
      </w:r>
    </w:p>
    <w:p>
      <w:pPr>
        <w:pStyle w:val="BodyText"/>
      </w:pPr>
    </w:p>
    <w:p>
      <w:pPr>
        <w:pStyle w:val="ListParagraph"/>
        <w:numPr>
          <w:ilvl w:val="0"/>
          <w:numId w:val="55"/>
        </w:numPr>
        <w:tabs>
          <w:tab w:pos="1703" w:val="left" w:leader="none"/>
        </w:tabs>
        <w:spacing w:line="240" w:lineRule="auto" w:before="0" w:after="0"/>
        <w:ind w:left="1702" w:right="0" w:hanging="284"/>
        <w:jc w:val="both"/>
        <w:rPr>
          <w:sz w:val="24"/>
        </w:rPr>
      </w:pPr>
      <w:r>
        <w:rPr>
          <w:sz w:val="24"/>
        </w:rPr>
        <w:t>Contratto stipulato con </w:t>
      </w:r>
      <w:r>
        <w:rPr>
          <w:sz w:val="24"/>
          <w:u w:val="single"/>
        </w:rPr>
        <w:t>NewFengming Group Huzhou Zhongshi Technology Co. Ltd </w:t>
      </w:r>
      <w:r>
        <w:rPr>
          <w:sz w:val="24"/>
        </w:rPr>
        <w:t>in</w:t>
      </w:r>
      <w:r>
        <w:rPr>
          <w:spacing w:val="52"/>
          <w:sz w:val="24"/>
        </w:rPr>
        <w:t> </w:t>
      </w:r>
      <w:r>
        <w:rPr>
          <w:sz w:val="24"/>
        </w:rPr>
        <w:t>data</w:t>
      </w:r>
    </w:p>
    <w:p>
      <w:pPr>
        <w:pStyle w:val="BodyText"/>
        <w:rPr>
          <w:sz w:val="15"/>
        </w:rPr>
      </w:pPr>
    </w:p>
    <w:p>
      <w:pPr>
        <w:pStyle w:val="BodyText"/>
        <w:spacing w:line="480" w:lineRule="auto" w:before="101"/>
        <w:ind w:left="1702" w:right="1518"/>
      </w:pPr>
      <w:r>
        <w:rPr/>
        <w:t>28 ottobre 2016 per la fornitura del </w:t>
      </w:r>
      <w:r>
        <w:rPr>
          <w:i/>
        </w:rPr>
        <w:t>Critical equipment</w:t>
      </w:r>
      <w:r>
        <w:rPr/>
        <w:t>, per la costruzione di una linea di produzione di polimeri di poliestere (CP11) a Huzhou in Cina.</w:t>
      </w:r>
    </w:p>
    <w:p>
      <w:pPr>
        <w:pStyle w:val="BodyText"/>
        <w:ind w:left="1702"/>
      </w:pPr>
      <w:r>
        <w:rPr/>
        <w:t>Il corrispettivo previsto ammonta a USD 5.300.000 da corrispondersi nel modo seguente:</w:t>
      </w:r>
    </w:p>
    <w:p>
      <w:pPr>
        <w:pStyle w:val="BodyText"/>
        <w:spacing w:before="11"/>
        <w:rPr>
          <w:sz w:val="23"/>
        </w:rPr>
      </w:pPr>
    </w:p>
    <w:p>
      <w:pPr>
        <w:pStyle w:val="ListParagraph"/>
        <w:numPr>
          <w:ilvl w:val="0"/>
          <w:numId w:val="56"/>
        </w:numPr>
        <w:tabs>
          <w:tab w:pos="2127" w:val="left" w:leader="none"/>
        </w:tabs>
        <w:spacing w:line="480" w:lineRule="auto" w:before="0" w:after="0"/>
        <w:ind w:left="2422" w:right="1412" w:hanging="576"/>
        <w:jc w:val="left"/>
        <w:rPr>
          <w:sz w:val="24"/>
        </w:rPr>
      </w:pPr>
      <w:r>
        <w:rPr>
          <w:sz w:val="24"/>
        </w:rPr>
        <w:t>30% dell'importo contrattuale, pari a USD 1.590.000, a titolo di </w:t>
      </w:r>
      <w:r>
        <w:rPr>
          <w:i/>
          <w:sz w:val="24"/>
        </w:rPr>
        <w:t>down-payment </w:t>
      </w:r>
      <w:r>
        <w:rPr>
          <w:sz w:val="24"/>
        </w:rPr>
        <w:t>entro sette giorni dal ricevimento dei seguenti</w:t>
      </w:r>
      <w:r>
        <w:rPr>
          <w:spacing w:val="-13"/>
          <w:sz w:val="24"/>
        </w:rPr>
        <w:t> </w:t>
      </w:r>
      <w:r>
        <w:rPr>
          <w:sz w:val="24"/>
        </w:rPr>
        <w:t>documenti:</w:t>
      </w:r>
    </w:p>
    <w:p>
      <w:pPr>
        <w:pStyle w:val="ListParagraph"/>
        <w:numPr>
          <w:ilvl w:val="1"/>
          <w:numId w:val="56"/>
        </w:numPr>
        <w:tabs>
          <w:tab w:pos="2547" w:val="left" w:leader="none"/>
        </w:tabs>
        <w:spacing w:line="240" w:lineRule="auto" w:before="0" w:after="0"/>
        <w:ind w:left="2551" w:right="0" w:hanging="139"/>
        <w:jc w:val="left"/>
        <w:rPr>
          <w:sz w:val="24"/>
        </w:rPr>
      </w:pPr>
      <w:r>
        <w:rPr>
          <w:sz w:val="24"/>
        </w:rPr>
        <w:t>copia della </w:t>
      </w:r>
      <w:r>
        <w:rPr>
          <w:i/>
          <w:sz w:val="24"/>
        </w:rPr>
        <w:t>standby letter </w:t>
      </w:r>
      <w:r>
        <w:rPr>
          <w:sz w:val="24"/>
        </w:rPr>
        <w:t>emessa dall'istituto bancario di</w:t>
      </w:r>
      <w:r>
        <w:rPr>
          <w:spacing w:val="-25"/>
          <w:sz w:val="24"/>
        </w:rPr>
        <w:t> </w:t>
      </w:r>
      <w:r>
        <w:rPr>
          <w:sz w:val="24"/>
        </w:rPr>
        <w:t>Biochemtex;</w:t>
      </w:r>
    </w:p>
    <w:p>
      <w:pPr>
        <w:pStyle w:val="BodyText"/>
      </w:pPr>
    </w:p>
    <w:p>
      <w:pPr>
        <w:pStyle w:val="ListParagraph"/>
        <w:numPr>
          <w:ilvl w:val="1"/>
          <w:numId w:val="56"/>
        </w:numPr>
        <w:tabs>
          <w:tab w:pos="2550" w:val="left" w:leader="none"/>
        </w:tabs>
        <w:spacing w:line="480" w:lineRule="auto" w:before="0" w:after="0"/>
        <w:ind w:left="2551" w:right="1415" w:hanging="139"/>
        <w:jc w:val="left"/>
        <w:rPr>
          <w:sz w:val="24"/>
        </w:rPr>
      </w:pPr>
      <w:r>
        <w:rPr>
          <w:sz w:val="24"/>
        </w:rPr>
        <w:t>cinque copie firmate della fattura pro-forma emessa da Biochemtex che copre l'intero valore</w:t>
      </w:r>
      <w:r>
        <w:rPr>
          <w:spacing w:val="-7"/>
          <w:sz w:val="24"/>
        </w:rPr>
        <w:t> </w:t>
      </w:r>
      <w:r>
        <w:rPr>
          <w:sz w:val="24"/>
        </w:rPr>
        <w:t>contrattuale;</w:t>
      </w:r>
    </w:p>
    <w:p>
      <w:pPr>
        <w:pStyle w:val="ListParagraph"/>
        <w:numPr>
          <w:ilvl w:val="1"/>
          <w:numId w:val="56"/>
        </w:numPr>
        <w:tabs>
          <w:tab w:pos="2547" w:val="left" w:leader="none"/>
        </w:tabs>
        <w:spacing w:line="240" w:lineRule="auto" w:before="0" w:after="0"/>
        <w:ind w:left="2546" w:right="0" w:hanging="134"/>
        <w:jc w:val="left"/>
        <w:rPr>
          <w:sz w:val="24"/>
        </w:rPr>
      </w:pPr>
      <w:r>
        <w:rPr>
          <w:sz w:val="24"/>
        </w:rPr>
        <w:t>cinque copie della fattura</w:t>
      </w:r>
      <w:r>
        <w:rPr>
          <w:spacing w:val="-18"/>
          <w:sz w:val="24"/>
        </w:rPr>
        <w:t> </w:t>
      </w:r>
      <w:r>
        <w:rPr>
          <w:sz w:val="24"/>
        </w:rPr>
        <w:t>commerciale;</w:t>
      </w:r>
    </w:p>
    <w:p>
      <w:pPr>
        <w:pStyle w:val="BodyText"/>
      </w:pPr>
    </w:p>
    <w:p>
      <w:pPr>
        <w:pStyle w:val="ListParagraph"/>
        <w:numPr>
          <w:ilvl w:val="1"/>
          <w:numId w:val="56"/>
        </w:numPr>
        <w:tabs>
          <w:tab w:pos="2547" w:val="left" w:leader="none"/>
        </w:tabs>
        <w:spacing w:line="240" w:lineRule="auto" w:before="0" w:after="0"/>
        <w:ind w:left="2546" w:right="0" w:hanging="134"/>
        <w:jc w:val="left"/>
        <w:rPr>
          <w:sz w:val="24"/>
        </w:rPr>
      </w:pPr>
      <w:r>
        <w:rPr>
          <w:sz w:val="24"/>
        </w:rPr>
        <w:t>due copie firmate del "</w:t>
      </w:r>
      <w:r>
        <w:rPr>
          <w:i/>
          <w:sz w:val="24"/>
        </w:rPr>
        <w:t>sight</w:t>
      </w:r>
      <w:r>
        <w:rPr>
          <w:i/>
          <w:spacing w:val="-8"/>
          <w:sz w:val="24"/>
        </w:rPr>
        <w:t> </w:t>
      </w:r>
      <w:r>
        <w:rPr>
          <w:i/>
          <w:sz w:val="24"/>
        </w:rPr>
        <w:t>draft</w:t>
      </w:r>
      <w:r>
        <w:rPr>
          <w:sz w:val="24"/>
        </w:rPr>
        <w:t>";</w:t>
      </w:r>
    </w:p>
    <w:p>
      <w:pPr>
        <w:pStyle w:val="BodyText"/>
        <w:spacing w:before="11"/>
        <w:rPr>
          <w:sz w:val="23"/>
        </w:rPr>
      </w:pPr>
    </w:p>
    <w:p>
      <w:pPr>
        <w:pStyle w:val="ListParagraph"/>
        <w:numPr>
          <w:ilvl w:val="0"/>
          <w:numId w:val="56"/>
        </w:numPr>
        <w:tabs>
          <w:tab w:pos="2421" w:val="left" w:leader="none"/>
          <w:tab w:pos="2422" w:val="left" w:leader="none"/>
        </w:tabs>
        <w:spacing w:line="480" w:lineRule="auto" w:before="0" w:after="0"/>
        <w:ind w:left="2422" w:right="1422" w:hanging="437"/>
        <w:jc w:val="left"/>
        <w:rPr>
          <w:sz w:val="24"/>
        </w:rPr>
      </w:pPr>
      <w:r>
        <w:rPr>
          <w:sz w:val="24"/>
        </w:rPr>
        <w:t>saldo pari al 70% dell'importo contrattuale, USD 3.710.000, a vista al ricevimento dei seguenti documenti:</w:t>
      </w:r>
    </w:p>
    <w:p>
      <w:pPr>
        <w:spacing w:after="0" w:line="48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1"/>
          <w:numId w:val="56"/>
        </w:numPr>
        <w:tabs>
          <w:tab w:pos="2547" w:val="left" w:leader="none"/>
        </w:tabs>
        <w:spacing w:line="240" w:lineRule="auto" w:before="100" w:after="0"/>
        <w:ind w:left="2551" w:right="0" w:hanging="139"/>
        <w:jc w:val="left"/>
        <w:rPr>
          <w:sz w:val="24"/>
        </w:rPr>
      </w:pPr>
      <w:r>
        <w:rPr>
          <w:i/>
          <w:sz w:val="24"/>
        </w:rPr>
        <w:t>bill of lading</w:t>
      </w:r>
      <w:r>
        <w:rPr>
          <w:sz w:val="24"/>
        </w:rPr>
        <w:t>;</w:t>
      </w:r>
    </w:p>
    <w:p>
      <w:pPr>
        <w:pStyle w:val="BodyText"/>
        <w:spacing w:before="11"/>
        <w:rPr>
          <w:sz w:val="23"/>
        </w:rPr>
      </w:pPr>
    </w:p>
    <w:p>
      <w:pPr>
        <w:pStyle w:val="ListParagraph"/>
        <w:numPr>
          <w:ilvl w:val="1"/>
          <w:numId w:val="56"/>
        </w:numPr>
        <w:tabs>
          <w:tab w:pos="2643" w:val="left" w:leader="none"/>
        </w:tabs>
        <w:spacing w:line="480" w:lineRule="auto" w:before="0" w:after="0"/>
        <w:ind w:left="2551" w:right="1420" w:hanging="139"/>
        <w:jc w:val="left"/>
        <w:rPr>
          <w:sz w:val="24"/>
        </w:rPr>
      </w:pPr>
      <w:r>
        <w:rPr>
          <w:sz w:val="24"/>
        </w:rPr>
        <w:t>certificati di qualità emessi da Biochemtex relativi alla fornitura di "Critical equipment";</w:t>
      </w:r>
    </w:p>
    <w:p>
      <w:pPr>
        <w:pStyle w:val="ListParagraph"/>
        <w:numPr>
          <w:ilvl w:val="1"/>
          <w:numId w:val="56"/>
        </w:numPr>
        <w:tabs>
          <w:tab w:pos="2547" w:val="left" w:leader="none"/>
        </w:tabs>
        <w:spacing w:line="240" w:lineRule="auto" w:before="0" w:after="0"/>
        <w:ind w:left="2546" w:right="0" w:hanging="134"/>
        <w:jc w:val="left"/>
        <w:rPr>
          <w:sz w:val="24"/>
        </w:rPr>
      </w:pPr>
      <w:r>
        <w:rPr>
          <w:sz w:val="24"/>
        </w:rPr>
        <w:t>cinque copie della </w:t>
      </w:r>
      <w:r>
        <w:rPr>
          <w:i/>
          <w:sz w:val="24"/>
        </w:rPr>
        <w:t>packing</w:t>
      </w:r>
      <w:r>
        <w:rPr>
          <w:i/>
          <w:spacing w:val="-11"/>
          <w:sz w:val="24"/>
        </w:rPr>
        <w:t> </w:t>
      </w:r>
      <w:r>
        <w:rPr>
          <w:i/>
          <w:sz w:val="24"/>
        </w:rPr>
        <w:t>list</w:t>
      </w:r>
      <w:r>
        <w:rPr>
          <w:sz w:val="24"/>
        </w:rPr>
        <w:t>;</w:t>
      </w:r>
    </w:p>
    <w:p>
      <w:pPr>
        <w:pStyle w:val="BodyText"/>
      </w:pPr>
    </w:p>
    <w:p>
      <w:pPr>
        <w:pStyle w:val="ListParagraph"/>
        <w:numPr>
          <w:ilvl w:val="1"/>
          <w:numId w:val="56"/>
        </w:numPr>
        <w:tabs>
          <w:tab w:pos="2547" w:val="left" w:leader="none"/>
        </w:tabs>
        <w:spacing w:line="240" w:lineRule="auto" w:before="0" w:after="0"/>
        <w:ind w:left="2546" w:right="0" w:hanging="134"/>
        <w:jc w:val="left"/>
        <w:rPr>
          <w:sz w:val="24"/>
        </w:rPr>
      </w:pPr>
      <w:r>
        <w:rPr>
          <w:sz w:val="24"/>
        </w:rPr>
        <w:t>cinque firmate copie della</w:t>
      </w:r>
      <w:r>
        <w:rPr>
          <w:spacing w:val="-15"/>
          <w:sz w:val="24"/>
        </w:rPr>
        <w:t> </w:t>
      </w:r>
      <w:r>
        <w:rPr>
          <w:sz w:val="24"/>
        </w:rPr>
        <w:t>fattura;</w:t>
      </w:r>
    </w:p>
    <w:p>
      <w:pPr>
        <w:pStyle w:val="BodyText"/>
      </w:pPr>
    </w:p>
    <w:p>
      <w:pPr>
        <w:pStyle w:val="ListParagraph"/>
        <w:numPr>
          <w:ilvl w:val="1"/>
          <w:numId w:val="56"/>
        </w:numPr>
        <w:tabs>
          <w:tab w:pos="2547" w:val="left" w:leader="none"/>
        </w:tabs>
        <w:spacing w:line="240" w:lineRule="auto" w:before="0" w:after="0"/>
        <w:ind w:left="2546" w:right="0" w:hanging="134"/>
        <w:jc w:val="left"/>
        <w:rPr>
          <w:sz w:val="24"/>
        </w:rPr>
      </w:pPr>
      <w:r>
        <w:rPr>
          <w:sz w:val="24"/>
        </w:rPr>
        <w:t>due copie firmate del "</w:t>
      </w:r>
      <w:r>
        <w:rPr>
          <w:i/>
          <w:sz w:val="24"/>
        </w:rPr>
        <w:t>sight</w:t>
      </w:r>
      <w:r>
        <w:rPr>
          <w:i/>
          <w:spacing w:val="-8"/>
          <w:sz w:val="24"/>
        </w:rPr>
        <w:t> </w:t>
      </w:r>
      <w:r>
        <w:rPr>
          <w:i/>
          <w:sz w:val="24"/>
        </w:rPr>
        <w:t>dra</w:t>
      </w:r>
      <w:r>
        <w:rPr>
          <w:sz w:val="24"/>
        </w:rPr>
        <w:t>ft";</w:t>
      </w:r>
    </w:p>
    <w:p>
      <w:pPr>
        <w:pStyle w:val="BodyText"/>
        <w:spacing w:before="10"/>
        <w:rPr>
          <w:sz w:val="23"/>
        </w:rPr>
      </w:pPr>
    </w:p>
    <w:p>
      <w:pPr>
        <w:pStyle w:val="ListParagraph"/>
        <w:numPr>
          <w:ilvl w:val="1"/>
          <w:numId w:val="56"/>
        </w:numPr>
        <w:tabs>
          <w:tab w:pos="2578" w:val="left" w:leader="none"/>
        </w:tabs>
        <w:spacing w:line="480" w:lineRule="auto" w:before="0" w:after="0"/>
        <w:ind w:left="2551" w:right="1414" w:hanging="139"/>
        <w:jc w:val="left"/>
        <w:rPr>
          <w:sz w:val="24"/>
        </w:rPr>
      </w:pPr>
      <w:r>
        <w:rPr>
          <w:sz w:val="24"/>
        </w:rPr>
        <w:t>certificato originale indicante il codice IPPC per i "</w:t>
      </w:r>
      <w:r>
        <w:rPr>
          <w:i/>
          <w:sz w:val="24"/>
        </w:rPr>
        <w:t>wooden packing materials</w:t>
      </w:r>
      <w:r>
        <w:rPr>
          <w:sz w:val="24"/>
        </w:rPr>
        <w:t>" ovvero  una dichiarazione di "</w:t>
      </w:r>
      <w:r>
        <w:rPr>
          <w:i/>
          <w:sz w:val="24"/>
        </w:rPr>
        <w:t>non-wood packing for non-wood packing materials</w:t>
      </w:r>
      <w:r>
        <w:rPr>
          <w:sz w:val="24"/>
        </w:rPr>
        <w:t>" se</w:t>
      </w:r>
      <w:r>
        <w:rPr>
          <w:spacing w:val="-34"/>
          <w:sz w:val="24"/>
        </w:rPr>
        <w:t> </w:t>
      </w:r>
      <w:r>
        <w:rPr>
          <w:sz w:val="24"/>
        </w:rPr>
        <w:t>applicabile.</w:t>
      </w:r>
    </w:p>
    <w:p>
      <w:pPr>
        <w:pStyle w:val="BodyText"/>
        <w:spacing w:line="480" w:lineRule="auto"/>
        <w:ind w:left="1702" w:right="1411"/>
        <w:jc w:val="both"/>
      </w:pPr>
      <w:r>
        <w:rPr/>
        <w:t>Dopo la consegna dell'ultima spedizione di materiali, Biochemtex deve attivare una </w:t>
      </w:r>
      <w:r>
        <w:rPr>
          <w:i/>
        </w:rPr>
        <w:t>standby  </w:t>
      </w:r>
      <w:r>
        <w:rPr>
          <w:i/>
        </w:rPr>
        <w:t>letter </w:t>
      </w:r>
      <w:r>
        <w:rPr/>
        <w:t>di credito a favore del cliente pari al 5% del totale contrattuale a titolo di garanzia per il "Performance Test" relativo al "</w:t>
      </w:r>
      <w:r>
        <w:rPr>
          <w:i/>
        </w:rPr>
        <w:t>Contract equip</w:t>
      </w:r>
      <w:r>
        <w:rPr/>
        <w:t>ment" fornito da</w:t>
      </w:r>
      <w:r>
        <w:rPr>
          <w:spacing w:val="-28"/>
        </w:rPr>
        <w:t> </w:t>
      </w:r>
      <w:r>
        <w:rPr/>
        <w:t>Biochemtex.</w:t>
      </w:r>
    </w:p>
    <w:p>
      <w:pPr>
        <w:pStyle w:val="BodyText"/>
        <w:spacing w:line="480" w:lineRule="auto" w:before="1"/>
        <w:ind w:left="1702" w:right="1414"/>
        <w:jc w:val="both"/>
      </w:pPr>
      <w:r>
        <w:rPr/>
        <w:t>Inoltre, entro una settimana dalla firma del certificato di accettazione, Biochemtex deve aprire anche una </w:t>
      </w:r>
      <w:r>
        <w:rPr>
          <w:i/>
        </w:rPr>
        <w:t>standby letter </w:t>
      </w:r>
      <w:r>
        <w:rPr/>
        <w:t>di credito a favore del cliente che copra il 5% del totale contrattuale per il periodo di garanzia meccanica del </w:t>
      </w:r>
      <w:r>
        <w:rPr>
          <w:i/>
        </w:rPr>
        <w:t>contract equipment</w:t>
      </w:r>
      <w:r>
        <w:rPr/>
        <w:t>.</w:t>
      </w:r>
    </w:p>
    <w:p>
      <w:pPr>
        <w:pStyle w:val="BodyText"/>
        <w:spacing w:line="480" w:lineRule="auto"/>
        <w:ind w:left="1702" w:right="1415"/>
        <w:jc w:val="both"/>
      </w:pPr>
      <w:r>
        <w:rPr/>
        <w:t>Entro due mesi dal pagamento dell'anticipo contrattuale, il cliente deve aprire una lettera irrevocabile di credito pagabile a vista di importo pari al 70% del totale contrattuale emessa da Bank of China o altra banca accettata da Biochemtex. Tale lettera diviene efficace a seguito dell'emissione e rimane valida per 11 mesi dopo la data di esecuzione del contratto (come specificato dall'art. 13). Se tale lettera non viene aperta in tempo e oltre 3 mesi dalla "Effective Date", Biochemtex ha il diritto di recedere parzialmente o totalmente dal contratto e trattenere l'anticipo (down-payment).</w:t>
      </w:r>
    </w:p>
    <w:p>
      <w:pPr>
        <w:pStyle w:val="BodyText"/>
        <w:spacing w:line="480" w:lineRule="auto"/>
        <w:ind w:left="1702" w:right="1423"/>
        <w:jc w:val="both"/>
      </w:pPr>
      <w:r>
        <w:rPr/>
        <w:t>La garanzia meccanica del "Contract Equipment" fornita da Biochemtex ha validità per 12 mesi dalla data di start-up ovvero per 27 mesi dalla data di effective date (se inferiore).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702" w:right="1417"/>
        <w:jc w:val="both"/>
      </w:pPr>
      <w:r>
        <w:rPr/>
        <w:t>Il periodo di garanzia previsto per il "Contract Equipment" riparato ovvero sostituito durante il periodo di garanzia meccanica ha validità 12 mesi dalla data di rimessa in operatività o nuovo utilizzo.</w:t>
      </w:r>
    </w:p>
    <w:p>
      <w:pPr>
        <w:pStyle w:val="BodyText"/>
        <w:spacing w:line="480" w:lineRule="auto"/>
        <w:ind w:left="1702" w:right="1422"/>
        <w:jc w:val="both"/>
      </w:pPr>
      <w:r>
        <w:rPr/>
        <w:t>La passività massima prevista in capo a Biochemtex relativamente al contratto non può eccedere il 5% dell'importo contrattuale (così come specificato all'articolo 2).</w:t>
      </w:r>
    </w:p>
    <w:p>
      <w:pPr>
        <w:pStyle w:val="ListParagraph"/>
        <w:numPr>
          <w:ilvl w:val="0"/>
          <w:numId w:val="55"/>
        </w:numPr>
        <w:tabs>
          <w:tab w:pos="1703" w:val="left" w:leader="none"/>
        </w:tabs>
        <w:spacing w:line="480" w:lineRule="auto" w:before="0" w:after="0"/>
        <w:ind w:left="1702" w:right="1412" w:hanging="284"/>
        <w:jc w:val="both"/>
        <w:rPr>
          <w:sz w:val="24"/>
        </w:rPr>
      </w:pPr>
      <w:r>
        <w:rPr>
          <w:sz w:val="24"/>
        </w:rPr>
        <w:t>Contratto stipulato con Xinfengming Group Huzhou Zhongshi Technology Co. Ltd, il 10 gennaio 2017, relativamente alla fornitura del </w:t>
      </w:r>
      <w:r>
        <w:rPr>
          <w:i/>
          <w:sz w:val="24"/>
        </w:rPr>
        <w:t>Critical equipment</w:t>
      </w:r>
      <w:r>
        <w:rPr>
          <w:sz w:val="24"/>
        </w:rPr>
        <w:t>, necessario per la costruzione di una linea di produzione di polimeri di poliestere (CP 12) a Huzhou in Cina. L’Efficacia scaturisce dall'incasso del </w:t>
      </w:r>
      <w:r>
        <w:rPr>
          <w:i/>
          <w:sz w:val="24"/>
        </w:rPr>
        <w:t>down-payment </w:t>
      </w:r>
      <w:r>
        <w:rPr>
          <w:sz w:val="24"/>
        </w:rPr>
        <w:t>da parte di</w:t>
      </w:r>
      <w:r>
        <w:rPr>
          <w:spacing w:val="-26"/>
          <w:sz w:val="24"/>
        </w:rPr>
        <w:t> </w:t>
      </w:r>
      <w:r>
        <w:rPr>
          <w:sz w:val="24"/>
        </w:rPr>
        <w:t>Biochemtex.</w:t>
      </w:r>
    </w:p>
    <w:p>
      <w:pPr>
        <w:pStyle w:val="BodyText"/>
        <w:spacing w:line="480" w:lineRule="auto"/>
        <w:ind w:left="1702" w:right="1415"/>
        <w:jc w:val="both"/>
      </w:pPr>
      <w:r>
        <w:rPr/>
        <w:t>La data in cui Biochemtex informa Xinfengming tramite fax del ricevimento dell'anticipo contrattuale viene definita quale "</w:t>
      </w:r>
      <w:r>
        <w:rPr>
          <w:i/>
        </w:rPr>
        <w:t>Effective date</w:t>
      </w:r>
      <w:r>
        <w:rPr/>
        <w:t>". Tale data deve essere accettata da  Xinfengming.</w:t>
      </w:r>
    </w:p>
    <w:p>
      <w:pPr>
        <w:pStyle w:val="BodyText"/>
        <w:spacing w:line="480" w:lineRule="auto"/>
        <w:ind w:left="1702" w:right="1417"/>
        <w:jc w:val="both"/>
      </w:pPr>
      <w:r>
        <w:rPr/>
        <w:t>Biochemtex è tenuta a completare la fornitura del "</w:t>
      </w:r>
      <w:r>
        <w:rPr>
          <w:i/>
        </w:rPr>
        <w:t>Contract Equipment</w:t>
      </w:r>
      <w:r>
        <w:rPr/>
        <w:t>" entro 12 mesi dall'"</w:t>
      </w:r>
      <w:r>
        <w:rPr>
          <w:i/>
        </w:rPr>
        <w:t>Effective date</w:t>
      </w:r>
      <w:r>
        <w:rPr/>
        <w:t>" purchè Xinfengming abbia aperto la lettera di credito indicata nell'Art. 3.</w:t>
      </w:r>
    </w:p>
    <w:p>
      <w:pPr>
        <w:pStyle w:val="BodyText"/>
        <w:spacing w:line="480" w:lineRule="auto"/>
        <w:ind w:left="1702" w:right="2586"/>
      </w:pPr>
      <w:r>
        <w:rPr/>
        <w:t>Il contratto termina automaticamente alla fine del settimo anno dall'"</w:t>
      </w:r>
      <w:r>
        <w:rPr>
          <w:i/>
        </w:rPr>
        <w:t>Effective date</w:t>
      </w:r>
      <w:r>
        <w:rPr/>
        <w:t>". Il corrispettivo previsto è di USD 5.300.000 da corrispondersi nel modo seguente:</w:t>
      </w:r>
    </w:p>
    <w:p>
      <w:pPr>
        <w:pStyle w:val="ListParagraph"/>
        <w:numPr>
          <w:ilvl w:val="1"/>
          <w:numId w:val="55"/>
        </w:numPr>
        <w:tabs>
          <w:tab w:pos="2422" w:val="left" w:leader="none"/>
        </w:tabs>
        <w:spacing w:line="480" w:lineRule="auto" w:before="0" w:after="0"/>
        <w:ind w:left="2422" w:right="1415" w:hanging="437"/>
        <w:jc w:val="both"/>
        <w:rPr>
          <w:sz w:val="24"/>
        </w:rPr>
      </w:pPr>
      <w:r>
        <w:rPr>
          <w:sz w:val="24"/>
        </w:rPr>
        <w:t>30% dell'importo contrattuale, pari a USD 1.590.000, a titolo di </w:t>
      </w:r>
      <w:r>
        <w:rPr>
          <w:i/>
          <w:sz w:val="24"/>
        </w:rPr>
        <w:t>down-payment</w:t>
      </w:r>
      <w:r>
        <w:rPr>
          <w:sz w:val="24"/>
        </w:rPr>
        <w:t>, entro la fine di febbraio 2017 e comunque entro sette giorni dal ricevimento dei seguenti documenti:</w:t>
      </w:r>
    </w:p>
    <w:p>
      <w:pPr>
        <w:pStyle w:val="ListParagraph"/>
        <w:numPr>
          <w:ilvl w:val="2"/>
          <w:numId w:val="55"/>
        </w:numPr>
        <w:tabs>
          <w:tab w:pos="2547" w:val="left" w:leader="none"/>
        </w:tabs>
        <w:spacing w:line="240" w:lineRule="auto" w:before="0" w:after="0"/>
        <w:ind w:left="2551" w:right="0" w:hanging="139"/>
        <w:jc w:val="left"/>
        <w:rPr>
          <w:sz w:val="24"/>
        </w:rPr>
      </w:pPr>
      <w:r>
        <w:rPr>
          <w:sz w:val="24"/>
        </w:rPr>
        <w:t>copia della </w:t>
      </w:r>
      <w:r>
        <w:rPr>
          <w:i/>
          <w:sz w:val="24"/>
        </w:rPr>
        <w:t>standby let</w:t>
      </w:r>
      <w:r>
        <w:rPr>
          <w:sz w:val="24"/>
        </w:rPr>
        <w:t>ter emessa dall'istituto bancario di</w:t>
      </w:r>
      <w:r>
        <w:rPr>
          <w:spacing w:val="-25"/>
          <w:sz w:val="24"/>
        </w:rPr>
        <w:t> </w:t>
      </w:r>
      <w:r>
        <w:rPr>
          <w:sz w:val="24"/>
        </w:rPr>
        <w:t>Biochemtex;</w:t>
      </w:r>
    </w:p>
    <w:p>
      <w:pPr>
        <w:pStyle w:val="BodyText"/>
      </w:pPr>
    </w:p>
    <w:p>
      <w:pPr>
        <w:pStyle w:val="ListParagraph"/>
        <w:numPr>
          <w:ilvl w:val="2"/>
          <w:numId w:val="55"/>
        </w:numPr>
        <w:tabs>
          <w:tab w:pos="2550" w:val="left" w:leader="none"/>
        </w:tabs>
        <w:spacing w:line="480" w:lineRule="auto" w:before="0" w:after="0"/>
        <w:ind w:left="2551" w:right="1415" w:hanging="139"/>
        <w:jc w:val="left"/>
        <w:rPr>
          <w:sz w:val="24"/>
        </w:rPr>
      </w:pPr>
      <w:r>
        <w:rPr>
          <w:sz w:val="24"/>
        </w:rPr>
        <w:t>cinque copie firmate della fattura pro-forma emessa da Biochemtex che copre l'intero valore</w:t>
      </w:r>
      <w:r>
        <w:rPr>
          <w:spacing w:val="-7"/>
          <w:sz w:val="24"/>
        </w:rPr>
        <w:t> </w:t>
      </w:r>
      <w:r>
        <w:rPr>
          <w:sz w:val="24"/>
        </w:rPr>
        <w:t>contrattuale;</w:t>
      </w:r>
    </w:p>
    <w:p>
      <w:pPr>
        <w:pStyle w:val="ListParagraph"/>
        <w:numPr>
          <w:ilvl w:val="2"/>
          <w:numId w:val="55"/>
        </w:numPr>
        <w:tabs>
          <w:tab w:pos="2547" w:val="left" w:leader="none"/>
        </w:tabs>
        <w:spacing w:line="240" w:lineRule="auto" w:before="0" w:after="0"/>
        <w:ind w:left="2546" w:right="0" w:hanging="134"/>
        <w:jc w:val="left"/>
        <w:rPr>
          <w:sz w:val="24"/>
        </w:rPr>
      </w:pPr>
      <w:r>
        <w:rPr>
          <w:sz w:val="24"/>
        </w:rPr>
        <w:t>cinque copie della fattura</w:t>
      </w:r>
      <w:r>
        <w:rPr>
          <w:spacing w:val="-17"/>
          <w:sz w:val="24"/>
        </w:rPr>
        <w:t> </w:t>
      </w:r>
      <w:r>
        <w:rPr>
          <w:sz w:val="24"/>
        </w:rPr>
        <w:t>commerciale;</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2"/>
          <w:numId w:val="55"/>
        </w:numPr>
        <w:tabs>
          <w:tab w:pos="2547" w:val="left" w:leader="none"/>
        </w:tabs>
        <w:spacing w:line="240" w:lineRule="auto" w:before="100" w:after="0"/>
        <w:ind w:left="2546" w:right="0" w:hanging="134"/>
        <w:jc w:val="left"/>
        <w:rPr>
          <w:sz w:val="24"/>
        </w:rPr>
      </w:pPr>
      <w:r>
        <w:rPr>
          <w:sz w:val="24"/>
        </w:rPr>
        <w:t>due copie firmate del "</w:t>
      </w:r>
      <w:r>
        <w:rPr>
          <w:i/>
          <w:sz w:val="24"/>
        </w:rPr>
        <w:t>sight</w:t>
      </w:r>
      <w:r>
        <w:rPr>
          <w:i/>
          <w:spacing w:val="-8"/>
          <w:sz w:val="24"/>
        </w:rPr>
        <w:t> </w:t>
      </w:r>
      <w:r>
        <w:rPr>
          <w:i/>
          <w:sz w:val="24"/>
        </w:rPr>
        <w:t>draft</w:t>
      </w:r>
      <w:r>
        <w:rPr>
          <w:sz w:val="24"/>
        </w:rPr>
        <w:t>";</w:t>
      </w:r>
    </w:p>
    <w:p>
      <w:pPr>
        <w:pStyle w:val="BodyText"/>
        <w:spacing w:before="11"/>
        <w:rPr>
          <w:sz w:val="23"/>
        </w:rPr>
      </w:pPr>
    </w:p>
    <w:p>
      <w:pPr>
        <w:pStyle w:val="ListParagraph"/>
        <w:numPr>
          <w:ilvl w:val="1"/>
          <w:numId w:val="55"/>
        </w:numPr>
        <w:tabs>
          <w:tab w:pos="2422" w:val="left" w:leader="none"/>
        </w:tabs>
        <w:spacing w:line="480" w:lineRule="auto" w:before="0" w:after="0"/>
        <w:ind w:left="2422" w:right="1422" w:hanging="360"/>
        <w:jc w:val="left"/>
        <w:rPr>
          <w:sz w:val="24"/>
        </w:rPr>
      </w:pPr>
      <w:r>
        <w:rPr>
          <w:sz w:val="24"/>
        </w:rPr>
        <w:t>saldo pari al 70% dell'importo contrattuale, USD 3.710.000, a vista al ricevimento dei seguenti</w:t>
      </w:r>
      <w:r>
        <w:rPr>
          <w:spacing w:val="-1"/>
          <w:sz w:val="24"/>
        </w:rPr>
        <w:t> </w:t>
      </w:r>
      <w:r>
        <w:rPr>
          <w:sz w:val="24"/>
        </w:rPr>
        <w:t>documenti:</w:t>
      </w:r>
    </w:p>
    <w:p>
      <w:pPr>
        <w:pStyle w:val="ListParagraph"/>
        <w:numPr>
          <w:ilvl w:val="2"/>
          <w:numId w:val="55"/>
        </w:numPr>
        <w:tabs>
          <w:tab w:pos="2547" w:val="left" w:leader="none"/>
        </w:tabs>
        <w:spacing w:line="240" w:lineRule="auto" w:before="0" w:after="0"/>
        <w:ind w:left="2551" w:right="0" w:hanging="139"/>
        <w:jc w:val="left"/>
        <w:rPr>
          <w:sz w:val="24"/>
        </w:rPr>
      </w:pPr>
      <w:r>
        <w:rPr>
          <w:sz w:val="24"/>
        </w:rPr>
        <w:t>bill of</w:t>
      </w:r>
      <w:r>
        <w:rPr>
          <w:spacing w:val="-7"/>
          <w:sz w:val="24"/>
        </w:rPr>
        <w:t> </w:t>
      </w:r>
      <w:r>
        <w:rPr>
          <w:sz w:val="24"/>
        </w:rPr>
        <w:t>lading;</w:t>
      </w:r>
    </w:p>
    <w:p>
      <w:pPr>
        <w:pStyle w:val="BodyText"/>
      </w:pPr>
    </w:p>
    <w:p>
      <w:pPr>
        <w:pStyle w:val="ListParagraph"/>
        <w:numPr>
          <w:ilvl w:val="2"/>
          <w:numId w:val="55"/>
        </w:numPr>
        <w:tabs>
          <w:tab w:pos="2547" w:val="left" w:leader="none"/>
        </w:tabs>
        <w:spacing w:line="240" w:lineRule="auto" w:before="0" w:after="0"/>
        <w:ind w:left="2546" w:right="0" w:hanging="134"/>
        <w:jc w:val="left"/>
        <w:rPr>
          <w:sz w:val="24"/>
        </w:rPr>
      </w:pPr>
      <w:r>
        <w:rPr>
          <w:sz w:val="24"/>
        </w:rPr>
        <w:t>certificati di qualità emessi da Biochemtex relativi alla fornitura di </w:t>
      </w:r>
      <w:r>
        <w:rPr>
          <w:i/>
          <w:sz w:val="24"/>
        </w:rPr>
        <w:t>critical</w:t>
      </w:r>
      <w:r>
        <w:rPr>
          <w:i/>
          <w:spacing w:val="-24"/>
          <w:sz w:val="24"/>
        </w:rPr>
        <w:t> </w:t>
      </w:r>
      <w:r>
        <w:rPr>
          <w:i/>
          <w:sz w:val="24"/>
        </w:rPr>
        <w:t>equipment</w:t>
      </w:r>
      <w:r>
        <w:rPr>
          <w:sz w:val="24"/>
        </w:rPr>
        <w:t>;</w:t>
      </w:r>
    </w:p>
    <w:p>
      <w:pPr>
        <w:pStyle w:val="BodyText"/>
      </w:pPr>
    </w:p>
    <w:p>
      <w:pPr>
        <w:pStyle w:val="ListParagraph"/>
        <w:numPr>
          <w:ilvl w:val="2"/>
          <w:numId w:val="55"/>
        </w:numPr>
        <w:tabs>
          <w:tab w:pos="2547" w:val="left" w:leader="none"/>
        </w:tabs>
        <w:spacing w:line="240" w:lineRule="auto" w:before="0" w:after="0"/>
        <w:ind w:left="2546" w:right="0" w:hanging="134"/>
        <w:jc w:val="left"/>
        <w:rPr>
          <w:sz w:val="24"/>
        </w:rPr>
      </w:pPr>
      <w:r>
        <w:rPr>
          <w:sz w:val="24"/>
        </w:rPr>
        <w:t>cinque copie della </w:t>
      </w:r>
      <w:r>
        <w:rPr>
          <w:i/>
          <w:sz w:val="24"/>
        </w:rPr>
        <w:t>packing</w:t>
      </w:r>
      <w:r>
        <w:rPr>
          <w:i/>
          <w:spacing w:val="-11"/>
          <w:sz w:val="24"/>
        </w:rPr>
        <w:t> </w:t>
      </w:r>
      <w:r>
        <w:rPr>
          <w:i/>
          <w:sz w:val="24"/>
        </w:rPr>
        <w:t>list</w:t>
      </w:r>
      <w:r>
        <w:rPr>
          <w:sz w:val="24"/>
        </w:rPr>
        <w:t>;</w:t>
      </w:r>
    </w:p>
    <w:p>
      <w:pPr>
        <w:pStyle w:val="BodyText"/>
        <w:spacing w:before="10"/>
        <w:rPr>
          <w:sz w:val="23"/>
        </w:rPr>
      </w:pPr>
    </w:p>
    <w:p>
      <w:pPr>
        <w:pStyle w:val="ListParagraph"/>
        <w:numPr>
          <w:ilvl w:val="2"/>
          <w:numId w:val="55"/>
        </w:numPr>
        <w:tabs>
          <w:tab w:pos="2547" w:val="left" w:leader="none"/>
        </w:tabs>
        <w:spacing w:line="240" w:lineRule="auto" w:before="0" w:after="0"/>
        <w:ind w:left="2546" w:right="0" w:hanging="134"/>
        <w:jc w:val="left"/>
        <w:rPr>
          <w:sz w:val="24"/>
        </w:rPr>
      </w:pPr>
      <w:r>
        <w:rPr>
          <w:sz w:val="24"/>
        </w:rPr>
        <w:t>cinque copie della</w:t>
      </w:r>
      <w:r>
        <w:rPr>
          <w:spacing w:val="-13"/>
          <w:sz w:val="24"/>
        </w:rPr>
        <w:t> </w:t>
      </w:r>
      <w:r>
        <w:rPr>
          <w:sz w:val="24"/>
        </w:rPr>
        <w:t>fattura;</w:t>
      </w:r>
    </w:p>
    <w:p>
      <w:pPr>
        <w:pStyle w:val="BodyText"/>
        <w:spacing w:before="10"/>
        <w:rPr>
          <w:sz w:val="23"/>
        </w:rPr>
      </w:pPr>
    </w:p>
    <w:p>
      <w:pPr>
        <w:pStyle w:val="ListParagraph"/>
        <w:numPr>
          <w:ilvl w:val="2"/>
          <w:numId w:val="55"/>
        </w:numPr>
        <w:tabs>
          <w:tab w:pos="2547" w:val="left" w:leader="none"/>
        </w:tabs>
        <w:spacing w:line="240" w:lineRule="auto" w:before="0" w:after="0"/>
        <w:ind w:left="2546" w:right="0" w:hanging="134"/>
        <w:jc w:val="left"/>
        <w:rPr>
          <w:sz w:val="24"/>
        </w:rPr>
      </w:pPr>
      <w:r>
        <w:rPr>
          <w:sz w:val="24"/>
        </w:rPr>
        <w:t>due copie firmate del "</w:t>
      </w:r>
      <w:r>
        <w:rPr>
          <w:i/>
          <w:sz w:val="24"/>
        </w:rPr>
        <w:t>sight</w:t>
      </w:r>
      <w:r>
        <w:rPr>
          <w:i/>
          <w:spacing w:val="-8"/>
          <w:sz w:val="24"/>
        </w:rPr>
        <w:t> </w:t>
      </w:r>
      <w:r>
        <w:rPr>
          <w:i/>
          <w:sz w:val="24"/>
        </w:rPr>
        <w:t>draft</w:t>
      </w:r>
      <w:r>
        <w:rPr>
          <w:sz w:val="24"/>
        </w:rPr>
        <w:t>";</w:t>
      </w:r>
    </w:p>
    <w:p>
      <w:pPr>
        <w:pStyle w:val="BodyText"/>
        <w:spacing w:before="10"/>
        <w:rPr>
          <w:sz w:val="23"/>
        </w:rPr>
      </w:pPr>
    </w:p>
    <w:p>
      <w:pPr>
        <w:pStyle w:val="ListParagraph"/>
        <w:numPr>
          <w:ilvl w:val="2"/>
          <w:numId w:val="55"/>
        </w:numPr>
        <w:tabs>
          <w:tab w:pos="2578" w:val="left" w:leader="none"/>
        </w:tabs>
        <w:spacing w:line="480" w:lineRule="auto" w:before="0" w:after="0"/>
        <w:ind w:left="2551" w:right="1414" w:hanging="139"/>
        <w:jc w:val="left"/>
        <w:rPr>
          <w:sz w:val="24"/>
        </w:rPr>
      </w:pPr>
      <w:r>
        <w:rPr>
          <w:sz w:val="24"/>
        </w:rPr>
        <w:t>certificato originale indicante il codice IPPC per i "</w:t>
      </w:r>
      <w:r>
        <w:rPr>
          <w:i/>
          <w:sz w:val="24"/>
        </w:rPr>
        <w:t>wooden packing materials</w:t>
      </w:r>
      <w:r>
        <w:rPr>
          <w:sz w:val="24"/>
        </w:rPr>
        <w:t>" ovvero una dichiarazione di "</w:t>
      </w:r>
      <w:r>
        <w:rPr>
          <w:i/>
          <w:sz w:val="24"/>
        </w:rPr>
        <w:t>non-wood packing for non-wood packing materials</w:t>
      </w:r>
      <w:r>
        <w:rPr>
          <w:sz w:val="24"/>
        </w:rPr>
        <w:t>" se</w:t>
      </w:r>
      <w:r>
        <w:rPr>
          <w:spacing w:val="-34"/>
          <w:sz w:val="24"/>
        </w:rPr>
        <w:t> </w:t>
      </w:r>
      <w:r>
        <w:rPr>
          <w:sz w:val="24"/>
        </w:rPr>
        <w:t>applicabile.</w:t>
      </w:r>
    </w:p>
    <w:p>
      <w:pPr>
        <w:pStyle w:val="BodyText"/>
        <w:spacing w:line="480" w:lineRule="auto"/>
        <w:ind w:left="1702" w:right="1411"/>
        <w:jc w:val="both"/>
      </w:pPr>
      <w:r>
        <w:rPr/>
        <w:t>Dopo la consegna dell'ultima spedizione di materiali, Biochemtex deve attivare una </w:t>
      </w:r>
      <w:r>
        <w:rPr>
          <w:i/>
        </w:rPr>
        <w:t>standby  </w:t>
      </w:r>
      <w:r>
        <w:rPr>
          <w:i/>
        </w:rPr>
        <w:t>letter </w:t>
      </w:r>
      <w:r>
        <w:rPr/>
        <w:t>di credito a favore del cliente pari al 5% del totale contrattuale a titolo di garanzia per il </w:t>
      </w:r>
      <w:r>
        <w:rPr>
          <w:i/>
        </w:rPr>
        <w:t>Performance Test </w:t>
      </w:r>
      <w:r>
        <w:rPr/>
        <w:t>relativo al </w:t>
      </w:r>
      <w:r>
        <w:rPr>
          <w:i/>
        </w:rPr>
        <w:t>Contract equipment </w:t>
      </w:r>
      <w:r>
        <w:rPr/>
        <w:t>fornito da</w:t>
      </w:r>
      <w:r>
        <w:rPr>
          <w:spacing w:val="-30"/>
        </w:rPr>
        <w:t> </w:t>
      </w:r>
      <w:r>
        <w:rPr/>
        <w:t>Biochemtex.</w:t>
      </w:r>
    </w:p>
    <w:p>
      <w:pPr>
        <w:pStyle w:val="BodyText"/>
        <w:spacing w:line="480" w:lineRule="auto"/>
        <w:ind w:left="1702" w:right="1415"/>
        <w:jc w:val="both"/>
      </w:pPr>
      <w:r>
        <w:rPr/>
        <w:t>Inoltre, entro una settimana dalla firma del certificato di accettazione, Biochemtex deve aprire anche una </w:t>
      </w:r>
      <w:r>
        <w:rPr>
          <w:i/>
        </w:rPr>
        <w:t>standby letter </w:t>
      </w:r>
      <w:r>
        <w:rPr/>
        <w:t>di credito a favore del cliente che copra il 5% del totale contrattuale per il periodo di garanzia meccanica del </w:t>
      </w:r>
      <w:r>
        <w:rPr>
          <w:i/>
        </w:rPr>
        <w:t>contract equipment</w:t>
      </w:r>
      <w:r>
        <w:rPr/>
        <w:t>.</w:t>
      </w:r>
    </w:p>
    <w:p>
      <w:pPr>
        <w:pStyle w:val="BodyText"/>
        <w:spacing w:line="480" w:lineRule="auto"/>
        <w:ind w:left="1702" w:right="1413"/>
        <w:jc w:val="both"/>
      </w:pPr>
      <w:r>
        <w:rPr/>
        <w:t>Entro 1 mese dal pagamento dell'anticipo contrattuale, il cliente deve aprire una lettera irrevocabile di credito pagabile a vista di importo pari al 70% del totale contrattuale emessa da Bank of China o altra banca accettata da Biochemtex. Tale lettera diviene efficace a seguito dell'emissione e rimane valida per 12 mesi dopo la data di esecuzione del contratto (come specificato dall'art. 13). Se tale lettera non viene aperta in tempo e oltre 2 mesi dalla data di esecuzione del contratto, Biochemtex ha il diritto di recedere parzialmente o totalmente dal contratto e trattenere l'anticipo.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702" w:right="1418" w:firstLine="0"/>
        <w:jc w:val="both"/>
        <w:rPr>
          <w:sz w:val="24"/>
        </w:rPr>
      </w:pPr>
      <w:r>
        <w:rPr>
          <w:sz w:val="24"/>
        </w:rPr>
        <w:t>La garanzia del </w:t>
      </w:r>
      <w:r>
        <w:rPr>
          <w:i/>
          <w:sz w:val="24"/>
        </w:rPr>
        <w:t>Contract Equipment </w:t>
      </w:r>
      <w:r>
        <w:rPr>
          <w:sz w:val="24"/>
        </w:rPr>
        <w:t>fornita da Biochemtex ha validità per 12 mesi dalla data di start-up ovvero per 28 mesi dalla data di </w:t>
      </w:r>
      <w:r>
        <w:rPr>
          <w:i/>
          <w:sz w:val="24"/>
        </w:rPr>
        <w:t>Effective date </w:t>
      </w:r>
      <w:r>
        <w:rPr>
          <w:sz w:val="24"/>
        </w:rPr>
        <w:t>(se inferiore).</w:t>
      </w:r>
    </w:p>
    <w:p>
      <w:pPr>
        <w:pStyle w:val="BodyText"/>
        <w:spacing w:line="480" w:lineRule="auto"/>
        <w:ind w:left="1702" w:right="1416"/>
        <w:jc w:val="both"/>
      </w:pPr>
      <w:r>
        <w:rPr/>
        <w:t>Il periodo di garanzia previsto per il </w:t>
      </w:r>
      <w:r>
        <w:rPr>
          <w:i/>
        </w:rPr>
        <w:t>Contract Equipment </w:t>
      </w:r>
      <w:r>
        <w:rPr/>
        <w:t>riparato ovvero sostituito durante il periodo di garanzia meccanica ha validità 12 mesi dalla data di rimessa in operatività o nuovo utilizzo.</w:t>
      </w:r>
    </w:p>
    <w:p>
      <w:pPr>
        <w:pStyle w:val="BodyText"/>
        <w:spacing w:line="480" w:lineRule="auto"/>
        <w:ind w:left="1702" w:right="1422"/>
        <w:jc w:val="both"/>
      </w:pPr>
      <w:r>
        <w:rPr/>
        <w:t>La passività massima prevista in capo a Biochemtex relativamente al contratto non può eccedere il 5% dell'importo contrattuale (così come specificato all'articolo 2).</w:t>
      </w:r>
    </w:p>
    <w:p>
      <w:pPr>
        <w:pStyle w:val="ListParagraph"/>
        <w:numPr>
          <w:ilvl w:val="0"/>
          <w:numId w:val="55"/>
        </w:numPr>
        <w:tabs>
          <w:tab w:pos="1703" w:val="left" w:leader="none"/>
        </w:tabs>
        <w:spacing w:line="480" w:lineRule="auto" w:before="0" w:after="0"/>
        <w:ind w:left="1702" w:right="1415" w:hanging="284"/>
        <w:jc w:val="both"/>
        <w:rPr>
          <w:sz w:val="24"/>
        </w:rPr>
      </w:pPr>
      <w:r>
        <w:rPr>
          <w:sz w:val="24"/>
        </w:rPr>
        <w:t>Contratto stipulato con </w:t>
      </w:r>
      <w:r>
        <w:rPr>
          <w:sz w:val="24"/>
          <w:u w:val="single"/>
        </w:rPr>
        <w:t>Tongxiang Zhongxin Chemical Fiber Co. Ltd </w:t>
      </w:r>
      <w:r>
        <w:rPr>
          <w:sz w:val="24"/>
        </w:rPr>
        <w:t>in data 28 ottobre 2016 per la fornitura del </w:t>
      </w:r>
      <w:r>
        <w:rPr>
          <w:i/>
          <w:sz w:val="24"/>
        </w:rPr>
        <w:t>Critical equipment</w:t>
      </w:r>
      <w:r>
        <w:rPr>
          <w:sz w:val="24"/>
        </w:rPr>
        <w:t>, al fine di creare una linea di produzione di polimeri di poliestere (CP13) presso Tongxiang, Provincia di Zhejian</w:t>
      </w:r>
      <w:r>
        <w:rPr>
          <w:spacing w:val="-30"/>
          <w:sz w:val="24"/>
        </w:rPr>
        <w:t> </w:t>
      </w:r>
      <w:r>
        <w:rPr>
          <w:sz w:val="24"/>
        </w:rPr>
        <w:t>(Cina).</w:t>
      </w:r>
    </w:p>
    <w:p>
      <w:pPr>
        <w:pStyle w:val="BodyText"/>
        <w:spacing w:line="480" w:lineRule="auto"/>
        <w:ind w:left="1702" w:right="1412"/>
        <w:jc w:val="both"/>
      </w:pPr>
      <w:r>
        <w:rPr/>
        <w:t>Il contratto assume efficacia dall'incasso del down-payment da parte di Biochemtex, e in particolare dalla data in cui Biochemtez informa Tongxiang Zhongxin Chemical Fiber Co. Ltd tramite fax del ricevimento dell'anticipo contrattuale viene definita "</w:t>
      </w:r>
      <w:r>
        <w:rPr>
          <w:i/>
        </w:rPr>
        <w:t>Effective Date</w:t>
      </w:r>
      <w:r>
        <w:rPr/>
        <w:t>".</w:t>
      </w:r>
    </w:p>
    <w:p>
      <w:pPr>
        <w:pStyle w:val="BodyText"/>
        <w:ind w:left="1702"/>
        <w:jc w:val="both"/>
      </w:pPr>
      <w:r>
        <w:rPr/>
        <w:t>Tale data deve essere accettata da Tongxiang.</w:t>
      </w:r>
    </w:p>
    <w:p>
      <w:pPr>
        <w:pStyle w:val="BodyText"/>
      </w:pPr>
    </w:p>
    <w:p>
      <w:pPr>
        <w:pStyle w:val="BodyText"/>
        <w:ind w:left="1702"/>
        <w:jc w:val="both"/>
      </w:pPr>
      <w:r>
        <w:rPr/>
        <w:t>Biochemtex è tenuta a completare la fornitura del "</w:t>
      </w:r>
      <w:r>
        <w:rPr>
          <w:i/>
        </w:rPr>
        <w:t>Contract Equipment</w:t>
      </w:r>
      <w:r>
        <w:rPr/>
        <w:t>" entro 14 mesi dall'</w:t>
      </w:r>
    </w:p>
    <w:p>
      <w:pPr>
        <w:pStyle w:val="BodyText"/>
        <w:spacing w:before="10"/>
        <w:rPr>
          <w:sz w:val="23"/>
        </w:rPr>
      </w:pPr>
    </w:p>
    <w:p>
      <w:pPr>
        <w:pStyle w:val="BodyText"/>
        <w:spacing w:line="480" w:lineRule="auto"/>
        <w:ind w:left="1702" w:right="2597"/>
      </w:pPr>
      <w:r>
        <w:rPr>
          <w:i/>
        </w:rPr>
        <w:t>Effective date </w:t>
      </w:r>
      <w:r>
        <w:rPr/>
        <w:t>purchè Tongxiang abbia aperto la lettera di credito indicata nell'Art. 3. Il contratto termina automaticamente alla fine del settimo anno dall' </w:t>
      </w:r>
      <w:r>
        <w:rPr>
          <w:i/>
        </w:rPr>
        <w:t>Effective date</w:t>
      </w:r>
      <w:r>
        <w:rPr/>
        <w:t>. Il corrispettivo previsto è di USD 5.300.000 da corrispondersi nel modo</w:t>
      </w:r>
      <w:r>
        <w:rPr>
          <w:spacing w:val="-31"/>
        </w:rPr>
        <w:t> </w:t>
      </w:r>
      <w:r>
        <w:rPr/>
        <w:t>seguente:</w:t>
      </w:r>
    </w:p>
    <w:p>
      <w:pPr>
        <w:pStyle w:val="ListParagraph"/>
        <w:numPr>
          <w:ilvl w:val="1"/>
          <w:numId w:val="55"/>
        </w:numPr>
        <w:tabs>
          <w:tab w:pos="2412" w:val="left" w:leader="none"/>
          <w:tab w:pos="2413" w:val="left" w:leader="none"/>
        </w:tabs>
        <w:spacing w:line="480" w:lineRule="auto" w:before="0" w:after="0"/>
        <w:ind w:left="2412" w:right="1410" w:hanging="427"/>
        <w:jc w:val="left"/>
        <w:rPr>
          <w:sz w:val="24"/>
        </w:rPr>
      </w:pPr>
      <w:r>
        <w:rPr>
          <w:sz w:val="24"/>
        </w:rPr>
        <w:t>30% dell'importo contrattuale, pari a USD 1.590.000, a titolo di </w:t>
      </w:r>
      <w:r>
        <w:rPr>
          <w:i/>
          <w:sz w:val="24"/>
        </w:rPr>
        <w:t>down-payment</w:t>
      </w:r>
      <w:r>
        <w:rPr>
          <w:sz w:val="24"/>
        </w:rPr>
        <w:t>, entro sette giorni dal ricevimento dei seguenti</w:t>
      </w:r>
      <w:r>
        <w:rPr>
          <w:spacing w:val="-12"/>
          <w:sz w:val="24"/>
        </w:rPr>
        <w:t> </w:t>
      </w:r>
      <w:r>
        <w:rPr>
          <w:sz w:val="24"/>
        </w:rPr>
        <w:t>documenti:</w:t>
      </w:r>
    </w:p>
    <w:p>
      <w:pPr>
        <w:pStyle w:val="ListParagraph"/>
        <w:numPr>
          <w:ilvl w:val="2"/>
          <w:numId w:val="55"/>
        </w:numPr>
        <w:tabs>
          <w:tab w:pos="2547" w:val="left" w:leader="none"/>
        </w:tabs>
        <w:spacing w:line="240" w:lineRule="auto" w:before="0" w:after="0"/>
        <w:ind w:left="2551" w:right="0" w:hanging="139"/>
        <w:jc w:val="left"/>
        <w:rPr>
          <w:sz w:val="24"/>
        </w:rPr>
      </w:pPr>
      <w:r>
        <w:rPr>
          <w:sz w:val="24"/>
        </w:rPr>
        <w:t>copia della </w:t>
      </w:r>
      <w:r>
        <w:rPr>
          <w:i/>
          <w:sz w:val="24"/>
        </w:rPr>
        <w:t>standby let</w:t>
      </w:r>
      <w:r>
        <w:rPr>
          <w:sz w:val="24"/>
        </w:rPr>
        <w:t>ter emessa dall'istituto bancario di</w:t>
      </w:r>
      <w:r>
        <w:rPr>
          <w:spacing w:val="-24"/>
          <w:sz w:val="24"/>
        </w:rPr>
        <w:t> </w:t>
      </w:r>
      <w:r>
        <w:rPr>
          <w:sz w:val="24"/>
        </w:rPr>
        <w:t>Biochemtex;</w:t>
      </w:r>
    </w:p>
    <w:p>
      <w:pPr>
        <w:pStyle w:val="BodyText"/>
      </w:pPr>
    </w:p>
    <w:p>
      <w:pPr>
        <w:pStyle w:val="ListParagraph"/>
        <w:numPr>
          <w:ilvl w:val="2"/>
          <w:numId w:val="55"/>
        </w:numPr>
        <w:tabs>
          <w:tab w:pos="2550" w:val="left" w:leader="none"/>
        </w:tabs>
        <w:spacing w:line="480" w:lineRule="auto" w:before="0" w:after="0"/>
        <w:ind w:left="2551" w:right="1415" w:hanging="139"/>
        <w:jc w:val="left"/>
        <w:rPr>
          <w:sz w:val="24"/>
        </w:rPr>
      </w:pPr>
      <w:r>
        <w:rPr>
          <w:sz w:val="24"/>
        </w:rPr>
        <w:t>cinque copie firmate della fattura pro-forma emessa da Biochemtex che copre l'intero valore</w:t>
      </w:r>
      <w:r>
        <w:rPr>
          <w:spacing w:val="-7"/>
          <w:sz w:val="24"/>
        </w:rPr>
        <w:t> </w:t>
      </w:r>
      <w:r>
        <w:rPr>
          <w:sz w:val="24"/>
        </w:rPr>
        <w:t>contrattuale;</w:t>
      </w:r>
    </w:p>
    <w:p>
      <w:pPr>
        <w:spacing w:after="0" w:line="48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2"/>
          <w:numId w:val="55"/>
        </w:numPr>
        <w:tabs>
          <w:tab w:pos="2547" w:val="left" w:leader="none"/>
        </w:tabs>
        <w:spacing w:line="240" w:lineRule="auto" w:before="100" w:after="0"/>
        <w:ind w:left="2546" w:right="0" w:hanging="134"/>
        <w:jc w:val="left"/>
        <w:rPr>
          <w:sz w:val="24"/>
        </w:rPr>
      </w:pPr>
      <w:r>
        <w:rPr>
          <w:sz w:val="24"/>
        </w:rPr>
        <w:t>cinque copie della fattura</w:t>
      </w:r>
      <w:r>
        <w:rPr>
          <w:spacing w:val="-18"/>
          <w:sz w:val="24"/>
        </w:rPr>
        <w:t> </w:t>
      </w:r>
      <w:r>
        <w:rPr>
          <w:sz w:val="24"/>
        </w:rPr>
        <w:t>commerciale;</w:t>
      </w:r>
    </w:p>
    <w:p>
      <w:pPr>
        <w:pStyle w:val="BodyText"/>
        <w:spacing w:before="11"/>
        <w:rPr>
          <w:sz w:val="23"/>
        </w:rPr>
      </w:pPr>
    </w:p>
    <w:p>
      <w:pPr>
        <w:pStyle w:val="ListParagraph"/>
        <w:numPr>
          <w:ilvl w:val="2"/>
          <w:numId w:val="55"/>
        </w:numPr>
        <w:tabs>
          <w:tab w:pos="2547" w:val="left" w:leader="none"/>
        </w:tabs>
        <w:spacing w:line="240" w:lineRule="auto" w:before="0" w:after="0"/>
        <w:ind w:left="2546" w:right="0" w:hanging="134"/>
        <w:jc w:val="left"/>
        <w:rPr>
          <w:sz w:val="24"/>
        </w:rPr>
      </w:pPr>
      <w:r>
        <w:rPr>
          <w:sz w:val="24"/>
        </w:rPr>
        <w:t>due copie firmate del </w:t>
      </w:r>
      <w:r>
        <w:rPr>
          <w:i/>
          <w:sz w:val="24"/>
        </w:rPr>
        <w:t>sight</w:t>
      </w:r>
      <w:r>
        <w:rPr>
          <w:i/>
          <w:spacing w:val="-8"/>
          <w:sz w:val="24"/>
        </w:rPr>
        <w:t> </w:t>
      </w:r>
      <w:r>
        <w:rPr>
          <w:i/>
          <w:sz w:val="24"/>
        </w:rPr>
        <w:t>draft</w:t>
      </w:r>
      <w:r>
        <w:rPr>
          <w:sz w:val="24"/>
        </w:rPr>
        <w:t>;</w:t>
      </w:r>
    </w:p>
    <w:p>
      <w:pPr>
        <w:pStyle w:val="BodyText"/>
        <w:spacing w:before="11"/>
        <w:rPr>
          <w:sz w:val="23"/>
        </w:rPr>
      </w:pPr>
    </w:p>
    <w:p>
      <w:pPr>
        <w:pStyle w:val="ListParagraph"/>
        <w:numPr>
          <w:ilvl w:val="1"/>
          <w:numId w:val="55"/>
        </w:numPr>
        <w:tabs>
          <w:tab w:pos="2412" w:val="left" w:leader="none"/>
          <w:tab w:pos="2413" w:val="left" w:leader="none"/>
        </w:tabs>
        <w:spacing w:line="480" w:lineRule="auto" w:before="0" w:after="0"/>
        <w:ind w:left="2412" w:right="1415" w:hanging="427"/>
        <w:jc w:val="left"/>
        <w:rPr>
          <w:sz w:val="24"/>
        </w:rPr>
      </w:pPr>
      <w:r>
        <w:rPr>
          <w:sz w:val="24"/>
        </w:rPr>
        <w:t>saldo pari al 70% dell'importo contrattuale, USD 3.710.000, a vista al ricevimento dei seguenti</w:t>
      </w:r>
      <w:r>
        <w:rPr>
          <w:spacing w:val="-1"/>
          <w:sz w:val="24"/>
        </w:rPr>
        <w:t> </w:t>
      </w:r>
      <w:r>
        <w:rPr>
          <w:sz w:val="24"/>
        </w:rPr>
        <w:t>documenti:</w:t>
      </w:r>
    </w:p>
    <w:p>
      <w:pPr>
        <w:pStyle w:val="ListParagraph"/>
        <w:numPr>
          <w:ilvl w:val="2"/>
          <w:numId w:val="55"/>
        </w:numPr>
        <w:tabs>
          <w:tab w:pos="2547" w:val="left" w:leader="none"/>
        </w:tabs>
        <w:spacing w:line="240" w:lineRule="auto" w:before="0" w:after="0"/>
        <w:ind w:left="2551" w:right="0" w:hanging="139"/>
        <w:jc w:val="left"/>
        <w:rPr>
          <w:sz w:val="24"/>
        </w:rPr>
      </w:pPr>
      <w:r>
        <w:rPr>
          <w:i/>
          <w:sz w:val="24"/>
        </w:rPr>
        <w:t>bill of lading</w:t>
      </w:r>
      <w:r>
        <w:rPr>
          <w:sz w:val="24"/>
        </w:rPr>
        <w:t>;</w:t>
      </w:r>
    </w:p>
    <w:p>
      <w:pPr>
        <w:pStyle w:val="BodyText"/>
      </w:pPr>
    </w:p>
    <w:p>
      <w:pPr>
        <w:pStyle w:val="ListParagraph"/>
        <w:numPr>
          <w:ilvl w:val="2"/>
          <w:numId w:val="55"/>
        </w:numPr>
        <w:tabs>
          <w:tab w:pos="2547" w:val="left" w:leader="none"/>
        </w:tabs>
        <w:spacing w:line="240" w:lineRule="auto" w:before="0" w:after="0"/>
        <w:ind w:left="2546" w:right="0" w:hanging="134"/>
        <w:jc w:val="left"/>
        <w:rPr>
          <w:sz w:val="24"/>
        </w:rPr>
      </w:pPr>
      <w:r>
        <w:rPr>
          <w:sz w:val="24"/>
        </w:rPr>
        <w:t>certificati di qualità emessi da Biochemtex relativi alla fornitura di critical</w:t>
      </w:r>
      <w:r>
        <w:rPr>
          <w:spacing w:val="-39"/>
          <w:sz w:val="24"/>
        </w:rPr>
        <w:t> </w:t>
      </w:r>
      <w:r>
        <w:rPr>
          <w:sz w:val="24"/>
        </w:rPr>
        <w:t>equipment;</w:t>
      </w:r>
    </w:p>
    <w:p>
      <w:pPr>
        <w:pStyle w:val="BodyText"/>
        <w:spacing w:before="10"/>
        <w:rPr>
          <w:sz w:val="23"/>
        </w:rPr>
      </w:pPr>
    </w:p>
    <w:p>
      <w:pPr>
        <w:pStyle w:val="ListParagraph"/>
        <w:numPr>
          <w:ilvl w:val="2"/>
          <w:numId w:val="55"/>
        </w:numPr>
        <w:tabs>
          <w:tab w:pos="2547" w:val="left" w:leader="none"/>
        </w:tabs>
        <w:spacing w:line="240" w:lineRule="auto" w:before="0" w:after="0"/>
        <w:ind w:left="2546" w:right="0" w:hanging="134"/>
        <w:jc w:val="left"/>
        <w:rPr>
          <w:sz w:val="24"/>
        </w:rPr>
      </w:pPr>
      <w:r>
        <w:rPr>
          <w:sz w:val="24"/>
        </w:rPr>
        <w:t>cinque copie della </w:t>
      </w:r>
      <w:r>
        <w:rPr>
          <w:i/>
          <w:sz w:val="24"/>
        </w:rPr>
        <w:t>packing</w:t>
      </w:r>
      <w:r>
        <w:rPr>
          <w:i/>
          <w:spacing w:val="-11"/>
          <w:sz w:val="24"/>
        </w:rPr>
        <w:t> </w:t>
      </w:r>
      <w:r>
        <w:rPr>
          <w:i/>
          <w:sz w:val="24"/>
        </w:rPr>
        <w:t>list</w:t>
      </w:r>
      <w:r>
        <w:rPr>
          <w:sz w:val="24"/>
        </w:rPr>
        <w:t>;</w:t>
      </w:r>
    </w:p>
    <w:p>
      <w:pPr>
        <w:pStyle w:val="BodyText"/>
        <w:spacing w:before="10"/>
        <w:rPr>
          <w:sz w:val="23"/>
        </w:rPr>
      </w:pPr>
    </w:p>
    <w:p>
      <w:pPr>
        <w:pStyle w:val="ListParagraph"/>
        <w:numPr>
          <w:ilvl w:val="2"/>
          <w:numId w:val="55"/>
        </w:numPr>
        <w:tabs>
          <w:tab w:pos="2547" w:val="left" w:leader="none"/>
        </w:tabs>
        <w:spacing w:line="240" w:lineRule="auto" w:before="0" w:after="0"/>
        <w:ind w:left="2546" w:right="0" w:hanging="134"/>
        <w:jc w:val="left"/>
        <w:rPr>
          <w:sz w:val="24"/>
        </w:rPr>
      </w:pPr>
      <w:r>
        <w:rPr>
          <w:sz w:val="24"/>
        </w:rPr>
        <w:t>cinque copie della</w:t>
      </w:r>
      <w:r>
        <w:rPr>
          <w:spacing w:val="-13"/>
          <w:sz w:val="24"/>
        </w:rPr>
        <w:t> </w:t>
      </w:r>
      <w:r>
        <w:rPr>
          <w:sz w:val="24"/>
        </w:rPr>
        <w:t>fattura;</w:t>
      </w:r>
    </w:p>
    <w:p>
      <w:pPr>
        <w:pStyle w:val="BodyText"/>
        <w:spacing w:before="10"/>
        <w:rPr>
          <w:sz w:val="23"/>
        </w:rPr>
      </w:pPr>
    </w:p>
    <w:p>
      <w:pPr>
        <w:pStyle w:val="ListParagraph"/>
        <w:numPr>
          <w:ilvl w:val="2"/>
          <w:numId w:val="55"/>
        </w:numPr>
        <w:tabs>
          <w:tab w:pos="2547" w:val="left" w:leader="none"/>
        </w:tabs>
        <w:spacing w:line="240" w:lineRule="auto" w:before="0" w:after="0"/>
        <w:ind w:left="2546" w:right="0" w:hanging="134"/>
        <w:jc w:val="left"/>
        <w:rPr>
          <w:sz w:val="24"/>
        </w:rPr>
      </w:pPr>
      <w:r>
        <w:rPr>
          <w:sz w:val="24"/>
        </w:rPr>
        <w:t>due copie firmate del </w:t>
      </w:r>
      <w:r>
        <w:rPr>
          <w:i/>
          <w:sz w:val="24"/>
        </w:rPr>
        <w:t>sight</w:t>
      </w:r>
      <w:r>
        <w:rPr>
          <w:i/>
          <w:spacing w:val="-7"/>
          <w:sz w:val="24"/>
        </w:rPr>
        <w:t> </w:t>
      </w:r>
      <w:r>
        <w:rPr>
          <w:i/>
          <w:sz w:val="24"/>
        </w:rPr>
        <w:t>draft</w:t>
      </w:r>
      <w:r>
        <w:rPr>
          <w:sz w:val="24"/>
        </w:rPr>
        <w:t>;</w:t>
      </w:r>
    </w:p>
    <w:p>
      <w:pPr>
        <w:pStyle w:val="BodyText"/>
        <w:spacing w:before="10"/>
        <w:rPr>
          <w:sz w:val="23"/>
        </w:rPr>
      </w:pPr>
    </w:p>
    <w:p>
      <w:pPr>
        <w:pStyle w:val="ListParagraph"/>
        <w:numPr>
          <w:ilvl w:val="2"/>
          <w:numId w:val="55"/>
        </w:numPr>
        <w:tabs>
          <w:tab w:pos="2578" w:val="left" w:leader="none"/>
        </w:tabs>
        <w:spacing w:line="480" w:lineRule="auto" w:before="0" w:after="0"/>
        <w:ind w:left="2551" w:right="1414" w:hanging="139"/>
        <w:jc w:val="left"/>
        <w:rPr>
          <w:sz w:val="24"/>
        </w:rPr>
      </w:pPr>
      <w:r>
        <w:rPr>
          <w:sz w:val="24"/>
        </w:rPr>
        <w:t>certificato originale indicante il codice IPPC per i "</w:t>
      </w:r>
      <w:r>
        <w:rPr>
          <w:i/>
          <w:sz w:val="24"/>
        </w:rPr>
        <w:t>wooden packing materials</w:t>
      </w:r>
      <w:r>
        <w:rPr>
          <w:sz w:val="24"/>
        </w:rPr>
        <w:t>" ovvero una dichiarazione di "</w:t>
      </w:r>
      <w:r>
        <w:rPr>
          <w:i/>
          <w:sz w:val="24"/>
        </w:rPr>
        <w:t>non-wood packing for non-wood packing mater</w:t>
      </w:r>
      <w:r>
        <w:rPr>
          <w:sz w:val="24"/>
        </w:rPr>
        <w:t>ials" se</w:t>
      </w:r>
      <w:r>
        <w:rPr>
          <w:spacing w:val="-32"/>
          <w:sz w:val="24"/>
        </w:rPr>
        <w:t> </w:t>
      </w:r>
      <w:r>
        <w:rPr>
          <w:sz w:val="24"/>
        </w:rPr>
        <w:t>applicabile.</w:t>
      </w:r>
    </w:p>
    <w:p>
      <w:pPr>
        <w:pStyle w:val="BodyText"/>
        <w:spacing w:line="480" w:lineRule="auto"/>
        <w:ind w:left="1702" w:right="1411"/>
        <w:jc w:val="both"/>
      </w:pPr>
      <w:r>
        <w:rPr/>
        <w:t>Dopo la consegna dell'ultima spedizione di materiali, Biochemtex deve attivare una </w:t>
      </w:r>
      <w:r>
        <w:rPr>
          <w:i/>
        </w:rPr>
        <w:t>standby  </w:t>
      </w:r>
      <w:r>
        <w:rPr>
          <w:i/>
        </w:rPr>
        <w:t>letter </w:t>
      </w:r>
      <w:r>
        <w:rPr/>
        <w:t>di credito a favore del cliente pari al 5% del totale contrattuale a titolo di garanzia per il Performance Test relativo al </w:t>
      </w:r>
      <w:r>
        <w:rPr>
          <w:i/>
        </w:rPr>
        <w:t>Contract equipment </w:t>
      </w:r>
      <w:r>
        <w:rPr/>
        <w:t>fornito da</w:t>
      </w:r>
      <w:r>
        <w:rPr>
          <w:spacing w:val="-27"/>
        </w:rPr>
        <w:t> </w:t>
      </w:r>
      <w:r>
        <w:rPr/>
        <w:t>Biochemtex.</w:t>
      </w:r>
    </w:p>
    <w:p>
      <w:pPr>
        <w:pStyle w:val="BodyText"/>
        <w:spacing w:line="480" w:lineRule="auto"/>
        <w:ind w:left="1702" w:right="1418"/>
        <w:jc w:val="both"/>
      </w:pPr>
      <w:r>
        <w:rPr/>
        <w:t>Inoltre, entro una settimana dalla firma del certificato di accettazione, Biochemtex deve aprire anche una </w:t>
      </w:r>
      <w:r>
        <w:rPr>
          <w:i/>
        </w:rPr>
        <w:t>standby letter </w:t>
      </w:r>
      <w:r>
        <w:rPr/>
        <w:t>di credito a favore del cliente che copra il 5% del totale contrattuale per il periodo di garanzia meccanica del </w:t>
      </w:r>
      <w:r>
        <w:rPr>
          <w:i/>
        </w:rPr>
        <w:t>contract equipment</w:t>
      </w:r>
      <w:r>
        <w:rPr/>
        <w:t>.</w:t>
      </w:r>
    </w:p>
    <w:p>
      <w:pPr>
        <w:pStyle w:val="BodyText"/>
        <w:spacing w:line="480" w:lineRule="auto"/>
        <w:ind w:left="1702" w:right="1417"/>
        <w:jc w:val="both"/>
      </w:pPr>
      <w:r>
        <w:rPr/>
        <w:t>Entro 4 mesi dal pagamento dell'anticipo contrattuale, il cliente deve aprire una lettera irrevocabile di credito pagabile a vista di importo pari al 70% del totale contrattuale emessa da Bank of China o altra banca accettata da Biochemtex. Tale lettera diviene efficace a seguito dell'emissione e rimane valida per 14 mesi dopo la data di esecuzione del contratto (come specificato dall'art. 13). Se tale lettera non viene aperta in tempo e oltre 5 mesi dalla data di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702" w:right="1419"/>
        <w:jc w:val="both"/>
      </w:pPr>
      <w:r>
        <w:rPr/>
        <w:t>esecuzione del contratto, Biochemtex ha il diritto di recedere parzialmente o totalmente dal contratto e trattenere l'anticipo.</w:t>
      </w:r>
    </w:p>
    <w:p>
      <w:pPr>
        <w:pStyle w:val="BodyText"/>
        <w:spacing w:line="480" w:lineRule="auto"/>
        <w:ind w:left="1702" w:right="1418"/>
        <w:jc w:val="both"/>
      </w:pPr>
      <w:r>
        <w:rPr/>
        <w:t>La garanzia meccanica del </w:t>
      </w:r>
      <w:r>
        <w:rPr>
          <w:i/>
        </w:rPr>
        <w:t>Contract Equipment </w:t>
      </w:r>
      <w:r>
        <w:rPr/>
        <w:t>fornita da Biochemtex ha validità per 12 mesi dalla data di start-up ovvero per 30 mesi dalla data di "</w:t>
      </w:r>
      <w:r>
        <w:rPr>
          <w:i/>
        </w:rPr>
        <w:t>Effective date</w:t>
      </w:r>
      <w:r>
        <w:rPr/>
        <w:t>" (se inferiore).</w:t>
      </w:r>
    </w:p>
    <w:p>
      <w:pPr>
        <w:pStyle w:val="BodyText"/>
        <w:spacing w:line="480" w:lineRule="auto"/>
        <w:ind w:left="1702" w:right="1414"/>
        <w:jc w:val="both"/>
      </w:pPr>
      <w:r>
        <w:rPr/>
        <w:t>Il periodo di garanzia previsto per il "</w:t>
      </w:r>
      <w:r>
        <w:rPr>
          <w:i/>
        </w:rPr>
        <w:t>Contract Equipment</w:t>
      </w:r>
      <w:r>
        <w:rPr/>
        <w:t>" riparato ovvero sostituito durante il periodo di garanzia meccanica ha validità 12 mesi dalla data di rimessa in operatività o nuovo utilizzo.</w:t>
      </w:r>
    </w:p>
    <w:p>
      <w:pPr>
        <w:pStyle w:val="BodyText"/>
        <w:spacing w:line="480" w:lineRule="auto"/>
        <w:ind w:left="1418" w:right="1411"/>
        <w:jc w:val="both"/>
      </w:pPr>
      <w:r>
        <w:rPr/>
        <w:t>Alla luce dell’entrata in Chapter 11 da parte di Chemtex International e del deposito della domanda di concordato preventivo da parte di Biochemtex, le attività si sono arrestate ed il cliente ha chiesto la restituzione di due </w:t>
      </w:r>
      <w:r>
        <w:rPr>
          <w:i/>
        </w:rPr>
        <w:t>down payment</w:t>
      </w:r>
      <w:r>
        <w:rPr/>
        <w:t>, relativi ai progetti non avviati e/o conclusi, ha chiesto inoltre l’escussione della garanzia alla banca Unicredit che tuttavia non l’ha concessa. La passività massima prevista in capo a Biochemtex relativamente al contratto non può eccedere il 5% dell'importo contrattuale (così come specificato all'articolo 2). La penale potenziale del 5%   è stata contabilizzata fra i debiti diversi nel conto “</w:t>
      </w:r>
      <w:r>
        <w:rPr>
          <w:i/>
        </w:rPr>
        <w:t>Billed in excess</w:t>
      </w:r>
      <w:r>
        <w:rPr/>
        <w:t>” il cui importo di USD 1.855.000 include USD 1.590.000 a titolo di </w:t>
      </w:r>
      <w:r>
        <w:rPr>
          <w:i/>
        </w:rPr>
        <w:t>down payments </w:t>
      </w:r>
      <w:r>
        <w:rPr/>
        <w:t>e USD 265.000 a titolo di penale per un controvalore complessivo di Euro 1.684.642. In caso di richiesta di passività Biochemtex può rivalersi su Chemtex</w:t>
      </w:r>
      <w:r>
        <w:rPr>
          <w:spacing w:val="-20"/>
        </w:rPr>
        <w:t> </w:t>
      </w:r>
      <w:r>
        <w:rPr/>
        <w:t>International.</w:t>
      </w:r>
    </w:p>
    <w:p>
      <w:pPr>
        <w:pStyle w:val="BodyText"/>
        <w:spacing w:line="480" w:lineRule="auto"/>
        <w:ind w:left="1418" w:right="1412"/>
        <w:jc w:val="both"/>
      </w:pPr>
      <w:r>
        <w:rPr/>
        <w:t>Gli scriventi segnalano che relativamente alla commessa in oggetto sono presenti tre garanzie prestate da Unicredit per complessivi Euro 4.044.000 di cui due scadute al 30 novembre 2017 e una al 28 febbraio 2018: con riferimento a tali garanzie, in quanto scadute, non sono appostati ulteriori fondi oltre a quanto sopra indicato. Lo studio legale GOP con sua missiva del 20 aprile indirizzata agli scriventi precisa, per quanto riguarda il primo contratto, che sulla base della disciplina contrattuale (art. 13.6) non è prevista la possibilità di uno scioglimento anticipato del</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418" w:right="1413" w:firstLine="0"/>
        <w:jc w:val="both"/>
        <w:rPr>
          <w:i/>
          <w:sz w:val="24"/>
        </w:rPr>
      </w:pPr>
      <w:r>
        <w:rPr>
          <w:sz w:val="24"/>
        </w:rPr>
        <w:t>rapporto ed è stabilito che il contratto terminerà decorsi 7 anni dalla “</w:t>
      </w:r>
      <w:r>
        <w:rPr>
          <w:i/>
          <w:sz w:val="24"/>
        </w:rPr>
        <w:t>Effective Date</w:t>
      </w:r>
      <w:r>
        <w:rPr>
          <w:sz w:val="24"/>
        </w:rPr>
        <w:t>” (data in cui l’acquirente comunica di aver ricevuto l’acconto). L’art. 8.2. stabilisce altresì che Biochemtex presta una garanzia di 12/28 mesi per le apparecchiature fornite. Sulla base di quanto comunicato dalla Società, il contratto è pressoché completato (75% macchine consegnate). Biochemetex ha interrotto la fornitura di macchinari e la controparte contrattuale, che deve ancora completare alcuni pagamenti per i beni ricevuti, ha cercato infruttuosamente di escutere le garanzie bancarie prestate da Biochemtex per la restituzione dei </w:t>
      </w:r>
      <w:r>
        <w:rPr>
          <w:i/>
          <w:sz w:val="24"/>
        </w:rPr>
        <w:t>down payments</w:t>
      </w:r>
      <w:r>
        <w:rPr>
          <w:sz w:val="24"/>
        </w:rPr>
        <w:t>. Sempre secondo lo studio legale GOP “</w:t>
      </w:r>
      <w:r>
        <w:rPr>
          <w:i/>
          <w:sz w:val="24"/>
        </w:rPr>
        <w:t>residua solo il credito della Società per la parte di commessa già realizzata. Credito che potrà essere </w:t>
      </w:r>
      <w:r>
        <w:rPr>
          <w:i/>
          <w:sz w:val="24"/>
        </w:rPr>
        <w:t>recuperato con le più idonee azioni da parte del liquidatore giudiziale”.</w:t>
      </w:r>
    </w:p>
    <w:p>
      <w:pPr>
        <w:pStyle w:val="BodyText"/>
        <w:spacing w:line="480" w:lineRule="auto"/>
        <w:ind w:left="1418" w:right="1412"/>
        <w:jc w:val="both"/>
      </w:pPr>
      <w:r>
        <w:rPr/>
        <w:pict>
          <v:line style="position:absolute;mso-position-horizontal-relative:page;mso-position-vertical-relative:paragraph;z-index:-845992" from="190.850006pt,254.651794pt" to="193.370006pt,254.651794pt" stroked="true" strokeweight=".599980pt" strokecolor="#000000">
            <v:stroke dashstyle="solid"/>
            <w10:wrap type="none"/>
          </v:line>
        </w:pict>
      </w:r>
      <w:r>
        <w:rPr/>
        <w:t>Per quanto riguarda il secondo contratto lo studio legale GOP precisa che sulla base della disciplina contrattuale (art. 13.6) non è prevista la possibilità di uno scioglimento anticipato del rapporto ed è stabilito che il contratto terminerà decorsi 7 anni dalla “</w:t>
      </w:r>
      <w:r>
        <w:rPr>
          <w:i/>
        </w:rPr>
        <w:t>Effective Date</w:t>
      </w:r>
      <w:r>
        <w:rPr/>
        <w:t>” (data in cui l’acquirente comunica di aver ricevuto l’acconto). L’art. 8.2. stabilisce altresì che Biochemtex presta una garanzia di 12/28 mesi per le apparecchiature fornite. Sempre secondo GOP sulla  base di quanto comunicato dalla Società, il contratto è in parte iniziato. Biochemtex ha interrotto la fornitura di macchinari e la controparte contrattuale, che deve ancora completare alcuni pagamenti per i beni ricevuti, ha cercato infruttuosamente di escutere le garanzie  bancarie prestate da Biochemtex per la restituzione dei </w:t>
      </w:r>
      <w:r>
        <w:rPr>
          <w:i/>
        </w:rPr>
        <w:t>down payments </w:t>
      </w:r>
      <w:r>
        <w:rPr/>
        <w:t>come anche gli scriventi hanno appreso dall’ing.</w:t>
      </w:r>
      <w:r>
        <w:rPr>
          <w:spacing w:val="-2"/>
        </w:rPr>
        <w:t> </w:t>
      </w:r>
      <w:r>
        <w:rPr/>
        <w:t>Bolcheni.</w:t>
      </w:r>
    </w:p>
    <w:p>
      <w:pPr>
        <w:pStyle w:val="BodyText"/>
        <w:spacing w:line="480" w:lineRule="auto"/>
        <w:ind w:left="1418" w:right="1412"/>
        <w:jc w:val="both"/>
      </w:pPr>
      <w:r>
        <w:rPr/>
        <w:t>Per quanto riguarda il terzo contratto, lo studio legale GOP, ribadisce che sulla base della disciplina contrattuale di cui all’art 13. 6 non è prevista la possibilità di uno scioglimento anticipato del rapporto ed è stabilito che il contratto terminerà decorsi 7 anni dalla “</w:t>
      </w:r>
      <w:r>
        <w:rPr>
          <w:i/>
        </w:rPr>
        <w:t>Effective Date</w:t>
      </w:r>
      <w:r>
        <w:rPr/>
        <w:t>” (data</w:t>
      </w:r>
      <w:r>
        <w:rPr>
          <w:spacing w:val="46"/>
        </w:rPr>
        <w:t> </w:t>
      </w:r>
      <w:r>
        <w:rPr/>
        <w:t>in</w:t>
      </w:r>
      <w:r>
        <w:rPr>
          <w:spacing w:val="46"/>
        </w:rPr>
        <w:t> </w:t>
      </w:r>
      <w:r>
        <w:rPr/>
        <w:t>cui</w:t>
      </w:r>
      <w:r>
        <w:rPr>
          <w:spacing w:val="46"/>
        </w:rPr>
        <w:t> </w:t>
      </w:r>
      <w:r>
        <w:rPr/>
        <w:t>l’acquirente</w:t>
      </w:r>
      <w:r>
        <w:rPr>
          <w:spacing w:val="43"/>
        </w:rPr>
        <w:t> </w:t>
      </w:r>
      <w:r>
        <w:rPr/>
        <w:t>comunica</w:t>
      </w:r>
      <w:r>
        <w:rPr>
          <w:spacing w:val="46"/>
        </w:rPr>
        <w:t> </w:t>
      </w:r>
      <w:r>
        <w:rPr/>
        <w:t>di</w:t>
      </w:r>
      <w:r>
        <w:rPr>
          <w:spacing w:val="43"/>
        </w:rPr>
        <w:t> </w:t>
      </w:r>
      <w:r>
        <w:rPr/>
        <w:t>aver</w:t>
      </w:r>
      <w:r>
        <w:rPr>
          <w:spacing w:val="45"/>
        </w:rPr>
        <w:t> </w:t>
      </w:r>
      <w:r>
        <w:rPr/>
        <w:t>ricevuto</w:t>
      </w:r>
      <w:r>
        <w:rPr>
          <w:spacing w:val="45"/>
        </w:rPr>
        <w:t> </w:t>
      </w:r>
      <w:r>
        <w:rPr/>
        <w:t>l’acconto).</w:t>
      </w:r>
      <w:r>
        <w:rPr>
          <w:spacing w:val="45"/>
        </w:rPr>
        <w:t> </w:t>
      </w:r>
      <w:r>
        <w:rPr/>
        <w:t>L’art.</w:t>
      </w:r>
      <w:r>
        <w:rPr>
          <w:spacing w:val="46"/>
        </w:rPr>
        <w:t> </w:t>
      </w:r>
      <w:r>
        <w:rPr/>
        <w:t>8.2.</w:t>
      </w:r>
      <w:r>
        <w:rPr>
          <w:spacing w:val="44"/>
        </w:rPr>
        <w:t> </w:t>
      </w:r>
      <w:r>
        <w:rPr/>
        <w:t>stabilisce</w:t>
      </w:r>
      <w:r>
        <w:rPr>
          <w:spacing w:val="46"/>
        </w:rPr>
        <w:t> </w:t>
      </w:r>
      <w:r>
        <w:rPr/>
        <w:t>altresì</w:t>
      </w:r>
      <w:r>
        <w:rPr>
          <w:spacing w:val="43"/>
        </w:rPr>
        <w:t> </w:t>
      </w:r>
      <w:r>
        <w:rPr/>
        <w:t>che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7"/>
        <w:jc w:val="both"/>
      </w:pPr>
      <w:r>
        <w:rPr/>
        <w:t>Biochemtex presta una garanzia sui macchinari di 12/30 mesi per le apparecchiature fornite, ma non può essere ritenuta responsabile per le somme eccedenti gli USD 265.000. Sulla base di quanto comunicato dalla Società, allo stato attuale Tongxiang Zhongxin Chemical Fiber co. (“TZC”) ha pagato il </w:t>
      </w:r>
      <w:r>
        <w:rPr>
          <w:i/>
        </w:rPr>
        <w:t>down payment</w:t>
      </w:r>
      <w:r>
        <w:rPr/>
        <w:t>, ma subito dopo Biochemtex è entrata in concordato e non ha proceduto all’invio di alcun macchinario. TZC ha anche tentato di escutere la garanzia di Biochemtex che copriva il </w:t>
      </w:r>
      <w:r>
        <w:rPr>
          <w:i/>
        </w:rPr>
        <w:t>down payment</w:t>
      </w:r>
      <w:r>
        <w:rPr/>
        <w:t>, ma la banca non ha dato seguito a tale richiesta poiché il cliente non ha presentato una relazione tecnica comprovante l’inadempimento di Biochemtex. Ad oggi tale garanzia è scaduta.</w:t>
      </w:r>
    </w:p>
    <w:p>
      <w:pPr>
        <w:pStyle w:val="BodyText"/>
        <w:spacing w:line="480" w:lineRule="auto"/>
        <w:ind w:left="1418" w:right="1416"/>
        <w:jc w:val="both"/>
      </w:pPr>
      <w:r>
        <w:rPr/>
        <w:t>Sempre sulla base di quanto comunicato dalla Società, non avendo questa consegnato alcun macchinario, non ha alcuna obbligazione di garanzia. Peraltro, la clausola di cui all’art. 18.6 del Contratto sembra escludere il diritto di TZC a chiedere il risarcimento di perdite o danni diretti o indiretti. Sulla base di quanto sopra, l’unico rischio parrebbe essere riconducibile all’eventuale escussione della </w:t>
      </w:r>
      <w:r>
        <w:rPr>
          <w:i/>
        </w:rPr>
        <w:t>letter of credit </w:t>
      </w:r>
      <w:r>
        <w:rPr/>
        <w:t>a garanzia del </w:t>
      </w:r>
      <w:r>
        <w:rPr>
          <w:i/>
        </w:rPr>
        <w:t>down payment </w:t>
      </w:r>
      <w:r>
        <w:rPr/>
        <w:t>che tuttavia è scaduta.</w:t>
      </w:r>
    </w:p>
    <w:p>
      <w:pPr>
        <w:pStyle w:val="BodyText"/>
        <w:spacing w:line="480" w:lineRule="auto"/>
        <w:ind w:left="1418" w:right="1415"/>
        <w:jc w:val="both"/>
      </w:pPr>
      <w:r>
        <w:rPr/>
        <w:t>Sulla base della disciplina contrattuale (art.13.6) è prevista la possibilità di uno scioglimento anticipato del rapporto se vi è accordo delle parti (o negli altri casi previsti dal contratto, si v. ad es. art. 3.5. che tuttavia sono legati a inadempimenti specifici e non rilevano nel caso di specie).</w:t>
      </w:r>
    </w:p>
    <w:p>
      <w:pPr>
        <w:pStyle w:val="BodyText"/>
        <w:ind w:left="1418"/>
        <w:jc w:val="both"/>
      </w:pPr>
      <w:r>
        <w:rPr/>
        <w:pict>
          <v:line style="position:absolute;mso-position-horizontal-relative:page;mso-position-vertical-relative:paragraph;z-index:-845968" from="461.140015pt,11.601805pt" to="463.660015pt,11.601805pt" stroked="true" strokeweight=".599980pt" strokecolor="#000000">
            <v:stroke dashstyle="solid"/>
            <w10:wrap type="none"/>
          </v:line>
        </w:pict>
      </w:r>
      <w:r>
        <w:rPr/>
        <w:t>Non è indicata alcuna penale o alcun corrispettivo in caso di scioglimento anticipato.</w:t>
      </w:r>
    </w:p>
    <w:p>
      <w:pPr>
        <w:pStyle w:val="BodyText"/>
      </w:pPr>
    </w:p>
    <w:p>
      <w:pPr>
        <w:pStyle w:val="BodyText"/>
        <w:spacing w:line="480" w:lineRule="auto"/>
        <w:ind w:left="1418" w:right="1416"/>
        <w:jc w:val="both"/>
      </w:pPr>
      <w:r>
        <w:rPr/>
        <w:t>Sulla base di quanto comunicato dalla Società, non ci dovrebbero essere rischi di contestazione alcuna, pertanto allo stato, non sembrano sussistere rischi di future pretese risarcitorie in caso di scioglimento anticipato del rapporto.</w:t>
      </w:r>
    </w:p>
    <w:p>
      <w:pPr>
        <w:pStyle w:val="BodyText"/>
        <w:spacing w:line="480" w:lineRule="auto"/>
        <w:ind w:left="1418" w:right="1414"/>
        <w:jc w:val="both"/>
      </w:pPr>
      <w:r>
        <w:rPr/>
        <w:t>Si rileva peraltro che, con riguardo al credito vantato dalla Società nei confronti della  committente, lo stesso credito – in via prudenziale – è stato interamente</w:t>
      </w:r>
      <w:r>
        <w:rPr>
          <w:spacing w:val="-22"/>
        </w:rPr>
        <w:t> </w:t>
      </w:r>
      <w:r>
        <w:rPr/>
        <w:t>svalutato.</w:t>
      </w:r>
    </w:p>
    <w:p>
      <w:pPr>
        <w:pStyle w:val="BodyText"/>
        <w:ind w:left="1418"/>
        <w:jc w:val="both"/>
      </w:pPr>
      <w:r>
        <w:rPr>
          <w:u w:val="single"/>
        </w:rPr>
        <w:t>Attività svolta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Gli scriventi hanno preso visione dei contratti e delle fatture a supporto dell’esistenza del credito, delle contabili bancarie di incasso.</w:t>
      </w:r>
    </w:p>
    <w:p>
      <w:pPr>
        <w:pStyle w:val="BodyText"/>
        <w:ind w:left="1418"/>
        <w:jc w:val="both"/>
      </w:pPr>
      <w:r>
        <w:rPr>
          <w:u w:val="single"/>
        </w:rPr>
        <w:t>Valorizzazione concordataria</w:t>
      </w:r>
    </w:p>
    <w:p>
      <w:pPr>
        <w:pStyle w:val="BodyText"/>
      </w:pPr>
    </w:p>
    <w:p>
      <w:pPr>
        <w:pStyle w:val="BodyText"/>
        <w:spacing w:line="480" w:lineRule="auto"/>
        <w:ind w:left="1418" w:right="1414"/>
        <w:jc w:val="both"/>
      </w:pPr>
      <w:r>
        <w:rPr/>
        <w:t>Ai fini del piano concordatario la società prudenzialmente ha svalutato il credito sorto successivamente alla data del 15 ottobre 2017 tenuto conto della richiesta effettuata in merito alla restituzione del </w:t>
      </w:r>
      <w:r>
        <w:rPr>
          <w:i/>
        </w:rPr>
        <w:t>down payment</w:t>
      </w:r>
      <w:r>
        <w:rPr/>
        <w:t>. Il debito espresso nella voce </w:t>
      </w:r>
      <w:r>
        <w:rPr>
          <w:i/>
        </w:rPr>
        <w:t>Billed in excess </w:t>
      </w:r>
      <w:r>
        <w:rPr/>
        <w:t>rappresenta la passività che potrebbe insorgere pari al 5% del valore dei macchinari forniti tenuto conto che le garanzie sono scadute e che la commessa non è inclusa nel perimetro dell’offerta di Versalis.</w:t>
      </w:r>
    </w:p>
    <w:p>
      <w:pPr>
        <w:pStyle w:val="Heading2"/>
        <w:jc w:val="both"/>
      </w:pPr>
      <w:r>
        <w:rPr>
          <w:u w:val="single"/>
        </w:rPr>
        <w:t>Plastipak Italia</w:t>
      </w:r>
    </w:p>
    <w:p>
      <w:pPr>
        <w:pStyle w:val="BodyText"/>
        <w:rPr>
          <w:b/>
        </w:rPr>
      </w:pPr>
    </w:p>
    <w:p>
      <w:pPr>
        <w:pStyle w:val="BodyText"/>
        <w:spacing w:line="480" w:lineRule="auto"/>
        <w:ind w:left="1418" w:right="1417"/>
        <w:jc w:val="both"/>
      </w:pPr>
      <w:r>
        <w:rPr/>
        <w:t>Gli scriventi segnalano che la società in data 7 dicembre 2017 ha sottoscritto un contratto in  forza del quale Biochemtex ha effettuato uno studio di fattibilità per l’incremento di capacità  degli impianti SST e Melt del cliente Plastipack, ad un corrispettivo totale di Euro 117.120 IVA inclusa.</w:t>
      </w:r>
    </w:p>
    <w:p>
      <w:pPr>
        <w:pStyle w:val="BodyText"/>
        <w:spacing w:line="480" w:lineRule="auto"/>
        <w:ind w:left="1418" w:right="1420"/>
        <w:jc w:val="both"/>
      </w:pPr>
      <w:r>
        <w:rPr/>
        <w:t>In data 30 marzo è stata emessa fattura di acconto per complessivi Euro 58.560 scadente il 30 aprile 2018.</w:t>
      </w:r>
    </w:p>
    <w:p>
      <w:pPr>
        <w:pStyle w:val="BodyText"/>
        <w:spacing w:line="480" w:lineRule="auto"/>
        <w:ind w:left="1418" w:right="1415"/>
        <w:jc w:val="both"/>
      </w:pPr>
      <w:r>
        <w:rPr/>
        <w:t>Si segnala altresì che in data 9 aprile del 2018 la società ha sottoscritto un ulteriore contratto per  la realizzazione di servizi di ingegneria di base e di dettaglio per le modifiche da realizzare presso l’impianto CP &amp; SSP dello stabilimento sito in Verbania per complessivi Euro 500.200 IVA inclusa.</w:t>
      </w:r>
    </w:p>
    <w:p>
      <w:pPr>
        <w:pStyle w:val="BodyText"/>
        <w:ind w:left="1418"/>
        <w:jc w:val="both"/>
      </w:pPr>
      <w:r>
        <w:rPr>
          <w:u w:val="single"/>
        </w:rPr>
        <w:t>Attività svolta</w:t>
      </w:r>
    </w:p>
    <w:p>
      <w:pPr>
        <w:pStyle w:val="BodyText"/>
      </w:pPr>
    </w:p>
    <w:p>
      <w:pPr>
        <w:pStyle w:val="BodyText"/>
        <w:ind w:left="1418"/>
        <w:jc w:val="both"/>
      </w:pPr>
      <w:r>
        <w:rPr/>
        <w:t>Gli scriventi hanno preso visione dei contratti e delle fatture emesse.</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pPr>
      <w:r>
        <w:rPr>
          <w:u w:val="single"/>
        </w:rPr>
        <w:t>Valorizzazione concordataria</w:t>
      </w:r>
    </w:p>
    <w:p>
      <w:pPr>
        <w:pStyle w:val="BodyText"/>
        <w:spacing w:before="11"/>
        <w:rPr>
          <w:sz w:val="23"/>
        </w:rPr>
      </w:pPr>
    </w:p>
    <w:p>
      <w:pPr>
        <w:pStyle w:val="BodyText"/>
        <w:spacing w:line="480" w:lineRule="auto"/>
        <w:ind w:left="1418" w:right="1518"/>
      </w:pPr>
      <w:r>
        <w:rPr/>
        <w:t>Ai fini del piano concordatario la società ha stimato un valore di realizzo di Euro  58.560 incassabili al 30 aprile 2018 secondo il piano di cassa esaminato dagli scriventi.</w:t>
      </w:r>
    </w:p>
    <w:p>
      <w:pPr>
        <w:pStyle w:val="BodyText"/>
        <w:spacing w:before="3"/>
        <w:rPr>
          <w:sz w:val="21"/>
        </w:rPr>
      </w:pPr>
    </w:p>
    <w:p>
      <w:pPr>
        <w:pStyle w:val="Heading2"/>
      </w:pPr>
      <w:r>
        <w:rPr>
          <w:u w:val="single"/>
        </w:rPr>
        <w:t>CREDITI VERSO SOCIETA’ DEL GRUPPO</w:t>
      </w:r>
    </w:p>
    <w:p>
      <w:pPr>
        <w:pStyle w:val="BodyText"/>
        <w:spacing w:before="1"/>
        <w:rPr>
          <w:b/>
          <w:sz w:val="15"/>
        </w:rPr>
      </w:pPr>
    </w:p>
    <w:p>
      <w:pPr>
        <w:pStyle w:val="BodyText"/>
        <w:spacing w:line="480" w:lineRule="auto" w:before="100"/>
        <w:ind w:left="1418" w:right="1518"/>
      </w:pPr>
      <w:r>
        <w:rPr/>
        <w:t>I crediti verso le società del gruppo nella situazione contabile al 15 ottobre 2017 ammontano ad Euro 75.428.159 di cui:</w:t>
      </w:r>
    </w:p>
    <w:p>
      <w:pPr>
        <w:pStyle w:val="ListParagraph"/>
        <w:numPr>
          <w:ilvl w:val="0"/>
          <w:numId w:val="57"/>
        </w:numPr>
        <w:tabs>
          <w:tab w:pos="2126" w:val="left" w:leader="none"/>
          <w:tab w:pos="2127" w:val="left" w:leader="none"/>
        </w:tabs>
        <w:spacing w:line="240" w:lineRule="auto" w:before="0" w:after="0"/>
        <w:ind w:left="2126" w:right="0" w:hanging="348"/>
        <w:jc w:val="left"/>
        <w:rPr>
          <w:sz w:val="24"/>
        </w:rPr>
      </w:pPr>
      <w:r>
        <w:rPr>
          <w:sz w:val="24"/>
        </w:rPr>
        <w:t>crediti di natura commerciale pari ad Euro</w:t>
      </w:r>
      <w:r>
        <w:rPr>
          <w:spacing w:val="-17"/>
          <w:sz w:val="24"/>
        </w:rPr>
        <w:t> </w:t>
      </w:r>
      <w:r>
        <w:rPr>
          <w:sz w:val="24"/>
        </w:rPr>
        <w:t>36.975.565;</w:t>
      </w:r>
    </w:p>
    <w:p>
      <w:pPr>
        <w:pStyle w:val="BodyText"/>
        <w:spacing w:before="10"/>
        <w:rPr>
          <w:sz w:val="23"/>
        </w:rPr>
      </w:pPr>
    </w:p>
    <w:p>
      <w:pPr>
        <w:pStyle w:val="ListParagraph"/>
        <w:numPr>
          <w:ilvl w:val="0"/>
          <w:numId w:val="57"/>
        </w:numPr>
        <w:tabs>
          <w:tab w:pos="2126" w:val="left" w:leader="none"/>
          <w:tab w:pos="2127" w:val="left" w:leader="none"/>
        </w:tabs>
        <w:spacing w:line="240" w:lineRule="auto" w:before="0" w:after="0"/>
        <w:ind w:left="2126" w:right="0" w:hanging="348"/>
        <w:jc w:val="left"/>
        <w:rPr>
          <w:sz w:val="24"/>
        </w:rPr>
      </w:pPr>
      <w:r>
        <w:rPr>
          <w:sz w:val="24"/>
        </w:rPr>
        <w:t>crediti di natura finanziaria pari ad Euro</w:t>
      </w:r>
      <w:r>
        <w:rPr>
          <w:spacing w:val="-12"/>
          <w:sz w:val="24"/>
        </w:rPr>
        <w:t> </w:t>
      </w:r>
      <w:r>
        <w:rPr>
          <w:sz w:val="24"/>
        </w:rPr>
        <w:t>4.147.964;</w:t>
      </w:r>
    </w:p>
    <w:p>
      <w:pPr>
        <w:pStyle w:val="BodyText"/>
        <w:spacing w:before="9"/>
        <w:rPr>
          <w:sz w:val="23"/>
        </w:rPr>
      </w:pPr>
    </w:p>
    <w:p>
      <w:pPr>
        <w:pStyle w:val="ListParagraph"/>
        <w:numPr>
          <w:ilvl w:val="0"/>
          <w:numId w:val="57"/>
        </w:numPr>
        <w:tabs>
          <w:tab w:pos="2126" w:val="left" w:leader="none"/>
          <w:tab w:pos="2127" w:val="left" w:leader="none"/>
        </w:tabs>
        <w:spacing w:line="240" w:lineRule="auto" w:before="0" w:after="0"/>
        <w:ind w:left="2126" w:right="0" w:hanging="348"/>
        <w:jc w:val="left"/>
        <w:rPr>
          <w:sz w:val="24"/>
        </w:rPr>
      </w:pPr>
      <w:r>
        <w:rPr>
          <w:sz w:val="24"/>
        </w:rPr>
        <w:t>crediti diversi pari ad Euro</w:t>
      </w:r>
      <w:r>
        <w:rPr>
          <w:spacing w:val="-11"/>
          <w:sz w:val="24"/>
        </w:rPr>
        <w:t> </w:t>
      </w:r>
      <w:r>
        <w:rPr>
          <w:sz w:val="24"/>
        </w:rPr>
        <w:t>762.439;</w:t>
      </w:r>
    </w:p>
    <w:p>
      <w:pPr>
        <w:pStyle w:val="BodyText"/>
        <w:spacing w:before="9"/>
        <w:rPr>
          <w:sz w:val="23"/>
        </w:rPr>
      </w:pPr>
    </w:p>
    <w:p>
      <w:pPr>
        <w:pStyle w:val="ListParagraph"/>
        <w:numPr>
          <w:ilvl w:val="0"/>
          <w:numId w:val="57"/>
        </w:numPr>
        <w:tabs>
          <w:tab w:pos="2126" w:val="left" w:leader="none"/>
          <w:tab w:pos="2127" w:val="left" w:leader="none"/>
        </w:tabs>
        <w:spacing w:line="240" w:lineRule="auto" w:before="0" w:after="0"/>
        <w:ind w:left="2126" w:right="0" w:hanging="348"/>
        <w:jc w:val="left"/>
        <w:rPr>
          <w:sz w:val="24"/>
        </w:rPr>
      </w:pPr>
      <w:r>
        <w:rPr>
          <w:sz w:val="24"/>
        </w:rPr>
        <w:t>crediti per </w:t>
      </w:r>
      <w:r>
        <w:rPr>
          <w:i/>
          <w:sz w:val="24"/>
        </w:rPr>
        <w:t>cash pooling </w:t>
      </w:r>
      <w:r>
        <w:rPr>
          <w:sz w:val="24"/>
        </w:rPr>
        <w:t>pari ad Euro</w:t>
      </w:r>
      <w:r>
        <w:rPr>
          <w:spacing w:val="-14"/>
          <w:sz w:val="24"/>
        </w:rPr>
        <w:t> </w:t>
      </w:r>
      <w:r>
        <w:rPr>
          <w:sz w:val="24"/>
        </w:rPr>
        <w:t>33.542.191.</w:t>
      </w:r>
    </w:p>
    <w:p>
      <w:pPr>
        <w:pStyle w:val="BodyText"/>
        <w:rPr>
          <w:sz w:val="20"/>
        </w:rPr>
      </w:pPr>
    </w:p>
    <w:p>
      <w:pPr>
        <w:pStyle w:val="BodyText"/>
        <w:spacing w:before="1"/>
        <w:rPr>
          <w:sz w:val="13"/>
        </w:rPr>
      </w:pPr>
    </w:p>
    <w:tbl>
      <w:tblPr>
        <w:tblW w:w="0" w:type="auto"/>
        <w:jc w:val="left"/>
        <w:tblInd w:w="992"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210"/>
        <w:gridCol w:w="720"/>
        <w:gridCol w:w="749"/>
        <w:gridCol w:w="525"/>
        <w:gridCol w:w="638"/>
        <w:gridCol w:w="796"/>
        <w:gridCol w:w="591"/>
        <w:gridCol w:w="682"/>
        <w:gridCol w:w="508"/>
        <w:gridCol w:w="623"/>
        <w:gridCol w:w="723"/>
        <w:gridCol w:w="526"/>
        <w:gridCol w:w="674"/>
        <w:gridCol w:w="654"/>
        <w:gridCol w:w="590"/>
      </w:tblGrid>
      <w:tr>
        <w:trPr>
          <w:trHeight w:val="125" w:hRule="exact"/>
        </w:trPr>
        <w:tc>
          <w:tcPr>
            <w:tcW w:w="1210" w:type="dxa"/>
            <w:vMerge w:val="restart"/>
            <w:tcBorders>
              <w:top w:val="single" w:sz="3" w:space="0" w:color="000000"/>
              <w:left w:val="single" w:sz="3" w:space="0" w:color="000000"/>
              <w:right w:val="single" w:sz="3" w:space="0" w:color="000000"/>
            </w:tcBorders>
            <w:shd w:val="clear" w:color="auto" w:fill="D9D9D9"/>
          </w:tcPr>
          <w:p>
            <w:pPr>
              <w:pStyle w:val="TableParagraph"/>
              <w:spacing w:before="0"/>
              <w:jc w:val="left"/>
              <w:rPr>
                <w:sz w:val="10"/>
              </w:rPr>
            </w:pPr>
          </w:p>
          <w:p>
            <w:pPr>
              <w:pStyle w:val="TableParagraph"/>
              <w:spacing w:before="89"/>
              <w:ind w:left="363"/>
              <w:jc w:val="left"/>
              <w:rPr>
                <w:b/>
                <w:sz w:val="10"/>
              </w:rPr>
            </w:pPr>
            <w:r>
              <w:rPr>
                <w:b/>
                <w:sz w:val="10"/>
              </w:rPr>
              <w:t>SOCIETA'</w:t>
            </w:r>
          </w:p>
        </w:tc>
        <w:tc>
          <w:tcPr>
            <w:tcW w:w="1994" w:type="dxa"/>
            <w:gridSpan w:val="3"/>
            <w:tcBorders>
              <w:top w:val="single" w:sz="3" w:space="0" w:color="000000"/>
              <w:left w:val="single" w:sz="3" w:space="0" w:color="000000"/>
              <w:bottom w:val="single" w:sz="3" w:space="0" w:color="000000"/>
              <w:right w:val="single" w:sz="3" w:space="0" w:color="000000"/>
            </w:tcBorders>
            <w:shd w:val="clear" w:color="auto" w:fill="D9D9D9"/>
          </w:tcPr>
          <w:p>
            <w:pPr>
              <w:pStyle w:val="TableParagraph"/>
              <w:spacing w:before="8"/>
              <w:ind w:left="620"/>
              <w:jc w:val="left"/>
              <w:rPr>
                <w:b/>
                <w:sz w:val="10"/>
              </w:rPr>
            </w:pPr>
            <w:r>
              <w:rPr>
                <w:b/>
                <w:sz w:val="10"/>
              </w:rPr>
              <w:t>COMMERCIALI</w:t>
            </w:r>
          </w:p>
        </w:tc>
        <w:tc>
          <w:tcPr>
            <w:tcW w:w="2025" w:type="dxa"/>
            <w:gridSpan w:val="3"/>
            <w:tcBorders>
              <w:top w:val="single" w:sz="3" w:space="0" w:color="000000"/>
              <w:left w:val="single" w:sz="3" w:space="0" w:color="000000"/>
              <w:bottom w:val="single" w:sz="3" w:space="0" w:color="000000"/>
              <w:right w:val="single" w:sz="3" w:space="0" w:color="000000"/>
            </w:tcBorders>
            <w:shd w:val="clear" w:color="auto" w:fill="D9D9D9"/>
          </w:tcPr>
          <w:p>
            <w:pPr>
              <w:pStyle w:val="TableParagraph"/>
              <w:spacing w:before="8"/>
              <w:ind w:left="839" w:right="831"/>
              <w:jc w:val="center"/>
              <w:rPr>
                <w:b/>
                <w:sz w:val="10"/>
              </w:rPr>
            </w:pPr>
            <w:r>
              <w:rPr>
                <w:b/>
                <w:sz w:val="10"/>
              </w:rPr>
              <w:t>ALTRI</w:t>
            </w:r>
          </w:p>
        </w:tc>
        <w:tc>
          <w:tcPr>
            <w:tcW w:w="1812" w:type="dxa"/>
            <w:gridSpan w:val="3"/>
            <w:tcBorders>
              <w:top w:val="single" w:sz="3" w:space="0" w:color="000000"/>
              <w:left w:val="single" w:sz="3" w:space="0" w:color="000000"/>
              <w:bottom w:val="single" w:sz="3" w:space="0" w:color="000000"/>
              <w:right w:val="single" w:sz="3" w:space="0" w:color="000000"/>
            </w:tcBorders>
            <w:shd w:val="clear" w:color="auto" w:fill="D9D9D9"/>
          </w:tcPr>
          <w:p>
            <w:pPr>
              <w:pStyle w:val="TableParagraph"/>
              <w:spacing w:before="8"/>
              <w:ind w:left="576"/>
              <w:jc w:val="left"/>
              <w:rPr>
                <w:b/>
                <w:sz w:val="10"/>
              </w:rPr>
            </w:pPr>
            <w:r>
              <w:rPr>
                <w:b/>
                <w:sz w:val="10"/>
              </w:rPr>
              <w:t>FINANZIARI</w:t>
            </w:r>
          </w:p>
        </w:tc>
        <w:tc>
          <w:tcPr>
            <w:tcW w:w="2577" w:type="dxa"/>
            <w:gridSpan w:val="4"/>
            <w:tcBorders>
              <w:top w:val="single" w:sz="3" w:space="0" w:color="000000"/>
              <w:left w:val="single" w:sz="3" w:space="0" w:color="000000"/>
              <w:bottom w:val="single" w:sz="3" w:space="0" w:color="000000"/>
              <w:right w:val="single" w:sz="3" w:space="0" w:color="000000"/>
            </w:tcBorders>
            <w:shd w:val="clear" w:color="auto" w:fill="D9D9D9"/>
          </w:tcPr>
          <w:p>
            <w:pPr>
              <w:pStyle w:val="TableParagraph"/>
              <w:spacing w:before="8"/>
              <w:ind w:left="876" w:right="877"/>
              <w:jc w:val="center"/>
              <w:rPr>
                <w:b/>
                <w:sz w:val="10"/>
              </w:rPr>
            </w:pPr>
            <w:r>
              <w:rPr>
                <w:b/>
                <w:sz w:val="10"/>
              </w:rPr>
              <w:t>CASH POOLING</w:t>
            </w:r>
          </w:p>
        </w:tc>
        <w:tc>
          <w:tcPr>
            <w:tcW w:w="590" w:type="dxa"/>
            <w:vMerge w:val="restart"/>
            <w:tcBorders>
              <w:top w:val="single" w:sz="3" w:space="0" w:color="000000"/>
              <w:left w:val="single" w:sz="3" w:space="0" w:color="000000"/>
              <w:right w:val="single" w:sz="3" w:space="0" w:color="000000"/>
            </w:tcBorders>
            <w:shd w:val="clear" w:color="auto" w:fill="D9D9D9"/>
          </w:tcPr>
          <w:p>
            <w:pPr>
              <w:pStyle w:val="TableParagraph"/>
              <w:spacing w:before="0"/>
              <w:jc w:val="left"/>
              <w:rPr>
                <w:sz w:val="8"/>
              </w:rPr>
            </w:pPr>
          </w:p>
          <w:p>
            <w:pPr>
              <w:pStyle w:val="TableParagraph"/>
              <w:spacing w:before="10"/>
              <w:jc w:val="left"/>
              <w:rPr>
                <w:sz w:val="10"/>
              </w:rPr>
            </w:pPr>
          </w:p>
          <w:p>
            <w:pPr>
              <w:pStyle w:val="TableParagraph"/>
              <w:spacing w:before="0"/>
              <w:ind w:left="119"/>
              <w:jc w:val="left"/>
              <w:rPr>
                <w:b/>
                <w:sz w:val="8"/>
              </w:rPr>
            </w:pPr>
            <w:r>
              <w:rPr>
                <w:b/>
                <w:sz w:val="8"/>
              </w:rPr>
              <w:t>TOTALE</w:t>
            </w:r>
          </w:p>
        </w:tc>
      </w:tr>
      <w:tr>
        <w:trPr>
          <w:trHeight w:val="395" w:hRule="exact"/>
        </w:trPr>
        <w:tc>
          <w:tcPr>
            <w:tcW w:w="1210" w:type="dxa"/>
            <w:vMerge/>
            <w:tcBorders>
              <w:left w:val="single" w:sz="3" w:space="0" w:color="000000"/>
              <w:bottom w:val="single" w:sz="3" w:space="0" w:color="000000"/>
              <w:right w:val="single" w:sz="3" w:space="0" w:color="000000"/>
            </w:tcBorders>
            <w:shd w:val="clear" w:color="auto" w:fill="D9D9D9"/>
          </w:tcPr>
          <w:p>
            <w:pPr/>
          </w:p>
        </w:tc>
        <w:tc>
          <w:tcPr>
            <w:tcW w:w="720" w:type="dxa"/>
            <w:tcBorders>
              <w:top w:val="single" w:sz="3" w:space="0" w:color="000000"/>
              <w:left w:val="single" w:sz="3" w:space="0" w:color="000000"/>
              <w:bottom w:val="single" w:sz="3" w:space="0" w:color="000000"/>
            </w:tcBorders>
            <w:shd w:val="clear" w:color="auto" w:fill="D9D9D9"/>
          </w:tcPr>
          <w:p>
            <w:pPr>
              <w:pStyle w:val="TableParagraph"/>
              <w:spacing w:before="10"/>
              <w:jc w:val="left"/>
              <w:rPr>
                <w:sz w:val="12"/>
              </w:rPr>
            </w:pPr>
          </w:p>
          <w:p>
            <w:pPr>
              <w:pStyle w:val="TableParagraph"/>
              <w:spacing w:before="1"/>
              <w:ind w:left="213"/>
              <w:jc w:val="left"/>
              <w:rPr>
                <w:b/>
                <w:sz w:val="10"/>
              </w:rPr>
            </w:pPr>
            <w:r>
              <w:rPr>
                <w:b/>
                <w:sz w:val="10"/>
              </w:rPr>
              <w:t>2239010</w:t>
            </w:r>
          </w:p>
        </w:tc>
        <w:tc>
          <w:tcPr>
            <w:tcW w:w="749" w:type="dxa"/>
            <w:tcBorders>
              <w:top w:val="single" w:sz="3" w:space="0" w:color="000000"/>
              <w:bottom w:val="single" w:sz="3" w:space="0" w:color="000000"/>
            </w:tcBorders>
            <w:shd w:val="clear" w:color="auto" w:fill="D9D9D9"/>
          </w:tcPr>
          <w:p>
            <w:pPr>
              <w:pStyle w:val="TableParagraph"/>
              <w:spacing w:before="76"/>
              <w:ind w:left="61" w:right="3"/>
              <w:jc w:val="center"/>
              <w:rPr>
                <w:b/>
                <w:sz w:val="10"/>
              </w:rPr>
            </w:pPr>
            <w:r>
              <w:rPr>
                <w:b/>
                <w:sz w:val="10"/>
              </w:rPr>
              <w:t>2239012</w:t>
            </w:r>
          </w:p>
          <w:p>
            <w:pPr>
              <w:pStyle w:val="TableParagraph"/>
              <w:spacing w:before="18"/>
              <w:ind w:left="61" w:right="8"/>
              <w:jc w:val="center"/>
              <w:rPr>
                <w:b/>
                <w:sz w:val="10"/>
              </w:rPr>
            </w:pPr>
            <w:r>
              <w:rPr>
                <w:b/>
                <w:sz w:val="10"/>
              </w:rPr>
              <w:t>(stanziamento)</w:t>
            </w:r>
          </w:p>
        </w:tc>
        <w:tc>
          <w:tcPr>
            <w:tcW w:w="525" w:type="dxa"/>
            <w:tcBorders>
              <w:top w:val="single" w:sz="3" w:space="0" w:color="000000"/>
              <w:bottom w:val="single" w:sz="3" w:space="0" w:color="000000"/>
              <w:right w:val="single" w:sz="3" w:space="0" w:color="000000"/>
            </w:tcBorders>
            <w:shd w:val="clear" w:color="auto" w:fill="D9D9D9"/>
          </w:tcPr>
          <w:p>
            <w:pPr>
              <w:pStyle w:val="TableParagraph"/>
              <w:spacing w:before="14"/>
              <w:ind w:left="95"/>
              <w:jc w:val="left"/>
              <w:rPr>
                <w:b/>
                <w:sz w:val="10"/>
              </w:rPr>
            </w:pPr>
            <w:r>
              <w:rPr>
                <w:b/>
                <w:sz w:val="10"/>
              </w:rPr>
              <w:t>2239015</w:t>
            </w:r>
          </w:p>
          <w:p>
            <w:pPr>
              <w:pStyle w:val="TableParagraph"/>
              <w:spacing w:line="280" w:lineRule="auto" w:before="19"/>
              <w:ind w:left="114" w:right="90" w:firstLine="25"/>
              <w:jc w:val="left"/>
              <w:rPr>
                <w:b/>
                <w:sz w:val="10"/>
              </w:rPr>
            </w:pPr>
            <w:r>
              <w:rPr>
                <w:b/>
                <w:sz w:val="10"/>
              </w:rPr>
              <w:t>(delta cambi)</w:t>
            </w:r>
          </w:p>
        </w:tc>
        <w:tc>
          <w:tcPr>
            <w:tcW w:w="638" w:type="dxa"/>
            <w:tcBorders>
              <w:top w:val="single" w:sz="3" w:space="0" w:color="000000"/>
              <w:left w:val="single" w:sz="3" w:space="0" w:color="000000"/>
              <w:bottom w:val="single" w:sz="3" w:space="0" w:color="000000"/>
            </w:tcBorders>
            <w:shd w:val="clear" w:color="auto" w:fill="D9D9D9"/>
          </w:tcPr>
          <w:p>
            <w:pPr>
              <w:pStyle w:val="TableParagraph"/>
              <w:spacing w:before="76"/>
              <w:ind w:left="12" w:right="21"/>
              <w:jc w:val="center"/>
              <w:rPr>
                <w:b/>
                <w:sz w:val="10"/>
              </w:rPr>
            </w:pPr>
            <w:r>
              <w:rPr>
                <w:b/>
                <w:sz w:val="10"/>
              </w:rPr>
              <w:t>2249170</w:t>
            </w:r>
          </w:p>
          <w:p>
            <w:pPr>
              <w:pStyle w:val="TableParagraph"/>
              <w:spacing w:before="18"/>
              <w:ind w:left="13" w:right="21"/>
              <w:jc w:val="center"/>
              <w:rPr>
                <w:b/>
                <w:sz w:val="10"/>
              </w:rPr>
            </w:pPr>
            <w:r>
              <w:rPr>
                <w:b/>
                <w:sz w:val="10"/>
              </w:rPr>
              <w:t>(consolidato)</w:t>
            </w:r>
          </w:p>
        </w:tc>
        <w:tc>
          <w:tcPr>
            <w:tcW w:w="796" w:type="dxa"/>
            <w:tcBorders>
              <w:top w:val="single" w:sz="3" w:space="0" w:color="000000"/>
              <w:bottom w:val="single" w:sz="3" w:space="0" w:color="000000"/>
            </w:tcBorders>
            <w:shd w:val="clear" w:color="auto" w:fill="D9D9D9"/>
          </w:tcPr>
          <w:p>
            <w:pPr>
              <w:pStyle w:val="TableParagraph"/>
              <w:spacing w:before="76"/>
              <w:ind w:left="31" w:right="79"/>
              <w:jc w:val="center"/>
              <w:rPr>
                <w:b/>
                <w:sz w:val="10"/>
              </w:rPr>
            </w:pPr>
            <w:r>
              <w:rPr>
                <w:b/>
                <w:sz w:val="10"/>
              </w:rPr>
              <w:t>2249012</w:t>
            </w:r>
          </w:p>
          <w:p>
            <w:pPr>
              <w:pStyle w:val="TableParagraph"/>
              <w:spacing w:before="18"/>
              <w:ind w:left="31" w:right="85"/>
              <w:jc w:val="center"/>
              <w:rPr>
                <w:b/>
                <w:sz w:val="10"/>
              </w:rPr>
            </w:pPr>
            <w:r>
              <w:rPr>
                <w:b/>
                <w:sz w:val="10"/>
              </w:rPr>
              <w:t>(stanziamento)</w:t>
            </w:r>
          </w:p>
        </w:tc>
        <w:tc>
          <w:tcPr>
            <w:tcW w:w="591" w:type="dxa"/>
            <w:tcBorders>
              <w:top w:val="single" w:sz="3" w:space="0" w:color="000000"/>
              <w:bottom w:val="single" w:sz="3" w:space="0" w:color="000000"/>
              <w:right w:val="single" w:sz="3" w:space="0" w:color="000000"/>
            </w:tcBorders>
            <w:shd w:val="clear" w:color="auto" w:fill="D9D9D9"/>
          </w:tcPr>
          <w:p>
            <w:pPr>
              <w:pStyle w:val="TableParagraph"/>
              <w:spacing w:before="10"/>
              <w:jc w:val="left"/>
              <w:rPr>
                <w:sz w:val="12"/>
              </w:rPr>
            </w:pPr>
          </w:p>
          <w:p>
            <w:pPr>
              <w:pStyle w:val="TableParagraph"/>
              <w:spacing w:before="1"/>
              <w:ind w:left="55" w:right="108"/>
              <w:jc w:val="center"/>
              <w:rPr>
                <w:b/>
                <w:sz w:val="10"/>
              </w:rPr>
            </w:pPr>
            <w:r>
              <w:rPr>
                <w:b/>
                <w:sz w:val="10"/>
              </w:rPr>
              <w:t>2169020</w:t>
            </w:r>
          </w:p>
        </w:tc>
        <w:tc>
          <w:tcPr>
            <w:tcW w:w="682" w:type="dxa"/>
            <w:tcBorders>
              <w:top w:val="single" w:sz="3" w:space="0" w:color="000000"/>
              <w:left w:val="single" w:sz="3" w:space="0" w:color="000000"/>
              <w:bottom w:val="single" w:sz="3" w:space="0" w:color="000000"/>
            </w:tcBorders>
            <w:shd w:val="clear" w:color="auto" w:fill="D9D9D9"/>
          </w:tcPr>
          <w:p>
            <w:pPr>
              <w:pStyle w:val="TableParagraph"/>
              <w:spacing w:before="10"/>
              <w:jc w:val="left"/>
              <w:rPr>
                <w:sz w:val="12"/>
              </w:rPr>
            </w:pPr>
          </w:p>
          <w:p>
            <w:pPr>
              <w:pStyle w:val="TableParagraph"/>
              <w:spacing w:before="1"/>
              <w:ind w:left="181"/>
              <w:jc w:val="left"/>
              <w:rPr>
                <w:b/>
                <w:sz w:val="10"/>
              </w:rPr>
            </w:pPr>
            <w:r>
              <w:rPr>
                <w:b/>
                <w:sz w:val="10"/>
              </w:rPr>
              <w:t>2229012</w:t>
            </w:r>
          </w:p>
        </w:tc>
        <w:tc>
          <w:tcPr>
            <w:tcW w:w="508" w:type="dxa"/>
            <w:tcBorders>
              <w:top w:val="single" w:sz="3" w:space="0" w:color="000000"/>
              <w:bottom w:val="single" w:sz="3" w:space="0" w:color="000000"/>
            </w:tcBorders>
            <w:shd w:val="clear" w:color="auto" w:fill="D9D9D9"/>
          </w:tcPr>
          <w:p>
            <w:pPr>
              <w:pStyle w:val="TableParagraph"/>
              <w:spacing w:before="10"/>
              <w:jc w:val="left"/>
              <w:rPr>
                <w:sz w:val="12"/>
              </w:rPr>
            </w:pPr>
          </w:p>
          <w:p>
            <w:pPr>
              <w:pStyle w:val="TableParagraph"/>
              <w:spacing w:before="1"/>
              <w:ind w:left="79" w:right="67"/>
              <w:jc w:val="center"/>
              <w:rPr>
                <w:b/>
                <w:sz w:val="10"/>
              </w:rPr>
            </w:pPr>
            <w:r>
              <w:rPr>
                <w:b/>
                <w:sz w:val="10"/>
              </w:rPr>
              <w:t>2239010</w:t>
            </w:r>
          </w:p>
        </w:tc>
        <w:tc>
          <w:tcPr>
            <w:tcW w:w="623" w:type="dxa"/>
            <w:tcBorders>
              <w:top w:val="single" w:sz="3" w:space="0" w:color="000000"/>
              <w:bottom w:val="single" w:sz="3" w:space="0" w:color="000000"/>
              <w:right w:val="single" w:sz="3" w:space="0" w:color="000000"/>
            </w:tcBorders>
            <w:shd w:val="clear" w:color="auto" w:fill="D9D9D9"/>
          </w:tcPr>
          <w:p>
            <w:pPr>
              <w:pStyle w:val="TableParagraph"/>
              <w:spacing w:before="76"/>
              <w:ind w:left="124"/>
              <w:jc w:val="left"/>
              <w:rPr>
                <w:b/>
                <w:sz w:val="10"/>
              </w:rPr>
            </w:pPr>
            <w:r>
              <w:rPr>
                <w:b/>
                <w:sz w:val="10"/>
              </w:rPr>
              <w:t>2229020</w:t>
            </w:r>
          </w:p>
          <w:p>
            <w:pPr>
              <w:pStyle w:val="TableParagraph"/>
              <w:spacing w:before="18"/>
              <w:ind w:left="80"/>
              <w:jc w:val="left"/>
              <w:rPr>
                <w:b/>
                <w:sz w:val="10"/>
              </w:rPr>
            </w:pPr>
            <w:r>
              <w:rPr>
                <w:b/>
                <w:sz w:val="10"/>
              </w:rPr>
              <w:t>(interessi)</w:t>
            </w:r>
          </w:p>
        </w:tc>
        <w:tc>
          <w:tcPr>
            <w:tcW w:w="723" w:type="dxa"/>
            <w:tcBorders>
              <w:top w:val="single" w:sz="3" w:space="0" w:color="000000"/>
              <w:left w:val="single" w:sz="3" w:space="0" w:color="000000"/>
              <w:bottom w:val="single" w:sz="3" w:space="0" w:color="000000"/>
            </w:tcBorders>
            <w:shd w:val="clear" w:color="auto" w:fill="D9D9D9"/>
          </w:tcPr>
          <w:p>
            <w:pPr>
              <w:pStyle w:val="TableParagraph"/>
              <w:spacing w:before="10"/>
              <w:jc w:val="left"/>
              <w:rPr>
                <w:sz w:val="12"/>
              </w:rPr>
            </w:pPr>
          </w:p>
          <w:p>
            <w:pPr>
              <w:pStyle w:val="TableParagraph"/>
              <w:spacing w:before="1"/>
              <w:ind w:left="206"/>
              <w:jc w:val="left"/>
              <w:rPr>
                <w:b/>
                <w:sz w:val="10"/>
              </w:rPr>
            </w:pPr>
            <w:r>
              <w:rPr>
                <w:b/>
                <w:sz w:val="10"/>
              </w:rPr>
              <w:t>2229800</w:t>
            </w:r>
          </w:p>
        </w:tc>
        <w:tc>
          <w:tcPr>
            <w:tcW w:w="526" w:type="dxa"/>
            <w:tcBorders>
              <w:top w:val="single" w:sz="3" w:space="0" w:color="000000"/>
              <w:bottom w:val="single" w:sz="3" w:space="0" w:color="000000"/>
            </w:tcBorders>
            <w:shd w:val="clear" w:color="auto" w:fill="D9D9D9"/>
          </w:tcPr>
          <w:p>
            <w:pPr>
              <w:pStyle w:val="TableParagraph"/>
              <w:spacing w:before="10"/>
              <w:jc w:val="left"/>
              <w:rPr>
                <w:sz w:val="12"/>
              </w:rPr>
            </w:pPr>
          </w:p>
          <w:p>
            <w:pPr>
              <w:pStyle w:val="TableParagraph"/>
              <w:spacing w:before="1"/>
              <w:ind w:left="76"/>
              <w:jc w:val="left"/>
              <w:rPr>
                <w:b/>
                <w:sz w:val="10"/>
              </w:rPr>
            </w:pPr>
            <w:r>
              <w:rPr>
                <w:b/>
                <w:sz w:val="10"/>
              </w:rPr>
              <w:t>2229012</w:t>
            </w:r>
          </w:p>
        </w:tc>
        <w:tc>
          <w:tcPr>
            <w:tcW w:w="674" w:type="dxa"/>
            <w:tcBorders>
              <w:top w:val="single" w:sz="3" w:space="0" w:color="000000"/>
              <w:bottom w:val="single" w:sz="3" w:space="0" w:color="000000"/>
            </w:tcBorders>
            <w:shd w:val="clear" w:color="auto" w:fill="D9D9D9"/>
          </w:tcPr>
          <w:p>
            <w:pPr>
              <w:pStyle w:val="TableParagraph"/>
              <w:spacing w:before="10"/>
              <w:jc w:val="left"/>
              <w:rPr>
                <w:sz w:val="12"/>
              </w:rPr>
            </w:pPr>
          </w:p>
          <w:p>
            <w:pPr>
              <w:pStyle w:val="TableParagraph"/>
              <w:spacing w:before="1"/>
              <w:ind w:left="127"/>
              <w:jc w:val="left"/>
              <w:rPr>
                <w:b/>
                <w:sz w:val="10"/>
              </w:rPr>
            </w:pPr>
            <w:r>
              <w:rPr>
                <w:b/>
                <w:sz w:val="10"/>
              </w:rPr>
              <w:t>2229840</w:t>
            </w:r>
          </w:p>
        </w:tc>
        <w:tc>
          <w:tcPr>
            <w:tcW w:w="654" w:type="dxa"/>
            <w:tcBorders>
              <w:top w:val="single" w:sz="3" w:space="0" w:color="000000"/>
              <w:bottom w:val="single" w:sz="3" w:space="0" w:color="000000"/>
              <w:right w:val="single" w:sz="3" w:space="0" w:color="000000"/>
            </w:tcBorders>
            <w:shd w:val="clear" w:color="auto" w:fill="D9D9D9"/>
          </w:tcPr>
          <w:p>
            <w:pPr>
              <w:pStyle w:val="TableParagraph"/>
              <w:spacing w:before="76"/>
              <w:ind w:left="155"/>
              <w:jc w:val="left"/>
              <w:rPr>
                <w:b/>
                <w:sz w:val="10"/>
              </w:rPr>
            </w:pPr>
            <w:r>
              <w:rPr>
                <w:b/>
                <w:sz w:val="10"/>
              </w:rPr>
              <w:t>2229820</w:t>
            </w:r>
          </w:p>
          <w:p>
            <w:pPr>
              <w:pStyle w:val="TableParagraph"/>
              <w:spacing w:before="18"/>
              <w:ind w:left="111"/>
              <w:jc w:val="left"/>
              <w:rPr>
                <w:b/>
                <w:sz w:val="10"/>
              </w:rPr>
            </w:pPr>
            <w:r>
              <w:rPr>
                <w:b/>
                <w:sz w:val="10"/>
              </w:rPr>
              <w:t>(interessi)</w:t>
            </w:r>
          </w:p>
        </w:tc>
        <w:tc>
          <w:tcPr>
            <w:tcW w:w="590" w:type="dxa"/>
            <w:vMerge/>
            <w:tcBorders>
              <w:left w:val="single" w:sz="3" w:space="0" w:color="000000"/>
              <w:bottom w:val="single" w:sz="3" w:space="0" w:color="000000"/>
              <w:right w:val="single" w:sz="3" w:space="0" w:color="000000"/>
            </w:tcBorders>
            <w:shd w:val="clear" w:color="auto" w:fill="D9D9D9"/>
          </w:tcPr>
          <w:p>
            <w:pPr/>
          </w:p>
        </w:tc>
      </w:tr>
      <w:tr>
        <w:trPr>
          <w:trHeight w:val="139" w:hRule="exact"/>
        </w:trPr>
        <w:tc>
          <w:tcPr>
            <w:tcW w:w="1210" w:type="dxa"/>
            <w:tcBorders>
              <w:top w:val="single" w:sz="3" w:space="0" w:color="000000"/>
              <w:left w:val="single" w:sz="3" w:space="0" w:color="000000"/>
              <w:right w:val="single" w:sz="3" w:space="0" w:color="000000"/>
            </w:tcBorders>
          </w:tcPr>
          <w:p>
            <w:pPr>
              <w:pStyle w:val="TableParagraph"/>
              <w:spacing w:before="14"/>
              <w:ind w:left="68"/>
              <w:jc w:val="left"/>
              <w:rPr>
                <w:sz w:val="10"/>
              </w:rPr>
            </w:pPr>
            <w:r>
              <w:rPr>
                <w:sz w:val="10"/>
              </w:rPr>
              <w:t>- M&amp;G Usa Corporation</w:t>
            </w:r>
          </w:p>
        </w:tc>
        <w:tc>
          <w:tcPr>
            <w:tcW w:w="720" w:type="dxa"/>
            <w:tcBorders>
              <w:top w:val="single" w:sz="3" w:space="0" w:color="000000"/>
              <w:left w:val="single" w:sz="3" w:space="0" w:color="000000"/>
            </w:tcBorders>
          </w:tcPr>
          <w:p>
            <w:pPr>
              <w:pStyle w:val="TableParagraph"/>
              <w:spacing w:before="14"/>
              <w:ind w:right="68"/>
              <w:rPr>
                <w:sz w:val="10"/>
              </w:rPr>
            </w:pPr>
            <w:r>
              <w:rPr>
                <w:sz w:val="10"/>
              </w:rPr>
              <w:t>940</w:t>
            </w:r>
          </w:p>
        </w:tc>
        <w:tc>
          <w:tcPr>
            <w:tcW w:w="749" w:type="dxa"/>
            <w:tcBorders>
              <w:top w:val="single" w:sz="3" w:space="0" w:color="000000"/>
            </w:tcBorders>
          </w:tcPr>
          <w:p>
            <w:pPr/>
          </w:p>
        </w:tc>
        <w:tc>
          <w:tcPr>
            <w:tcW w:w="525" w:type="dxa"/>
            <w:tcBorders>
              <w:top w:val="single" w:sz="3" w:space="0" w:color="000000"/>
              <w:right w:val="single" w:sz="3" w:space="0" w:color="000000"/>
            </w:tcBorders>
          </w:tcPr>
          <w:p>
            <w:pPr>
              <w:pStyle w:val="TableParagraph"/>
              <w:tabs>
                <w:tab w:pos="282" w:val="left" w:leader="none"/>
              </w:tabs>
              <w:spacing w:before="14"/>
              <w:ind w:right="117"/>
              <w:rPr>
                <w:sz w:val="10"/>
              </w:rPr>
            </w:pPr>
            <w:r>
              <w:rPr>
                <w:sz w:val="10"/>
              </w:rPr>
              <w:t>-</w:t>
              <w:tab/>
            </w:r>
            <w:r>
              <w:rPr>
                <w:spacing w:val="2"/>
                <w:sz w:val="10"/>
              </w:rPr>
              <w:t>94</w:t>
            </w:r>
          </w:p>
        </w:tc>
        <w:tc>
          <w:tcPr>
            <w:tcW w:w="638" w:type="dxa"/>
            <w:tcBorders>
              <w:top w:val="single" w:sz="3" w:space="0" w:color="000000"/>
              <w:left w:val="single" w:sz="3" w:space="0" w:color="000000"/>
            </w:tcBorders>
          </w:tcPr>
          <w:p>
            <w:pPr/>
          </w:p>
        </w:tc>
        <w:tc>
          <w:tcPr>
            <w:tcW w:w="796" w:type="dxa"/>
            <w:tcBorders>
              <w:top w:val="single" w:sz="3" w:space="0" w:color="000000"/>
            </w:tcBorders>
          </w:tcPr>
          <w:p>
            <w:pPr/>
          </w:p>
        </w:tc>
        <w:tc>
          <w:tcPr>
            <w:tcW w:w="591" w:type="dxa"/>
            <w:tcBorders>
              <w:top w:val="single" w:sz="3" w:space="0" w:color="000000"/>
              <w:right w:val="single" w:sz="3" w:space="0" w:color="000000"/>
            </w:tcBorders>
          </w:tcPr>
          <w:p>
            <w:pPr/>
          </w:p>
        </w:tc>
        <w:tc>
          <w:tcPr>
            <w:tcW w:w="682" w:type="dxa"/>
            <w:tcBorders>
              <w:top w:val="single" w:sz="3" w:space="0" w:color="000000"/>
              <w:left w:val="single" w:sz="3" w:space="0" w:color="000000"/>
            </w:tcBorders>
          </w:tcPr>
          <w:p>
            <w:pPr/>
          </w:p>
        </w:tc>
        <w:tc>
          <w:tcPr>
            <w:tcW w:w="508" w:type="dxa"/>
            <w:tcBorders>
              <w:top w:val="single" w:sz="3" w:space="0" w:color="000000"/>
            </w:tcBorders>
          </w:tcPr>
          <w:p>
            <w:pPr/>
          </w:p>
        </w:tc>
        <w:tc>
          <w:tcPr>
            <w:tcW w:w="623" w:type="dxa"/>
            <w:tcBorders>
              <w:top w:val="single" w:sz="3" w:space="0" w:color="000000"/>
              <w:right w:val="single" w:sz="3" w:space="0" w:color="000000"/>
            </w:tcBorders>
          </w:tcPr>
          <w:p>
            <w:pPr/>
          </w:p>
        </w:tc>
        <w:tc>
          <w:tcPr>
            <w:tcW w:w="723" w:type="dxa"/>
            <w:tcBorders>
              <w:top w:val="single" w:sz="3" w:space="0" w:color="000000"/>
              <w:left w:val="single" w:sz="3" w:space="0" w:color="000000"/>
            </w:tcBorders>
          </w:tcPr>
          <w:p>
            <w:pPr/>
          </w:p>
        </w:tc>
        <w:tc>
          <w:tcPr>
            <w:tcW w:w="1201" w:type="dxa"/>
            <w:gridSpan w:val="2"/>
            <w:tcBorders>
              <w:top w:val="single" w:sz="3" w:space="0" w:color="000000"/>
            </w:tcBorders>
          </w:tcPr>
          <w:p>
            <w:pPr/>
          </w:p>
        </w:tc>
        <w:tc>
          <w:tcPr>
            <w:tcW w:w="654" w:type="dxa"/>
            <w:tcBorders>
              <w:top w:val="single" w:sz="3" w:space="0" w:color="000000"/>
              <w:right w:val="single" w:sz="3" w:space="0" w:color="000000"/>
            </w:tcBorders>
          </w:tcPr>
          <w:p>
            <w:pPr/>
          </w:p>
        </w:tc>
        <w:tc>
          <w:tcPr>
            <w:tcW w:w="590" w:type="dxa"/>
            <w:tcBorders>
              <w:top w:val="single" w:sz="3" w:space="0" w:color="000000"/>
              <w:left w:val="single" w:sz="3" w:space="0" w:color="000000"/>
              <w:right w:val="single" w:sz="3" w:space="0" w:color="000000"/>
            </w:tcBorders>
          </w:tcPr>
          <w:p>
            <w:pPr>
              <w:pStyle w:val="TableParagraph"/>
              <w:spacing w:before="31"/>
              <w:ind w:right="91"/>
              <w:rPr>
                <w:sz w:val="8"/>
              </w:rPr>
            </w:pPr>
            <w:r>
              <w:rPr>
                <w:sz w:val="8"/>
              </w:rPr>
              <w:t>847</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M&amp;G Polimers Usa</w:t>
            </w:r>
          </w:p>
        </w:tc>
        <w:tc>
          <w:tcPr>
            <w:tcW w:w="720" w:type="dxa"/>
            <w:tcBorders>
              <w:left w:val="single" w:sz="3" w:space="0" w:color="000000"/>
            </w:tcBorders>
          </w:tcPr>
          <w:p>
            <w:pPr>
              <w:pStyle w:val="TableParagraph"/>
              <w:spacing w:before="9"/>
              <w:ind w:right="68"/>
              <w:rPr>
                <w:sz w:val="10"/>
              </w:rPr>
            </w:pPr>
            <w:r>
              <w:rPr>
                <w:sz w:val="10"/>
              </w:rPr>
              <w:t>116.667</w:t>
            </w:r>
          </w:p>
        </w:tc>
        <w:tc>
          <w:tcPr>
            <w:tcW w:w="749" w:type="dxa"/>
          </w:tcPr>
          <w:p>
            <w:pPr/>
          </w:p>
        </w:tc>
        <w:tc>
          <w:tcPr>
            <w:tcW w:w="525" w:type="dxa"/>
            <w:tcBorders>
              <w:right w:val="single" w:sz="3" w:space="0" w:color="000000"/>
            </w:tcBorders>
          </w:tcPr>
          <w:p>
            <w:pPr>
              <w:pStyle w:val="TableParagraph"/>
              <w:spacing w:before="9"/>
              <w:ind w:right="118"/>
              <w:rPr>
                <w:sz w:val="10"/>
              </w:rPr>
            </w:pPr>
            <w:r>
              <w:rPr>
                <w:sz w:val="10"/>
              </w:rPr>
              <w:t>133</w:t>
            </w: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116.800</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M&amp;G Finanziaria</w:t>
            </w:r>
          </w:p>
        </w:tc>
        <w:tc>
          <w:tcPr>
            <w:tcW w:w="720" w:type="dxa"/>
            <w:tcBorders>
              <w:left w:val="single" w:sz="3" w:space="0" w:color="000000"/>
            </w:tcBorders>
          </w:tcPr>
          <w:p>
            <w:pPr>
              <w:pStyle w:val="TableParagraph"/>
              <w:spacing w:before="9"/>
              <w:ind w:right="68"/>
              <w:rPr>
                <w:sz w:val="10"/>
              </w:rPr>
            </w:pPr>
            <w:r>
              <w:rPr>
                <w:sz w:val="10"/>
              </w:rPr>
              <w:t>1.645.676</w:t>
            </w:r>
          </w:p>
        </w:tc>
        <w:tc>
          <w:tcPr>
            <w:tcW w:w="749" w:type="dxa"/>
          </w:tcPr>
          <w:p>
            <w:pPr/>
          </w:p>
        </w:tc>
        <w:tc>
          <w:tcPr>
            <w:tcW w:w="525" w:type="dxa"/>
            <w:tcBorders>
              <w:right w:val="single" w:sz="3" w:space="0" w:color="000000"/>
            </w:tcBorders>
          </w:tcPr>
          <w:p>
            <w:pPr>
              <w:pStyle w:val="TableParagraph"/>
              <w:tabs>
                <w:tab w:pos="232" w:val="left" w:leader="none"/>
              </w:tabs>
              <w:spacing w:before="9"/>
              <w:ind w:right="118"/>
              <w:rPr>
                <w:sz w:val="10"/>
              </w:rPr>
            </w:pPr>
            <w:r>
              <w:rPr>
                <w:sz w:val="10"/>
              </w:rPr>
              <w:t>-</w:t>
              <w:tab/>
            </w:r>
            <w:r>
              <w:rPr>
                <w:spacing w:val="2"/>
                <w:sz w:val="10"/>
              </w:rPr>
              <w:t>709</w:t>
            </w: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1.644.967</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M&amp;G Finanziaria</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Style w:val="TableParagraph"/>
              <w:spacing w:before="9"/>
              <w:ind w:left="192" w:right="106"/>
              <w:jc w:val="center"/>
              <w:rPr>
                <w:sz w:val="10"/>
              </w:rPr>
            </w:pPr>
            <w:r>
              <w:rPr>
                <w:sz w:val="10"/>
              </w:rPr>
              <w:t>150.613</w:t>
            </w:r>
          </w:p>
        </w:tc>
        <w:tc>
          <w:tcPr>
            <w:tcW w:w="590" w:type="dxa"/>
            <w:tcBorders>
              <w:left w:val="single" w:sz="3" w:space="0" w:color="000000"/>
              <w:right w:val="single" w:sz="3" w:space="0" w:color="000000"/>
            </w:tcBorders>
          </w:tcPr>
          <w:p>
            <w:pPr>
              <w:pStyle w:val="TableParagraph"/>
              <w:spacing w:before="27"/>
              <w:ind w:right="91"/>
              <w:rPr>
                <w:sz w:val="8"/>
              </w:rPr>
            </w:pPr>
            <w:r>
              <w:rPr>
                <w:sz w:val="8"/>
              </w:rPr>
              <w:t>150.613</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i/>
                <w:sz w:val="10"/>
              </w:rPr>
            </w:pPr>
            <w:r>
              <w:rPr>
                <w:i/>
                <w:sz w:val="10"/>
              </w:rPr>
              <w:t>- M&amp;G Finanziaria</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Style w:val="TableParagraph"/>
              <w:spacing w:before="9"/>
              <w:ind w:right="71"/>
              <w:rPr>
                <w:sz w:val="10"/>
              </w:rPr>
            </w:pPr>
            <w:r>
              <w:rPr>
                <w:sz w:val="10"/>
              </w:rPr>
              <w:t>22.746.623</w:t>
            </w:r>
          </w:p>
        </w:tc>
        <w:tc>
          <w:tcPr>
            <w:tcW w:w="1201" w:type="dxa"/>
            <w:gridSpan w:val="2"/>
          </w:tcPr>
          <w:p>
            <w:pPr>
              <w:pStyle w:val="TableParagraph"/>
              <w:spacing w:before="9"/>
              <w:ind w:left="641"/>
              <w:jc w:val="left"/>
              <w:rPr>
                <w:sz w:val="10"/>
              </w:rPr>
            </w:pPr>
            <w:r>
              <w:rPr>
                <w:sz w:val="10"/>
              </w:rPr>
              <w:t>10.279.726</w:t>
            </w: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3"/>
              <w:rPr>
                <w:sz w:val="8"/>
              </w:rPr>
            </w:pPr>
            <w:r>
              <w:rPr>
                <w:sz w:val="8"/>
              </w:rPr>
              <w:t>33.026.350</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Mossi &amp; Ghisolfi Spa</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Style w:val="TableParagraph"/>
              <w:spacing w:before="9"/>
              <w:ind w:right="118"/>
              <w:rPr>
                <w:sz w:val="10"/>
              </w:rPr>
            </w:pPr>
            <w:r>
              <w:rPr>
                <w:sz w:val="10"/>
              </w:rPr>
              <w:t>365.266</w:t>
            </w: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365.266</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IBP</w:t>
            </w:r>
          </w:p>
        </w:tc>
        <w:tc>
          <w:tcPr>
            <w:tcW w:w="720" w:type="dxa"/>
            <w:tcBorders>
              <w:left w:val="single" w:sz="3" w:space="0" w:color="000000"/>
            </w:tcBorders>
          </w:tcPr>
          <w:p>
            <w:pPr>
              <w:pStyle w:val="TableParagraph"/>
              <w:spacing w:before="9"/>
              <w:ind w:right="68"/>
              <w:rPr>
                <w:sz w:val="10"/>
              </w:rPr>
            </w:pPr>
            <w:r>
              <w:rPr>
                <w:sz w:val="10"/>
              </w:rPr>
              <w:t>7.776.329</w:t>
            </w: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Style w:val="TableParagraph"/>
              <w:spacing w:before="9"/>
              <w:ind w:right="168"/>
              <w:rPr>
                <w:sz w:val="10"/>
              </w:rPr>
            </w:pPr>
            <w:r>
              <w:rPr>
                <w:sz w:val="10"/>
              </w:rPr>
              <w:t>9.093</w:t>
            </w: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7.785.422</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IBP</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Style w:val="TableParagraph"/>
              <w:spacing w:before="9"/>
              <w:ind w:left="192" w:right="106"/>
              <w:jc w:val="center"/>
              <w:rPr>
                <w:sz w:val="10"/>
              </w:rPr>
            </w:pPr>
            <w:r>
              <w:rPr>
                <w:sz w:val="10"/>
              </w:rPr>
              <w:t>171.762</w:t>
            </w:r>
          </w:p>
        </w:tc>
        <w:tc>
          <w:tcPr>
            <w:tcW w:w="590" w:type="dxa"/>
            <w:tcBorders>
              <w:left w:val="single" w:sz="3" w:space="0" w:color="000000"/>
              <w:right w:val="single" w:sz="3" w:space="0" w:color="000000"/>
            </w:tcBorders>
          </w:tcPr>
          <w:p>
            <w:pPr>
              <w:pStyle w:val="TableParagraph"/>
              <w:spacing w:before="27"/>
              <w:ind w:right="91"/>
              <w:rPr>
                <w:sz w:val="8"/>
              </w:rPr>
            </w:pPr>
            <w:r>
              <w:rPr>
                <w:sz w:val="8"/>
              </w:rPr>
              <w:t>171.762</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IBP</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Style w:val="TableParagraph"/>
              <w:spacing w:before="9"/>
              <w:ind w:left="766"/>
              <w:jc w:val="left"/>
              <w:rPr>
                <w:sz w:val="10"/>
              </w:rPr>
            </w:pPr>
            <w:r>
              <w:rPr>
                <w:sz w:val="10"/>
              </w:rPr>
              <w:t>188.296</w:t>
            </w: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188.296</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Beta</w:t>
            </w:r>
          </w:p>
        </w:tc>
        <w:tc>
          <w:tcPr>
            <w:tcW w:w="720" w:type="dxa"/>
            <w:tcBorders>
              <w:left w:val="single" w:sz="3" w:space="0" w:color="000000"/>
            </w:tcBorders>
          </w:tcPr>
          <w:p>
            <w:pPr>
              <w:pStyle w:val="TableParagraph"/>
              <w:spacing w:before="9"/>
              <w:ind w:right="68"/>
              <w:rPr>
                <w:sz w:val="10"/>
              </w:rPr>
            </w:pPr>
            <w:r>
              <w:rPr>
                <w:sz w:val="10"/>
              </w:rPr>
              <w:t>26.884.952</w:t>
            </w: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3"/>
              <w:rPr>
                <w:sz w:val="8"/>
              </w:rPr>
            </w:pPr>
            <w:r>
              <w:rPr>
                <w:sz w:val="8"/>
              </w:rPr>
              <w:t>26.884.952</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Beta</w:t>
            </w:r>
          </w:p>
        </w:tc>
        <w:tc>
          <w:tcPr>
            <w:tcW w:w="720" w:type="dxa"/>
            <w:tcBorders>
              <w:left w:val="single" w:sz="3" w:space="0" w:color="000000"/>
            </w:tcBorders>
          </w:tcPr>
          <w:p>
            <w:pPr>
              <w:pStyle w:val="TableParagraph"/>
              <w:spacing w:before="9"/>
              <w:ind w:right="68"/>
              <w:rPr>
                <w:sz w:val="10"/>
              </w:rPr>
            </w:pPr>
            <w:r>
              <w:rPr>
                <w:sz w:val="10"/>
              </w:rPr>
              <w:t>7.887</w:t>
            </w: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7.887</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Beta</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Style w:val="TableParagraph"/>
              <w:spacing w:before="9"/>
              <w:ind w:right="168"/>
              <w:rPr>
                <w:sz w:val="10"/>
              </w:rPr>
            </w:pPr>
            <w:r>
              <w:rPr>
                <w:sz w:val="10"/>
              </w:rPr>
              <w:t>217.770</w:t>
            </w:r>
          </w:p>
        </w:tc>
        <w:tc>
          <w:tcPr>
            <w:tcW w:w="591" w:type="dxa"/>
            <w:tcBorders>
              <w:right w:val="single" w:sz="3" w:space="0" w:color="000000"/>
            </w:tcBorders>
          </w:tcPr>
          <w:p>
            <w:pPr>
              <w:pStyle w:val="TableParagraph"/>
              <w:spacing w:before="9"/>
              <w:ind w:left="87" w:right="64"/>
              <w:jc w:val="center"/>
              <w:rPr>
                <w:sz w:val="10"/>
              </w:rPr>
            </w:pPr>
            <w:r>
              <w:rPr>
                <w:sz w:val="10"/>
              </w:rPr>
              <w:t>163.327</w:t>
            </w: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381.097</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Beta</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Style w:val="TableParagraph"/>
              <w:spacing w:before="9"/>
              <w:ind w:right="87"/>
              <w:rPr>
                <w:sz w:val="10"/>
              </w:rPr>
            </w:pPr>
            <w:r>
              <w:rPr>
                <w:sz w:val="10"/>
              </w:rPr>
              <w:t>2.875.000</w:t>
            </w:r>
          </w:p>
        </w:tc>
        <w:tc>
          <w:tcPr>
            <w:tcW w:w="508" w:type="dxa"/>
          </w:tcPr>
          <w:p>
            <w:pPr/>
          </w:p>
        </w:tc>
        <w:tc>
          <w:tcPr>
            <w:tcW w:w="623" w:type="dxa"/>
            <w:tcBorders>
              <w:right w:val="single" w:sz="3" w:space="0" w:color="000000"/>
            </w:tcBorders>
          </w:tcPr>
          <w:p>
            <w:pPr>
              <w:pStyle w:val="TableParagraph"/>
              <w:spacing w:before="9"/>
              <w:ind w:right="117"/>
              <w:rPr>
                <w:sz w:val="10"/>
              </w:rPr>
            </w:pPr>
            <w:r>
              <w:rPr>
                <w:sz w:val="10"/>
              </w:rPr>
              <w:t>129.950</w:t>
            </w: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3.004.950</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M&amp;G polimeri</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Style w:val="TableParagraph"/>
              <w:spacing w:before="9"/>
              <w:ind w:right="168"/>
              <w:rPr>
                <w:sz w:val="10"/>
              </w:rPr>
            </w:pPr>
            <w:r>
              <w:rPr>
                <w:sz w:val="10"/>
              </w:rPr>
              <w:t>3.649</w:t>
            </w: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3.649</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M&amp;G Resin USA</w:t>
            </w:r>
          </w:p>
        </w:tc>
        <w:tc>
          <w:tcPr>
            <w:tcW w:w="720" w:type="dxa"/>
            <w:tcBorders>
              <w:left w:val="single" w:sz="3" w:space="0" w:color="000000"/>
            </w:tcBorders>
          </w:tcPr>
          <w:p>
            <w:pPr>
              <w:pStyle w:val="TableParagraph"/>
              <w:spacing w:before="9"/>
              <w:ind w:right="68"/>
              <w:rPr>
                <w:sz w:val="10"/>
              </w:rPr>
            </w:pPr>
            <w:r>
              <w:rPr>
                <w:sz w:val="10"/>
              </w:rPr>
              <w:t>6.477</w:t>
            </w: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6.477</w:t>
            </w:r>
          </w:p>
        </w:tc>
      </w:tr>
      <w:tr>
        <w:trPr>
          <w:trHeight w:val="132" w:hRule="exact"/>
        </w:trPr>
        <w:tc>
          <w:tcPr>
            <w:tcW w:w="1210" w:type="dxa"/>
            <w:tcBorders>
              <w:left w:val="single" w:sz="3" w:space="0" w:color="000000"/>
              <w:right w:val="single" w:sz="3" w:space="0" w:color="000000"/>
            </w:tcBorders>
          </w:tcPr>
          <w:p>
            <w:pPr>
              <w:pStyle w:val="TableParagraph"/>
              <w:spacing w:before="9"/>
              <w:ind w:left="68" w:right="-16"/>
              <w:jc w:val="left"/>
              <w:rPr>
                <w:sz w:val="10"/>
              </w:rPr>
            </w:pPr>
            <w:r>
              <w:rPr>
                <w:sz w:val="10"/>
              </w:rPr>
              <w:t>- Carolina Cellulosic</w:t>
            </w:r>
            <w:r>
              <w:rPr>
                <w:spacing w:val="6"/>
                <w:sz w:val="10"/>
              </w:rPr>
              <w:t> </w:t>
            </w:r>
            <w:r>
              <w:rPr>
                <w:sz w:val="10"/>
              </w:rPr>
              <w:t>Biofuels</w:t>
            </w:r>
          </w:p>
        </w:tc>
        <w:tc>
          <w:tcPr>
            <w:tcW w:w="720" w:type="dxa"/>
            <w:tcBorders>
              <w:left w:val="single" w:sz="3" w:space="0" w:color="000000"/>
            </w:tcBorders>
          </w:tcPr>
          <w:p>
            <w:pPr>
              <w:pStyle w:val="TableParagraph"/>
              <w:spacing w:before="9"/>
              <w:ind w:right="68"/>
              <w:rPr>
                <w:sz w:val="10"/>
              </w:rPr>
            </w:pPr>
            <w:r>
              <w:rPr>
                <w:sz w:val="10"/>
              </w:rPr>
              <w:t>551.116</w:t>
            </w:r>
          </w:p>
        </w:tc>
        <w:tc>
          <w:tcPr>
            <w:tcW w:w="749" w:type="dxa"/>
          </w:tcPr>
          <w:p>
            <w:pPr/>
          </w:p>
        </w:tc>
        <w:tc>
          <w:tcPr>
            <w:tcW w:w="525" w:type="dxa"/>
            <w:tcBorders>
              <w:right w:val="single" w:sz="3" w:space="0" w:color="000000"/>
            </w:tcBorders>
          </w:tcPr>
          <w:p>
            <w:pPr>
              <w:pStyle w:val="TableParagraph"/>
              <w:spacing w:before="9"/>
              <w:ind w:right="117"/>
              <w:rPr>
                <w:sz w:val="10"/>
              </w:rPr>
            </w:pPr>
            <w:r>
              <w:rPr>
                <w:sz w:val="10"/>
              </w:rPr>
              <w:t>-   43.072</w:t>
            </w: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508.044</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C5 - 6 Italy Srl</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Style w:val="TableParagraph"/>
              <w:spacing w:before="9"/>
              <w:ind w:right="168"/>
              <w:rPr>
                <w:sz w:val="10"/>
              </w:rPr>
            </w:pPr>
            <w:r>
              <w:rPr>
                <w:sz w:val="10"/>
              </w:rPr>
              <w:t>3.334</w:t>
            </w:r>
          </w:p>
        </w:tc>
        <w:tc>
          <w:tcPr>
            <w:tcW w:w="591" w:type="dxa"/>
            <w:tcBorders>
              <w:right w:val="single" w:sz="3" w:space="0" w:color="000000"/>
            </w:tcBorders>
          </w:tcPr>
          <w:p>
            <w:pPr/>
          </w:p>
        </w:tc>
        <w:tc>
          <w:tcPr>
            <w:tcW w:w="682" w:type="dxa"/>
            <w:tcBorders>
              <w:left w:val="single" w:sz="3" w:space="0" w:color="000000"/>
            </w:tcBorders>
          </w:tcPr>
          <w:p>
            <w:pPr>
              <w:pStyle w:val="TableParagraph"/>
              <w:spacing w:before="9"/>
              <w:ind w:right="87"/>
              <w:rPr>
                <w:sz w:val="10"/>
              </w:rPr>
            </w:pPr>
            <w:r>
              <w:rPr>
                <w:sz w:val="10"/>
              </w:rPr>
              <w:t>33.055</w:t>
            </w: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36.389</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C5 - 6 Italy Srl</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Style w:val="TableParagraph"/>
              <w:spacing w:before="9"/>
              <w:ind w:left="79" w:right="1"/>
              <w:jc w:val="center"/>
              <w:rPr>
                <w:sz w:val="10"/>
              </w:rPr>
            </w:pPr>
            <w:r>
              <w:rPr>
                <w:sz w:val="10"/>
              </w:rPr>
              <w:t>459</w:t>
            </w: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459</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C5 - 6 Italy Srl</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Style w:val="TableParagraph"/>
              <w:spacing w:before="9"/>
              <w:ind w:right="87"/>
              <w:rPr>
                <w:sz w:val="10"/>
              </w:rPr>
            </w:pPr>
            <w:r>
              <w:rPr>
                <w:sz w:val="10"/>
              </w:rPr>
              <w:t>1.109.500</w:t>
            </w: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1.109.500</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Mossi &amp; Ghisolfi Logistic</w:t>
            </w:r>
          </w:p>
        </w:tc>
        <w:tc>
          <w:tcPr>
            <w:tcW w:w="720" w:type="dxa"/>
            <w:tcBorders>
              <w:left w:val="single" w:sz="3" w:space="0" w:color="000000"/>
            </w:tcBorders>
          </w:tcPr>
          <w:p>
            <w:pPr>
              <w:pStyle w:val="TableParagraph"/>
              <w:spacing w:before="9"/>
              <w:ind w:right="68"/>
              <w:rPr>
                <w:sz w:val="10"/>
              </w:rPr>
            </w:pPr>
            <w:r>
              <w:rPr>
                <w:sz w:val="10"/>
              </w:rPr>
              <w:t>29.261</w:t>
            </w: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29.261</w:t>
            </w:r>
          </w:p>
        </w:tc>
      </w:tr>
      <w:tr>
        <w:trPr>
          <w:trHeight w:val="132" w:hRule="exact"/>
        </w:trPr>
        <w:tc>
          <w:tcPr>
            <w:tcW w:w="1210" w:type="dxa"/>
            <w:tcBorders>
              <w:left w:val="single" w:sz="3" w:space="0" w:color="000000"/>
              <w:right w:val="single" w:sz="3" w:space="0" w:color="000000"/>
            </w:tcBorders>
          </w:tcPr>
          <w:p>
            <w:pPr>
              <w:pStyle w:val="TableParagraph"/>
              <w:spacing w:before="9"/>
              <w:ind w:left="68"/>
              <w:jc w:val="left"/>
              <w:rPr>
                <w:sz w:val="10"/>
              </w:rPr>
            </w:pPr>
            <w:r>
              <w:rPr>
                <w:sz w:val="10"/>
              </w:rPr>
              <w:t>- IBP Energia</w:t>
            </w:r>
          </w:p>
        </w:tc>
        <w:tc>
          <w:tcPr>
            <w:tcW w:w="720" w:type="dxa"/>
            <w:tcBorders>
              <w:left w:val="single" w:sz="3" w:space="0" w:color="000000"/>
            </w:tcBorders>
          </w:tcPr>
          <w:p>
            <w:pPr/>
          </w:p>
        </w:tc>
        <w:tc>
          <w:tcPr>
            <w:tcW w:w="749" w:type="dxa"/>
          </w:tcPr>
          <w:p>
            <w:pPr/>
          </w:p>
        </w:tc>
        <w:tc>
          <w:tcPr>
            <w:tcW w:w="525" w:type="dxa"/>
            <w:tcBorders>
              <w:right w:val="single" w:sz="3" w:space="0" w:color="000000"/>
            </w:tcBorders>
          </w:tcPr>
          <w:p>
            <w:pPr/>
          </w:p>
        </w:tc>
        <w:tc>
          <w:tcPr>
            <w:tcW w:w="638" w:type="dxa"/>
            <w:tcBorders>
              <w:left w:val="single" w:sz="3" w:space="0" w:color="000000"/>
            </w:tcBorders>
          </w:tcPr>
          <w:p>
            <w:pPr/>
          </w:p>
        </w:tc>
        <w:tc>
          <w:tcPr>
            <w:tcW w:w="796" w:type="dxa"/>
          </w:tcPr>
          <w:p>
            <w:pPr/>
          </w:p>
        </w:tc>
        <w:tc>
          <w:tcPr>
            <w:tcW w:w="591" w:type="dxa"/>
            <w:tcBorders>
              <w:right w:val="single" w:sz="3" w:space="0" w:color="000000"/>
            </w:tcBorders>
          </w:tcPr>
          <w:p>
            <w:pPr/>
          </w:p>
        </w:tc>
        <w:tc>
          <w:tcPr>
            <w:tcW w:w="682" w:type="dxa"/>
            <w:tcBorders>
              <w:left w:val="single" w:sz="3" w:space="0" w:color="000000"/>
            </w:tcBorders>
          </w:tcPr>
          <w:p>
            <w:pPr/>
          </w:p>
        </w:tc>
        <w:tc>
          <w:tcPr>
            <w:tcW w:w="508" w:type="dxa"/>
          </w:tcPr>
          <w:p>
            <w:pPr/>
          </w:p>
        </w:tc>
        <w:tc>
          <w:tcPr>
            <w:tcW w:w="623" w:type="dxa"/>
            <w:tcBorders>
              <w:right w:val="single" w:sz="3" w:space="0" w:color="000000"/>
            </w:tcBorders>
          </w:tcPr>
          <w:p>
            <w:pPr/>
          </w:p>
        </w:tc>
        <w:tc>
          <w:tcPr>
            <w:tcW w:w="723" w:type="dxa"/>
            <w:tcBorders>
              <w:left w:val="single" w:sz="3" w:space="0" w:color="000000"/>
            </w:tcBorders>
          </w:tcPr>
          <w:p>
            <w:pPr>
              <w:pStyle w:val="TableParagraph"/>
              <w:spacing w:before="9"/>
              <w:ind w:right="71"/>
              <w:rPr>
                <w:sz w:val="10"/>
              </w:rPr>
            </w:pPr>
            <w:r>
              <w:rPr>
                <w:sz w:val="10"/>
              </w:rPr>
              <w:t>1.800</w:t>
            </w:r>
          </w:p>
        </w:tc>
        <w:tc>
          <w:tcPr>
            <w:tcW w:w="1201" w:type="dxa"/>
            <w:gridSpan w:val="2"/>
          </w:tcPr>
          <w:p>
            <w:pPr/>
          </w:p>
        </w:tc>
        <w:tc>
          <w:tcPr>
            <w:tcW w:w="654" w:type="dxa"/>
            <w:tcBorders>
              <w:right w:val="single" w:sz="3" w:space="0" w:color="000000"/>
            </w:tcBorders>
          </w:tcPr>
          <w:p>
            <w:pPr/>
          </w:p>
        </w:tc>
        <w:tc>
          <w:tcPr>
            <w:tcW w:w="590" w:type="dxa"/>
            <w:tcBorders>
              <w:left w:val="single" w:sz="3" w:space="0" w:color="000000"/>
              <w:right w:val="single" w:sz="3" w:space="0" w:color="000000"/>
            </w:tcBorders>
          </w:tcPr>
          <w:p>
            <w:pPr>
              <w:pStyle w:val="TableParagraph"/>
              <w:spacing w:before="27"/>
              <w:ind w:right="91"/>
              <w:rPr>
                <w:sz w:val="8"/>
              </w:rPr>
            </w:pPr>
            <w:r>
              <w:rPr>
                <w:sz w:val="8"/>
              </w:rPr>
              <w:t>1.800</w:t>
            </w:r>
          </w:p>
        </w:tc>
      </w:tr>
      <w:tr>
        <w:trPr>
          <w:trHeight w:val="124" w:hRule="exact"/>
        </w:trPr>
        <w:tc>
          <w:tcPr>
            <w:tcW w:w="1210" w:type="dxa"/>
            <w:tcBorders>
              <w:left w:val="single" w:sz="3" w:space="0" w:color="000000"/>
              <w:bottom w:val="single" w:sz="3" w:space="0" w:color="000000"/>
              <w:right w:val="single" w:sz="3" w:space="0" w:color="000000"/>
            </w:tcBorders>
          </w:tcPr>
          <w:p>
            <w:pPr>
              <w:pStyle w:val="TableParagraph"/>
              <w:spacing w:before="9"/>
              <w:ind w:left="68"/>
              <w:jc w:val="left"/>
              <w:rPr>
                <w:sz w:val="10"/>
              </w:rPr>
            </w:pPr>
            <w:r>
              <w:rPr>
                <w:sz w:val="10"/>
              </w:rPr>
              <w:t>- IBP Energia</w:t>
            </w:r>
          </w:p>
        </w:tc>
        <w:tc>
          <w:tcPr>
            <w:tcW w:w="720" w:type="dxa"/>
            <w:tcBorders>
              <w:left w:val="single" w:sz="3" w:space="0" w:color="000000"/>
              <w:bottom w:val="single" w:sz="3" w:space="0" w:color="000000"/>
            </w:tcBorders>
          </w:tcPr>
          <w:p>
            <w:pPr/>
          </w:p>
        </w:tc>
        <w:tc>
          <w:tcPr>
            <w:tcW w:w="749" w:type="dxa"/>
            <w:tcBorders>
              <w:bottom w:val="single" w:sz="3" w:space="0" w:color="000000"/>
            </w:tcBorders>
          </w:tcPr>
          <w:p>
            <w:pPr/>
          </w:p>
        </w:tc>
        <w:tc>
          <w:tcPr>
            <w:tcW w:w="525" w:type="dxa"/>
            <w:tcBorders>
              <w:bottom w:val="single" w:sz="3" w:space="0" w:color="000000"/>
              <w:right w:val="single" w:sz="3" w:space="0" w:color="000000"/>
            </w:tcBorders>
          </w:tcPr>
          <w:p>
            <w:pPr/>
          </w:p>
        </w:tc>
        <w:tc>
          <w:tcPr>
            <w:tcW w:w="638" w:type="dxa"/>
            <w:tcBorders>
              <w:left w:val="single" w:sz="3" w:space="0" w:color="000000"/>
              <w:bottom w:val="single" w:sz="3" w:space="0" w:color="000000"/>
            </w:tcBorders>
          </w:tcPr>
          <w:p>
            <w:pPr/>
          </w:p>
        </w:tc>
        <w:tc>
          <w:tcPr>
            <w:tcW w:w="796" w:type="dxa"/>
            <w:tcBorders>
              <w:bottom w:val="single" w:sz="3" w:space="0" w:color="000000"/>
            </w:tcBorders>
          </w:tcPr>
          <w:p>
            <w:pPr/>
          </w:p>
        </w:tc>
        <w:tc>
          <w:tcPr>
            <w:tcW w:w="591" w:type="dxa"/>
            <w:tcBorders>
              <w:bottom w:val="single" w:sz="3" w:space="0" w:color="000000"/>
              <w:right w:val="single" w:sz="3" w:space="0" w:color="000000"/>
            </w:tcBorders>
          </w:tcPr>
          <w:p>
            <w:pPr/>
          </w:p>
        </w:tc>
        <w:tc>
          <w:tcPr>
            <w:tcW w:w="682" w:type="dxa"/>
            <w:tcBorders>
              <w:left w:val="single" w:sz="3" w:space="0" w:color="000000"/>
              <w:bottom w:val="single" w:sz="3" w:space="0" w:color="000000"/>
            </w:tcBorders>
          </w:tcPr>
          <w:p>
            <w:pPr/>
          </w:p>
        </w:tc>
        <w:tc>
          <w:tcPr>
            <w:tcW w:w="508" w:type="dxa"/>
            <w:tcBorders>
              <w:bottom w:val="single" w:sz="3" w:space="0" w:color="000000"/>
            </w:tcBorders>
          </w:tcPr>
          <w:p>
            <w:pPr/>
          </w:p>
        </w:tc>
        <w:tc>
          <w:tcPr>
            <w:tcW w:w="623" w:type="dxa"/>
            <w:tcBorders>
              <w:bottom w:val="single" w:sz="3" w:space="0" w:color="000000"/>
              <w:right w:val="single" w:sz="3" w:space="0" w:color="000000"/>
            </w:tcBorders>
          </w:tcPr>
          <w:p>
            <w:pPr/>
          </w:p>
        </w:tc>
        <w:tc>
          <w:tcPr>
            <w:tcW w:w="723" w:type="dxa"/>
            <w:tcBorders>
              <w:left w:val="single" w:sz="3" w:space="0" w:color="000000"/>
              <w:bottom w:val="single" w:sz="3" w:space="0" w:color="000000"/>
            </w:tcBorders>
          </w:tcPr>
          <w:p>
            <w:pPr/>
          </w:p>
        </w:tc>
        <w:tc>
          <w:tcPr>
            <w:tcW w:w="1201" w:type="dxa"/>
            <w:gridSpan w:val="2"/>
            <w:tcBorders>
              <w:bottom w:val="single" w:sz="3" w:space="0" w:color="000000"/>
            </w:tcBorders>
          </w:tcPr>
          <w:p>
            <w:pPr/>
          </w:p>
        </w:tc>
        <w:tc>
          <w:tcPr>
            <w:tcW w:w="654" w:type="dxa"/>
            <w:tcBorders>
              <w:bottom w:val="single" w:sz="3" w:space="0" w:color="000000"/>
              <w:right w:val="single" w:sz="3" w:space="0" w:color="000000"/>
            </w:tcBorders>
          </w:tcPr>
          <w:p>
            <w:pPr>
              <w:pStyle w:val="TableParagraph"/>
              <w:spacing w:before="9"/>
              <w:ind w:left="192" w:right="6"/>
              <w:jc w:val="center"/>
              <w:rPr>
                <w:sz w:val="10"/>
              </w:rPr>
            </w:pPr>
            <w:r>
              <w:rPr>
                <w:sz w:val="10"/>
              </w:rPr>
              <w:t>3.371</w:t>
            </w:r>
          </w:p>
        </w:tc>
        <w:tc>
          <w:tcPr>
            <w:tcW w:w="590" w:type="dxa"/>
            <w:tcBorders>
              <w:left w:val="single" w:sz="3" w:space="0" w:color="000000"/>
              <w:bottom w:val="single" w:sz="3" w:space="0" w:color="000000"/>
              <w:right w:val="single" w:sz="3" w:space="0" w:color="000000"/>
            </w:tcBorders>
          </w:tcPr>
          <w:p>
            <w:pPr>
              <w:pStyle w:val="TableParagraph"/>
              <w:spacing w:before="27"/>
              <w:ind w:right="91"/>
              <w:rPr>
                <w:sz w:val="8"/>
              </w:rPr>
            </w:pPr>
            <w:r>
              <w:rPr>
                <w:sz w:val="8"/>
              </w:rPr>
              <w:t>3.371</w:t>
            </w:r>
          </w:p>
        </w:tc>
      </w:tr>
      <w:tr>
        <w:trPr>
          <w:trHeight w:val="132" w:hRule="exact"/>
        </w:trPr>
        <w:tc>
          <w:tcPr>
            <w:tcW w:w="1210" w:type="dxa"/>
            <w:tcBorders>
              <w:top w:val="single" w:sz="3" w:space="0" w:color="000000"/>
              <w:left w:val="single" w:sz="3" w:space="0" w:color="000000"/>
              <w:bottom w:val="single" w:sz="3" w:space="0" w:color="000000"/>
              <w:right w:val="single" w:sz="3" w:space="0" w:color="000000"/>
            </w:tcBorders>
            <w:shd w:val="clear" w:color="auto" w:fill="D9D9D9"/>
          </w:tcPr>
          <w:p>
            <w:pPr>
              <w:pStyle w:val="TableParagraph"/>
              <w:spacing w:before="14"/>
              <w:ind w:left="12"/>
              <w:jc w:val="left"/>
              <w:rPr>
                <w:b/>
                <w:sz w:val="10"/>
              </w:rPr>
            </w:pPr>
            <w:r>
              <w:rPr>
                <w:b/>
                <w:sz w:val="10"/>
              </w:rPr>
              <w:t>Totale</w:t>
            </w:r>
          </w:p>
        </w:tc>
        <w:tc>
          <w:tcPr>
            <w:tcW w:w="720" w:type="dxa"/>
            <w:tcBorders>
              <w:top w:val="single" w:sz="3" w:space="0" w:color="000000"/>
              <w:left w:val="single" w:sz="3" w:space="0" w:color="000000"/>
              <w:bottom w:val="single" w:sz="3" w:space="0" w:color="000000"/>
            </w:tcBorders>
            <w:shd w:val="clear" w:color="auto" w:fill="D9D9D9"/>
          </w:tcPr>
          <w:p>
            <w:pPr>
              <w:pStyle w:val="TableParagraph"/>
              <w:spacing w:before="14"/>
              <w:ind w:right="72"/>
              <w:rPr>
                <w:b/>
                <w:sz w:val="10"/>
              </w:rPr>
            </w:pPr>
            <w:r>
              <w:rPr>
                <w:b/>
                <w:sz w:val="10"/>
              </w:rPr>
              <w:t>37.019.306</w:t>
            </w:r>
          </w:p>
        </w:tc>
        <w:tc>
          <w:tcPr>
            <w:tcW w:w="749" w:type="dxa"/>
            <w:tcBorders>
              <w:top w:val="single" w:sz="3" w:space="0" w:color="000000"/>
              <w:bottom w:val="single" w:sz="3" w:space="0" w:color="000000"/>
            </w:tcBorders>
            <w:shd w:val="clear" w:color="auto" w:fill="D9D9D9"/>
          </w:tcPr>
          <w:p>
            <w:pPr>
              <w:pStyle w:val="TableParagraph"/>
              <w:spacing w:before="14"/>
              <w:ind w:right="213"/>
              <w:rPr>
                <w:b/>
                <w:sz w:val="10"/>
              </w:rPr>
            </w:pPr>
            <w:r>
              <w:rPr>
                <w:b/>
                <w:w w:val="100"/>
                <w:sz w:val="10"/>
              </w:rPr>
              <w:t>-</w:t>
            </w:r>
          </w:p>
        </w:tc>
        <w:tc>
          <w:tcPr>
            <w:tcW w:w="525" w:type="dxa"/>
            <w:tcBorders>
              <w:top w:val="single" w:sz="3" w:space="0" w:color="000000"/>
              <w:bottom w:val="single" w:sz="3" w:space="0" w:color="000000"/>
              <w:right w:val="single" w:sz="3" w:space="0" w:color="000000"/>
            </w:tcBorders>
            <w:shd w:val="clear" w:color="auto" w:fill="D9D9D9"/>
          </w:tcPr>
          <w:p>
            <w:pPr>
              <w:pStyle w:val="TableParagraph"/>
              <w:spacing w:before="14"/>
              <w:ind w:right="115"/>
              <w:rPr>
                <w:b/>
                <w:sz w:val="10"/>
              </w:rPr>
            </w:pPr>
            <w:r>
              <w:rPr>
                <w:b/>
                <w:sz w:val="10"/>
              </w:rPr>
              <w:t>-   43.741</w:t>
            </w:r>
          </w:p>
        </w:tc>
        <w:tc>
          <w:tcPr>
            <w:tcW w:w="638" w:type="dxa"/>
            <w:tcBorders>
              <w:top w:val="single" w:sz="3" w:space="0" w:color="000000"/>
              <w:left w:val="single" w:sz="3" w:space="0" w:color="000000"/>
              <w:bottom w:val="single" w:sz="3" w:space="0" w:color="000000"/>
            </w:tcBorders>
            <w:shd w:val="clear" w:color="auto" w:fill="D9D9D9"/>
          </w:tcPr>
          <w:p>
            <w:pPr>
              <w:pStyle w:val="TableParagraph"/>
              <w:spacing w:before="14"/>
              <w:ind w:right="122"/>
              <w:rPr>
                <w:b/>
                <w:sz w:val="10"/>
              </w:rPr>
            </w:pPr>
            <w:r>
              <w:rPr>
                <w:b/>
                <w:sz w:val="10"/>
              </w:rPr>
              <w:t>365.266</w:t>
            </w:r>
          </w:p>
        </w:tc>
        <w:tc>
          <w:tcPr>
            <w:tcW w:w="796" w:type="dxa"/>
            <w:tcBorders>
              <w:top w:val="single" w:sz="3" w:space="0" w:color="000000"/>
              <w:bottom w:val="single" w:sz="3" w:space="0" w:color="000000"/>
            </w:tcBorders>
            <w:shd w:val="clear" w:color="auto" w:fill="D9D9D9"/>
          </w:tcPr>
          <w:p>
            <w:pPr>
              <w:pStyle w:val="TableParagraph"/>
              <w:spacing w:before="14"/>
              <w:ind w:right="172"/>
              <w:rPr>
                <w:b/>
                <w:sz w:val="10"/>
              </w:rPr>
            </w:pPr>
            <w:r>
              <w:rPr>
                <w:b/>
                <w:sz w:val="10"/>
              </w:rPr>
              <w:t>233.846</w:t>
            </w:r>
          </w:p>
        </w:tc>
        <w:tc>
          <w:tcPr>
            <w:tcW w:w="591" w:type="dxa"/>
            <w:tcBorders>
              <w:top w:val="single" w:sz="3" w:space="0" w:color="000000"/>
              <w:bottom w:val="single" w:sz="3" w:space="0" w:color="000000"/>
              <w:right w:val="single" w:sz="3" w:space="0" w:color="000000"/>
            </w:tcBorders>
            <w:shd w:val="clear" w:color="auto" w:fill="D9D9D9"/>
          </w:tcPr>
          <w:p>
            <w:pPr>
              <w:pStyle w:val="TableParagraph"/>
              <w:spacing w:before="14"/>
              <w:ind w:left="87" w:right="55"/>
              <w:jc w:val="center"/>
              <w:rPr>
                <w:b/>
                <w:sz w:val="10"/>
              </w:rPr>
            </w:pPr>
            <w:r>
              <w:rPr>
                <w:b/>
                <w:sz w:val="10"/>
              </w:rPr>
              <w:t>163.327</w:t>
            </w:r>
          </w:p>
        </w:tc>
        <w:tc>
          <w:tcPr>
            <w:tcW w:w="682" w:type="dxa"/>
            <w:tcBorders>
              <w:top w:val="single" w:sz="3" w:space="0" w:color="000000"/>
              <w:left w:val="single" w:sz="3" w:space="0" w:color="000000"/>
              <w:bottom w:val="single" w:sz="3" w:space="0" w:color="000000"/>
            </w:tcBorders>
            <w:shd w:val="clear" w:color="auto" w:fill="D9D9D9"/>
          </w:tcPr>
          <w:p>
            <w:pPr>
              <w:pStyle w:val="TableParagraph"/>
              <w:spacing w:before="14"/>
              <w:ind w:right="91"/>
              <w:rPr>
                <w:b/>
                <w:sz w:val="10"/>
              </w:rPr>
            </w:pPr>
            <w:r>
              <w:rPr>
                <w:b/>
                <w:sz w:val="10"/>
              </w:rPr>
              <w:t>4.017.555</w:t>
            </w:r>
          </w:p>
        </w:tc>
        <w:tc>
          <w:tcPr>
            <w:tcW w:w="508" w:type="dxa"/>
            <w:tcBorders>
              <w:top w:val="single" w:sz="3" w:space="0" w:color="000000"/>
              <w:bottom w:val="single" w:sz="3" w:space="0" w:color="000000"/>
            </w:tcBorders>
            <w:shd w:val="clear" w:color="auto" w:fill="D9D9D9"/>
          </w:tcPr>
          <w:p>
            <w:pPr/>
          </w:p>
        </w:tc>
        <w:tc>
          <w:tcPr>
            <w:tcW w:w="623" w:type="dxa"/>
            <w:tcBorders>
              <w:top w:val="single" w:sz="3" w:space="0" w:color="000000"/>
              <w:bottom w:val="single" w:sz="3" w:space="0" w:color="000000"/>
              <w:right w:val="single" w:sz="3" w:space="0" w:color="000000"/>
            </w:tcBorders>
            <w:shd w:val="clear" w:color="auto" w:fill="D9D9D9"/>
          </w:tcPr>
          <w:p>
            <w:pPr>
              <w:pStyle w:val="TableParagraph"/>
              <w:spacing w:before="14"/>
              <w:ind w:right="120"/>
              <w:rPr>
                <w:b/>
                <w:sz w:val="10"/>
              </w:rPr>
            </w:pPr>
            <w:r>
              <w:rPr>
                <w:b/>
                <w:sz w:val="10"/>
              </w:rPr>
              <w:t>129.950</w:t>
            </w:r>
          </w:p>
        </w:tc>
        <w:tc>
          <w:tcPr>
            <w:tcW w:w="723" w:type="dxa"/>
            <w:tcBorders>
              <w:top w:val="single" w:sz="3" w:space="0" w:color="000000"/>
              <w:left w:val="single" w:sz="3" w:space="0" w:color="000000"/>
              <w:bottom w:val="single" w:sz="3" w:space="0" w:color="000000"/>
            </w:tcBorders>
            <w:shd w:val="clear" w:color="auto" w:fill="D9D9D9"/>
          </w:tcPr>
          <w:p>
            <w:pPr>
              <w:pStyle w:val="TableParagraph"/>
              <w:spacing w:before="14"/>
              <w:ind w:right="75"/>
              <w:rPr>
                <w:b/>
                <w:sz w:val="10"/>
              </w:rPr>
            </w:pPr>
            <w:r>
              <w:rPr>
                <w:b/>
                <w:sz w:val="10"/>
              </w:rPr>
              <w:t>22.748.423</w:t>
            </w:r>
          </w:p>
        </w:tc>
        <w:tc>
          <w:tcPr>
            <w:tcW w:w="1201" w:type="dxa"/>
            <w:gridSpan w:val="2"/>
            <w:tcBorders>
              <w:top w:val="single" w:sz="3" w:space="0" w:color="000000"/>
              <w:bottom w:val="single" w:sz="3" w:space="0" w:color="000000"/>
            </w:tcBorders>
            <w:shd w:val="clear" w:color="auto" w:fill="D9D9D9"/>
          </w:tcPr>
          <w:p>
            <w:pPr>
              <w:pStyle w:val="TableParagraph"/>
              <w:spacing w:before="14"/>
              <w:ind w:left="653"/>
              <w:jc w:val="left"/>
              <w:rPr>
                <w:b/>
                <w:sz w:val="10"/>
              </w:rPr>
            </w:pPr>
            <w:r>
              <w:rPr>
                <w:b/>
                <w:sz w:val="10"/>
              </w:rPr>
              <w:t>10.468.022</w:t>
            </w:r>
          </w:p>
        </w:tc>
        <w:tc>
          <w:tcPr>
            <w:tcW w:w="654" w:type="dxa"/>
            <w:tcBorders>
              <w:top w:val="single" w:sz="3" w:space="0" w:color="000000"/>
              <w:bottom w:val="single" w:sz="3" w:space="0" w:color="000000"/>
              <w:right w:val="single" w:sz="3" w:space="0" w:color="000000"/>
            </w:tcBorders>
            <w:shd w:val="clear" w:color="auto" w:fill="D9D9D9"/>
          </w:tcPr>
          <w:p>
            <w:pPr>
              <w:pStyle w:val="TableParagraph"/>
              <w:spacing w:before="14"/>
              <w:ind w:left="189" w:right="107"/>
              <w:jc w:val="center"/>
              <w:rPr>
                <w:b/>
                <w:sz w:val="10"/>
              </w:rPr>
            </w:pPr>
            <w:r>
              <w:rPr>
                <w:b/>
                <w:sz w:val="10"/>
              </w:rPr>
              <w:t>325.746</w:t>
            </w:r>
          </w:p>
        </w:tc>
        <w:tc>
          <w:tcPr>
            <w:tcW w:w="590" w:type="dxa"/>
            <w:tcBorders>
              <w:top w:val="single" w:sz="3" w:space="0" w:color="000000"/>
              <w:left w:val="single" w:sz="3" w:space="0" w:color="000000"/>
              <w:bottom w:val="single" w:sz="3" w:space="0" w:color="000000"/>
              <w:right w:val="single" w:sz="3" w:space="0" w:color="000000"/>
            </w:tcBorders>
            <w:shd w:val="clear" w:color="auto" w:fill="D9D9D9"/>
          </w:tcPr>
          <w:p>
            <w:pPr>
              <w:pStyle w:val="TableParagraph"/>
              <w:spacing w:before="31"/>
              <w:ind w:right="91"/>
              <w:rPr>
                <w:b/>
                <w:sz w:val="8"/>
              </w:rPr>
            </w:pPr>
            <w:r>
              <w:rPr>
                <w:b/>
                <w:sz w:val="8"/>
              </w:rPr>
              <w:t>75.428.159</w:t>
            </w:r>
          </w:p>
        </w:tc>
      </w:tr>
    </w:tbl>
    <w:p>
      <w:pPr>
        <w:pStyle w:val="BodyText"/>
        <w:spacing w:before="9"/>
        <w:rPr>
          <w:sz w:val="33"/>
        </w:rPr>
      </w:pPr>
    </w:p>
    <w:p>
      <w:pPr>
        <w:pStyle w:val="Heading2"/>
        <w:numPr>
          <w:ilvl w:val="0"/>
          <w:numId w:val="58"/>
        </w:numPr>
        <w:tabs>
          <w:tab w:pos="2126" w:val="left" w:leader="none"/>
          <w:tab w:pos="2127" w:val="left" w:leader="none"/>
        </w:tabs>
        <w:spacing w:line="240" w:lineRule="auto" w:before="0" w:after="0"/>
        <w:ind w:left="2126" w:right="0" w:hanging="348"/>
        <w:jc w:val="left"/>
      </w:pPr>
      <w:r>
        <w:rPr>
          <w:u w:val="single"/>
        </w:rPr>
        <w:t>Crediti commerciali verso il</w:t>
      </w:r>
      <w:r>
        <w:rPr>
          <w:spacing w:val="-15"/>
          <w:u w:val="single"/>
        </w:rPr>
        <w:t> </w:t>
      </w:r>
      <w:r>
        <w:rPr>
          <w:u w:val="single"/>
        </w:rPr>
        <w:t>gruppo</w:t>
      </w:r>
    </w:p>
    <w:p>
      <w:pPr>
        <w:pStyle w:val="BodyText"/>
        <w:spacing w:before="10"/>
        <w:rPr>
          <w:b/>
          <w:sz w:val="23"/>
        </w:rPr>
      </w:pPr>
    </w:p>
    <w:p>
      <w:pPr>
        <w:pStyle w:val="BodyText"/>
        <w:spacing w:line="480" w:lineRule="auto"/>
        <w:ind w:left="1418" w:right="1413"/>
      </w:pPr>
      <w:r>
        <w:rPr/>
        <w:t>Al 15 ottobre 2017 la posta in esame ammonta ad Euro 36.975.565 di seguito si riporta la tabella riepilogativa:</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29"/>
        </w:rPr>
      </w:pPr>
    </w:p>
    <w:tbl>
      <w:tblPr>
        <w:tblW w:w="0" w:type="auto"/>
        <w:jc w:val="left"/>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28"/>
        <w:gridCol w:w="2726"/>
        <w:gridCol w:w="1137"/>
        <w:gridCol w:w="1136"/>
        <w:gridCol w:w="1137"/>
        <w:gridCol w:w="1137"/>
        <w:gridCol w:w="1021"/>
        <w:gridCol w:w="1137"/>
      </w:tblGrid>
      <w:tr>
        <w:trPr>
          <w:trHeight w:val="666" w:hRule="exact"/>
        </w:trPr>
        <w:tc>
          <w:tcPr>
            <w:tcW w:w="1128" w:type="dxa"/>
            <w:shd w:val="clear" w:color="auto" w:fill="BEBEBE"/>
          </w:tcPr>
          <w:p>
            <w:pPr>
              <w:pStyle w:val="TableParagraph"/>
              <w:spacing w:before="2"/>
              <w:jc w:val="left"/>
              <w:rPr>
                <w:sz w:val="23"/>
              </w:rPr>
            </w:pPr>
          </w:p>
          <w:p>
            <w:pPr>
              <w:pStyle w:val="TableParagraph"/>
              <w:spacing w:before="0"/>
              <w:ind w:left="62" w:right="51"/>
              <w:jc w:val="center"/>
              <w:rPr>
                <w:b/>
                <w:sz w:val="14"/>
              </w:rPr>
            </w:pPr>
            <w:r>
              <w:rPr>
                <w:b/>
                <w:sz w:val="14"/>
              </w:rPr>
              <w:t>Conto</w:t>
            </w:r>
          </w:p>
        </w:tc>
        <w:tc>
          <w:tcPr>
            <w:tcW w:w="2726" w:type="dxa"/>
            <w:shd w:val="clear" w:color="auto" w:fill="BEBEBE"/>
          </w:tcPr>
          <w:p>
            <w:pPr>
              <w:pStyle w:val="TableParagraph"/>
              <w:spacing w:before="2"/>
              <w:jc w:val="left"/>
              <w:rPr>
                <w:sz w:val="23"/>
              </w:rPr>
            </w:pPr>
          </w:p>
          <w:p>
            <w:pPr>
              <w:pStyle w:val="TableParagraph"/>
              <w:spacing w:before="0"/>
              <w:ind w:left="986" w:right="983"/>
              <w:jc w:val="center"/>
              <w:rPr>
                <w:b/>
                <w:sz w:val="14"/>
              </w:rPr>
            </w:pPr>
            <w:r>
              <w:rPr>
                <w:b/>
                <w:sz w:val="14"/>
              </w:rPr>
              <w:t>Descrizione</w:t>
            </w:r>
          </w:p>
        </w:tc>
        <w:tc>
          <w:tcPr>
            <w:tcW w:w="1137" w:type="dxa"/>
            <w:shd w:val="clear" w:color="auto" w:fill="BEBEBE"/>
          </w:tcPr>
          <w:p>
            <w:pPr>
              <w:pStyle w:val="TableParagraph"/>
              <w:spacing w:before="2"/>
              <w:jc w:val="left"/>
              <w:rPr>
                <w:sz w:val="23"/>
              </w:rPr>
            </w:pPr>
          </w:p>
          <w:p>
            <w:pPr>
              <w:pStyle w:val="TableParagraph"/>
              <w:spacing w:before="0"/>
              <w:ind w:right="48"/>
              <w:rPr>
                <w:b/>
                <w:sz w:val="14"/>
              </w:rPr>
            </w:pPr>
            <w:r>
              <w:rPr>
                <w:b/>
                <w:sz w:val="14"/>
              </w:rPr>
              <w:t>BdV al 15.10.2017</w:t>
            </w:r>
          </w:p>
        </w:tc>
        <w:tc>
          <w:tcPr>
            <w:tcW w:w="1136" w:type="dxa"/>
            <w:shd w:val="clear" w:color="auto" w:fill="BEBEBE"/>
          </w:tcPr>
          <w:p>
            <w:pPr>
              <w:pStyle w:val="TableParagraph"/>
              <w:spacing w:before="5"/>
              <w:jc w:val="left"/>
              <w:rPr>
                <w:sz w:val="14"/>
              </w:rPr>
            </w:pPr>
          </w:p>
          <w:p>
            <w:pPr>
              <w:pStyle w:val="TableParagraph"/>
              <w:spacing w:line="283" w:lineRule="auto" w:before="1"/>
              <w:ind w:left="319" w:right="211" w:hanging="107"/>
              <w:jc w:val="left"/>
              <w:rPr>
                <w:b/>
                <w:sz w:val="14"/>
              </w:rPr>
            </w:pPr>
            <w:r>
              <w:rPr>
                <w:b/>
                <w:sz w:val="14"/>
              </w:rPr>
              <w:t>Trasferito a Versalis</w:t>
            </w:r>
          </w:p>
        </w:tc>
        <w:tc>
          <w:tcPr>
            <w:tcW w:w="1137" w:type="dxa"/>
            <w:shd w:val="clear" w:color="auto" w:fill="BEBEBE"/>
          </w:tcPr>
          <w:p>
            <w:pPr>
              <w:pStyle w:val="TableParagraph"/>
              <w:spacing w:before="2"/>
              <w:jc w:val="left"/>
              <w:rPr>
                <w:sz w:val="23"/>
              </w:rPr>
            </w:pPr>
          </w:p>
          <w:p>
            <w:pPr>
              <w:pStyle w:val="TableParagraph"/>
              <w:spacing w:before="0"/>
              <w:ind w:left="133"/>
              <w:jc w:val="left"/>
              <w:rPr>
                <w:b/>
                <w:sz w:val="14"/>
              </w:rPr>
            </w:pPr>
            <w:r>
              <w:rPr>
                <w:b/>
                <w:sz w:val="14"/>
              </w:rPr>
              <w:t>Non trasferito</w:t>
            </w:r>
          </w:p>
        </w:tc>
        <w:tc>
          <w:tcPr>
            <w:tcW w:w="1137" w:type="dxa"/>
            <w:shd w:val="clear" w:color="auto" w:fill="BEBEBE"/>
          </w:tcPr>
          <w:p>
            <w:pPr>
              <w:pStyle w:val="TableParagraph"/>
              <w:spacing w:before="2"/>
              <w:jc w:val="left"/>
              <w:rPr>
                <w:sz w:val="23"/>
              </w:rPr>
            </w:pPr>
          </w:p>
          <w:p>
            <w:pPr>
              <w:pStyle w:val="TableParagraph"/>
              <w:spacing w:before="0"/>
              <w:ind w:left="89"/>
              <w:jc w:val="left"/>
              <w:rPr>
                <w:b/>
                <w:sz w:val="14"/>
              </w:rPr>
            </w:pPr>
            <w:r>
              <w:rPr>
                <w:b/>
                <w:sz w:val="14"/>
              </w:rPr>
              <w:t>Compensazioni</w:t>
            </w:r>
          </w:p>
        </w:tc>
        <w:tc>
          <w:tcPr>
            <w:tcW w:w="1021" w:type="dxa"/>
            <w:shd w:val="clear" w:color="auto" w:fill="BEBEBE"/>
          </w:tcPr>
          <w:p>
            <w:pPr>
              <w:pStyle w:val="TableParagraph"/>
              <w:spacing w:before="5"/>
              <w:jc w:val="left"/>
              <w:rPr>
                <w:sz w:val="14"/>
              </w:rPr>
            </w:pPr>
          </w:p>
          <w:p>
            <w:pPr>
              <w:pStyle w:val="TableParagraph"/>
              <w:spacing w:line="283" w:lineRule="auto" w:before="1"/>
              <w:ind w:left="79" w:firstLine="133"/>
              <w:jc w:val="left"/>
              <w:rPr>
                <w:b/>
                <w:sz w:val="14"/>
              </w:rPr>
            </w:pPr>
            <w:r>
              <w:rPr>
                <w:b/>
                <w:sz w:val="14"/>
              </w:rPr>
              <w:t>Rettifiche concordatarie</w:t>
            </w:r>
          </w:p>
        </w:tc>
        <w:tc>
          <w:tcPr>
            <w:tcW w:w="1137" w:type="dxa"/>
            <w:shd w:val="clear" w:color="auto" w:fill="BEBEBE"/>
          </w:tcPr>
          <w:p>
            <w:pPr>
              <w:pStyle w:val="TableParagraph"/>
              <w:spacing w:line="283" w:lineRule="auto" w:before="74"/>
              <w:ind w:left="44" w:right="50"/>
              <w:jc w:val="center"/>
              <w:rPr>
                <w:b/>
                <w:sz w:val="14"/>
              </w:rPr>
            </w:pPr>
            <w:r>
              <w:rPr>
                <w:b/>
                <w:sz w:val="14"/>
              </w:rPr>
              <w:t>valore di realizzo ai fini concordatario</w:t>
            </w:r>
          </w:p>
        </w:tc>
      </w:tr>
      <w:tr>
        <w:trPr>
          <w:trHeight w:val="197" w:hRule="exact"/>
        </w:trPr>
        <w:tc>
          <w:tcPr>
            <w:tcW w:w="1128" w:type="dxa"/>
            <w:tcBorders>
              <w:bottom w:val="nil"/>
            </w:tcBorders>
          </w:tcPr>
          <w:p>
            <w:pPr>
              <w:pStyle w:val="TableParagraph"/>
              <w:spacing w:before="21"/>
              <w:ind w:left="54" w:right="54"/>
              <w:jc w:val="center"/>
              <w:rPr>
                <w:sz w:val="14"/>
              </w:rPr>
            </w:pPr>
            <w:r>
              <w:rPr>
                <w:sz w:val="14"/>
              </w:rPr>
              <w:t>2239010</w:t>
            </w:r>
          </w:p>
        </w:tc>
        <w:tc>
          <w:tcPr>
            <w:tcW w:w="2726" w:type="dxa"/>
            <w:tcBorders>
              <w:bottom w:val="nil"/>
            </w:tcBorders>
          </w:tcPr>
          <w:p>
            <w:pPr>
              <w:pStyle w:val="TableParagraph"/>
              <w:spacing w:before="21"/>
              <w:ind w:left="17"/>
              <w:jc w:val="left"/>
              <w:rPr>
                <w:sz w:val="14"/>
              </w:rPr>
            </w:pPr>
            <w:r>
              <w:rPr>
                <w:sz w:val="14"/>
              </w:rPr>
              <w:t>BETA RENEWABLES</w:t>
            </w:r>
          </w:p>
        </w:tc>
        <w:tc>
          <w:tcPr>
            <w:tcW w:w="1137" w:type="dxa"/>
            <w:tcBorders>
              <w:bottom w:val="nil"/>
            </w:tcBorders>
          </w:tcPr>
          <w:p>
            <w:pPr>
              <w:pStyle w:val="TableParagraph"/>
              <w:spacing w:before="21"/>
              <w:ind w:right="66"/>
              <w:rPr>
                <w:sz w:val="14"/>
              </w:rPr>
            </w:pPr>
            <w:r>
              <w:rPr>
                <w:sz w:val="14"/>
              </w:rPr>
              <w:t>26.892.840</w:t>
            </w:r>
          </w:p>
        </w:tc>
        <w:tc>
          <w:tcPr>
            <w:tcW w:w="1136" w:type="dxa"/>
            <w:vMerge w:val="restart"/>
          </w:tcPr>
          <w:p>
            <w:pPr/>
          </w:p>
        </w:tc>
        <w:tc>
          <w:tcPr>
            <w:tcW w:w="1137" w:type="dxa"/>
            <w:tcBorders>
              <w:bottom w:val="nil"/>
            </w:tcBorders>
          </w:tcPr>
          <w:p>
            <w:pPr>
              <w:pStyle w:val="TableParagraph"/>
              <w:spacing w:before="21"/>
              <w:ind w:right="66"/>
              <w:rPr>
                <w:sz w:val="14"/>
              </w:rPr>
            </w:pPr>
            <w:r>
              <w:rPr>
                <w:sz w:val="14"/>
              </w:rPr>
              <w:t>26.892.840</w:t>
            </w:r>
          </w:p>
        </w:tc>
        <w:tc>
          <w:tcPr>
            <w:tcW w:w="1137" w:type="dxa"/>
            <w:tcBorders>
              <w:bottom w:val="nil"/>
            </w:tcBorders>
          </w:tcPr>
          <w:p>
            <w:pPr/>
          </w:p>
        </w:tc>
        <w:tc>
          <w:tcPr>
            <w:tcW w:w="1021" w:type="dxa"/>
            <w:tcBorders>
              <w:bottom w:val="nil"/>
            </w:tcBorders>
          </w:tcPr>
          <w:p>
            <w:pPr>
              <w:pStyle w:val="TableParagraph"/>
              <w:spacing w:before="21"/>
              <w:ind w:right="20"/>
              <w:rPr>
                <w:sz w:val="14"/>
              </w:rPr>
            </w:pPr>
            <w:r>
              <w:rPr>
                <w:sz w:val="14"/>
              </w:rPr>
              <w:t>(14.826.023)</w:t>
            </w:r>
          </w:p>
        </w:tc>
        <w:tc>
          <w:tcPr>
            <w:tcW w:w="1137" w:type="dxa"/>
            <w:tcBorders>
              <w:bottom w:val="nil"/>
            </w:tcBorders>
          </w:tcPr>
          <w:p>
            <w:pPr>
              <w:pStyle w:val="TableParagraph"/>
              <w:spacing w:before="21"/>
              <w:ind w:right="66"/>
              <w:rPr>
                <w:sz w:val="14"/>
              </w:rPr>
            </w:pPr>
            <w:r>
              <w:rPr>
                <w:sz w:val="14"/>
              </w:rPr>
              <w:t>12.066.817</w:t>
            </w:r>
          </w:p>
        </w:tc>
      </w:tr>
      <w:tr>
        <w:trPr>
          <w:trHeight w:val="186" w:hRule="exact"/>
        </w:trPr>
        <w:tc>
          <w:tcPr>
            <w:tcW w:w="1128" w:type="dxa"/>
            <w:tcBorders>
              <w:top w:val="nil"/>
              <w:bottom w:val="nil"/>
            </w:tcBorders>
          </w:tcPr>
          <w:p>
            <w:pPr>
              <w:pStyle w:val="TableParagraph"/>
              <w:spacing w:before="15"/>
              <w:ind w:left="62" w:right="54"/>
              <w:jc w:val="center"/>
              <w:rPr>
                <w:sz w:val="14"/>
              </w:rPr>
            </w:pPr>
            <w:r>
              <w:rPr>
                <w:sz w:val="14"/>
              </w:rPr>
              <w:t>2239010-2239015</w:t>
            </w:r>
          </w:p>
        </w:tc>
        <w:tc>
          <w:tcPr>
            <w:tcW w:w="2726" w:type="dxa"/>
            <w:tcBorders>
              <w:top w:val="nil"/>
              <w:bottom w:val="nil"/>
            </w:tcBorders>
          </w:tcPr>
          <w:p>
            <w:pPr>
              <w:pStyle w:val="TableParagraph"/>
              <w:spacing w:before="15"/>
              <w:ind w:left="17"/>
              <w:jc w:val="left"/>
              <w:rPr>
                <w:sz w:val="14"/>
              </w:rPr>
            </w:pPr>
            <w:r>
              <w:rPr>
                <w:sz w:val="14"/>
              </w:rPr>
              <w:t>CAROLINA CELLULOSIC BIOFUELS LLC</w:t>
            </w:r>
          </w:p>
        </w:tc>
        <w:tc>
          <w:tcPr>
            <w:tcW w:w="1137" w:type="dxa"/>
            <w:tcBorders>
              <w:top w:val="nil"/>
              <w:bottom w:val="nil"/>
            </w:tcBorders>
          </w:tcPr>
          <w:p>
            <w:pPr>
              <w:pStyle w:val="TableParagraph"/>
              <w:spacing w:before="15"/>
              <w:ind w:right="65"/>
              <w:rPr>
                <w:sz w:val="14"/>
              </w:rPr>
            </w:pPr>
            <w:r>
              <w:rPr>
                <w:sz w:val="14"/>
              </w:rPr>
              <w:t>508.044</w:t>
            </w:r>
          </w:p>
        </w:tc>
        <w:tc>
          <w:tcPr>
            <w:tcW w:w="1136" w:type="dxa"/>
            <w:vMerge/>
          </w:tcPr>
          <w:p>
            <w:pPr/>
          </w:p>
        </w:tc>
        <w:tc>
          <w:tcPr>
            <w:tcW w:w="1137" w:type="dxa"/>
            <w:tcBorders>
              <w:top w:val="nil"/>
              <w:bottom w:val="nil"/>
            </w:tcBorders>
          </w:tcPr>
          <w:p>
            <w:pPr>
              <w:pStyle w:val="TableParagraph"/>
              <w:spacing w:before="15"/>
              <w:ind w:right="65"/>
              <w:rPr>
                <w:sz w:val="14"/>
              </w:rPr>
            </w:pPr>
            <w:r>
              <w:rPr>
                <w:sz w:val="14"/>
              </w:rPr>
              <w:t>508.044</w:t>
            </w:r>
          </w:p>
        </w:tc>
        <w:tc>
          <w:tcPr>
            <w:tcW w:w="1137" w:type="dxa"/>
            <w:tcBorders>
              <w:top w:val="nil"/>
              <w:bottom w:val="nil"/>
            </w:tcBorders>
          </w:tcPr>
          <w:p>
            <w:pPr/>
          </w:p>
        </w:tc>
        <w:tc>
          <w:tcPr>
            <w:tcW w:w="1021" w:type="dxa"/>
            <w:tcBorders>
              <w:top w:val="nil"/>
              <w:bottom w:val="nil"/>
            </w:tcBorders>
          </w:tcPr>
          <w:p>
            <w:pPr>
              <w:pStyle w:val="TableParagraph"/>
              <w:spacing w:before="15"/>
              <w:ind w:right="20"/>
              <w:rPr>
                <w:sz w:val="14"/>
              </w:rPr>
            </w:pPr>
            <w:r>
              <w:rPr>
                <w:sz w:val="14"/>
              </w:rPr>
              <w:t>(508.044)</w:t>
            </w:r>
          </w:p>
        </w:tc>
        <w:tc>
          <w:tcPr>
            <w:tcW w:w="1137" w:type="dxa"/>
            <w:tcBorders>
              <w:top w:val="nil"/>
              <w:bottom w:val="nil"/>
            </w:tcBorders>
          </w:tcPr>
          <w:p>
            <w:pPr>
              <w:pStyle w:val="TableParagraph"/>
              <w:spacing w:before="15"/>
              <w:ind w:right="202"/>
              <w:rPr>
                <w:sz w:val="14"/>
              </w:rPr>
            </w:pPr>
            <w:r>
              <w:rPr>
                <w:w w:val="101"/>
                <w:sz w:val="14"/>
              </w:rPr>
              <w:t>-</w:t>
            </w:r>
          </w:p>
        </w:tc>
      </w:tr>
      <w:tr>
        <w:trPr>
          <w:trHeight w:val="186" w:hRule="exact"/>
        </w:trPr>
        <w:tc>
          <w:tcPr>
            <w:tcW w:w="1128" w:type="dxa"/>
            <w:tcBorders>
              <w:top w:val="nil"/>
              <w:bottom w:val="nil"/>
            </w:tcBorders>
          </w:tcPr>
          <w:p>
            <w:pPr>
              <w:pStyle w:val="TableParagraph"/>
              <w:spacing w:before="15"/>
              <w:ind w:left="54" w:right="54"/>
              <w:jc w:val="center"/>
              <w:rPr>
                <w:sz w:val="14"/>
              </w:rPr>
            </w:pPr>
            <w:r>
              <w:rPr>
                <w:sz w:val="14"/>
              </w:rPr>
              <w:t>2239010</w:t>
            </w:r>
          </w:p>
        </w:tc>
        <w:tc>
          <w:tcPr>
            <w:tcW w:w="2726" w:type="dxa"/>
            <w:tcBorders>
              <w:top w:val="nil"/>
              <w:bottom w:val="nil"/>
            </w:tcBorders>
          </w:tcPr>
          <w:p>
            <w:pPr>
              <w:pStyle w:val="TableParagraph"/>
              <w:spacing w:before="15"/>
              <w:ind w:left="17"/>
              <w:jc w:val="left"/>
              <w:rPr>
                <w:sz w:val="14"/>
              </w:rPr>
            </w:pPr>
            <w:r>
              <w:rPr>
                <w:sz w:val="14"/>
              </w:rPr>
              <w:t>ITALIAN BIOPRODUCT</w:t>
            </w:r>
          </w:p>
        </w:tc>
        <w:tc>
          <w:tcPr>
            <w:tcW w:w="1137" w:type="dxa"/>
            <w:tcBorders>
              <w:top w:val="nil"/>
              <w:bottom w:val="nil"/>
            </w:tcBorders>
          </w:tcPr>
          <w:p>
            <w:pPr>
              <w:pStyle w:val="TableParagraph"/>
              <w:spacing w:before="15"/>
              <w:ind w:right="65"/>
              <w:rPr>
                <w:sz w:val="14"/>
              </w:rPr>
            </w:pPr>
            <w:r>
              <w:rPr>
                <w:sz w:val="14"/>
              </w:rPr>
              <w:t>7.776.329</w:t>
            </w:r>
          </w:p>
        </w:tc>
        <w:tc>
          <w:tcPr>
            <w:tcW w:w="1136" w:type="dxa"/>
            <w:vMerge/>
          </w:tcPr>
          <w:p>
            <w:pPr/>
          </w:p>
        </w:tc>
        <w:tc>
          <w:tcPr>
            <w:tcW w:w="1137" w:type="dxa"/>
            <w:tcBorders>
              <w:top w:val="nil"/>
              <w:bottom w:val="nil"/>
            </w:tcBorders>
          </w:tcPr>
          <w:p>
            <w:pPr>
              <w:pStyle w:val="TableParagraph"/>
              <w:spacing w:before="15"/>
              <w:ind w:right="65"/>
              <w:rPr>
                <w:sz w:val="14"/>
              </w:rPr>
            </w:pPr>
            <w:r>
              <w:rPr>
                <w:sz w:val="14"/>
              </w:rPr>
              <w:t>7.776.329</w:t>
            </w:r>
          </w:p>
        </w:tc>
        <w:tc>
          <w:tcPr>
            <w:tcW w:w="1137" w:type="dxa"/>
            <w:tcBorders>
              <w:top w:val="nil"/>
              <w:bottom w:val="nil"/>
            </w:tcBorders>
          </w:tcPr>
          <w:p>
            <w:pPr>
              <w:pStyle w:val="TableParagraph"/>
              <w:spacing w:before="15"/>
              <w:ind w:right="20"/>
              <w:rPr>
                <w:sz w:val="14"/>
              </w:rPr>
            </w:pPr>
            <w:r>
              <w:rPr>
                <w:sz w:val="14"/>
              </w:rPr>
              <w:t>(77.124)</w:t>
            </w:r>
          </w:p>
        </w:tc>
        <w:tc>
          <w:tcPr>
            <w:tcW w:w="1021" w:type="dxa"/>
            <w:tcBorders>
              <w:top w:val="nil"/>
              <w:bottom w:val="nil"/>
            </w:tcBorders>
          </w:tcPr>
          <w:p>
            <w:pPr>
              <w:pStyle w:val="TableParagraph"/>
              <w:spacing w:before="15"/>
              <w:ind w:right="20"/>
              <w:rPr>
                <w:sz w:val="14"/>
              </w:rPr>
            </w:pPr>
            <w:r>
              <w:rPr>
                <w:sz w:val="14"/>
              </w:rPr>
              <w:t>(7.699.205)</w:t>
            </w:r>
          </w:p>
        </w:tc>
        <w:tc>
          <w:tcPr>
            <w:tcW w:w="1137" w:type="dxa"/>
            <w:tcBorders>
              <w:top w:val="nil"/>
              <w:bottom w:val="nil"/>
            </w:tcBorders>
          </w:tcPr>
          <w:p>
            <w:pPr>
              <w:pStyle w:val="TableParagraph"/>
              <w:spacing w:before="15"/>
              <w:ind w:right="202"/>
              <w:rPr>
                <w:sz w:val="14"/>
              </w:rPr>
            </w:pPr>
            <w:r>
              <w:rPr>
                <w:w w:val="101"/>
                <w:sz w:val="14"/>
              </w:rPr>
              <w:t>-</w:t>
            </w:r>
          </w:p>
        </w:tc>
      </w:tr>
      <w:tr>
        <w:trPr>
          <w:trHeight w:val="186" w:hRule="exact"/>
        </w:trPr>
        <w:tc>
          <w:tcPr>
            <w:tcW w:w="1128" w:type="dxa"/>
            <w:tcBorders>
              <w:top w:val="nil"/>
              <w:bottom w:val="nil"/>
            </w:tcBorders>
          </w:tcPr>
          <w:p>
            <w:pPr>
              <w:pStyle w:val="TableParagraph"/>
              <w:spacing w:before="15"/>
              <w:ind w:left="62" w:right="54"/>
              <w:jc w:val="center"/>
              <w:rPr>
                <w:sz w:val="14"/>
              </w:rPr>
            </w:pPr>
            <w:r>
              <w:rPr>
                <w:sz w:val="14"/>
              </w:rPr>
              <w:t>2239010-2239015</w:t>
            </w:r>
          </w:p>
        </w:tc>
        <w:tc>
          <w:tcPr>
            <w:tcW w:w="2726" w:type="dxa"/>
            <w:tcBorders>
              <w:top w:val="nil"/>
              <w:bottom w:val="nil"/>
            </w:tcBorders>
          </w:tcPr>
          <w:p>
            <w:pPr>
              <w:pStyle w:val="TableParagraph"/>
              <w:spacing w:before="15"/>
              <w:ind w:left="17"/>
              <w:jc w:val="left"/>
              <w:rPr>
                <w:sz w:val="14"/>
              </w:rPr>
            </w:pPr>
            <w:r>
              <w:rPr>
                <w:sz w:val="14"/>
              </w:rPr>
              <w:t>M&amp;G FINANZIARIA</w:t>
            </w:r>
          </w:p>
        </w:tc>
        <w:tc>
          <w:tcPr>
            <w:tcW w:w="1137" w:type="dxa"/>
            <w:tcBorders>
              <w:top w:val="nil"/>
              <w:bottom w:val="nil"/>
            </w:tcBorders>
          </w:tcPr>
          <w:p>
            <w:pPr>
              <w:pStyle w:val="TableParagraph"/>
              <w:spacing w:before="15"/>
              <w:ind w:right="65"/>
              <w:rPr>
                <w:sz w:val="14"/>
              </w:rPr>
            </w:pPr>
            <w:r>
              <w:rPr>
                <w:sz w:val="14"/>
              </w:rPr>
              <w:t>1.644.967</w:t>
            </w:r>
          </w:p>
        </w:tc>
        <w:tc>
          <w:tcPr>
            <w:tcW w:w="1136" w:type="dxa"/>
            <w:vMerge/>
          </w:tcPr>
          <w:p>
            <w:pPr/>
          </w:p>
        </w:tc>
        <w:tc>
          <w:tcPr>
            <w:tcW w:w="1137" w:type="dxa"/>
            <w:tcBorders>
              <w:top w:val="nil"/>
              <w:bottom w:val="nil"/>
            </w:tcBorders>
          </w:tcPr>
          <w:p>
            <w:pPr>
              <w:pStyle w:val="TableParagraph"/>
              <w:spacing w:before="15"/>
              <w:ind w:right="65"/>
              <w:rPr>
                <w:sz w:val="14"/>
              </w:rPr>
            </w:pPr>
            <w:r>
              <w:rPr>
                <w:sz w:val="14"/>
              </w:rPr>
              <w:t>1.644.967</w:t>
            </w:r>
          </w:p>
        </w:tc>
        <w:tc>
          <w:tcPr>
            <w:tcW w:w="1137" w:type="dxa"/>
            <w:tcBorders>
              <w:top w:val="nil"/>
              <w:bottom w:val="nil"/>
            </w:tcBorders>
          </w:tcPr>
          <w:p>
            <w:pPr>
              <w:pStyle w:val="TableParagraph"/>
              <w:spacing w:before="15"/>
              <w:ind w:right="20"/>
              <w:rPr>
                <w:sz w:val="14"/>
              </w:rPr>
            </w:pPr>
            <w:r>
              <w:rPr>
                <w:sz w:val="14"/>
              </w:rPr>
              <w:t>(1.395.978)</w:t>
            </w:r>
          </w:p>
        </w:tc>
        <w:tc>
          <w:tcPr>
            <w:tcW w:w="1021" w:type="dxa"/>
            <w:tcBorders>
              <w:top w:val="nil"/>
              <w:bottom w:val="nil"/>
            </w:tcBorders>
          </w:tcPr>
          <w:p>
            <w:pPr>
              <w:pStyle w:val="TableParagraph"/>
              <w:spacing w:before="15"/>
              <w:ind w:right="20"/>
              <w:rPr>
                <w:sz w:val="14"/>
              </w:rPr>
            </w:pPr>
            <w:r>
              <w:rPr>
                <w:sz w:val="14"/>
              </w:rPr>
              <w:t>(248.989)</w:t>
            </w:r>
          </w:p>
        </w:tc>
        <w:tc>
          <w:tcPr>
            <w:tcW w:w="1137" w:type="dxa"/>
            <w:tcBorders>
              <w:top w:val="nil"/>
              <w:bottom w:val="nil"/>
            </w:tcBorders>
          </w:tcPr>
          <w:p>
            <w:pPr>
              <w:pStyle w:val="TableParagraph"/>
              <w:spacing w:before="15"/>
              <w:ind w:right="202"/>
              <w:rPr>
                <w:sz w:val="14"/>
              </w:rPr>
            </w:pPr>
            <w:r>
              <w:rPr>
                <w:w w:val="101"/>
                <w:sz w:val="14"/>
              </w:rPr>
              <w:t>-</w:t>
            </w:r>
          </w:p>
        </w:tc>
      </w:tr>
      <w:tr>
        <w:trPr>
          <w:trHeight w:val="186" w:hRule="exact"/>
        </w:trPr>
        <w:tc>
          <w:tcPr>
            <w:tcW w:w="1128" w:type="dxa"/>
            <w:tcBorders>
              <w:top w:val="nil"/>
              <w:bottom w:val="nil"/>
            </w:tcBorders>
          </w:tcPr>
          <w:p>
            <w:pPr>
              <w:pStyle w:val="TableParagraph"/>
              <w:spacing w:before="15"/>
              <w:ind w:left="54" w:right="54"/>
              <w:jc w:val="center"/>
              <w:rPr>
                <w:sz w:val="14"/>
              </w:rPr>
            </w:pPr>
            <w:r>
              <w:rPr>
                <w:sz w:val="14"/>
              </w:rPr>
              <w:t>2239010</w:t>
            </w:r>
          </w:p>
        </w:tc>
        <w:tc>
          <w:tcPr>
            <w:tcW w:w="2726" w:type="dxa"/>
            <w:tcBorders>
              <w:top w:val="nil"/>
              <w:bottom w:val="nil"/>
            </w:tcBorders>
          </w:tcPr>
          <w:p>
            <w:pPr>
              <w:pStyle w:val="TableParagraph"/>
              <w:spacing w:before="15"/>
              <w:ind w:left="17"/>
              <w:jc w:val="left"/>
              <w:rPr>
                <w:sz w:val="14"/>
              </w:rPr>
            </w:pPr>
            <w:r>
              <w:rPr>
                <w:sz w:val="14"/>
              </w:rPr>
              <w:t>M&amp;G LOGIST</w:t>
            </w:r>
          </w:p>
        </w:tc>
        <w:tc>
          <w:tcPr>
            <w:tcW w:w="1137" w:type="dxa"/>
            <w:tcBorders>
              <w:top w:val="nil"/>
              <w:bottom w:val="nil"/>
            </w:tcBorders>
          </w:tcPr>
          <w:p>
            <w:pPr>
              <w:pStyle w:val="TableParagraph"/>
              <w:spacing w:before="15"/>
              <w:ind w:right="65"/>
              <w:rPr>
                <w:sz w:val="14"/>
              </w:rPr>
            </w:pPr>
            <w:r>
              <w:rPr>
                <w:sz w:val="14"/>
              </w:rPr>
              <w:t>29.261</w:t>
            </w:r>
          </w:p>
        </w:tc>
        <w:tc>
          <w:tcPr>
            <w:tcW w:w="1136" w:type="dxa"/>
            <w:vMerge/>
          </w:tcPr>
          <w:p>
            <w:pPr/>
          </w:p>
        </w:tc>
        <w:tc>
          <w:tcPr>
            <w:tcW w:w="1137" w:type="dxa"/>
            <w:tcBorders>
              <w:top w:val="nil"/>
              <w:bottom w:val="nil"/>
            </w:tcBorders>
          </w:tcPr>
          <w:p>
            <w:pPr>
              <w:pStyle w:val="TableParagraph"/>
              <w:spacing w:before="15"/>
              <w:ind w:right="65"/>
              <w:rPr>
                <w:sz w:val="14"/>
              </w:rPr>
            </w:pPr>
            <w:r>
              <w:rPr>
                <w:sz w:val="14"/>
              </w:rPr>
              <w:t>29.261</w:t>
            </w:r>
          </w:p>
        </w:tc>
        <w:tc>
          <w:tcPr>
            <w:tcW w:w="1137" w:type="dxa"/>
            <w:tcBorders>
              <w:top w:val="nil"/>
              <w:bottom w:val="nil"/>
            </w:tcBorders>
          </w:tcPr>
          <w:p>
            <w:pPr/>
          </w:p>
        </w:tc>
        <w:tc>
          <w:tcPr>
            <w:tcW w:w="1021" w:type="dxa"/>
            <w:tcBorders>
              <w:top w:val="nil"/>
              <w:bottom w:val="nil"/>
            </w:tcBorders>
          </w:tcPr>
          <w:p>
            <w:pPr>
              <w:pStyle w:val="TableParagraph"/>
              <w:spacing w:before="15"/>
              <w:ind w:right="20"/>
              <w:rPr>
                <w:sz w:val="14"/>
              </w:rPr>
            </w:pPr>
            <w:r>
              <w:rPr>
                <w:sz w:val="14"/>
              </w:rPr>
              <w:t>(29.261)</w:t>
            </w:r>
          </w:p>
        </w:tc>
        <w:tc>
          <w:tcPr>
            <w:tcW w:w="1137" w:type="dxa"/>
            <w:tcBorders>
              <w:top w:val="nil"/>
              <w:bottom w:val="nil"/>
            </w:tcBorders>
          </w:tcPr>
          <w:p>
            <w:pPr>
              <w:pStyle w:val="TableParagraph"/>
              <w:spacing w:before="15"/>
              <w:ind w:right="202"/>
              <w:rPr>
                <w:sz w:val="14"/>
              </w:rPr>
            </w:pPr>
            <w:r>
              <w:rPr>
                <w:w w:val="101"/>
                <w:sz w:val="14"/>
              </w:rPr>
              <w:t>-</w:t>
            </w:r>
          </w:p>
        </w:tc>
      </w:tr>
      <w:tr>
        <w:trPr>
          <w:trHeight w:val="187" w:hRule="exact"/>
        </w:trPr>
        <w:tc>
          <w:tcPr>
            <w:tcW w:w="1128" w:type="dxa"/>
            <w:tcBorders>
              <w:top w:val="nil"/>
              <w:bottom w:val="nil"/>
            </w:tcBorders>
          </w:tcPr>
          <w:p>
            <w:pPr>
              <w:pStyle w:val="TableParagraph"/>
              <w:spacing w:before="15"/>
              <w:ind w:left="62" w:right="54"/>
              <w:jc w:val="center"/>
              <w:rPr>
                <w:sz w:val="14"/>
              </w:rPr>
            </w:pPr>
            <w:r>
              <w:rPr>
                <w:sz w:val="14"/>
              </w:rPr>
              <w:t>2239010-2239015</w:t>
            </w:r>
          </w:p>
        </w:tc>
        <w:tc>
          <w:tcPr>
            <w:tcW w:w="2726" w:type="dxa"/>
            <w:tcBorders>
              <w:top w:val="nil"/>
              <w:bottom w:val="nil"/>
            </w:tcBorders>
          </w:tcPr>
          <w:p>
            <w:pPr>
              <w:pStyle w:val="TableParagraph"/>
              <w:spacing w:before="15"/>
              <w:ind w:left="17"/>
              <w:jc w:val="left"/>
              <w:rPr>
                <w:sz w:val="14"/>
              </w:rPr>
            </w:pPr>
            <w:r>
              <w:rPr>
                <w:sz w:val="14"/>
              </w:rPr>
              <w:t>M&amp;G POLYMERS USA, LLC</w:t>
            </w:r>
          </w:p>
        </w:tc>
        <w:tc>
          <w:tcPr>
            <w:tcW w:w="1137" w:type="dxa"/>
            <w:tcBorders>
              <w:top w:val="nil"/>
              <w:bottom w:val="nil"/>
            </w:tcBorders>
          </w:tcPr>
          <w:p>
            <w:pPr>
              <w:pStyle w:val="TableParagraph"/>
              <w:spacing w:before="15"/>
              <w:ind w:right="65"/>
              <w:rPr>
                <w:sz w:val="14"/>
              </w:rPr>
            </w:pPr>
            <w:r>
              <w:rPr>
                <w:sz w:val="14"/>
              </w:rPr>
              <w:t>116.800</w:t>
            </w:r>
          </w:p>
        </w:tc>
        <w:tc>
          <w:tcPr>
            <w:tcW w:w="1136" w:type="dxa"/>
            <w:vMerge/>
          </w:tcPr>
          <w:p>
            <w:pPr/>
          </w:p>
        </w:tc>
        <w:tc>
          <w:tcPr>
            <w:tcW w:w="1137" w:type="dxa"/>
            <w:tcBorders>
              <w:top w:val="nil"/>
              <w:bottom w:val="nil"/>
            </w:tcBorders>
          </w:tcPr>
          <w:p>
            <w:pPr>
              <w:pStyle w:val="TableParagraph"/>
              <w:spacing w:before="15"/>
              <w:ind w:right="65"/>
              <w:rPr>
                <w:sz w:val="14"/>
              </w:rPr>
            </w:pPr>
            <w:r>
              <w:rPr>
                <w:sz w:val="14"/>
              </w:rPr>
              <w:t>116.800</w:t>
            </w:r>
          </w:p>
        </w:tc>
        <w:tc>
          <w:tcPr>
            <w:tcW w:w="1137" w:type="dxa"/>
            <w:tcBorders>
              <w:top w:val="nil"/>
              <w:bottom w:val="nil"/>
            </w:tcBorders>
          </w:tcPr>
          <w:p>
            <w:pPr/>
          </w:p>
        </w:tc>
        <w:tc>
          <w:tcPr>
            <w:tcW w:w="1021" w:type="dxa"/>
            <w:tcBorders>
              <w:top w:val="nil"/>
              <w:bottom w:val="nil"/>
            </w:tcBorders>
          </w:tcPr>
          <w:p>
            <w:pPr>
              <w:pStyle w:val="TableParagraph"/>
              <w:spacing w:before="15"/>
              <w:ind w:right="20"/>
              <w:rPr>
                <w:sz w:val="14"/>
              </w:rPr>
            </w:pPr>
            <w:r>
              <w:rPr>
                <w:sz w:val="14"/>
              </w:rPr>
              <w:t>(116.800)</w:t>
            </w:r>
          </w:p>
        </w:tc>
        <w:tc>
          <w:tcPr>
            <w:tcW w:w="1137" w:type="dxa"/>
            <w:tcBorders>
              <w:top w:val="nil"/>
              <w:bottom w:val="nil"/>
            </w:tcBorders>
          </w:tcPr>
          <w:p>
            <w:pPr>
              <w:pStyle w:val="TableParagraph"/>
              <w:spacing w:before="15"/>
              <w:ind w:right="202"/>
              <w:rPr>
                <w:sz w:val="14"/>
              </w:rPr>
            </w:pPr>
            <w:r>
              <w:rPr>
                <w:w w:val="101"/>
                <w:sz w:val="14"/>
              </w:rPr>
              <w:t>-</w:t>
            </w:r>
          </w:p>
        </w:tc>
      </w:tr>
      <w:tr>
        <w:trPr>
          <w:trHeight w:val="187" w:hRule="exact"/>
        </w:trPr>
        <w:tc>
          <w:tcPr>
            <w:tcW w:w="1128" w:type="dxa"/>
            <w:tcBorders>
              <w:top w:val="nil"/>
              <w:bottom w:val="nil"/>
            </w:tcBorders>
          </w:tcPr>
          <w:p>
            <w:pPr>
              <w:pStyle w:val="TableParagraph"/>
              <w:spacing w:before="15"/>
              <w:ind w:left="54" w:right="54"/>
              <w:jc w:val="center"/>
              <w:rPr>
                <w:sz w:val="14"/>
              </w:rPr>
            </w:pPr>
            <w:r>
              <w:rPr>
                <w:sz w:val="14"/>
              </w:rPr>
              <w:t>2239010</w:t>
            </w:r>
          </w:p>
        </w:tc>
        <w:tc>
          <w:tcPr>
            <w:tcW w:w="2726" w:type="dxa"/>
            <w:tcBorders>
              <w:top w:val="nil"/>
              <w:bottom w:val="nil"/>
            </w:tcBorders>
          </w:tcPr>
          <w:p>
            <w:pPr>
              <w:pStyle w:val="TableParagraph"/>
              <w:spacing w:before="15"/>
              <w:ind w:left="17"/>
              <w:jc w:val="left"/>
              <w:rPr>
                <w:sz w:val="14"/>
              </w:rPr>
            </w:pPr>
            <w:r>
              <w:rPr>
                <w:sz w:val="14"/>
              </w:rPr>
              <w:t>M&amp;G RESINS</w:t>
            </w:r>
          </w:p>
        </w:tc>
        <w:tc>
          <w:tcPr>
            <w:tcW w:w="1137" w:type="dxa"/>
            <w:tcBorders>
              <w:top w:val="nil"/>
              <w:bottom w:val="nil"/>
            </w:tcBorders>
          </w:tcPr>
          <w:p>
            <w:pPr>
              <w:pStyle w:val="TableParagraph"/>
              <w:spacing w:before="15"/>
              <w:ind w:right="65"/>
              <w:rPr>
                <w:sz w:val="14"/>
              </w:rPr>
            </w:pPr>
            <w:r>
              <w:rPr>
                <w:sz w:val="14"/>
              </w:rPr>
              <w:t>6.477</w:t>
            </w:r>
          </w:p>
        </w:tc>
        <w:tc>
          <w:tcPr>
            <w:tcW w:w="1136" w:type="dxa"/>
            <w:vMerge/>
          </w:tcPr>
          <w:p>
            <w:pPr/>
          </w:p>
        </w:tc>
        <w:tc>
          <w:tcPr>
            <w:tcW w:w="1137" w:type="dxa"/>
            <w:tcBorders>
              <w:top w:val="nil"/>
              <w:bottom w:val="nil"/>
            </w:tcBorders>
          </w:tcPr>
          <w:p>
            <w:pPr>
              <w:pStyle w:val="TableParagraph"/>
              <w:spacing w:before="15"/>
              <w:ind w:right="65"/>
              <w:rPr>
                <w:sz w:val="14"/>
              </w:rPr>
            </w:pPr>
            <w:r>
              <w:rPr>
                <w:sz w:val="14"/>
              </w:rPr>
              <w:t>6.477</w:t>
            </w:r>
          </w:p>
        </w:tc>
        <w:tc>
          <w:tcPr>
            <w:tcW w:w="1137" w:type="dxa"/>
            <w:tcBorders>
              <w:top w:val="nil"/>
              <w:bottom w:val="nil"/>
            </w:tcBorders>
          </w:tcPr>
          <w:p>
            <w:pPr/>
          </w:p>
        </w:tc>
        <w:tc>
          <w:tcPr>
            <w:tcW w:w="1021" w:type="dxa"/>
            <w:tcBorders>
              <w:top w:val="nil"/>
              <w:bottom w:val="nil"/>
            </w:tcBorders>
          </w:tcPr>
          <w:p>
            <w:pPr>
              <w:pStyle w:val="TableParagraph"/>
              <w:spacing w:before="15"/>
              <w:ind w:right="65"/>
              <w:rPr>
                <w:sz w:val="14"/>
              </w:rPr>
            </w:pPr>
            <w:r>
              <w:rPr>
                <w:sz w:val="14"/>
              </w:rPr>
              <w:t>12.691</w:t>
            </w:r>
          </w:p>
        </w:tc>
        <w:tc>
          <w:tcPr>
            <w:tcW w:w="1137" w:type="dxa"/>
            <w:tcBorders>
              <w:top w:val="nil"/>
              <w:bottom w:val="nil"/>
            </w:tcBorders>
          </w:tcPr>
          <w:p>
            <w:pPr>
              <w:pStyle w:val="TableParagraph"/>
              <w:spacing w:before="15"/>
              <w:ind w:right="65"/>
              <w:rPr>
                <w:sz w:val="14"/>
              </w:rPr>
            </w:pPr>
            <w:r>
              <w:rPr>
                <w:sz w:val="14"/>
              </w:rPr>
              <w:t>12.691</w:t>
            </w:r>
          </w:p>
        </w:tc>
      </w:tr>
      <w:tr>
        <w:trPr>
          <w:trHeight w:val="176" w:hRule="exact"/>
        </w:trPr>
        <w:tc>
          <w:tcPr>
            <w:tcW w:w="1128" w:type="dxa"/>
            <w:tcBorders>
              <w:top w:val="nil"/>
            </w:tcBorders>
          </w:tcPr>
          <w:p>
            <w:pPr>
              <w:pStyle w:val="TableParagraph"/>
              <w:spacing w:before="15"/>
              <w:ind w:left="62" w:right="54"/>
              <w:jc w:val="center"/>
              <w:rPr>
                <w:sz w:val="14"/>
              </w:rPr>
            </w:pPr>
            <w:r>
              <w:rPr>
                <w:sz w:val="14"/>
              </w:rPr>
              <w:t>2239010-2239015</w:t>
            </w:r>
          </w:p>
        </w:tc>
        <w:tc>
          <w:tcPr>
            <w:tcW w:w="2726" w:type="dxa"/>
            <w:tcBorders>
              <w:top w:val="nil"/>
            </w:tcBorders>
          </w:tcPr>
          <w:p>
            <w:pPr>
              <w:pStyle w:val="TableParagraph"/>
              <w:spacing w:before="15"/>
              <w:ind w:left="17"/>
              <w:jc w:val="left"/>
              <w:rPr>
                <w:sz w:val="14"/>
              </w:rPr>
            </w:pPr>
            <w:r>
              <w:rPr>
                <w:sz w:val="14"/>
              </w:rPr>
              <w:t>M&amp;g USA CO</w:t>
            </w:r>
          </w:p>
        </w:tc>
        <w:tc>
          <w:tcPr>
            <w:tcW w:w="1137" w:type="dxa"/>
            <w:tcBorders>
              <w:top w:val="nil"/>
            </w:tcBorders>
          </w:tcPr>
          <w:p>
            <w:pPr>
              <w:pStyle w:val="TableParagraph"/>
              <w:spacing w:before="15"/>
              <w:ind w:right="60"/>
              <w:rPr>
                <w:sz w:val="14"/>
              </w:rPr>
            </w:pPr>
            <w:r>
              <w:rPr>
                <w:sz w:val="14"/>
              </w:rPr>
              <w:t>847</w:t>
            </w:r>
          </w:p>
        </w:tc>
        <w:tc>
          <w:tcPr>
            <w:tcW w:w="1136" w:type="dxa"/>
            <w:vMerge/>
          </w:tcPr>
          <w:p>
            <w:pPr/>
          </w:p>
        </w:tc>
        <w:tc>
          <w:tcPr>
            <w:tcW w:w="1137" w:type="dxa"/>
            <w:tcBorders>
              <w:top w:val="nil"/>
            </w:tcBorders>
          </w:tcPr>
          <w:p>
            <w:pPr>
              <w:pStyle w:val="TableParagraph"/>
              <w:spacing w:before="15"/>
              <w:ind w:right="60"/>
              <w:rPr>
                <w:sz w:val="14"/>
              </w:rPr>
            </w:pPr>
            <w:r>
              <w:rPr>
                <w:sz w:val="14"/>
              </w:rPr>
              <w:t>847</w:t>
            </w:r>
          </w:p>
        </w:tc>
        <w:tc>
          <w:tcPr>
            <w:tcW w:w="1137" w:type="dxa"/>
            <w:tcBorders>
              <w:top w:val="nil"/>
            </w:tcBorders>
          </w:tcPr>
          <w:p>
            <w:pPr/>
          </w:p>
        </w:tc>
        <w:tc>
          <w:tcPr>
            <w:tcW w:w="1021" w:type="dxa"/>
            <w:tcBorders>
              <w:top w:val="nil"/>
            </w:tcBorders>
          </w:tcPr>
          <w:p>
            <w:pPr>
              <w:pStyle w:val="TableParagraph"/>
              <w:spacing w:before="15"/>
              <w:ind w:right="19"/>
              <w:rPr>
                <w:sz w:val="14"/>
              </w:rPr>
            </w:pPr>
            <w:r>
              <w:rPr>
                <w:sz w:val="14"/>
              </w:rPr>
              <w:t>(847)</w:t>
            </w:r>
          </w:p>
        </w:tc>
        <w:tc>
          <w:tcPr>
            <w:tcW w:w="1137" w:type="dxa"/>
            <w:tcBorders>
              <w:top w:val="nil"/>
            </w:tcBorders>
          </w:tcPr>
          <w:p>
            <w:pPr>
              <w:pStyle w:val="TableParagraph"/>
              <w:spacing w:before="15"/>
              <w:ind w:right="202"/>
              <w:rPr>
                <w:sz w:val="14"/>
              </w:rPr>
            </w:pPr>
            <w:r>
              <w:rPr>
                <w:w w:val="101"/>
                <w:sz w:val="14"/>
              </w:rPr>
              <w:t>-</w:t>
            </w:r>
          </w:p>
        </w:tc>
      </w:tr>
      <w:tr>
        <w:trPr>
          <w:trHeight w:val="186" w:hRule="exact"/>
        </w:trPr>
        <w:tc>
          <w:tcPr>
            <w:tcW w:w="3854" w:type="dxa"/>
            <w:gridSpan w:val="2"/>
            <w:shd w:val="clear" w:color="auto" w:fill="BEBEBE"/>
          </w:tcPr>
          <w:p>
            <w:pPr>
              <w:pStyle w:val="TableParagraph"/>
              <w:spacing w:before="21"/>
              <w:ind w:left="17"/>
              <w:jc w:val="left"/>
              <w:rPr>
                <w:b/>
                <w:sz w:val="14"/>
              </w:rPr>
            </w:pPr>
            <w:r>
              <w:rPr>
                <w:b/>
                <w:sz w:val="14"/>
              </w:rPr>
              <w:t>Totale  crediti Commerciali di Gruppo</w:t>
            </w:r>
          </w:p>
        </w:tc>
        <w:tc>
          <w:tcPr>
            <w:tcW w:w="1137" w:type="dxa"/>
            <w:shd w:val="clear" w:color="auto" w:fill="BEBEBE"/>
          </w:tcPr>
          <w:p>
            <w:pPr>
              <w:pStyle w:val="TableParagraph"/>
              <w:spacing w:before="21"/>
              <w:ind w:right="56"/>
              <w:rPr>
                <w:b/>
                <w:sz w:val="14"/>
              </w:rPr>
            </w:pPr>
            <w:r>
              <w:rPr>
                <w:b/>
                <w:sz w:val="14"/>
              </w:rPr>
              <w:t>36.975.565</w:t>
            </w:r>
          </w:p>
        </w:tc>
        <w:tc>
          <w:tcPr>
            <w:tcW w:w="1136" w:type="dxa"/>
            <w:shd w:val="clear" w:color="auto" w:fill="BEBEBE"/>
          </w:tcPr>
          <w:p>
            <w:pPr>
              <w:pStyle w:val="TableParagraph"/>
              <w:spacing w:before="21"/>
              <w:ind w:right="198"/>
              <w:rPr>
                <w:b/>
                <w:sz w:val="14"/>
              </w:rPr>
            </w:pPr>
            <w:r>
              <w:rPr>
                <w:b/>
                <w:w w:val="101"/>
                <w:sz w:val="14"/>
              </w:rPr>
              <w:t>-</w:t>
            </w:r>
          </w:p>
        </w:tc>
        <w:tc>
          <w:tcPr>
            <w:tcW w:w="1137" w:type="dxa"/>
            <w:shd w:val="clear" w:color="auto" w:fill="BEBEBE"/>
          </w:tcPr>
          <w:p>
            <w:pPr>
              <w:pStyle w:val="TableParagraph"/>
              <w:spacing w:before="21"/>
              <w:ind w:right="65"/>
              <w:rPr>
                <w:b/>
                <w:sz w:val="14"/>
              </w:rPr>
            </w:pPr>
            <w:r>
              <w:rPr>
                <w:b/>
                <w:sz w:val="14"/>
              </w:rPr>
              <w:t>36.975.565</w:t>
            </w:r>
          </w:p>
        </w:tc>
        <w:tc>
          <w:tcPr>
            <w:tcW w:w="1137" w:type="dxa"/>
            <w:shd w:val="clear" w:color="auto" w:fill="BEBEBE"/>
          </w:tcPr>
          <w:p>
            <w:pPr>
              <w:pStyle w:val="TableParagraph"/>
              <w:spacing w:before="21"/>
              <w:ind w:right="20"/>
              <w:rPr>
                <w:b/>
                <w:sz w:val="14"/>
              </w:rPr>
            </w:pPr>
            <w:r>
              <w:rPr>
                <w:b/>
                <w:sz w:val="14"/>
              </w:rPr>
              <w:t>(1.473.102)</w:t>
            </w:r>
          </w:p>
        </w:tc>
        <w:tc>
          <w:tcPr>
            <w:tcW w:w="1021" w:type="dxa"/>
            <w:shd w:val="clear" w:color="auto" w:fill="BEBEBE"/>
          </w:tcPr>
          <w:p>
            <w:pPr>
              <w:pStyle w:val="TableParagraph"/>
              <w:spacing w:before="21"/>
              <w:ind w:right="20"/>
              <w:rPr>
                <w:b/>
                <w:sz w:val="14"/>
              </w:rPr>
            </w:pPr>
            <w:r>
              <w:rPr>
                <w:b/>
                <w:sz w:val="14"/>
              </w:rPr>
              <w:t>(23.416.478)</w:t>
            </w:r>
          </w:p>
        </w:tc>
        <w:tc>
          <w:tcPr>
            <w:tcW w:w="1137" w:type="dxa"/>
            <w:shd w:val="clear" w:color="auto" w:fill="BEBEBE"/>
          </w:tcPr>
          <w:p>
            <w:pPr>
              <w:pStyle w:val="TableParagraph"/>
              <w:spacing w:before="21"/>
              <w:ind w:right="65"/>
              <w:rPr>
                <w:b/>
                <w:sz w:val="14"/>
              </w:rPr>
            </w:pPr>
            <w:r>
              <w:rPr>
                <w:b/>
                <w:sz w:val="14"/>
              </w:rPr>
              <w:t>12.079.508</w:t>
            </w:r>
          </w:p>
        </w:tc>
      </w:tr>
    </w:tbl>
    <w:p>
      <w:pPr>
        <w:pStyle w:val="BodyText"/>
        <w:spacing w:before="9"/>
        <w:rPr>
          <w:sz w:val="28"/>
        </w:rPr>
      </w:pPr>
    </w:p>
    <w:p>
      <w:pPr>
        <w:pStyle w:val="Heading2"/>
        <w:spacing w:before="100"/>
        <w:jc w:val="both"/>
      </w:pPr>
      <w:r>
        <w:rPr>
          <w:u w:val="single"/>
        </w:rPr>
        <w:t>Credito verso Beta renewables</w:t>
      </w:r>
    </w:p>
    <w:p>
      <w:pPr>
        <w:pStyle w:val="BodyText"/>
        <w:spacing w:before="10"/>
        <w:rPr>
          <w:b/>
          <w:sz w:val="23"/>
        </w:rPr>
      </w:pPr>
    </w:p>
    <w:p>
      <w:pPr>
        <w:pStyle w:val="BodyText"/>
        <w:spacing w:line="480" w:lineRule="auto" w:before="1"/>
        <w:ind w:left="1418" w:right="1412"/>
        <w:jc w:val="both"/>
      </w:pPr>
      <w:r>
        <w:rPr/>
        <w:t>Alla data del 15 ottobre 2017 il credito verso Beta Renewables ammonta ad Euro 26.892.840, di cui 8.211 per interessi, riferiti al ribaltamento di costi per servizi di ricerca e sviluppo. Gli scriventi riportano di seguito il riepilogo dei servizi fatturati e degli incassi ricevuti da Beta Renewables:</w:t>
      </w:r>
    </w:p>
    <w:tbl>
      <w:tblPr>
        <w:tblW w:w="0" w:type="auto"/>
        <w:jc w:val="left"/>
        <w:tblInd w:w="1419" w:type="dxa"/>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ayout w:type="fixed"/>
        <w:tblCellMar>
          <w:top w:w="0" w:type="dxa"/>
          <w:left w:w="0" w:type="dxa"/>
          <w:bottom w:w="0" w:type="dxa"/>
          <w:right w:w="0" w:type="dxa"/>
        </w:tblCellMar>
        <w:tblLook w:val="01E0"/>
      </w:tblPr>
      <w:tblGrid>
        <w:gridCol w:w="1954"/>
        <w:gridCol w:w="949"/>
        <w:gridCol w:w="891"/>
        <w:gridCol w:w="850"/>
        <w:gridCol w:w="891"/>
        <w:gridCol w:w="798"/>
        <w:gridCol w:w="808"/>
        <w:gridCol w:w="1068"/>
        <w:gridCol w:w="850"/>
      </w:tblGrid>
      <w:tr>
        <w:trPr>
          <w:trHeight w:val="207" w:hRule="exact"/>
        </w:trPr>
        <w:tc>
          <w:tcPr>
            <w:tcW w:w="1954" w:type="dxa"/>
            <w:tcBorders>
              <w:bottom w:val="single" w:sz="4" w:space="0" w:color="5B9BD4"/>
            </w:tcBorders>
          </w:tcPr>
          <w:p>
            <w:pPr/>
          </w:p>
        </w:tc>
        <w:tc>
          <w:tcPr>
            <w:tcW w:w="949" w:type="dxa"/>
            <w:tcBorders>
              <w:bottom w:val="single" w:sz="4" w:space="0" w:color="5B9BD4"/>
            </w:tcBorders>
          </w:tcPr>
          <w:p>
            <w:pPr/>
          </w:p>
        </w:tc>
        <w:tc>
          <w:tcPr>
            <w:tcW w:w="891" w:type="dxa"/>
            <w:tcBorders>
              <w:bottom w:val="single" w:sz="4" w:space="0" w:color="5B9BD4"/>
            </w:tcBorders>
          </w:tcPr>
          <w:p>
            <w:pPr/>
          </w:p>
        </w:tc>
        <w:tc>
          <w:tcPr>
            <w:tcW w:w="850" w:type="dxa"/>
            <w:tcBorders>
              <w:bottom w:val="single" w:sz="4" w:space="0" w:color="5B9BD4"/>
            </w:tcBorders>
          </w:tcPr>
          <w:p>
            <w:pPr/>
          </w:p>
        </w:tc>
        <w:tc>
          <w:tcPr>
            <w:tcW w:w="891" w:type="dxa"/>
            <w:tcBorders>
              <w:bottom w:val="single" w:sz="4" w:space="0" w:color="5B9BD4"/>
            </w:tcBorders>
          </w:tcPr>
          <w:p>
            <w:pPr/>
          </w:p>
        </w:tc>
        <w:tc>
          <w:tcPr>
            <w:tcW w:w="798" w:type="dxa"/>
            <w:tcBorders>
              <w:bottom w:val="single" w:sz="4" w:space="0" w:color="5B9BD4"/>
            </w:tcBorders>
          </w:tcPr>
          <w:p>
            <w:pPr/>
          </w:p>
        </w:tc>
        <w:tc>
          <w:tcPr>
            <w:tcW w:w="808" w:type="dxa"/>
            <w:tcBorders>
              <w:bottom w:val="single" w:sz="4" w:space="0" w:color="5B9BD4"/>
            </w:tcBorders>
          </w:tcPr>
          <w:p>
            <w:pPr/>
          </w:p>
        </w:tc>
        <w:tc>
          <w:tcPr>
            <w:tcW w:w="1068" w:type="dxa"/>
            <w:tcBorders>
              <w:bottom w:val="single" w:sz="4" w:space="0" w:color="5B9BD4"/>
            </w:tcBorders>
          </w:tcPr>
          <w:p>
            <w:pPr/>
          </w:p>
        </w:tc>
        <w:tc>
          <w:tcPr>
            <w:tcW w:w="850" w:type="dxa"/>
            <w:tcBorders>
              <w:bottom w:val="single" w:sz="4" w:space="0" w:color="5B9BD4"/>
            </w:tcBorders>
          </w:tcPr>
          <w:p>
            <w:pPr/>
          </w:p>
        </w:tc>
      </w:tr>
      <w:tr>
        <w:trPr>
          <w:trHeight w:val="212" w:hRule="exact"/>
        </w:trPr>
        <w:tc>
          <w:tcPr>
            <w:tcW w:w="1954" w:type="dxa"/>
            <w:tcBorders>
              <w:top w:val="single" w:sz="4" w:space="0" w:color="5B9BD4"/>
              <w:left w:val="single" w:sz="4" w:space="0" w:color="5B9BD4"/>
              <w:bottom w:val="single" w:sz="4" w:space="0" w:color="D3D3D3"/>
              <w:right w:val="single" w:sz="8" w:space="0" w:color="000000"/>
            </w:tcBorders>
          </w:tcPr>
          <w:p>
            <w:pPr/>
          </w:p>
        </w:tc>
        <w:tc>
          <w:tcPr>
            <w:tcW w:w="949" w:type="dxa"/>
            <w:tcBorders>
              <w:top w:val="single" w:sz="4" w:space="0" w:color="5B9BD4"/>
              <w:left w:val="single" w:sz="8" w:space="0" w:color="000000"/>
              <w:bottom w:val="single" w:sz="8" w:space="0" w:color="000000"/>
            </w:tcBorders>
          </w:tcPr>
          <w:p>
            <w:pPr>
              <w:pStyle w:val="TableParagraph"/>
              <w:spacing w:before="40"/>
              <w:ind w:right="19"/>
              <w:rPr>
                <w:rFonts w:ascii="Book Antiqua"/>
                <w:sz w:val="12"/>
              </w:rPr>
            </w:pPr>
            <w:r>
              <w:rPr>
                <w:rFonts w:ascii="Book Antiqua"/>
                <w:w w:val="105"/>
                <w:sz w:val="12"/>
              </w:rPr>
              <w:t>2011</w:t>
            </w:r>
          </w:p>
        </w:tc>
        <w:tc>
          <w:tcPr>
            <w:tcW w:w="891" w:type="dxa"/>
            <w:tcBorders>
              <w:top w:val="single" w:sz="4" w:space="0" w:color="5B9BD4"/>
              <w:bottom w:val="single" w:sz="8" w:space="0" w:color="000000"/>
            </w:tcBorders>
          </w:tcPr>
          <w:p>
            <w:pPr>
              <w:pStyle w:val="TableParagraph"/>
              <w:spacing w:before="40"/>
              <w:ind w:right="18"/>
              <w:rPr>
                <w:rFonts w:ascii="Book Antiqua"/>
                <w:sz w:val="12"/>
              </w:rPr>
            </w:pPr>
            <w:r>
              <w:rPr>
                <w:rFonts w:ascii="Book Antiqua"/>
                <w:w w:val="105"/>
                <w:sz w:val="12"/>
              </w:rPr>
              <w:t>2012</w:t>
            </w:r>
          </w:p>
        </w:tc>
        <w:tc>
          <w:tcPr>
            <w:tcW w:w="850" w:type="dxa"/>
            <w:tcBorders>
              <w:top w:val="single" w:sz="4" w:space="0" w:color="5B9BD4"/>
              <w:bottom w:val="single" w:sz="8" w:space="0" w:color="000000"/>
            </w:tcBorders>
          </w:tcPr>
          <w:p>
            <w:pPr>
              <w:pStyle w:val="TableParagraph"/>
              <w:spacing w:before="40"/>
              <w:ind w:right="19"/>
              <w:rPr>
                <w:rFonts w:ascii="Book Antiqua"/>
                <w:sz w:val="12"/>
              </w:rPr>
            </w:pPr>
            <w:r>
              <w:rPr>
                <w:rFonts w:ascii="Book Antiqua"/>
                <w:w w:val="105"/>
                <w:sz w:val="12"/>
              </w:rPr>
              <w:t>2013</w:t>
            </w:r>
          </w:p>
        </w:tc>
        <w:tc>
          <w:tcPr>
            <w:tcW w:w="891" w:type="dxa"/>
            <w:tcBorders>
              <w:top w:val="single" w:sz="4" w:space="0" w:color="5B9BD4"/>
              <w:bottom w:val="single" w:sz="8" w:space="0" w:color="000000"/>
            </w:tcBorders>
          </w:tcPr>
          <w:p>
            <w:pPr>
              <w:pStyle w:val="TableParagraph"/>
              <w:spacing w:before="40"/>
              <w:ind w:right="19"/>
              <w:rPr>
                <w:rFonts w:ascii="Book Antiqua"/>
                <w:sz w:val="12"/>
              </w:rPr>
            </w:pPr>
            <w:r>
              <w:rPr>
                <w:rFonts w:ascii="Book Antiqua"/>
                <w:w w:val="105"/>
                <w:sz w:val="12"/>
              </w:rPr>
              <w:t>2014</w:t>
            </w:r>
          </w:p>
        </w:tc>
        <w:tc>
          <w:tcPr>
            <w:tcW w:w="798" w:type="dxa"/>
            <w:tcBorders>
              <w:top w:val="single" w:sz="4" w:space="0" w:color="5B9BD4"/>
              <w:bottom w:val="single" w:sz="8" w:space="0" w:color="000000"/>
            </w:tcBorders>
          </w:tcPr>
          <w:p>
            <w:pPr>
              <w:pStyle w:val="TableParagraph"/>
              <w:spacing w:before="40"/>
              <w:ind w:right="19"/>
              <w:rPr>
                <w:rFonts w:ascii="Book Antiqua"/>
                <w:sz w:val="12"/>
              </w:rPr>
            </w:pPr>
            <w:r>
              <w:rPr>
                <w:rFonts w:ascii="Book Antiqua"/>
                <w:w w:val="105"/>
                <w:sz w:val="12"/>
              </w:rPr>
              <w:t>2015</w:t>
            </w:r>
          </w:p>
        </w:tc>
        <w:tc>
          <w:tcPr>
            <w:tcW w:w="808" w:type="dxa"/>
            <w:tcBorders>
              <w:top w:val="single" w:sz="4" w:space="0" w:color="5B9BD4"/>
              <w:bottom w:val="single" w:sz="8" w:space="0" w:color="000000"/>
            </w:tcBorders>
          </w:tcPr>
          <w:p>
            <w:pPr>
              <w:pStyle w:val="TableParagraph"/>
              <w:spacing w:before="40"/>
              <w:ind w:right="18"/>
              <w:rPr>
                <w:rFonts w:ascii="Book Antiqua"/>
                <w:sz w:val="12"/>
              </w:rPr>
            </w:pPr>
            <w:r>
              <w:rPr>
                <w:rFonts w:ascii="Book Antiqua"/>
                <w:w w:val="105"/>
                <w:sz w:val="12"/>
              </w:rPr>
              <w:t>2016</w:t>
            </w:r>
          </w:p>
        </w:tc>
        <w:tc>
          <w:tcPr>
            <w:tcW w:w="1068" w:type="dxa"/>
            <w:tcBorders>
              <w:top w:val="single" w:sz="4" w:space="0" w:color="5B9BD4"/>
              <w:bottom w:val="single" w:sz="8" w:space="0" w:color="000000"/>
              <w:right w:val="single" w:sz="8" w:space="0" w:color="000000"/>
            </w:tcBorders>
          </w:tcPr>
          <w:p>
            <w:pPr>
              <w:pStyle w:val="TableParagraph"/>
              <w:spacing w:before="40"/>
              <w:ind w:right="14"/>
              <w:rPr>
                <w:rFonts w:ascii="Book Antiqua"/>
                <w:sz w:val="12"/>
              </w:rPr>
            </w:pPr>
            <w:r>
              <w:rPr>
                <w:rFonts w:ascii="Book Antiqua"/>
                <w:sz w:val="12"/>
              </w:rPr>
              <w:t>15-ott-17</w:t>
            </w:r>
          </w:p>
        </w:tc>
        <w:tc>
          <w:tcPr>
            <w:tcW w:w="850" w:type="dxa"/>
            <w:tcBorders>
              <w:top w:val="single" w:sz="4" w:space="0" w:color="5B9BD4"/>
              <w:left w:val="single" w:sz="8" w:space="0" w:color="000000"/>
              <w:bottom w:val="single" w:sz="4" w:space="0" w:color="D3D3D3"/>
            </w:tcBorders>
          </w:tcPr>
          <w:p>
            <w:pPr>
              <w:pStyle w:val="TableParagraph"/>
              <w:spacing w:before="40"/>
              <w:ind w:left="254"/>
              <w:jc w:val="left"/>
              <w:rPr>
                <w:rFonts w:ascii="Book Antiqua"/>
                <w:sz w:val="12"/>
              </w:rPr>
            </w:pPr>
            <w:r>
              <w:rPr>
                <w:rFonts w:ascii="Book Antiqua"/>
                <w:w w:val="105"/>
                <w:sz w:val="12"/>
              </w:rPr>
              <w:t>totale</w:t>
            </w:r>
          </w:p>
        </w:tc>
      </w:tr>
      <w:tr>
        <w:trPr>
          <w:trHeight w:val="223" w:hRule="exact"/>
        </w:trPr>
        <w:tc>
          <w:tcPr>
            <w:tcW w:w="1954" w:type="dxa"/>
            <w:tcBorders>
              <w:top w:val="single" w:sz="4" w:space="0" w:color="D3D3D3"/>
              <w:left w:val="single" w:sz="4" w:space="0" w:color="5B9BD4"/>
            </w:tcBorders>
          </w:tcPr>
          <w:p>
            <w:pPr>
              <w:pStyle w:val="TableParagraph"/>
              <w:spacing w:before="47"/>
              <w:ind w:left="20"/>
              <w:jc w:val="left"/>
              <w:rPr>
                <w:rFonts w:ascii="Book Antiqua"/>
                <w:b/>
                <w:sz w:val="12"/>
              </w:rPr>
            </w:pPr>
            <w:r>
              <w:rPr>
                <w:rFonts w:ascii="Book Antiqua"/>
                <w:b/>
                <w:sz w:val="12"/>
              </w:rPr>
              <w:t>opening balance</w:t>
            </w:r>
          </w:p>
        </w:tc>
        <w:tc>
          <w:tcPr>
            <w:tcW w:w="949" w:type="dxa"/>
            <w:tcBorders>
              <w:top w:val="single" w:sz="8" w:space="0" w:color="000000"/>
            </w:tcBorders>
          </w:tcPr>
          <w:p>
            <w:pPr>
              <w:pStyle w:val="TableParagraph"/>
              <w:spacing w:before="40"/>
              <w:ind w:right="18"/>
              <w:rPr>
                <w:rFonts w:ascii="Book Antiqua"/>
                <w:sz w:val="12"/>
              </w:rPr>
            </w:pPr>
            <w:r>
              <w:rPr>
                <w:rFonts w:ascii="Book Antiqua"/>
                <w:w w:val="104"/>
                <w:sz w:val="12"/>
              </w:rPr>
              <w:t>0</w:t>
            </w:r>
          </w:p>
        </w:tc>
        <w:tc>
          <w:tcPr>
            <w:tcW w:w="891" w:type="dxa"/>
            <w:tcBorders>
              <w:top w:val="single" w:sz="8" w:space="0" w:color="000000"/>
            </w:tcBorders>
          </w:tcPr>
          <w:p>
            <w:pPr>
              <w:pStyle w:val="TableParagraph"/>
              <w:spacing w:before="40"/>
              <w:ind w:right="18"/>
              <w:rPr>
                <w:rFonts w:ascii="Book Antiqua"/>
                <w:sz w:val="12"/>
              </w:rPr>
            </w:pPr>
            <w:r>
              <w:rPr>
                <w:rFonts w:ascii="Book Antiqua"/>
                <w:w w:val="105"/>
                <w:sz w:val="12"/>
              </w:rPr>
              <w:t>1.389.788</w:t>
            </w:r>
          </w:p>
        </w:tc>
        <w:tc>
          <w:tcPr>
            <w:tcW w:w="850" w:type="dxa"/>
            <w:tcBorders>
              <w:top w:val="single" w:sz="8" w:space="0" w:color="000000"/>
            </w:tcBorders>
          </w:tcPr>
          <w:p>
            <w:pPr>
              <w:pStyle w:val="TableParagraph"/>
              <w:spacing w:before="40"/>
              <w:ind w:right="18"/>
              <w:rPr>
                <w:rFonts w:ascii="Book Antiqua"/>
                <w:sz w:val="12"/>
              </w:rPr>
            </w:pPr>
            <w:r>
              <w:rPr>
                <w:rFonts w:ascii="Book Antiqua"/>
                <w:w w:val="105"/>
                <w:sz w:val="12"/>
              </w:rPr>
              <w:t>1.539.015</w:t>
            </w:r>
          </w:p>
        </w:tc>
        <w:tc>
          <w:tcPr>
            <w:tcW w:w="891" w:type="dxa"/>
            <w:tcBorders>
              <w:top w:val="single" w:sz="8" w:space="0" w:color="000000"/>
            </w:tcBorders>
          </w:tcPr>
          <w:p>
            <w:pPr>
              <w:pStyle w:val="TableParagraph"/>
              <w:spacing w:before="40"/>
              <w:ind w:right="19"/>
              <w:rPr>
                <w:rFonts w:ascii="Book Antiqua"/>
                <w:sz w:val="12"/>
              </w:rPr>
            </w:pPr>
            <w:r>
              <w:rPr>
                <w:rFonts w:ascii="Book Antiqua"/>
                <w:w w:val="105"/>
                <w:sz w:val="12"/>
              </w:rPr>
              <w:t>9.097.765</w:t>
            </w:r>
          </w:p>
        </w:tc>
        <w:tc>
          <w:tcPr>
            <w:tcW w:w="798" w:type="dxa"/>
            <w:tcBorders>
              <w:top w:val="single" w:sz="8" w:space="0" w:color="000000"/>
            </w:tcBorders>
          </w:tcPr>
          <w:p>
            <w:pPr>
              <w:pStyle w:val="TableParagraph"/>
              <w:spacing w:before="40"/>
              <w:ind w:right="18"/>
              <w:rPr>
                <w:rFonts w:ascii="Book Antiqua"/>
                <w:sz w:val="12"/>
              </w:rPr>
            </w:pPr>
            <w:r>
              <w:rPr>
                <w:rFonts w:ascii="Book Antiqua"/>
                <w:w w:val="105"/>
                <w:sz w:val="12"/>
              </w:rPr>
              <w:t>16.448.629</w:t>
            </w:r>
          </w:p>
        </w:tc>
        <w:tc>
          <w:tcPr>
            <w:tcW w:w="808" w:type="dxa"/>
            <w:tcBorders>
              <w:top w:val="single" w:sz="8" w:space="0" w:color="000000"/>
            </w:tcBorders>
          </w:tcPr>
          <w:p>
            <w:pPr>
              <w:pStyle w:val="TableParagraph"/>
              <w:spacing w:before="40"/>
              <w:ind w:right="18"/>
              <w:rPr>
                <w:rFonts w:ascii="Book Antiqua"/>
                <w:sz w:val="12"/>
              </w:rPr>
            </w:pPr>
            <w:r>
              <w:rPr>
                <w:rFonts w:ascii="Book Antiqua"/>
                <w:w w:val="105"/>
                <w:sz w:val="12"/>
              </w:rPr>
              <w:t>20.727.635</w:t>
            </w:r>
          </w:p>
        </w:tc>
        <w:tc>
          <w:tcPr>
            <w:tcW w:w="1068" w:type="dxa"/>
            <w:tcBorders>
              <w:top w:val="single" w:sz="8" w:space="0" w:color="000000"/>
            </w:tcBorders>
          </w:tcPr>
          <w:p>
            <w:pPr>
              <w:pStyle w:val="TableParagraph"/>
              <w:spacing w:before="40"/>
              <w:ind w:right="18"/>
              <w:rPr>
                <w:rFonts w:ascii="Book Antiqua"/>
                <w:sz w:val="12"/>
              </w:rPr>
            </w:pPr>
            <w:r>
              <w:rPr>
                <w:rFonts w:ascii="Book Antiqua"/>
                <w:w w:val="105"/>
                <w:sz w:val="12"/>
              </w:rPr>
              <w:t>22.755.462</w:t>
            </w:r>
          </w:p>
        </w:tc>
        <w:tc>
          <w:tcPr>
            <w:tcW w:w="850" w:type="dxa"/>
            <w:tcBorders>
              <w:top w:val="single" w:sz="4" w:space="0" w:color="D3D3D3"/>
            </w:tcBorders>
          </w:tcPr>
          <w:p>
            <w:pPr/>
          </w:p>
        </w:tc>
      </w:tr>
      <w:tr>
        <w:trPr>
          <w:trHeight w:val="207" w:hRule="exact"/>
        </w:trPr>
        <w:tc>
          <w:tcPr>
            <w:tcW w:w="1954" w:type="dxa"/>
            <w:tcBorders>
              <w:left w:val="single" w:sz="4" w:space="0" w:color="5B9BD4"/>
            </w:tcBorders>
          </w:tcPr>
          <w:p>
            <w:pPr>
              <w:pStyle w:val="TableParagraph"/>
              <w:spacing w:before="41"/>
              <w:ind w:left="20"/>
              <w:jc w:val="left"/>
              <w:rPr>
                <w:rFonts w:ascii="Calibri"/>
                <w:sz w:val="12"/>
              </w:rPr>
            </w:pPr>
            <w:r>
              <w:rPr>
                <w:rFonts w:ascii="Calibri"/>
                <w:w w:val="105"/>
                <w:sz w:val="12"/>
              </w:rPr>
              <w:t>R&amp;D services</w:t>
            </w:r>
          </w:p>
        </w:tc>
        <w:tc>
          <w:tcPr>
            <w:tcW w:w="949" w:type="dxa"/>
          </w:tcPr>
          <w:p>
            <w:pPr>
              <w:pStyle w:val="TableParagraph"/>
              <w:spacing w:before="40"/>
              <w:ind w:right="19"/>
              <w:rPr>
                <w:rFonts w:ascii="Book Antiqua"/>
                <w:sz w:val="12"/>
              </w:rPr>
            </w:pPr>
            <w:r>
              <w:rPr>
                <w:rFonts w:ascii="Book Antiqua"/>
                <w:w w:val="105"/>
                <w:sz w:val="12"/>
              </w:rPr>
              <w:t>1.389.788</w:t>
            </w:r>
          </w:p>
        </w:tc>
        <w:tc>
          <w:tcPr>
            <w:tcW w:w="891" w:type="dxa"/>
          </w:tcPr>
          <w:p>
            <w:pPr>
              <w:pStyle w:val="TableParagraph"/>
              <w:spacing w:before="40"/>
              <w:ind w:right="18"/>
              <w:rPr>
                <w:rFonts w:ascii="Book Antiqua"/>
                <w:sz w:val="12"/>
              </w:rPr>
            </w:pPr>
            <w:r>
              <w:rPr>
                <w:rFonts w:ascii="Book Antiqua"/>
                <w:w w:val="105"/>
                <w:sz w:val="12"/>
              </w:rPr>
              <w:t>7.831.893</w:t>
            </w:r>
          </w:p>
        </w:tc>
        <w:tc>
          <w:tcPr>
            <w:tcW w:w="850" w:type="dxa"/>
          </w:tcPr>
          <w:p>
            <w:pPr>
              <w:pStyle w:val="TableParagraph"/>
              <w:spacing w:before="40"/>
              <w:ind w:right="18"/>
              <w:rPr>
                <w:rFonts w:ascii="Book Antiqua"/>
                <w:sz w:val="12"/>
              </w:rPr>
            </w:pPr>
            <w:r>
              <w:rPr>
                <w:rFonts w:ascii="Book Antiqua"/>
                <w:w w:val="105"/>
                <w:sz w:val="12"/>
              </w:rPr>
              <w:t>8.062.405</w:t>
            </w:r>
          </w:p>
        </w:tc>
        <w:tc>
          <w:tcPr>
            <w:tcW w:w="891" w:type="dxa"/>
          </w:tcPr>
          <w:p>
            <w:pPr>
              <w:pStyle w:val="TableParagraph"/>
              <w:spacing w:before="40"/>
              <w:ind w:right="19"/>
              <w:rPr>
                <w:rFonts w:ascii="Book Antiqua"/>
                <w:sz w:val="12"/>
              </w:rPr>
            </w:pPr>
            <w:r>
              <w:rPr>
                <w:rFonts w:ascii="Book Antiqua"/>
                <w:w w:val="105"/>
                <w:sz w:val="12"/>
              </w:rPr>
              <w:t>7.411.864</w:t>
            </w:r>
          </w:p>
        </w:tc>
        <w:tc>
          <w:tcPr>
            <w:tcW w:w="798" w:type="dxa"/>
          </w:tcPr>
          <w:p>
            <w:pPr>
              <w:pStyle w:val="TableParagraph"/>
              <w:spacing w:before="40"/>
              <w:ind w:right="19"/>
              <w:rPr>
                <w:rFonts w:ascii="Book Antiqua"/>
                <w:sz w:val="12"/>
              </w:rPr>
            </w:pPr>
            <w:r>
              <w:rPr>
                <w:rFonts w:ascii="Book Antiqua"/>
                <w:w w:val="105"/>
                <w:sz w:val="12"/>
              </w:rPr>
              <w:t>9.776.835</w:t>
            </w:r>
          </w:p>
        </w:tc>
        <w:tc>
          <w:tcPr>
            <w:tcW w:w="808" w:type="dxa"/>
          </w:tcPr>
          <w:p>
            <w:pPr>
              <w:pStyle w:val="TableParagraph"/>
              <w:spacing w:before="40"/>
              <w:ind w:right="18"/>
              <w:rPr>
                <w:rFonts w:ascii="Book Antiqua"/>
                <w:sz w:val="12"/>
              </w:rPr>
            </w:pPr>
            <w:r>
              <w:rPr>
                <w:rFonts w:ascii="Book Antiqua"/>
                <w:w w:val="105"/>
                <w:sz w:val="12"/>
              </w:rPr>
              <w:t>9.760.000</w:t>
            </w:r>
          </w:p>
        </w:tc>
        <w:tc>
          <w:tcPr>
            <w:tcW w:w="1068" w:type="dxa"/>
          </w:tcPr>
          <w:p>
            <w:pPr>
              <w:pStyle w:val="TableParagraph"/>
              <w:spacing w:before="40"/>
              <w:ind w:right="19"/>
              <w:rPr>
                <w:rFonts w:ascii="Book Antiqua"/>
                <w:sz w:val="12"/>
              </w:rPr>
            </w:pPr>
            <w:r>
              <w:rPr>
                <w:rFonts w:ascii="Book Antiqua"/>
                <w:w w:val="105"/>
                <w:sz w:val="12"/>
              </w:rPr>
              <w:t>4.829.167</w:t>
            </w:r>
          </w:p>
        </w:tc>
        <w:tc>
          <w:tcPr>
            <w:tcW w:w="850" w:type="dxa"/>
          </w:tcPr>
          <w:p>
            <w:pPr>
              <w:pStyle w:val="TableParagraph"/>
              <w:spacing w:before="40"/>
              <w:ind w:right="18"/>
              <w:rPr>
                <w:rFonts w:ascii="Book Antiqua"/>
                <w:sz w:val="12"/>
              </w:rPr>
            </w:pPr>
            <w:r>
              <w:rPr>
                <w:rFonts w:ascii="Book Antiqua"/>
                <w:w w:val="105"/>
                <w:sz w:val="12"/>
              </w:rPr>
              <w:t>49.061.952</w:t>
            </w:r>
          </w:p>
        </w:tc>
      </w:tr>
      <w:tr>
        <w:trPr>
          <w:trHeight w:val="213" w:hRule="exact"/>
        </w:trPr>
        <w:tc>
          <w:tcPr>
            <w:tcW w:w="1954" w:type="dxa"/>
            <w:tcBorders>
              <w:left w:val="single" w:sz="4" w:space="0" w:color="5B9BD4"/>
            </w:tcBorders>
          </w:tcPr>
          <w:p>
            <w:pPr>
              <w:pStyle w:val="TableParagraph"/>
              <w:spacing w:before="41"/>
              <w:ind w:left="20"/>
              <w:jc w:val="left"/>
              <w:rPr>
                <w:rFonts w:ascii="Calibri"/>
                <w:sz w:val="12"/>
              </w:rPr>
            </w:pPr>
            <w:r>
              <w:rPr>
                <w:rFonts w:ascii="Calibri"/>
                <w:w w:val="105"/>
                <w:sz w:val="12"/>
              </w:rPr>
              <w:t>Process Design pack services</w:t>
            </w:r>
          </w:p>
        </w:tc>
        <w:tc>
          <w:tcPr>
            <w:tcW w:w="949" w:type="dxa"/>
            <w:tcBorders>
              <w:bottom w:val="single" w:sz="8" w:space="0" w:color="000000"/>
            </w:tcBorders>
          </w:tcPr>
          <w:p>
            <w:pPr/>
          </w:p>
        </w:tc>
        <w:tc>
          <w:tcPr>
            <w:tcW w:w="891" w:type="dxa"/>
            <w:tcBorders>
              <w:bottom w:val="single" w:sz="8" w:space="0" w:color="000000"/>
            </w:tcBorders>
          </w:tcPr>
          <w:p>
            <w:pPr/>
          </w:p>
        </w:tc>
        <w:tc>
          <w:tcPr>
            <w:tcW w:w="850" w:type="dxa"/>
            <w:tcBorders>
              <w:bottom w:val="single" w:sz="8" w:space="0" w:color="000000"/>
            </w:tcBorders>
          </w:tcPr>
          <w:p>
            <w:pPr/>
          </w:p>
        </w:tc>
        <w:tc>
          <w:tcPr>
            <w:tcW w:w="891" w:type="dxa"/>
            <w:tcBorders>
              <w:bottom w:val="single" w:sz="8" w:space="0" w:color="000000"/>
            </w:tcBorders>
          </w:tcPr>
          <w:p>
            <w:pPr/>
          </w:p>
        </w:tc>
        <w:tc>
          <w:tcPr>
            <w:tcW w:w="798" w:type="dxa"/>
            <w:tcBorders>
              <w:bottom w:val="single" w:sz="8" w:space="0" w:color="000000"/>
            </w:tcBorders>
          </w:tcPr>
          <w:p>
            <w:pPr>
              <w:pStyle w:val="TableParagraph"/>
              <w:spacing w:before="40"/>
              <w:ind w:right="19"/>
              <w:rPr>
                <w:rFonts w:ascii="Book Antiqua"/>
                <w:sz w:val="12"/>
              </w:rPr>
            </w:pPr>
            <w:r>
              <w:rPr>
                <w:rFonts w:ascii="Book Antiqua"/>
                <w:w w:val="105"/>
                <w:sz w:val="12"/>
              </w:rPr>
              <w:t>2.000.800</w:t>
            </w:r>
          </w:p>
        </w:tc>
        <w:tc>
          <w:tcPr>
            <w:tcW w:w="808" w:type="dxa"/>
            <w:tcBorders>
              <w:bottom w:val="single" w:sz="8" w:space="0" w:color="000000"/>
            </w:tcBorders>
          </w:tcPr>
          <w:p>
            <w:pPr>
              <w:pStyle w:val="TableParagraph"/>
              <w:spacing w:before="40"/>
              <w:ind w:right="18"/>
              <w:rPr>
                <w:rFonts w:ascii="Book Antiqua"/>
                <w:sz w:val="12"/>
              </w:rPr>
            </w:pPr>
            <w:r>
              <w:rPr>
                <w:rFonts w:ascii="Book Antiqua"/>
                <w:w w:val="105"/>
                <w:sz w:val="12"/>
              </w:rPr>
              <w:t>300.000</w:t>
            </w:r>
          </w:p>
        </w:tc>
        <w:tc>
          <w:tcPr>
            <w:tcW w:w="1068" w:type="dxa"/>
            <w:tcBorders>
              <w:bottom w:val="single" w:sz="8" w:space="0" w:color="000000"/>
            </w:tcBorders>
          </w:tcPr>
          <w:p>
            <w:pPr/>
          </w:p>
        </w:tc>
        <w:tc>
          <w:tcPr>
            <w:tcW w:w="850" w:type="dxa"/>
            <w:tcBorders>
              <w:bottom w:val="single" w:sz="8" w:space="0" w:color="000000"/>
            </w:tcBorders>
          </w:tcPr>
          <w:p>
            <w:pPr>
              <w:pStyle w:val="TableParagraph"/>
              <w:spacing w:before="40"/>
              <w:ind w:right="19"/>
              <w:rPr>
                <w:rFonts w:ascii="Book Antiqua"/>
                <w:sz w:val="12"/>
              </w:rPr>
            </w:pPr>
            <w:r>
              <w:rPr>
                <w:rFonts w:ascii="Book Antiqua"/>
                <w:sz w:val="12"/>
              </w:rPr>
              <w:t>2300800</w:t>
            </w:r>
          </w:p>
        </w:tc>
      </w:tr>
      <w:tr>
        <w:trPr>
          <w:trHeight w:val="218" w:hRule="exact"/>
        </w:trPr>
        <w:tc>
          <w:tcPr>
            <w:tcW w:w="1954" w:type="dxa"/>
            <w:tcBorders>
              <w:left w:val="single" w:sz="4" w:space="0" w:color="5B9BD4"/>
              <w:right w:val="single" w:sz="8" w:space="0" w:color="000000"/>
            </w:tcBorders>
          </w:tcPr>
          <w:p>
            <w:pPr>
              <w:pStyle w:val="TableParagraph"/>
              <w:spacing w:before="46"/>
              <w:ind w:left="20"/>
              <w:jc w:val="left"/>
              <w:rPr>
                <w:rFonts w:ascii="Calibri"/>
                <w:b/>
                <w:sz w:val="12"/>
              </w:rPr>
            </w:pPr>
            <w:r>
              <w:rPr>
                <w:rFonts w:ascii="Calibri"/>
                <w:b/>
                <w:w w:val="105"/>
                <w:sz w:val="12"/>
              </w:rPr>
              <w:t>Totale servizi fatturati</w:t>
            </w:r>
          </w:p>
        </w:tc>
        <w:tc>
          <w:tcPr>
            <w:tcW w:w="949" w:type="dxa"/>
            <w:tcBorders>
              <w:top w:val="single" w:sz="8" w:space="0" w:color="000000"/>
              <w:left w:val="single" w:sz="8" w:space="0" w:color="000000"/>
              <w:bottom w:val="single" w:sz="8" w:space="0" w:color="000000"/>
            </w:tcBorders>
          </w:tcPr>
          <w:p>
            <w:pPr>
              <w:pStyle w:val="TableParagraph"/>
              <w:spacing w:before="40"/>
              <w:ind w:right="19"/>
              <w:rPr>
                <w:rFonts w:ascii="Book Antiqua"/>
                <w:sz w:val="12"/>
              </w:rPr>
            </w:pPr>
            <w:r>
              <w:rPr>
                <w:rFonts w:ascii="Book Antiqua"/>
                <w:w w:val="105"/>
                <w:sz w:val="12"/>
              </w:rPr>
              <w:t>1.389.788</w:t>
            </w:r>
          </w:p>
        </w:tc>
        <w:tc>
          <w:tcPr>
            <w:tcW w:w="891" w:type="dxa"/>
            <w:tcBorders>
              <w:top w:val="single" w:sz="8" w:space="0" w:color="000000"/>
              <w:bottom w:val="single" w:sz="8" w:space="0" w:color="000000"/>
            </w:tcBorders>
          </w:tcPr>
          <w:p>
            <w:pPr>
              <w:pStyle w:val="TableParagraph"/>
              <w:spacing w:before="40"/>
              <w:ind w:right="18"/>
              <w:rPr>
                <w:rFonts w:ascii="Book Antiqua"/>
                <w:sz w:val="12"/>
              </w:rPr>
            </w:pPr>
            <w:r>
              <w:rPr>
                <w:rFonts w:ascii="Book Antiqua"/>
                <w:w w:val="105"/>
                <w:sz w:val="12"/>
              </w:rPr>
              <w:t>7.831.893</w:t>
            </w:r>
          </w:p>
        </w:tc>
        <w:tc>
          <w:tcPr>
            <w:tcW w:w="850" w:type="dxa"/>
            <w:tcBorders>
              <w:top w:val="single" w:sz="8" w:space="0" w:color="000000"/>
              <w:bottom w:val="single" w:sz="8" w:space="0" w:color="000000"/>
            </w:tcBorders>
          </w:tcPr>
          <w:p>
            <w:pPr>
              <w:pStyle w:val="TableParagraph"/>
              <w:spacing w:before="40"/>
              <w:ind w:right="19"/>
              <w:rPr>
                <w:rFonts w:ascii="Book Antiqua"/>
                <w:sz w:val="12"/>
              </w:rPr>
            </w:pPr>
            <w:r>
              <w:rPr>
                <w:rFonts w:ascii="Book Antiqua"/>
                <w:sz w:val="12"/>
              </w:rPr>
              <w:t>8062405</w:t>
            </w:r>
          </w:p>
        </w:tc>
        <w:tc>
          <w:tcPr>
            <w:tcW w:w="891" w:type="dxa"/>
            <w:tcBorders>
              <w:top w:val="single" w:sz="8" w:space="0" w:color="000000"/>
              <w:bottom w:val="single" w:sz="8" w:space="0" w:color="000000"/>
            </w:tcBorders>
          </w:tcPr>
          <w:p>
            <w:pPr>
              <w:pStyle w:val="TableParagraph"/>
              <w:spacing w:before="40"/>
              <w:ind w:right="19"/>
              <w:rPr>
                <w:rFonts w:ascii="Book Antiqua"/>
                <w:sz w:val="12"/>
              </w:rPr>
            </w:pPr>
            <w:r>
              <w:rPr>
                <w:rFonts w:ascii="Book Antiqua"/>
                <w:sz w:val="12"/>
              </w:rPr>
              <w:t>7411864</w:t>
            </w:r>
          </w:p>
        </w:tc>
        <w:tc>
          <w:tcPr>
            <w:tcW w:w="798" w:type="dxa"/>
            <w:tcBorders>
              <w:top w:val="single" w:sz="8" w:space="0" w:color="000000"/>
              <w:bottom w:val="single" w:sz="8" w:space="0" w:color="000000"/>
            </w:tcBorders>
          </w:tcPr>
          <w:p>
            <w:pPr>
              <w:pStyle w:val="TableParagraph"/>
              <w:spacing w:before="40"/>
              <w:ind w:right="18"/>
              <w:rPr>
                <w:rFonts w:ascii="Book Antiqua"/>
                <w:sz w:val="12"/>
              </w:rPr>
            </w:pPr>
            <w:r>
              <w:rPr>
                <w:rFonts w:ascii="Book Antiqua"/>
                <w:w w:val="105"/>
                <w:sz w:val="12"/>
              </w:rPr>
              <w:t>11.777.635</w:t>
            </w:r>
          </w:p>
        </w:tc>
        <w:tc>
          <w:tcPr>
            <w:tcW w:w="808" w:type="dxa"/>
            <w:tcBorders>
              <w:top w:val="single" w:sz="8" w:space="0" w:color="000000"/>
              <w:bottom w:val="single" w:sz="8" w:space="0" w:color="000000"/>
            </w:tcBorders>
          </w:tcPr>
          <w:p>
            <w:pPr>
              <w:pStyle w:val="TableParagraph"/>
              <w:spacing w:before="40"/>
              <w:ind w:right="18"/>
              <w:rPr>
                <w:rFonts w:ascii="Book Antiqua"/>
                <w:sz w:val="12"/>
              </w:rPr>
            </w:pPr>
            <w:r>
              <w:rPr>
                <w:rFonts w:ascii="Book Antiqua"/>
                <w:w w:val="105"/>
                <w:sz w:val="12"/>
              </w:rPr>
              <w:t>10.060.000</w:t>
            </w:r>
          </w:p>
        </w:tc>
        <w:tc>
          <w:tcPr>
            <w:tcW w:w="1068" w:type="dxa"/>
            <w:tcBorders>
              <w:top w:val="single" w:sz="8" w:space="0" w:color="000000"/>
              <w:bottom w:val="single" w:sz="8" w:space="0" w:color="000000"/>
            </w:tcBorders>
          </w:tcPr>
          <w:p>
            <w:pPr>
              <w:pStyle w:val="TableParagraph"/>
              <w:spacing w:before="40"/>
              <w:ind w:right="19"/>
              <w:rPr>
                <w:rFonts w:ascii="Book Antiqua"/>
                <w:sz w:val="12"/>
              </w:rPr>
            </w:pPr>
            <w:r>
              <w:rPr>
                <w:rFonts w:ascii="Book Antiqua"/>
                <w:sz w:val="12"/>
              </w:rPr>
              <w:t>4829167</w:t>
            </w:r>
          </w:p>
        </w:tc>
        <w:tc>
          <w:tcPr>
            <w:tcW w:w="850" w:type="dxa"/>
            <w:tcBorders>
              <w:top w:val="single" w:sz="8" w:space="0" w:color="000000"/>
              <w:bottom w:val="single" w:sz="8" w:space="0" w:color="000000"/>
              <w:right w:val="single" w:sz="8" w:space="0" w:color="000000"/>
            </w:tcBorders>
          </w:tcPr>
          <w:p>
            <w:pPr>
              <w:pStyle w:val="TableParagraph"/>
              <w:spacing w:before="40"/>
              <w:ind w:right="13"/>
              <w:rPr>
                <w:rFonts w:ascii="Book Antiqua"/>
                <w:sz w:val="12"/>
              </w:rPr>
            </w:pPr>
            <w:r>
              <w:rPr>
                <w:rFonts w:ascii="Book Antiqua"/>
                <w:w w:val="105"/>
                <w:sz w:val="12"/>
              </w:rPr>
              <w:t>51.362.752</w:t>
            </w:r>
          </w:p>
        </w:tc>
      </w:tr>
      <w:tr>
        <w:trPr>
          <w:trHeight w:val="212" w:hRule="exact"/>
        </w:trPr>
        <w:tc>
          <w:tcPr>
            <w:tcW w:w="1954" w:type="dxa"/>
            <w:tcBorders>
              <w:left w:val="single" w:sz="4" w:space="0" w:color="5B9BD4"/>
            </w:tcBorders>
          </w:tcPr>
          <w:p>
            <w:pPr>
              <w:pStyle w:val="TableParagraph"/>
              <w:spacing w:before="46"/>
              <w:ind w:left="20"/>
              <w:jc w:val="left"/>
              <w:rPr>
                <w:rFonts w:ascii="Calibri"/>
                <w:sz w:val="12"/>
              </w:rPr>
            </w:pPr>
            <w:r>
              <w:rPr>
                <w:rFonts w:ascii="Calibri"/>
                <w:w w:val="105"/>
                <w:sz w:val="12"/>
              </w:rPr>
              <w:t>pagamenti</w:t>
            </w:r>
          </w:p>
        </w:tc>
        <w:tc>
          <w:tcPr>
            <w:tcW w:w="949" w:type="dxa"/>
            <w:tcBorders>
              <w:top w:val="single" w:sz="8" w:space="0" w:color="000000"/>
            </w:tcBorders>
          </w:tcPr>
          <w:p>
            <w:pPr/>
          </w:p>
        </w:tc>
        <w:tc>
          <w:tcPr>
            <w:tcW w:w="891" w:type="dxa"/>
            <w:tcBorders>
              <w:top w:val="single" w:sz="8" w:space="0" w:color="000000"/>
            </w:tcBorders>
          </w:tcPr>
          <w:p>
            <w:pPr>
              <w:pStyle w:val="TableParagraph"/>
              <w:spacing w:before="40"/>
              <w:ind w:right="18"/>
              <w:rPr>
                <w:rFonts w:ascii="Book Antiqua"/>
                <w:sz w:val="12"/>
              </w:rPr>
            </w:pPr>
            <w:r>
              <w:rPr>
                <w:rFonts w:ascii="Book Antiqua"/>
                <w:w w:val="105"/>
                <w:sz w:val="12"/>
              </w:rPr>
              <w:t>-7.682.667</w:t>
            </w:r>
          </w:p>
        </w:tc>
        <w:tc>
          <w:tcPr>
            <w:tcW w:w="850" w:type="dxa"/>
            <w:tcBorders>
              <w:top w:val="single" w:sz="8" w:space="0" w:color="000000"/>
            </w:tcBorders>
          </w:tcPr>
          <w:p>
            <w:pPr>
              <w:pStyle w:val="TableParagraph"/>
              <w:spacing w:before="40"/>
              <w:ind w:right="18"/>
              <w:rPr>
                <w:rFonts w:ascii="Book Antiqua"/>
                <w:sz w:val="12"/>
              </w:rPr>
            </w:pPr>
            <w:r>
              <w:rPr>
                <w:rFonts w:ascii="Book Antiqua"/>
                <w:w w:val="105"/>
                <w:sz w:val="12"/>
              </w:rPr>
              <w:t>-503.654</w:t>
            </w:r>
          </w:p>
        </w:tc>
        <w:tc>
          <w:tcPr>
            <w:tcW w:w="891" w:type="dxa"/>
            <w:tcBorders>
              <w:top w:val="single" w:sz="8" w:space="0" w:color="000000"/>
            </w:tcBorders>
          </w:tcPr>
          <w:p>
            <w:pPr>
              <w:pStyle w:val="TableParagraph"/>
              <w:spacing w:before="40"/>
              <w:ind w:right="18"/>
              <w:rPr>
                <w:rFonts w:ascii="Book Antiqua"/>
                <w:sz w:val="12"/>
              </w:rPr>
            </w:pPr>
            <w:r>
              <w:rPr>
                <w:rFonts w:ascii="Book Antiqua"/>
                <w:w w:val="105"/>
                <w:sz w:val="12"/>
              </w:rPr>
              <w:t>-61.000</w:t>
            </w:r>
          </w:p>
        </w:tc>
        <w:tc>
          <w:tcPr>
            <w:tcW w:w="798" w:type="dxa"/>
            <w:tcBorders>
              <w:top w:val="single" w:sz="8" w:space="0" w:color="000000"/>
            </w:tcBorders>
          </w:tcPr>
          <w:p>
            <w:pPr>
              <w:pStyle w:val="TableParagraph"/>
              <w:spacing w:before="40"/>
              <w:ind w:right="18"/>
              <w:rPr>
                <w:rFonts w:ascii="Book Antiqua"/>
                <w:sz w:val="12"/>
              </w:rPr>
            </w:pPr>
            <w:r>
              <w:rPr>
                <w:rFonts w:ascii="Book Antiqua"/>
                <w:w w:val="105"/>
                <w:sz w:val="12"/>
              </w:rPr>
              <w:t>-7.498.629</w:t>
            </w:r>
          </w:p>
        </w:tc>
        <w:tc>
          <w:tcPr>
            <w:tcW w:w="808" w:type="dxa"/>
            <w:tcBorders>
              <w:top w:val="single" w:sz="8" w:space="0" w:color="000000"/>
            </w:tcBorders>
          </w:tcPr>
          <w:p>
            <w:pPr>
              <w:pStyle w:val="TableParagraph"/>
              <w:spacing w:before="40"/>
              <w:ind w:right="18"/>
              <w:rPr>
                <w:rFonts w:ascii="Book Antiqua"/>
                <w:sz w:val="12"/>
              </w:rPr>
            </w:pPr>
            <w:r>
              <w:rPr>
                <w:rFonts w:ascii="Book Antiqua"/>
                <w:w w:val="105"/>
                <w:sz w:val="12"/>
              </w:rPr>
              <w:t>-712.173</w:t>
            </w:r>
          </w:p>
        </w:tc>
        <w:tc>
          <w:tcPr>
            <w:tcW w:w="1068" w:type="dxa"/>
            <w:tcBorders>
              <w:top w:val="single" w:sz="8" w:space="0" w:color="000000"/>
            </w:tcBorders>
          </w:tcPr>
          <w:p>
            <w:pPr/>
          </w:p>
        </w:tc>
        <w:tc>
          <w:tcPr>
            <w:tcW w:w="850" w:type="dxa"/>
            <w:tcBorders>
              <w:top w:val="single" w:sz="8" w:space="0" w:color="000000"/>
            </w:tcBorders>
          </w:tcPr>
          <w:p>
            <w:pPr>
              <w:pStyle w:val="TableParagraph"/>
              <w:spacing w:before="40"/>
              <w:ind w:right="19"/>
              <w:rPr>
                <w:rFonts w:ascii="Book Antiqua"/>
                <w:sz w:val="12"/>
              </w:rPr>
            </w:pPr>
            <w:r>
              <w:rPr>
                <w:rFonts w:ascii="Book Antiqua"/>
                <w:w w:val="105"/>
                <w:sz w:val="12"/>
              </w:rPr>
              <w:t>-16458123</w:t>
            </w:r>
          </w:p>
        </w:tc>
      </w:tr>
      <w:tr>
        <w:trPr>
          <w:trHeight w:val="207" w:hRule="exact"/>
        </w:trPr>
        <w:tc>
          <w:tcPr>
            <w:tcW w:w="1954" w:type="dxa"/>
            <w:tcBorders>
              <w:left w:val="single" w:sz="4" w:space="0" w:color="5B9BD4"/>
            </w:tcBorders>
          </w:tcPr>
          <w:p>
            <w:pPr>
              <w:pStyle w:val="TableParagraph"/>
              <w:spacing w:before="41"/>
              <w:ind w:left="20"/>
              <w:jc w:val="left"/>
              <w:rPr>
                <w:rFonts w:ascii="Calibri"/>
                <w:sz w:val="12"/>
              </w:rPr>
            </w:pPr>
            <w:r>
              <w:rPr>
                <w:rFonts w:ascii="Calibri"/>
                <w:w w:val="105"/>
                <w:sz w:val="12"/>
              </w:rPr>
              <w:t>compensazioni</w:t>
            </w:r>
          </w:p>
        </w:tc>
        <w:tc>
          <w:tcPr>
            <w:tcW w:w="949" w:type="dxa"/>
          </w:tcPr>
          <w:p>
            <w:pPr/>
          </w:p>
        </w:tc>
        <w:tc>
          <w:tcPr>
            <w:tcW w:w="891" w:type="dxa"/>
          </w:tcPr>
          <w:p>
            <w:pPr/>
          </w:p>
        </w:tc>
        <w:tc>
          <w:tcPr>
            <w:tcW w:w="850" w:type="dxa"/>
          </w:tcPr>
          <w:p>
            <w:pPr/>
          </w:p>
        </w:tc>
        <w:tc>
          <w:tcPr>
            <w:tcW w:w="891" w:type="dxa"/>
          </w:tcPr>
          <w:p>
            <w:pPr/>
          </w:p>
        </w:tc>
        <w:tc>
          <w:tcPr>
            <w:tcW w:w="798" w:type="dxa"/>
          </w:tcPr>
          <w:p>
            <w:pPr/>
          </w:p>
        </w:tc>
        <w:tc>
          <w:tcPr>
            <w:tcW w:w="808" w:type="dxa"/>
          </w:tcPr>
          <w:p>
            <w:pPr>
              <w:pStyle w:val="TableParagraph"/>
              <w:spacing w:before="40"/>
              <w:ind w:right="18"/>
              <w:rPr>
                <w:rFonts w:ascii="Book Antiqua"/>
                <w:sz w:val="12"/>
              </w:rPr>
            </w:pPr>
            <w:r>
              <w:rPr>
                <w:rFonts w:ascii="Book Antiqua"/>
                <w:w w:val="105"/>
                <w:sz w:val="12"/>
              </w:rPr>
              <w:t>-7.320.000</w:t>
            </w:r>
          </w:p>
        </w:tc>
        <w:tc>
          <w:tcPr>
            <w:tcW w:w="1068" w:type="dxa"/>
          </w:tcPr>
          <w:p>
            <w:pPr>
              <w:pStyle w:val="TableParagraph"/>
              <w:spacing w:before="40"/>
              <w:ind w:right="18"/>
              <w:rPr>
                <w:rFonts w:ascii="Book Antiqua"/>
                <w:sz w:val="12"/>
              </w:rPr>
            </w:pPr>
            <w:r>
              <w:rPr>
                <w:rFonts w:ascii="Book Antiqua"/>
                <w:w w:val="105"/>
                <w:sz w:val="12"/>
              </w:rPr>
              <w:t>-700.000</w:t>
            </w:r>
          </w:p>
        </w:tc>
        <w:tc>
          <w:tcPr>
            <w:tcW w:w="850" w:type="dxa"/>
          </w:tcPr>
          <w:p>
            <w:pPr>
              <w:pStyle w:val="TableParagraph"/>
              <w:spacing w:before="40"/>
              <w:ind w:right="18"/>
              <w:rPr>
                <w:rFonts w:ascii="Book Antiqua"/>
                <w:sz w:val="12"/>
              </w:rPr>
            </w:pPr>
            <w:r>
              <w:rPr>
                <w:rFonts w:ascii="Book Antiqua"/>
                <w:w w:val="105"/>
                <w:sz w:val="12"/>
              </w:rPr>
              <w:t>-8.020.000</w:t>
            </w:r>
          </w:p>
        </w:tc>
      </w:tr>
      <w:tr>
        <w:trPr>
          <w:trHeight w:val="213" w:hRule="exact"/>
        </w:trPr>
        <w:tc>
          <w:tcPr>
            <w:tcW w:w="1954" w:type="dxa"/>
            <w:tcBorders>
              <w:left w:val="single" w:sz="4" w:space="0" w:color="5B9BD4"/>
            </w:tcBorders>
          </w:tcPr>
          <w:p>
            <w:pPr>
              <w:pStyle w:val="TableParagraph"/>
              <w:spacing w:before="41"/>
              <w:ind w:left="20"/>
              <w:jc w:val="left"/>
              <w:rPr>
                <w:rFonts w:ascii="Calibri"/>
                <w:b/>
                <w:sz w:val="12"/>
              </w:rPr>
            </w:pPr>
            <w:r>
              <w:rPr>
                <w:rFonts w:ascii="Calibri"/>
                <w:b/>
                <w:w w:val="105"/>
                <w:sz w:val="12"/>
              </w:rPr>
              <w:t>totale pagam/ compen.</w:t>
            </w:r>
          </w:p>
        </w:tc>
        <w:tc>
          <w:tcPr>
            <w:tcW w:w="949" w:type="dxa"/>
            <w:tcBorders>
              <w:bottom w:val="single" w:sz="8" w:space="0" w:color="000000"/>
            </w:tcBorders>
          </w:tcPr>
          <w:p>
            <w:pPr/>
          </w:p>
        </w:tc>
        <w:tc>
          <w:tcPr>
            <w:tcW w:w="891" w:type="dxa"/>
            <w:tcBorders>
              <w:bottom w:val="single" w:sz="8" w:space="0" w:color="000000"/>
            </w:tcBorders>
          </w:tcPr>
          <w:p>
            <w:pPr>
              <w:pStyle w:val="TableParagraph"/>
              <w:spacing w:before="40"/>
              <w:ind w:right="18"/>
              <w:rPr>
                <w:rFonts w:ascii="Book Antiqua"/>
                <w:sz w:val="12"/>
              </w:rPr>
            </w:pPr>
            <w:r>
              <w:rPr>
                <w:rFonts w:ascii="Book Antiqua"/>
                <w:w w:val="105"/>
                <w:sz w:val="12"/>
              </w:rPr>
              <w:t>-7.682.667</w:t>
            </w:r>
          </w:p>
        </w:tc>
        <w:tc>
          <w:tcPr>
            <w:tcW w:w="850" w:type="dxa"/>
            <w:tcBorders>
              <w:bottom w:val="single" w:sz="8" w:space="0" w:color="000000"/>
            </w:tcBorders>
          </w:tcPr>
          <w:p>
            <w:pPr>
              <w:pStyle w:val="TableParagraph"/>
              <w:spacing w:before="40"/>
              <w:ind w:right="18"/>
              <w:rPr>
                <w:rFonts w:ascii="Book Antiqua"/>
                <w:sz w:val="12"/>
              </w:rPr>
            </w:pPr>
            <w:r>
              <w:rPr>
                <w:rFonts w:ascii="Book Antiqua"/>
                <w:w w:val="105"/>
                <w:sz w:val="12"/>
              </w:rPr>
              <w:t>-503654</w:t>
            </w:r>
          </w:p>
        </w:tc>
        <w:tc>
          <w:tcPr>
            <w:tcW w:w="891" w:type="dxa"/>
            <w:tcBorders>
              <w:bottom w:val="single" w:sz="8" w:space="0" w:color="000000"/>
            </w:tcBorders>
          </w:tcPr>
          <w:p>
            <w:pPr>
              <w:pStyle w:val="TableParagraph"/>
              <w:spacing w:before="40"/>
              <w:ind w:right="18"/>
              <w:rPr>
                <w:rFonts w:ascii="Book Antiqua"/>
                <w:sz w:val="12"/>
              </w:rPr>
            </w:pPr>
            <w:r>
              <w:rPr>
                <w:rFonts w:ascii="Book Antiqua"/>
                <w:w w:val="105"/>
                <w:sz w:val="12"/>
              </w:rPr>
              <w:t>-61000</w:t>
            </w:r>
          </w:p>
        </w:tc>
        <w:tc>
          <w:tcPr>
            <w:tcW w:w="798" w:type="dxa"/>
            <w:tcBorders>
              <w:bottom w:val="single" w:sz="8" w:space="0" w:color="000000"/>
            </w:tcBorders>
          </w:tcPr>
          <w:p>
            <w:pPr>
              <w:pStyle w:val="TableParagraph"/>
              <w:spacing w:before="40"/>
              <w:ind w:right="18"/>
              <w:rPr>
                <w:rFonts w:ascii="Book Antiqua"/>
                <w:sz w:val="12"/>
              </w:rPr>
            </w:pPr>
            <w:r>
              <w:rPr>
                <w:rFonts w:ascii="Book Antiqua"/>
                <w:w w:val="105"/>
                <w:sz w:val="12"/>
              </w:rPr>
              <w:t>-7498629</w:t>
            </w:r>
          </w:p>
        </w:tc>
        <w:tc>
          <w:tcPr>
            <w:tcW w:w="808" w:type="dxa"/>
            <w:tcBorders>
              <w:bottom w:val="single" w:sz="8" w:space="0" w:color="000000"/>
            </w:tcBorders>
          </w:tcPr>
          <w:p>
            <w:pPr>
              <w:pStyle w:val="TableParagraph"/>
              <w:spacing w:before="40"/>
              <w:ind w:right="18"/>
              <w:rPr>
                <w:rFonts w:ascii="Book Antiqua"/>
                <w:sz w:val="12"/>
              </w:rPr>
            </w:pPr>
            <w:r>
              <w:rPr>
                <w:rFonts w:ascii="Book Antiqua"/>
                <w:w w:val="105"/>
                <w:sz w:val="12"/>
              </w:rPr>
              <w:t>-8.032.173</w:t>
            </w:r>
          </w:p>
        </w:tc>
        <w:tc>
          <w:tcPr>
            <w:tcW w:w="1068" w:type="dxa"/>
            <w:tcBorders>
              <w:bottom w:val="single" w:sz="8" w:space="0" w:color="000000"/>
            </w:tcBorders>
          </w:tcPr>
          <w:p>
            <w:pPr>
              <w:pStyle w:val="TableParagraph"/>
              <w:spacing w:before="40"/>
              <w:ind w:right="19"/>
              <w:rPr>
                <w:rFonts w:ascii="Book Antiqua"/>
                <w:sz w:val="12"/>
              </w:rPr>
            </w:pPr>
            <w:r>
              <w:rPr>
                <w:rFonts w:ascii="Book Antiqua"/>
                <w:w w:val="105"/>
                <w:sz w:val="12"/>
              </w:rPr>
              <w:t>-700000</w:t>
            </w:r>
          </w:p>
        </w:tc>
        <w:tc>
          <w:tcPr>
            <w:tcW w:w="850" w:type="dxa"/>
            <w:tcBorders>
              <w:bottom w:val="single" w:sz="8" w:space="0" w:color="000000"/>
            </w:tcBorders>
          </w:tcPr>
          <w:p>
            <w:pPr>
              <w:pStyle w:val="TableParagraph"/>
              <w:spacing w:before="40"/>
              <w:ind w:right="19"/>
              <w:rPr>
                <w:rFonts w:ascii="Book Antiqua"/>
                <w:sz w:val="12"/>
              </w:rPr>
            </w:pPr>
            <w:r>
              <w:rPr>
                <w:rFonts w:ascii="Book Antiqua"/>
                <w:w w:val="105"/>
                <w:sz w:val="12"/>
              </w:rPr>
              <w:t>-24478123</w:t>
            </w:r>
          </w:p>
        </w:tc>
      </w:tr>
      <w:tr>
        <w:trPr>
          <w:trHeight w:val="212" w:hRule="exact"/>
        </w:trPr>
        <w:tc>
          <w:tcPr>
            <w:tcW w:w="1954" w:type="dxa"/>
            <w:tcBorders>
              <w:left w:val="single" w:sz="4" w:space="0" w:color="5B9BD4"/>
              <w:bottom w:val="single" w:sz="4" w:space="0" w:color="5B9BD4"/>
              <w:right w:val="single" w:sz="8" w:space="0" w:color="000000"/>
            </w:tcBorders>
          </w:tcPr>
          <w:p>
            <w:pPr>
              <w:pStyle w:val="TableParagraph"/>
              <w:spacing w:before="46"/>
              <w:ind w:left="20"/>
              <w:jc w:val="left"/>
              <w:rPr>
                <w:rFonts w:ascii="Calibri"/>
                <w:b/>
                <w:sz w:val="12"/>
              </w:rPr>
            </w:pPr>
            <w:r>
              <w:rPr>
                <w:rFonts w:ascii="Calibri"/>
                <w:b/>
                <w:sz w:val="12"/>
              </w:rPr>
              <w:t>closing balance</w:t>
            </w:r>
          </w:p>
        </w:tc>
        <w:tc>
          <w:tcPr>
            <w:tcW w:w="949" w:type="dxa"/>
            <w:tcBorders>
              <w:top w:val="single" w:sz="8" w:space="0" w:color="000000"/>
              <w:left w:val="single" w:sz="8" w:space="0" w:color="000000"/>
              <w:bottom w:val="single" w:sz="4" w:space="0" w:color="5B9BD4"/>
            </w:tcBorders>
          </w:tcPr>
          <w:p>
            <w:pPr>
              <w:pStyle w:val="TableParagraph"/>
              <w:spacing w:before="40"/>
              <w:ind w:right="19"/>
              <w:rPr>
                <w:rFonts w:ascii="Book Antiqua"/>
                <w:sz w:val="12"/>
              </w:rPr>
            </w:pPr>
            <w:r>
              <w:rPr>
                <w:rFonts w:ascii="Book Antiqua"/>
                <w:w w:val="105"/>
                <w:sz w:val="12"/>
              </w:rPr>
              <w:t>1.389.788</w:t>
            </w:r>
          </w:p>
        </w:tc>
        <w:tc>
          <w:tcPr>
            <w:tcW w:w="891" w:type="dxa"/>
            <w:tcBorders>
              <w:top w:val="single" w:sz="8" w:space="0" w:color="000000"/>
              <w:bottom w:val="single" w:sz="4" w:space="0" w:color="5B9BD4"/>
            </w:tcBorders>
          </w:tcPr>
          <w:p>
            <w:pPr>
              <w:pStyle w:val="TableParagraph"/>
              <w:spacing w:before="40"/>
              <w:ind w:right="18"/>
              <w:rPr>
                <w:rFonts w:ascii="Book Antiqua"/>
                <w:sz w:val="12"/>
              </w:rPr>
            </w:pPr>
            <w:r>
              <w:rPr>
                <w:rFonts w:ascii="Book Antiqua"/>
                <w:w w:val="105"/>
                <w:sz w:val="12"/>
              </w:rPr>
              <w:t>1.539.014</w:t>
            </w:r>
          </w:p>
        </w:tc>
        <w:tc>
          <w:tcPr>
            <w:tcW w:w="850" w:type="dxa"/>
            <w:tcBorders>
              <w:top w:val="single" w:sz="8" w:space="0" w:color="000000"/>
              <w:bottom w:val="single" w:sz="4" w:space="0" w:color="5B9BD4"/>
            </w:tcBorders>
          </w:tcPr>
          <w:p>
            <w:pPr>
              <w:pStyle w:val="TableParagraph"/>
              <w:spacing w:before="40"/>
              <w:ind w:right="18"/>
              <w:rPr>
                <w:rFonts w:ascii="Book Antiqua"/>
                <w:sz w:val="12"/>
              </w:rPr>
            </w:pPr>
            <w:r>
              <w:rPr>
                <w:rFonts w:ascii="Book Antiqua"/>
                <w:w w:val="105"/>
                <w:sz w:val="12"/>
              </w:rPr>
              <w:t>9.097.766</w:t>
            </w:r>
          </w:p>
        </w:tc>
        <w:tc>
          <w:tcPr>
            <w:tcW w:w="891" w:type="dxa"/>
            <w:tcBorders>
              <w:top w:val="single" w:sz="8" w:space="0" w:color="000000"/>
              <w:bottom w:val="single" w:sz="4" w:space="0" w:color="5B9BD4"/>
            </w:tcBorders>
          </w:tcPr>
          <w:p>
            <w:pPr>
              <w:pStyle w:val="TableParagraph"/>
              <w:spacing w:before="40"/>
              <w:ind w:right="18"/>
              <w:rPr>
                <w:rFonts w:ascii="Book Antiqua"/>
                <w:sz w:val="12"/>
              </w:rPr>
            </w:pPr>
            <w:r>
              <w:rPr>
                <w:rFonts w:ascii="Book Antiqua"/>
                <w:w w:val="105"/>
                <w:sz w:val="12"/>
              </w:rPr>
              <w:t>16.448.629</w:t>
            </w:r>
          </w:p>
        </w:tc>
        <w:tc>
          <w:tcPr>
            <w:tcW w:w="798" w:type="dxa"/>
            <w:tcBorders>
              <w:top w:val="single" w:sz="8" w:space="0" w:color="000000"/>
              <w:bottom w:val="single" w:sz="4" w:space="0" w:color="5B9BD4"/>
            </w:tcBorders>
          </w:tcPr>
          <w:p>
            <w:pPr>
              <w:pStyle w:val="TableParagraph"/>
              <w:spacing w:before="40"/>
              <w:ind w:right="18"/>
              <w:rPr>
                <w:rFonts w:ascii="Book Antiqua"/>
                <w:sz w:val="12"/>
              </w:rPr>
            </w:pPr>
            <w:r>
              <w:rPr>
                <w:rFonts w:ascii="Book Antiqua"/>
                <w:w w:val="105"/>
                <w:sz w:val="12"/>
              </w:rPr>
              <w:t>20.727.635</w:t>
            </w:r>
          </w:p>
        </w:tc>
        <w:tc>
          <w:tcPr>
            <w:tcW w:w="808" w:type="dxa"/>
            <w:tcBorders>
              <w:top w:val="single" w:sz="8" w:space="0" w:color="000000"/>
              <w:bottom w:val="single" w:sz="4" w:space="0" w:color="5B9BD4"/>
            </w:tcBorders>
          </w:tcPr>
          <w:p>
            <w:pPr>
              <w:pStyle w:val="TableParagraph"/>
              <w:spacing w:before="40"/>
              <w:ind w:right="18"/>
              <w:rPr>
                <w:rFonts w:ascii="Book Antiqua"/>
                <w:sz w:val="12"/>
              </w:rPr>
            </w:pPr>
            <w:r>
              <w:rPr>
                <w:rFonts w:ascii="Book Antiqua"/>
                <w:w w:val="105"/>
                <w:sz w:val="12"/>
              </w:rPr>
              <w:t>22.755.462</w:t>
            </w:r>
          </w:p>
        </w:tc>
        <w:tc>
          <w:tcPr>
            <w:tcW w:w="1068" w:type="dxa"/>
            <w:tcBorders>
              <w:top w:val="single" w:sz="8" w:space="0" w:color="000000"/>
              <w:bottom w:val="single" w:sz="4" w:space="0" w:color="5B9BD4"/>
            </w:tcBorders>
          </w:tcPr>
          <w:p>
            <w:pPr>
              <w:pStyle w:val="TableParagraph"/>
              <w:spacing w:before="40"/>
              <w:ind w:right="18"/>
              <w:rPr>
                <w:rFonts w:ascii="Book Antiqua"/>
                <w:sz w:val="12"/>
              </w:rPr>
            </w:pPr>
            <w:r>
              <w:rPr>
                <w:rFonts w:ascii="Book Antiqua"/>
                <w:w w:val="105"/>
                <w:sz w:val="12"/>
              </w:rPr>
              <w:t>26.884.629</w:t>
            </w:r>
          </w:p>
        </w:tc>
        <w:tc>
          <w:tcPr>
            <w:tcW w:w="850" w:type="dxa"/>
            <w:tcBorders>
              <w:top w:val="single" w:sz="8" w:space="0" w:color="000000"/>
              <w:bottom w:val="single" w:sz="4" w:space="0" w:color="5B9BD4"/>
              <w:right w:val="single" w:sz="8" w:space="0" w:color="000000"/>
            </w:tcBorders>
          </w:tcPr>
          <w:p>
            <w:pPr>
              <w:pStyle w:val="TableParagraph"/>
              <w:spacing w:before="40"/>
              <w:ind w:right="13"/>
              <w:rPr>
                <w:rFonts w:ascii="Book Antiqua"/>
                <w:sz w:val="12"/>
              </w:rPr>
            </w:pPr>
            <w:r>
              <w:rPr>
                <w:rFonts w:ascii="Book Antiqua"/>
                <w:w w:val="105"/>
                <w:sz w:val="12"/>
              </w:rPr>
              <w:t>26.884.629</w:t>
            </w:r>
          </w:p>
        </w:tc>
      </w:tr>
      <w:tr>
        <w:trPr>
          <w:trHeight w:val="207" w:hRule="exact"/>
        </w:trPr>
        <w:tc>
          <w:tcPr>
            <w:tcW w:w="1954" w:type="dxa"/>
            <w:tcBorders>
              <w:top w:val="single" w:sz="4" w:space="0" w:color="5B9BD4"/>
            </w:tcBorders>
          </w:tcPr>
          <w:p>
            <w:pPr/>
          </w:p>
        </w:tc>
        <w:tc>
          <w:tcPr>
            <w:tcW w:w="949" w:type="dxa"/>
            <w:tcBorders>
              <w:top w:val="single" w:sz="4" w:space="0" w:color="5B9BD4"/>
            </w:tcBorders>
          </w:tcPr>
          <w:p>
            <w:pPr/>
          </w:p>
        </w:tc>
        <w:tc>
          <w:tcPr>
            <w:tcW w:w="891" w:type="dxa"/>
            <w:tcBorders>
              <w:top w:val="single" w:sz="4" w:space="0" w:color="5B9BD4"/>
            </w:tcBorders>
          </w:tcPr>
          <w:p>
            <w:pPr/>
          </w:p>
        </w:tc>
        <w:tc>
          <w:tcPr>
            <w:tcW w:w="850" w:type="dxa"/>
            <w:tcBorders>
              <w:top w:val="single" w:sz="4" w:space="0" w:color="5B9BD4"/>
            </w:tcBorders>
          </w:tcPr>
          <w:p>
            <w:pPr/>
          </w:p>
        </w:tc>
        <w:tc>
          <w:tcPr>
            <w:tcW w:w="891" w:type="dxa"/>
            <w:tcBorders>
              <w:top w:val="single" w:sz="4" w:space="0" w:color="5B9BD4"/>
            </w:tcBorders>
          </w:tcPr>
          <w:p>
            <w:pPr/>
          </w:p>
        </w:tc>
        <w:tc>
          <w:tcPr>
            <w:tcW w:w="798" w:type="dxa"/>
            <w:tcBorders>
              <w:top w:val="single" w:sz="4" w:space="0" w:color="5B9BD4"/>
            </w:tcBorders>
          </w:tcPr>
          <w:p>
            <w:pPr/>
          </w:p>
        </w:tc>
        <w:tc>
          <w:tcPr>
            <w:tcW w:w="808" w:type="dxa"/>
            <w:tcBorders>
              <w:top w:val="single" w:sz="4" w:space="0" w:color="5B9BD4"/>
            </w:tcBorders>
          </w:tcPr>
          <w:p>
            <w:pPr/>
          </w:p>
        </w:tc>
        <w:tc>
          <w:tcPr>
            <w:tcW w:w="1068" w:type="dxa"/>
            <w:tcBorders>
              <w:top w:val="single" w:sz="4" w:space="0" w:color="5B9BD4"/>
            </w:tcBorders>
          </w:tcPr>
          <w:p>
            <w:pPr/>
          </w:p>
        </w:tc>
        <w:tc>
          <w:tcPr>
            <w:tcW w:w="850" w:type="dxa"/>
            <w:tcBorders>
              <w:top w:val="single" w:sz="4" w:space="0" w:color="5B9BD4"/>
            </w:tcBorders>
          </w:tcPr>
          <w:p>
            <w:pPr/>
          </w:p>
        </w:tc>
      </w:tr>
    </w:tbl>
    <w:p>
      <w:pPr>
        <w:pStyle w:val="BodyText"/>
        <w:spacing w:before="2"/>
      </w:pPr>
    </w:p>
    <w:p>
      <w:pPr>
        <w:pStyle w:val="BodyText"/>
        <w:spacing w:line="480" w:lineRule="auto"/>
        <w:ind w:left="1418" w:right="1412"/>
        <w:jc w:val="both"/>
      </w:pPr>
      <w:r>
        <w:rPr/>
        <w:t>Nel mese di novembre 2011, in accordo con quanto stabilito nell’ </w:t>
      </w:r>
      <w:r>
        <w:rPr>
          <w:i/>
        </w:rPr>
        <w:t>“Investment Agreement” </w:t>
      </w:r>
      <w:r>
        <w:rPr/>
        <w:t>del 26 ottobre 2011, Biochemtex ha sottoscritto un accordo quinquennale con Beta Renewables (R&amp;D Services Agreement), di cui gli scriventi hanno preso visione, per la fornitura di servizi di ricerca e sviluppo nell’ambito dello sviluppo della tecnologia PROESA.</w:t>
      </w:r>
    </w:p>
    <w:p>
      <w:pPr>
        <w:pStyle w:val="BodyText"/>
        <w:spacing w:line="480" w:lineRule="auto"/>
        <w:ind w:left="1418" w:right="1414"/>
        <w:jc w:val="both"/>
      </w:pPr>
      <w:r>
        <w:rPr/>
        <w:t>Il contratto prevedeva un impegno minimo di 35 risorse equivalenti dedicate allo sviluppo della tecnologia.</w:t>
      </w:r>
    </w:p>
    <w:p>
      <w:pPr>
        <w:pStyle w:val="BodyText"/>
        <w:spacing w:line="480" w:lineRule="auto"/>
        <w:ind w:left="1418" w:right="1414"/>
        <w:jc w:val="both"/>
      </w:pPr>
      <w:r>
        <w:rPr/>
        <w:t>Dall’esame delle schede contabili si evince che nel lasso temporale 2011 – 2017, Biochemtex ha reso servizi nei confronti di Beta Renewables per complessivi Euro 51,3 milioni (iva inclusa) di  cui</w:t>
      </w:r>
      <w:r>
        <w:rPr>
          <w:spacing w:val="15"/>
        </w:rPr>
        <w:t> </w:t>
      </w:r>
      <w:r>
        <w:rPr/>
        <w:t>Euro</w:t>
      </w:r>
      <w:r>
        <w:rPr>
          <w:spacing w:val="12"/>
        </w:rPr>
        <w:t> </w:t>
      </w:r>
      <w:r>
        <w:rPr/>
        <w:t>49</w:t>
      </w:r>
      <w:r>
        <w:rPr>
          <w:spacing w:val="15"/>
        </w:rPr>
        <w:t> </w:t>
      </w:r>
      <w:r>
        <w:rPr/>
        <w:t>milioni</w:t>
      </w:r>
      <w:r>
        <w:rPr>
          <w:spacing w:val="12"/>
        </w:rPr>
        <w:t> </w:t>
      </w:r>
      <w:r>
        <w:rPr/>
        <w:t>per</w:t>
      </w:r>
      <w:r>
        <w:rPr>
          <w:spacing w:val="12"/>
        </w:rPr>
        <w:t> </w:t>
      </w:r>
      <w:r>
        <w:rPr/>
        <w:t>attività</w:t>
      </w:r>
      <w:r>
        <w:rPr>
          <w:spacing w:val="15"/>
        </w:rPr>
        <w:t> </w:t>
      </w:r>
      <w:r>
        <w:rPr/>
        <w:t>di</w:t>
      </w:r>
      <w:r>
        <w:rPr>
          <w:spacing w:val="14"/>
        </w:rPr>
        <w:t> </w:t>
      </w:r>
      <w:r>
        <w:rPr/>
        <w:t>ricerca</w:t>
      </w:r>
      <w:r>
        <w:rPr>
          <w:spacing w:val="13"/>
        </w:rPr>
        <w:t> </w:t>
      </w:r>
      <w:r>
        <w:rPr/>
        <w:t>e</w:t>
      </w:r>
      <w:r>
        <w:rPr>
          <w:spacing w:val="19"/>
        </w:rPr>
        <w:t> </w:t>
      </w:r>
      <w:r>
        <w:rPr/>
        <w:t>sviluppo</w:t>
      </w:r>
      <w:r>
        <w:rPr>
          <w:spacing w:val="14"/>
        </w:rPr>
        <w:t> </w:t>
      </w:r>
      <w:r>
        <w:rPr/>
        <w:t>ed</w:t>
      </w:r>
      <w:r>
        <w:rPr>
          <w:spacing w:val="12"/>
        </w:rPr>
        <w:t> </w:t>
      </w:r>
      <w:r>
        <w:rPr/>
        <w:t>Euro</w:t>
      </w:r>
      <w:r>
        <w:rPr>
          <w:spacing w:val="14"/>
        </w:rPr>
        <w:t> </w:t>
      </w:r>
      <w:r>
        <w:rPr/>
        <w:t>2,3</w:t>
      </w:r>
      <w:r>
        <w:rPr>
          <w:spacing w:val="12"/>
        </w:rPr>
        <w:t> </w:t>
      </w:r>
      <w:r>
        <w:rPr/>
        <w:t>milioni</w:t>
      </w:r>
      <w:r>
        <w:rPr>
          <w:spacing w:val="14"/>
        </w:rPr>
        <w:t> </w:t>
      </w:r>
      <w:r>
        <w:rPr/>
        <w:t>per</w:t>
      </w:r>
      <w:r>
        <w:rPr>
          <w:spacing w:val="14"/>
        </w:rPr>
        <w:t> </w:t>
      </w:r>
      <w:r>
        <w:rPr/>
        <w:t>attività</w:t>
      </w:r>
      <w:r>
        <w:rPr>
          <w:spacing w:val="13"/>
        </w:rPr>
        <w:t> </w:t>
      </w:r>
      <w:r>
        <w:rPr/>
        <w:t>connessa</w:t>
      </w:r>
      <w:r>
        <w:rPr>
          <w:spacing w:val="15"/>
        </w:rPr>
        <w:t> </w:t>
      </w:r>
      <w:r>
        <w:rPr/>
        <w:t>al</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w:t>
      </w:r>
      <w:r>
        <w:rPr>
          <w:i/>
        </w:rPr>
        <w:t>process design package</w:t>
      </w:r>
      <w:r>
        <w:rPr/>
        <w:t>”, a fronte dei quali Beta ha sostenuto pagamenti per complessivi Euro 16,4 milioni e compensazioni per Euro 8 milioni circa (di cui 7,3 milioni del 22 settembre 2016 per credito IRES verso M&amp;G S.p.A. e 700.000 Euro del 28 aprile 2017 per credito IVA di gruppo verso M&amp;G Finanziaria). Per effetto delle operazioni sopra descritte, alla data del 15.10.2017, il credito residuo verso Beta Renewables è pari ad Euro 26,8 milioni.</w:t>
      </w:r>
    </w:p>
    <w:p>
      <w:pPr>
        <w:pStyle w:val="BodyText"/>
        <w:ind w:left="1418"/>
        <w:jc w:val="both"/>
      </w:pPr>
      <w:r>
        <w:rPr>
          <w:u w:val="single"/>
        </w:rPr>
        <w:t>Attività svolta</w:t>
      </w:r>
    </w:p>
    <w:p>
      <w:pPr>
        <w:pStyle w:val="BodyText"/>
        <w:spacing w:before="10"/>
        <w:rPr>
          <w:sz w:val="23"/>
        </w:rPr>
      </w:pPr>
    </w:p>
    <w:p>
      <w:pPr>
        <w:pStyle w:val="BodyText"/>
        <w:spacing w:line="480" w:lineRule="auto"/>
        <w:ind w:left="1418" w:right="1414"/>
        <w:jc w:val="both"/>
      </w:pPr>
      <w:r>
        <w:rPr/>
        <w:t>Gli scriventi, come già per Beta, hanno esaminato il contratto di R&amp;D in essere dal 2011 tra le  due società del gruppo e hanno esaminato le risultanze della ricostruzione documentale e fattuale delle principali operazioni intercompany di natura commerciale e finanziaria effettuate dalla Società e riportate nei </w:t>
      </w:r>
      <w:r>
        <w:rPr>
          <w:i/>
        </w:rPr>
        <w:t>Deliverables </w:t>
      </w:r>
      <w:r>
        <w:rPr/>
        <w:t>di Deloitte, documenti poi oggetto di analisi e discussione con il management della</w:t>
      </w:r>
      <w:r>
        <w:rPr>
          <w:spacing w:val="-4"/>
        </w:rPr>
        <w:t> </w:t>
      </w:r>
      <w:r>
        <w:rPr/>
        <w:t>Società.</w:t>
      </w:r>
    </w:p>
    <w:p>
      <w:pPr>
        <w:pStyle w:val="BodyText"/>
        <w:spacing w:line="480" w:lineRule="auto"/>
        <w:ind w:left="1418" w:right="1412"/>
        <w:jc w:val="both"/>
      </w:pPr>
      <w:r>
        <w:rPr/>
        <w:t>Gli scriventi hanno altresì esaminato gli esiti delle attività di circolarizzazioni e delle procedure alternative svolte dalla Società con il supporto di Deloitte e riepilogate nei </w:t>
      </w:r>
      <w:r>
        <w:rPr>
          <w:i/>
        </w:rPr>
        <w:t>Deliverables </w:t>
      </w:r>
      <w:r>
        <w:rPr/>
        <w:t>consegnatici dal management della Società.</w:t>
      </w:r>
    </w:p>
    <w:p>
      <w:pPr>
        <w:pStyle w:val="BodyText"/>
        <w:ind w:left="1418"/>
        <w:jc w:val="both"/>
      </w:pPr>
      <w:r>
        <w:rPr>
          <w:u w:val="single"/>
        </w:rPr>
        <w:t>Valorizzazione concordataria</w:t>
      </w:r>
    </w:p>
    <w:p>
      <w:pPr>
        <w:pStyle w:val="BodyText"/>
        <w:spacing w:before="10"/>
        <w:rPr>
          <w:sz w:val="23"/>
        </w:rPr>
      </w:pPr>
    </w:p>
    <w:p>
      <w:pPr>
        <w:pStyle w:val="BodyText"/>
        <w:spacing w:line="480" w:lineRule="auto" w:before="1"/>
        <w:ind w:left="1418" w:right="1413"/>
        <w:jc w:val="both"/>
      </w:pPr>
      <w:r>
        <w:rPr/>
        <w:t>I crediti verso Beta sono stati considerati recuperabili per il 44,87% e dunque il valore di realizzo è considerato pari ad Euro 12.066.817 coerentemente con le previsioni di pagamento previste nel piano concordatario di Beta anch’esso oggetto di nostra</w:t>
      </w:r>
      <w:r>
        <w:rPr>
          <w:spacing w:val="-13"/>
        </w:rPr>
        <w:t> </w:t>
      </w:r>
      <w:r>
        <w:rPr/>
        <w:t>attestazione.</w:t>
      </w:r>
    </w:p>
    <w:p>
      <w:pPr>
        <w:pStyle w:val="Heading2"/>
        <w:jc w:val="both"/>
      </w:pPr>
      <w:r>
        <w:rPr>
          <w:u w:val="single"/>
        </w:rPr>
        <w:t>Credito verso Carolina Cellulosic Biofuels</w:t>
      </w:r>
    </w:p>
    <w:p>
      <w:pPr>
        <w:pStyle w:val="BodyText"/>
        <w:spacing w:before="10"/>
        <w:rPr>
          <w:b/>
          <w:sz w:val="23"/>
        </w:rPr>
      </w:pPr>
    </w:p>
    <w:p>
      <w:pPr>
        <w:pStyle w:val="BodyText"/>
        <w:spacing w:line="480" w:lineRule="auto"/>
        <w:ind w:left="1418" w:right="1413"/>
        <w:jc w:val="both"/>
      </w:pPr>
      <w:r>
        <w:rPr/>
        <w:t>Il credito per Euro 508.044 (USD 600.000) è portato dalla fattura n. 1115060084 del 31 dicembre 2015 emessa per servizi, in accordo con il </w:t>
      </w:r>
      <w:r>
        <w:rPr>
          <w:i/>
        </w:rPr>
        <w:t>Technical Service Agreement </w:t>
      </w:r>
      <w:r>
        <w:rPr/>
        <w:t>sottoscritto in data 08 gennaio 2015 di cui abbiamo preso visione.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Valorizzazione concordataria</w:t>
      </w:r>
    </w:p>
    <w:p>
      <w:pPr>
        <w:pStyle w:val="BodyText"/>
        <w:spacing w:before="11"/>
        <w:rPr>
          <w:sz w:val="23"/>
        </w:rPr>
      </w:pPr>
    </w:p>
    <w:p>
      <w:pPr>
        <w:pStyle w:val="BodyText"/>
        <w:spacing w:line="480" w:lineRule="auto"/>
        <w:ind w:left="1418" w:right="1418"/>
        <w:jc w:val="both"/>
      </w:pPr>
      <w:r>
        <w:rPr/>
        <w:t>Il credito è stato prudenzialmente svalutato non essendo possibile allo stato stimare il presumibile valore di realizzo</w:t>
      </w:r>
    </w:p>
    <w:p>
      <w:pPr>
        <w:pStyle w:val="Heading2"/>
        <w:jc w:val="both"/>
      </w:pPr>
      <w:r>
        <w:rPr>
          <w:u w:val="single"/>
        </w:rPr>
        <w:t>Credito verso Italian Bio Product</w:t>
      </w:r>
    </w:p>
    <w:p>
      <w:pPr>
        <w:pStyle w:val="BodyText"/>
        <w:rPr>
          <w:b/>
        </w:rPr>
      </w:pPr>
    </w:p>
    <w:p>
      <w:pPr>
        <w:pStyle w:val="BodyText"/>
        <w:ind w:left="1418"/>
        <w:jc w:val="both"/>
      </w:pPr>
      <w:r>
        <w:rPr/>
        <w:t>Il credito per Euro 7.776.329 si riferisce prevalentemente a:</w:t>
      </w:r>
    </w:p>
    <w:p>
      <w:pPr>
        <w:pStyle w:val="BodyText"/>
      </w:pPr>
    </w:p>
    <w:p>
      <w:pPr>
        <w:pStyle w:val="ListParagraph"/>
        <w:numPr>
          <w:ilvl w:val="0"/>
          <w:numId w:val="59"/>
        </w:numPr>
        <w:tabs>
          <w:tab w:pos="2126" w:val="left" w:leader="none"/>
          <w:tab w:pos="2127" w:val="left" w:leader="none"/>
        </w:tabs>
        <w:spacing w:line="240" w:lineRule="auto" w:before="0" w:after="0"/>
        <w:ind w:left="2126" w:right="0" w:hanging="348"/>
        <w:jc w:val="left"/>
        <w:rPr>
          <w:sz w:val="24"/>
        </w:rPr>
      </w:pPr>
      <w:r>
        <w:rPr>
          <w:sz w:val="24"/>
        </w:rPr>
        <w:t>Attività di ricerca e sviluppo resa a IBP</w:t>
      </w:r>
      <w:r>
        <w:rPr>
          <w:spacing w:val="-17"/>
          <w:sz w:val="24"/>
        </w:rPr>
        <w:t> </w:t>
      </w:r>
      <w:r>
        <w:rPr>
          <w:sz w:val="24"/>
        </w:rPr>
        <w:t>Srl;</w:t>
      </w:r>
    </w:p>
    <w:p>
      <w:pPr>
        <w:pStyle w:val="BodyText"/>
        <w:spacing w:before="9"/>
        <w:rPr>
          <w:sz w:val="23"/>
        </w:rPr>
      </w:pPr>
    </w:p>
    <w:p>
      <w:pPr>
        <w:pStyle w:val="ListParagraph"/>
        <w:numPr>
          <w:ilvl w:val="0"/>
          <w:numId w:val="59"/>
        </w:numPr>
        <w:tabs>
          <w:tab w:pos="2126" w:val="left" w:leader="none"/>
          <w:tab w:pos="2127" w:val="left" w:leader="none"/>
        </w:tabs>
        <w:spacing w:line="240" w:lineRule="auto" w:before="0" w:after="0"/>
        <w:ind w:left="2126" w:right="0" w:hanging="348"/>
        <w:jc w:val="left"/>
        <w:rPr>
          <w:sz w:val="24"/>
        </w:rPr>
      </w:pPr>
      <w:r>
        <w:rPr>
          <w:sz w:val="24"/>
        </w:rPr>
        <w:t>Vendita impianto</w:t>
      </w:r>
      <w:r>
        <w:rPr>
          <w:spacing w:val="-3"/>
          <w:sz w:val="24"/>
        </w:rPr>
        <w:t> </w:t>
      </w:r>
      <w:r>
        <w:rPr>
          <w:i/>
          <w:sz w:val="24"/>
        </w:rPr>
        <w:t>Soaking</w:t>
      </w:r>
      <w:r>
        <w:rPr>
          <w:sz w:val="24"/>
        </w:rPr>
        <w:t>.</w:t>
      </w:r>
    </w:p>
    <w:p>
      <w:pPr>
        <w:pStyle w:val="BodyText"/>
        <w:spacing w:before="9"/>
        <w:rPr>
          <w:sz w:val="23"/>
        </w:rPr>
      </w:pPr>
    </w:p>
    <w:p>
      <w:pPr>
        <w:pStyle w:val="BodyText"/>
        <w:spacing w:line="480" w:lineRule="auto"/>
        <w:ind w:left="1418" w:right="1416"/>
        <w:jc w:val="both"/>
      </w:pPr>
      <w:r>
        <w:rPr/>
        <w:t>Per ciò che riguarda l’attività di ricerca e sviluppo, si segnala che l’importo è riferito al contratto stipulato in data 4 gennaio 2016, in forza del quale la Biochemtex ha svolto attività di consulenza in materia di ricerca e progettazione nell’ambito del progetto Setha. Il contratto prevedeva un corrispettivo di Euro 3.500.000 oltre IVA come già analizzato e descritto dagli scriventi nella loro relazione ai sensi dell’art. 161 comma 3 L.F. di IBP del 22 febbraio 2018.</w:t>
      </w:r>
    </w:p>
    <w:p>
      <w:pPr>
        <w:pStyle w:val="BodyText"/>
        <w:spacing w:line="480" w:lineRule="auto"/>
        <w:ind w:left="1418" w:right="1413"/>
        <w:jc w:val="both"/>
      </w:pPr>
      <w:r>
        <w:rPr/>
        <w:t>Con riferimento alla cessione dell’impianto di </w:t>
      </w:r>
      <w:r>
        <w:rPr>
          <w:i/>
        </w:rPr>
        <w:t>Soaking</w:t>
      </w:r>
      <w:r>
        <w:rPr/>
        <w:t>, si segnala che l’importo iscritto in bilancio si riferisce al contratto stipulato in data 30 novembre 2016 con il quale IBP ha acquistato da Biochemtex l’impianto “</w:t>
      </w:r>
      <w:r>
        <w:rPr>
          <w:i/>
        </w:rPr>
        <w:t>Sistema di Macinatura &amp; Soaking</w:t>
      </w:r>
      <w:r>
        <w:rPr/>
        <w:t>” realizzato per la pulizia, macinatura, lavaggio e stoccaggio della paglia utilizzata per alimentare l’impianto.</w:t>
      </w:r>
    </w:p>
    <w:p>
      <w:pPr>
        <w:pStyle w:val="BodyText"/>
        <w:spacing w:line="480" w:lineRule="auto"/>
        <w:ind w:left="1418" w:right="1414"/>
        <w:jc w:val="both"/>
      </w:pPr>
      <w:r>
        <w:rPr/>
        <w:t>Il prezzo pattuito per la vendita ammonta ad Euro 6.742.000 oltre IVA (stima non periziata). Gli scriventi segnalano che il prezzo originario di Euro 8.225.240 (compreso IVA) si è ridotto ad Euro 4.725.240 per effetto della rinunzia di Biochemtex al proprio credito verso IBP a fronte dell’aumento del capitale sociale della stessa.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Valorizzazione concordataria</w:t>
      </w:r>
    </w:p>
    <w:p>
      <w:pPr>
        <w:pStyle w:val="BodyText"/>
        <w:spacing w:before="11"/>
        <w:rPr>
          <w:sz w:val="23"/>
        </w:rPr>
      </w:pPr>
    </w:p>
    <w:p>
      <w:pPr>
        <w:pStyle w:val="BodyText"/>
        <w:spacing w:line="480" w:lineRule="auto"/>
        <w:ind w:left="1418" w:right="1415"/>
        <w:jc w:val="both"/>
      </w:pPr>
      <w:r>
        <w:rPr/>
        <w:t>Il credito verso IBP è stato compensato con un debito di Euro 77.124 qualificato come postergato nel piano concordatario della stessa e pertanto è stato prudenzialmente  completamente</w:t>
      </w:r>
      <w:r>
        <w:rPr>
          <w:spacing w:val="-3"/>
        </w:rPr>
        <w:t> </w:t>
      </w:r>
      <w:r>
        <w:rPr/>
        <w:t>svalutato.</w:t>
      </w:r>
    </w:p>
    <w:p>
      <w:pPr>
        <w:pStyle w:val="Heading2"/>
        <w:jc w:val="both"/>
      </w:pPr>
      <w:r>
        <w:rPr>
          <w:u w:val="single"/>
        </w:rPr>
        <w:t>Credito verso M&amp;G Finanziaria</w:t>
      </w:r>
    </w:p>
    <w:p>
      <w:pPr>
        <w:pStyle w:val="BodyText"/>
        <w:spacing w:before="2"/>
        <w:rPr>
          <w:b/>
          <w:sz w:val="15"/>
        </w:rPr>
      </w:pPr>
    </w:p>
    <w:p>
      <w:pPr>
        <w:pStyle w:val="BodyText"/>
        <w:spacing w:line="480" w:lineRule="auto" w:before="100"/>
        <w:ind w:left="1418" w:right="1412"/>
        <w:jc w:val="both"/>
      </w:pPr>
      <w:r>
        <w:rPr/>
        <w:t>Il credito per Euro 1.644.967 si riferisce per Euro 1.586.000 a canoni di affitto </w:t>
      </w:r>
      <w:r>
        <w:rPr>
          <w:spacing w:val="2"/>
        </w:rPr>
        <w:t>del </w:t>
      </w:r>
      <w:r>
        <w:rPr/>
        <w:t>ramo di  azienda riferiti al contratto stipulato in data 06 febbraio 2013 in forza del quale Biochemtex Italia (già Chemtex Italia) ha concesso in affitto a M&amp;G Finanziaria il ramo di azienda costituito da un insieme di beni e rapporti organizzati per lo svolgimento dell’attività di progettazione, fabbricazione, installazione e manutenzione di impianti, macchinari e attrezzature per i settori chimico, meccanico e delle materie plastiche ad un corrispettivo annuo di Euro 2.400.000 oltre IVA ( art. 3 del contratto )da corrispondere con canoni trimestrali posticipati di Euro 600.000. Il contratto ha durata annuale a decorrere dal 31 gennaio 2013 tacitamente rinnovabile ad ogni scadenza a meno di disdetta 3 mesi prima della scadenza. E’ stato poi previsto un ulteriore importo a credito di Euro 1.586.000 che matura nel periodo compreso tra il 15 ottobre 2017 ed il 30 aprile 2018, data prevista di risoluzione del</w:t>
      </w:r>
      <w:r>
        <w:rPr>
          <w:spacing w:val="-29"/>
        </w:rPr>
        <w:t> </w:t>
      </w:r>
      <w:r>
        <w:rPr/>
        <w:t>contratto.</w:t>
      </w:r>
    </w:p>
    <w:p>
      <w:pPr>
        <w:pStyle w:val="BodyText"/>
        <w:spacing w:line="480" w:lineRule="auto"/>
        <w:ind w:left="1418" w:right="1415"/>
        <w:jc w:val="both"/>
      </w:pPr>
      <w:r>
        <w:rPr/>
        <w:t>Gli scriventi segnalano che ai sensi dell’art. 9 del presente contratto, i rapporti di lavoro continuano con l'Affittuaria, ai sensi dell'art. 2112 cc.; i dipendenti conservano tutti i diritti che ne derivano, ferma restando la responsabilità solidale delle parti nei confronti dei lavoratori dipendenti. Pertanto, in caso di default della società M&amp;G Finanziaria, permane la responsabilità solidale di Biochemtex per i debiti da rapporto di lavoro che dovessero essere maturati a favore degli 8 dipendenti (Allegato A del contratto del 6 febbraio 2018) i cui contratti sono oggetto del ramo concesso in locazione.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Allo stato gli scriventi, non avendo ancora visibilità del piano di composizione della crisi della M&amp;G finanziaria, non sono in grado di valutare eventuali passività potenziali derivante dal regresso per responsabilità solidale di eventuali debiti maturati in M&amp;G Finanziaria a favore dei dipendenti. Lo studio legale GOP, con missiva inviata agli scriventi in data 20 aprile 2018, afferma che sulla base della disciplina contrattuale ciascuna parte può recedere dal contratto con un preavviso di 3 mesi a mezzo di raccomandata A/R; lo stesso studio GOP afferma altresì che, sulla base di quanto comunicato dalla Società, controparte non ha sollevato contestazioni nei confronti di Chemtex e, allo stato pertanto, non sembrano sussistere rischi di future pretese risarcitorie in casi di scioglimento</w:t>
      </w:r>
      <w:r>
        <w:rPr>
          <w:spacing w:val="-18"/>
        </w:rPr>
        <w:t> </w:t>
      </w:r>
      <w:r>
        <w:rPr/>
        <w:t>anticipato.</w:t>
      </w:r>
    </w:p>
    <w:p>
      <w:pPr>
        <w:pStyle w:val="BodyText"/>
        <w:spacing w:line="480" w:lineRule="auto"/>
        <w:ind w:left="1418" w:right="1413"/>
      </w:pPr>
      <w:r>
        <w:rPr/>
        <w:t>In riferimento alla rimanente parte del credito relativa ad Euro 59.676 essa riguarda ribaltamento di costi dei dipendenti per rimborsi spese sostenuti con carta di credito della società Biochemtex. </w:t>
      </w:r>
      <w:r>
        <w:rPr>
          <w:u w:val="single"/>
        </w:rPr>
        <w:t>Valorizzazione concordataria</w:t>
      </w:r>
    </w:p>
    <w:p>
      <w:pPr>
        <w:pStyle w:val="BodyText"/>
        <w:spacing w:line="480" w:lineRule="auto"/>
        <w:ind w:left="1418" w:right="1415"/>
        <w:jc w:val="both"/>
      </w:pPr>
      <w:r>
        <w:rPr/>
        <w:t>Il credito verso M&amp;G Finanziaria è stato compensato ai sensi dell’art. 56 della L.F. con un debito di Euro 1.395.978 e completamente svalutato per la residua parte in quanto non è possibile prevedere allo stato una percentuale di soddisfacimento nell’ambito delle procedure di composizione della crisi di M&amp;G Finanziaria.</w:t>
      </w:r>
    </w:p>
    <w:p>
      <w:pPr>
        <w:pStyle w:val="Heading2"/>
        <w:spacing w:before="38"/>
        <w:jc w:val="both"/>
      </w:pPr>
      <w:r>
        <w:rPr>
          <w:u w:val="single"/>
        </w:rPr>
        <w:t>Credito verso M&amp;G Logistic</w:t>
      </w:r>
    </w:p>
    <w:p>
      <w:pPr>
        <w:pStyle w:val="BodyText"/>
        <w:spacing w:before="3"/>
        <w:rPr>
          <w:b/>
          <w:sz w:val="15"/>
        </w:rPr>
      </w:pPr>
    </w:p>
    <w:p>
      <w:pPr>
        <w:pStyle w:val="BodyText"/>
        <w:spacing w:line="480" w:lineRule="auto" w:before="100"/>
        <w:ind w:left="1418" w:right="1419"/>
        <w:jc w:val="both"/>
      </w:pPr>
      <w:r>
        <w:rPr/>
        <w:t>Il credito per Euro 29.261,30 è portato dalle fatture n. 1116060080 del 30 settembre 2016 per Euro 27.284,87 e n. 1116060144 del 30 dicembre 2016 e si riferisce a costi di riaddebito del personale. Quanto alla valorizzazione del credito non è possibile allo stato prevederne il ragionevole valore di realizzo.</w:t>
      </w:r>
    </w:p>
    <w:p>
      <w:pPr>
        <w:pStyle w:val="Heading2"/>
        <w:spacing w:before="38"/>
        <w:jc w:val="both"/>
      </w:pPr>
      <w:r>
        <w:rPr>
          <w:u w:val="single"/>
        </w:rPr>
        <w:t>Credito verso M&amp;G Polymer USA</w:t>
      </w:r>
    </w:p>
    <w:p>
      <w:pPr>
        <w:spacing w:after="0"/>
        <w:jc w:val="both"/>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spacing w:before="4"/>
        <w:rPr>
          <w:b/>
          <w:sz w:val="27"/>
        </w:rPr>
      </w:pPr>
    </w:p>
    <w:p>
      <w:pPr>
        <w:pStyle w:val="BodyText"/>
        <w:spacing w:line="480" w:lineRule="auto" w:before="100"/>
        <w:ind w:left="1418" w:right="1415"/>
        <w:jc w:val="both"/>
      </w:pPr>
      <w:r>
        <w:rPr/>
        <w:t>Il credito per Euro 116.800 si riferisce prevalentemente alle seguenti fatture emesse per  riaddebito costi del</w:t>
      </w:r>
      <w:r>
        <w:rPr>
          <w:spacing w:val="-15"/>
        </w:rPr>
        <w:t> </w:t>
      </w:r>
      <w:r>
        <w:rPr/>
        <w:t>personale:</w:t>
      </w:r>
    </w:p>
    <w:p>
      <w:pPr>
        <w:pStyle w:val="BodyText"/>
        <w:tabs>
          <w:tab w:pos="2126" w:val="left" w:leader="none"/>
        </w:tabs>
        <w:ind w:left="1778"/>
      </w:pPr>
      <w:r>
        <w:rPr>
          <w:rFonts w:ascii="Calibri"/>
        </w:rPr>
        <w:t>-</w:t>
        <w:tab/>
      </w:r>
      <w:r>
        <w:rPr/>
        <w:t>Ft. n. 1117060089 del 31.07.2017 USD</w:t>
      </w:r>
      <w:r>
        <w:rPr>
          <w:spacing w:val="-12"/>
        </w:rPr>
        <w:t> </w:t>
      </w:r>
      <w:r>
        <w:rPr/>
        <w:t>8.500;</w:t>
      </w:r>
    </w:p>
    <w:p>
      <w:pPr>
        <w:pStyle w:val="BodyText"/>
        <w:spacing w:before="10"/>
        <w:rPr>
          <w:sz w:val="23"/>
        </w:rPr>
      </w:pPr>
    </w:p>
    <w:p>
      <w:pPr>
        <w:pStyle w:val="BodyText"/>
        <w:tabs>
          <w:tab w:pos="2126" w:val="left" w:leader="none"/>
        </w:tabs>
        <w:ind w:left="1778"/>
      </w:pPr>
      <w:r>
        <w:rPr>
          <w:rFonts w:ascii="Calibri"/>
        </w:rPr>
        <w:t>-</w:t>
        <w:tab/>
      </w:r>
      <w:r>
        <w:rPr/>
        <w:t>Ft. n. 1117060099 del 15.09.2017 per USD</w:t>
      </w:r>
      <w:r>
        <w:rPr>
          <w:spacing w:val="-13"/>
        </w:rPr>
        <w:t> </w:t>
      </w:r>
      <w:r>
        <w:rPr/>
        <w:t>17.000;</w:t>
      </w:r>
    </w:p>
    <w:p>
      <w:pPr>
        <w:pStyle w:val="BodyText"/>
        <w:spacing w:before="9"/>
        <w:rPr>
          <w:sz w:val="23"/>
        </w:rPr>
      </w:pPr>
    </w:p>
    <w:p>
      <w:pPr>
        <w:pStyle w:val="BodyText"/>
        <w:tabs>
          <w:tab w:pos="2126" w:val="left" w:leader="none"/>
        </w:tabs>
        <w:spacing w:before="1"/>
        <w:ind w:left="1778"/>
      </w:pPr>
      <w:r>
        <w:rPr>
          <w:rFonts w:ascii="Calibri"/>
        </w:rPr>
        <w:t>-</w:t>
        <w:tab/>
      </w:r>
      <w:r>
        <w:rPr/>
        <w:t>Ft. n. 1117060105 del 29.09.2017 per Euro</w:t>
      </w:r>
      <w:r>
        <w:rPr>
          <w:spacing w:val="-16"/>
        </w:rPr>
        <w:t> </w:t>
      </w:r>
      <w:r>
        <w:rPr/>
        <w:t>21.586,82;</w:t>
      </w:r>
    </w:p>
    <w:p>
      <w:pPr>
        <w:pStyle w:val="BodyText"/>
        <w:spacing w:before="10"/>
        <w:rPr>
          <w:sz w:val="23"/>
        </w:rPr>
      </w:pPr>
    </w:p>
    <w:p>
      <w:pPr>
        <w:pStyle w:val="BodyText"/>
        <w:tabs>
          <w:tab w:pos="2126" w:val="left" w:leader="none"/>
        </w:tabs>
        <w:ind w:left="1778"/>
      </w:pPr>
      <w:r>
        <w:rPr>
          <w:rFonts w:ascii="Calibri"/>
        </w:rPr>
        <w:t>-</w:t>
        <w:tab/>
      </w:r>
      <w:r>
        <w:rPr/>
        <w:t>Ft. n. 1117060104 del 29.09.2017 per Euro</w:t>
      </w:r>
      <w:r>
        <w:rPr>
          <w:spacing w:val="-14"/>
        </w:rPr>
        <w:t> </w:t>
      </w:r>
      <w:r>
        <w:rPr/>
        <w:t>60.142,53.</w:t>
      </w:r>
    </w:p>
    <w:p>
      <w:pPr>
        <w:pStyle w:val="BodyText"/>
        <w:spacing w:before="9"/>
        <w:rPr>
          <w:sz w:val="23"/>
        </w:rPr>
      </w:pPr>
    </w:p>
    <w:p>
      <w:pPr>
        <w:pStyle w:val="BodyText"/>
        <w:ind w:left="1418"/>
        <w:jc w:val="both"/>
      </w:pPr>
      <w:r>
        <w:rPr>
          <w:u w:val="single"/>
        </w:rPr>
        <w:t>Attività svolta</w:t>
      </w:r>
    </w:p>
    <w:p>
      <w:pPr>
        <w:pStyle w:val="BodyText"/>
        <w:spacing w:before="10"/>
        <w:rPr>
          <w:sz w:val="23"/>
        </w:rPr>
      </w:pPr>
    </w:p>
    <w:p>
      <w:pPr>
        <w:pStyle w:val="BodyText"/>
        <w:spacing w:line="480" w:lineRule="auto" w:before="1"/>
        <w:ind w:left="1418" w:right="1413"/>
        <w:jc w:val="both"/>
      </w:pPr>
      <w:r>
        <w:rPr/>
        <w:t>Abbiamo preso visione delle fatture sopra elencate. Si segnala che come si evince dalle ricostruzioni effettuate dalla Società con riguardo alle operazioni intecompany riportate nei </w:t>
      </w:r>
      <w:r>
        <w:rPr>
          <w:i/>
        </w:rPr>
        <w:t>Deliverables </w:t>
      </w:r>
      <w:r>
        <w:rPr/>
        <w:t>di Deloitte, consegnataci dalla Società la parte correlata in oggetto è stata destinataria nel 2013 del trasferimento da parte di BIOCHEMTEX del </w:t>
      </w:r>
      <w:r>
        <w:rPr>
          <w:i/>
        </w:rPr>
        <w:t>Pet Licence Agreement </w:t>
      </w:r>
      <w:r>
        <w:rPr/>
        <w:t>ad un prezzo di Euro 105.160 mila sulla base di perizia valutativa del dott. C. Becker. Sulla base delle previsioni contrattuali la società rimaneva solidalmente obbligata con M&amp;G POLYMERS USA per tutte le obbligazioni conseguenti al “Pet License Agreement”</w:t>
      </w:r>
    </w:p>
    <w:p>
      <w:pPr>
        <w:pStyle w:val="BodyText"/>
        <w:ind w:left="1418"/>
        <w:jc w:val="both"/>
      </w:pPr>
      <w:r>
        <w:rPr>
          <w:u w:val="single"/>
        </w:rPr>
        <w:t>Valorizzazione concordataria</w:t>
      </w:r>
    </w:p>
    <w:p>
      <w:pPr>
        <w:pStyle w:val="BodyText"/>
        <w:spacing w:before="11"/>
        <w:rPr>
          <w:sz w:val="23"/>
        </w:rPr>
      </w:pPr>
    </w:p>
    <w:p>
      <w:pPr>
        <w:pStyle w:val="BodyText"/>
        <w:spacing w:line="480" w:lineRule="auto"/>
        <w:ind w:left="1418" w:right="1412"/>
        <w:jc w:val="both"/>
      </w:pPr>
      <w:r>
        <w:rPr/>
        <w:t>La società è sottoposta alla procedura Chapter 11 e pertanto prudenzialmente il credito è stato svalutato.</w:t>
      </w:r>
    </w:p>
    <w:p>
      <w:pPr>
        <w:pStyle w:val="Heading2"/>
        <w:jc w:val="both"/>
      </w:pPr>
      <w:r>
        <w:rPr>
          <w:u w:val="single"/>
        </w:rPr>
        <w:t>Credito verso M&amp;G Resins</w:t>
      </w:r>
    </w:p>
    <w:p>
      <w:pPr>
        <w:pStyle w:val="BodyText"/>
        <w:spacing w:before="2"/>
        <w:rPr>
          <w:b/>
          <w:sz w:val="15"/>
        </w:rPr>
      </w:pPr>
    </w:p>
    <w:p>
      <w:pPr>
        <w:pStyle w:val="BodyText"/>
        <w:spacing w:line="480" w:lineRule="auto" w:before="100"/>
        <w:ind w:left="1418" w:right="1419"/>
        <w:jc w:val="both"/>
      </w:pPr>
      <w:r>
        <w:rPr/>
        <w:t>Il credito per Euro 6.476,8 è riferito allo stanziamento per la quota di competenza al 15 ottobre, delle fatture emesse in data 31.10.2017, n 1117060123 e n 1117060124, riferite al riaddebito di costi del dipendente De Vita per trasferte effettuate in Texas (Corpus Christi).</w:t>
      </w:r>
    </w:p>
    <w:p>
      <w:pPr>
        <w:pStyle w:val="Heading2"/>
        <w:jc w:val="both"/>
      </w:pPr>
      <w:r>
        <w:rPr>
          <w:u w:val="single"/>
        </w:rPr>
        <w:t>Credito verso M&amp;G USA</w:t>
      </w:r>
    </w:p>
    <w:p>
      <w:pPr>
        <w:spacing w:after="0"/>
        <w:jc w:val="both"/>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spacing w:before="4"/>
        <w:rPr>
          <w:b/>
          <w:sz w:val="27"/>
        </w:rPr>
      </w:pPr>
    </w:p>
    <w:p>
      <w:pPr>
        <w:spacing w:line="480" w:lineRule="auto" w:before="100"/>
        <w:ind w:left="1418" w:right="1413" w:firstLine="0"/>
        <w:jc w:val="both"/>
        <w:rPr>
          <w:i/>
          <w:sz w:val="24"/>
        </w:rPr>
      </w:pPr>
      <w:r>
        <w:rPr>
          <w:sz w:val="24"/>
        </w:rPr>
        <w:t>Il credito pari ad Euro 847 è portato dalla fattura n 1116060114 del 30 novembre 2016 USD  1000 emessa in riferimento alla cessione del 100% della quota del </w:t>
      </w:r>
      <w:r>
        <w:rPr>
          <w:i/>
          <w:sz w:val="24"/>
        </w:rPr>
        <w:t>“Membership Interest of M&amp;G </w:t>
      </w:r>
      <w:r>
        <w:rPr>
          <w:i/>
          <w:sz w:val="24"/>
        </w:rPr>
        <w:t>waters</w:t>
      </w:r>
      <w:r>
        <w:rPr>
          <w:i/>
          <w:spacing w:val="-1"/>
          <w:sz w:val="24"/>
        </w:rPr>
        <w:t> </w:t>
      </w:r>
      <w:r>
        <w:rPr>
          <w:i/>
          <w:sz w:val="24"/>
        </w:rPr>
        <w:t>USA”.</w:t>
      </w:r>
    </w:p>
    <w:p>
      <w:pPr>
        <w:pStyle w:val="BodyText"/>
        <w:spacing w:line="480" w:lineRule="auto"/>
        <w:ind w:left="1418" w:right="1420"/>
        <w:jc w:val="both"/>
      </w:pPr>
      <w:r>
        <w:rPr/>
        <w:t>Con riferimento al credito verso M&amp;G Resin si segnala che la società ha stimato di realizzare solo la quota parte di credito maturata in data successiva all’entrata della stessa in Chapter11, così per complessivi Euro 12.691.</w:t>
      </w:r>
    </w:p>
    <w:p>
      <w:pPr>
        <w:pStyle w:val="BodyText"/>
        <w:spacing w:line="480" w:lineRule="auto"/>
        <w:ind w:left="1418" w:right="1421"/>
        <w:jc w:val="both"/>
      </w:pPr>
      <w:r>
        <w:rPr/>
        <w:t>I crediti verso M&amp;G USA e M&amp;G Polymers, sono stati interamente svalutati tenuto conto dell’entrata delle stesse nella procedura del Chapter11.</w:t>
      </w:r>
    </w:p>
    <w:p>
      <w:pPr>
        <w:pStyle w:val="BodyText"/>
        <w:spacing w:line="480" w:lineRule="auto"/>
        <w:ind w:left="1418" w:right="1419"/>
        <w:jc w:val="both"/>
      </w:pPr>
      <w:r>
        <w:rPr/>
        <w:t>Infine, i crediti verso Carolina Cellulosic Biofuels e M&amp;G Logistics sono stati svalutati in quanto allo stato non è possibile prevederne con ragionevole certezza l’incasso.</w:t>
      </w:r>
    </w:p>
    <w:p>
      <w:pPr>
        <w:pStyle w:val="Heading2"/>
        <w:numPr>
          <w:ilvl w:val="0"/>
          <w:numId w:val="60"/>
        </w:numPr>
        <w:tabs>
          <w:tab w:pos="2126" w:val="left" w:leader="none"/>
          <w:tab w:pos="2127" w:val="left" w:leader="none"/>
        </w:tabs>
        <w:spacing w:line="240" w:lineRule="auto" w:before="0" w:after="0"/>
        <w:ind w:left="2126" w:right="0" w:hanging="348"/>
        <w:jc w:val="left"/>
      </w:pPr>
      <w:r>
        <w:rPr>
          <w:u w:val="single"/>
        </w:rPr>
        <w:t>Altri Crediti verso il</w:t>
      </w:r>
      <w:r>
        <w:rPr>
          <w:spacing w:val="-16"/>
          <w:u w:val="single"/>
        </w:rPr>
        <w:t> </w:t>
      </w:r>
      <w:r>
        <w:rPr>
          <w:u w:val="single"/>
        </w:rPr>
        <w:t>Gruppo</w:t>
      </w:r>
    </w:p>
    <w:p>
      <w:pPr>
        <w:pStyle w:val="BodyText"/>
        <w:rPr>
          <w:b/>
          <w:sz w:val="20"/>
        </w:rPr>
      </w:pPr>
    </w:p>
    <w:p>
      <w:pPr>
        <w:pStyle w:val="BodyText"/>
        <w:spacing w:before="3"/>
        <w:rPr>
          <w:b/>
          <w:sz w:val="16"/>
        </w:rPr>
      </w:pPr>
    </w:p>
    <w:tbl>
      <w:tblPr>
        <w:tblW w:w="0" w:type="auto"/>
        <w:jc w:val="left"/>
        <w:tblInd w:w="1419"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1038"/>
        <w:gridCol w:w="1804"/>
        <w:gridCol w:w="1054"/>
        <w:gridCol w:w="1054"/>
        <w:gridCol w:w="1054"/>
        <w:gridCol w:w="1054"/>
        <w:gridCol w:w="947"/>
        <w:gridCol w:w="1054"/>
      </w:tblGrid>
      <w:tr>
        <w:trPr>
          <w:trHeight w:val="618" w:hRule="exact"/>
        </w:trPr>
        <w:tc>
          <w:tcPr>
            <w:tcW w:w="1038" w:type="dxa"/>
            <w:shd w:val="clear" w:color="auto" w:fill="BEBEBE"/>
          </w:tcPr>
          <w:p>
            <w:pPr>
              <w:pStyle w:val="TableParagraph"/>
              <w:spacing w:before="0"/>
              <w:jc w:val="left"/>
              <w:rPr>
                <w:b/>
                <w:sz w:val="14"/>
              </w:rPr>
            </w:pPr>
          </w:p>
          <w:p>
            <w:pPr>
              <w:pStyle w:val="TableParagraph"/>
              <w:spacing w:before="84"/>
              <w:ind w:left="47" w:right="45"/>
              <w:jc w:val="center"/>
              <w:rPr>
                <w:b/>
                <w:sz w:val="13"/>
              </w:rPr>
            </w:pPr>
            <w:r>
              <w:rPr>
                <w:b/>
                <w:sz w:val="13"/>
              </w:rPr>
              <w:t>Conto</w:t>
            </w:r>
          </w:p>
        </w:tc>
        <w:tc>
          <w:tcPr>
            <w:tcW w:w="1804" w:type="dxa"/>
            <w:shd w:val="clear" w:color="auto" w:fill="BEBEBE"/>
          </w:tcPr>
          <w:p>
            <w:pPr>
              <w:pStyle w:val="TableParagraph"/>
              <w:spacing w:before="0"/>
              <w:jc w:val="left"/>
              <w:rPr>
                <w:b/>
                <w:sz w:val="14"/>
              </w:rPr>
            </w:pPr>
          </w:p>
          <w:p>
            <w:pPr>
              <w:pStyle w:val="TableParagraph"/>
              <w:spacing w:before="84"/>
              <w:ind w:left="560"/>
              <w:jc w:val="left"/>
              <w:rPr>
                <w:b/>
                <w:sz w:val="13"/>
              </w:rPr>
            </w:pPr>
            <w:r>
              <w:rPr>
                <w:b/>
                <w:sz w:val="13"/>
              </w:rPr>
              <w:t>Descrizione</w:t>
            </w:r>
          </w:p>
        </w:tc>
        <w:tc>
          <w:tcPr>
            <w:tcW w:w="1054" w:type="dxa"/>
            <w:shd w:val="clear" w:color="auto" w:fill="BEBEBE"/>
          </w:tcPr>
          <w:p>
            <w:pPr>
              <w:pStyle w:val="TableParagraph"/>
              <w:spacing w:before="0"/>
              <w:jc w:val="left"/>
              <w:rPr>
                <w:b/>
                <w:sz w:val="14"/>
              </w:rPr>
            </w:pPr>
          </w:p>
          <w:p>
            <w:pPr>
              <w:pStyle w:val="TableParagraph"/>
              <w:spacing w:before="84"/>
              <w:ind w:right="45"/>
              <w:rPr>
                <w:b/>
                <w:sz w:val="13"/>
              </w:rPr>
            </w:pPr>
            <w:r>
              <w:rPr>
                <w:b/>
                <w:sz w:val="13"/>
              </w:rPr>
              <w:t>BdV al 15.10.2017</w:t>
            </w:r>
          </w:p>
        </w:tc>
        <w:tc>
          <w:tcPr>
            <w:tcW w:w="1054" w:type="dxa"/>
            <w:shd w:val="clear" w:color="auto" w:fill="BEBEBE"/>
          </w:tcPr>
          <w:p>
            <w:pPr>
              <w:pStyle w:val="TableParagraph"/>
              <w:spacing w:before="5"/>
              <w:jc w:val="left"/>
              <w:rPr>
                <w:b/>
                <w:sz w:val="13"/>
              </w:rPr>
            </w:pPr>
          </w:p>
          <w:p>
            <w:pPr>
              <w:pStyle w:val="TableParagraph"/>
              <w:spacing w:line="283" w:lineRule="auto" w:before="0"/>
              <w:ind w:left="296" w:right="194" w:hanging="100"/>
              <w:jc w:val="left"/>
              <w:rPr>
                <w:b/>
                <w:sz w:val="13"/>
              </w:rPr>
            </w:pPr>
            <w:r>
              <w:rPr>
                <w:b/>
                <w:sz w:val="13"/>
              </w:rPr>
              <w:t>Trasferito a Versalis</w:t>
            </w:r>
          </w:p>
        </w:tc>
        <w:tc>
          <w:tcPr>
            <w:tcW w:w="1054" w:type="dxa"/>
            <w:shd w:val="clear" w:color="auto" w:fill="BEBEBE"/>
          </w:tcPr>
          <w:p>
            <w:pPr>
              <w:pStyle w:val="TableParagraph"/>
              <w:spacing w:before="0"/>
              <w:jc w:val="left"/>
              <w:rPr>
                <w:b/>
                <w:sz w:val="14"/>
              </w:rPr>
            </w:pPr>
          </w:p>
          <w:p>
            <w:pPr>
              <w:pStyle w:val="TableParagraph"/>
              <w:spacing w:before="84"/>
              <w:ind w:left="123"/>
              <w:jc w:val="left"/>
              <w:rPr>
                <w:b/>
                <w:sz w:val="13"/>
              </w:rPr>
            </w:pPr>
            <w:r>
              <w:rPr>
                <w:b/>
                <w:sz w:val="13"/>
              </w:rPr>
              <w:t>Non trasferito</w:t>
            </w:r>
          </w:p>
        </w:tc>
        <w:tc>
          <w:tcPr>
            <w:tcW w:w="1054" w:type="dxa"/>
            <w:shd w:val="clear" w:color="auto" w:fill="BEBEBE"/>
          </w:tcPr>
          <w:p>
            <w:pPr>
              <w:pStyle w:val="TableParagraph"/>
              <w:spacing w:before="0"/>
              <w:jc w:val="left"/>
              <w:rPr>
                <w:b/>
                <w:sz w:val="14"/>
              </w:rPr>
            </w:pPr>
          </w:p>
          <w:p>
            <w:pPr>
              <w:pStyle w:val="TableParagraph"/>
              <w:spacing w:before="84"/>
              <w:ind w:left="82"/>
              <w:jc w:val="left"/>
              <w:rPr>
                <w:b/>
                <w:sz w:val="13"/>
              </w:rPr>
            </w:pPr>
            <w:r>
              <w:rPr>
                <w:b/>
                <w:sz w:val="13"/>
              </w:rPr>
              <w:t>Compensazioni</w:t>
            </w:r>
          </w:p>
        </w:tc>
        <w:tc>
          <w:tcPr>
            <w:tcW w:w="947" w:type="dxa"/>
            <w:shd w:val="clear" w:color="auto" w:fill="BEBEBE"/>
          </w:tcPr>
          <w:p>
            <w:pPr>
              <w:pStyle w:val="TableParagraph"/>
              <w:spacing w:before="5"/>
              <w:jc w:val="left"/>
              <w:rPr>
                <w:b/>
                <w:sz w:val="13"/>
              </w:rPr>
            </w:pPr>
          </w:p>
          <w:p>
            <w:pPr>
              <w:pStyle w:val="TableParagraph"/>
              <w:spacing w:line="283" w:lineRule="auto" w:before="0"/>
              <w:ind w:left="74" w:firstLine="123"/>
              <w:jc w:val="left"/>
              <w:rPr>
                <w:b/>
                <w:sz w:val="13"/>
              </w:rPr>
            </w:pPr>
            <w:r>
              <w:rPr>
                <w:b/>
                <w:sz w:val="13"/>
              </w:rPr>
              <w:t>Rettifiche concordatarie</w:t>
            </w:r>
          </w:p>
        </w:tc>
        <w:tc>
          <w:tcPr>
            <w:tcW w:w="1054" w:type="dxa"/>
            <w:shd w:val="clear" w:color="auto" w:fill="BEBEBE"/>
          </w:tcPr>
          <w:p>
            <w:pPr>
              <w:pStyle w:val="TableParagraph"/>
              <w:spacing w:line="283" w:lineRule="auto" w:before="69"/>
              <w:ind w:left="41" w:right="46"/>
              <w:jc w:val="center"/>
              <w:rPr>
                <w:b/>
                <w:sz w:val="13"/>
              </w:rPr>
            </w:pPr>
            <w:r>
              <w:rPr>
                <w:b/>
                <w:sz w:val="13"/>
              </w:rPr>
              <w:t>valore di realizzo ai fini concordatario</w:t>
            </w:r>
          </w:p>
        </w:tc>
      </w:tr>
      <w:tr>
        <w:trPr>
          <w:trHeight w:val="183" w:hRule="exact"/>
        </w:trPr>
        <w:tc>
          <w:tcPr>
            <w:tcW w:w="1038" w:type="dxa"/>
            <w:tcBorders>
              <w:bottom w:val="nil"/>
            </w:tcBorders>
          </w:tcPr>
          <w:p>
            <w:pPr>
              <w:pStyle w:val="TableParagraph"/>
              <w:spacing w:before="19"/>
              <w:ind w:left="47" w:right="47"/>
              <w:jc w:val="center"/>
              <w:rPr>
                <w:sz w:val="13"/>
              </w:rPr>
            </w:pPr>
            <w:r>
              <w:rPr>
                <w:sz w:val="13"/>
              </w:rPr>
              <w:t>2249012-2169020</w:t>
            </w:r>
          </w:p>
        </w:tc>
        <w:tc>
          <w:tcPr>
            <w:tcW w:w="1804" w:type="dxa"/>
            <w:tcBorders>
              <w:bottom w:val="nil"/>
            </w:tcBorders>
          </w:tcPr>
          <w:p>
            <w:pPr>
              <w:pStyle w:val="TableParagraph"/>
              <w:spacing w:before="19"/>
              <w:ind w:left="16"/>
              <w:jc w:val="left"/>
              <w:rPr>
                <w:sz w:val="13"/>
              </w:rPr>
            </w:pPr>
            <w:r>
              <w:rPr>
                <w:sz w:val="13"/>
              </w:rPr>
              <w:t>BETA RENEWABLES</w:t>
            </w:r>
          </w:p>
        </w:tc>
        <w:tc>
          <w:tcPr>
            <w:tcW w:w="1054" w:type="dxa"/>
            <w:tcBorders>
              <w:bottom w:val="nil"/>
            </w:tcBorders>
          </w:tcPr>
          <w:p>
            <w:pPr>
              <w:pStyle w:val="TableParagraph"/>
              <w:spacing w:before="19"/>
              <w:ind w:right="60"/>
              <w:rPr>
                <w:sz w:val="13"/>
              </w:rPr>
            </w:pPr>
            <w:r>
              <w:rPr>
                <w:sz w:val="13"/>
              </w:rPr>
              <w:t>381.097</w:t>
            </w:r>
          </w:p>
        </w:tc>
        <w:tc>
          <w:tcPr>
            <w:tcW w:w="1054" w:type="dxa"/>
            <w:vMerge w:val="restart"/>
          </w:tcPr>
          <w:p>
            <w:pPr/>
          </w:p>
        </w:tc>
        <w:tc>
          <w:tcPr>
            <w:tcW w:w="1054" w:type="dxa"/>
            <w:tcBorders>
              <w:bottom w:val="nil"/>
            </w:tcBorders>
          </w:tcPr>
          <w:p>
            <w:pPr>
              <w:pStyle w:val="TableParagraph"/>
              <w:spacing w:before="19"/>
              <w:ind w:right="60"/>
              <w:rPr>
                <w:sz w:val="13"/>
              </w:rPr>
            </w:pPr>
            <w:r>
              <w:rPr>
                <w:sz w:val="13"/>
              </w:rPr>
              <w:t>381.097</w:t>
            </w:r>
          </w:p>
        </w:tc>
        <w:tc>
          <w:tcPr>
            <w:tcW w:w="1054" w:type="dxa"/>
            <w:tcBorders>
              <w:bottom w:val="nil"/>
            </w:tcBorders>
          </w:tcPr>
          <w:p>
            <w:pPr/>
          </w:p>
        </w:tc>
        <w:tc>
          <w:tcPr>
            <w:tcW w:w="947" w:type="dxa"/>
            <w:tcBorders>
              <w:bottom w:val="nil"/>
            </w:tcBorders>
          </w:tcPr>
          <w:p>
            <w:pPr>
              <w:pStyle w:val="TableParagraph"/>
              <w:spacing w:before="19"/>
              <w:ind w:right="18"/>
              <w:rPr>
                <w:sz w:val="13"/>
              </w:rPr>
            </w:pPr>
            <w:r>
              <w:rPr>
                <w:sz w:val="13"/>
              </w:rPr>
              <w:t>(210.099)</w:t>
            </w:r>
          </w:p>
        </w:tc>
        <w:tc>
          <w:tcPr>
            <w:tcW w:w="1054" w:type="dxa"/>
            <w:tcBorders>
              <w:bottom w:val="nil"/>
            </w:tcBorders>
          </w:tcPr>
          <w:p>
            <w:pPr>
              <w:pStyle w:val="TableParagraph"/>
              <w:spacing w:before="19"/>
              <w:ind w:right="60"/>
              <w:rPr>
                <w:sz w:val="13"/>
              </w:rPr>
            </w:pPr>
            <w:r>
              <w:rPr>
                <w:sz w:val="13"/>
              </w:rPr>
              <w:t>170.998</w:t>
            </w:r>
          </w:p>
        </w:tc>
      </w:tr>
      <w:tr>
        <w:trPr>
          <w:trHeight w:val="173" w:hRule="exact"/>
        </w:trPr>
        <w:tc>
          <w:tcPr>
            <w:tcW w:w="1038" w:type="dxa"/>
            <w:tcBorders>
              <w:top w:val="nil"/>
              <w:bottom w:val="nil"/>
            </w:tcBorders>
          </w:tcPr>
          <w:p>
            <w:pPr>
              <w:pStyle w:val="TableParagraph"/>
              <w:spacing w:before="14"/>
              <w:ind w:left="47" w:right="40"/>
              <w:jc w:val="center"/>
              <w:rPr>
                <w:sz w:val="13"/>
              </w:rPr>
            </w:pPr>
            <w:r>
              <w:rPr>
                <w:sz w:val="13"/>
              </w:rPr>
              <w:t>2249012</w:t>
            </w:r>
          </w:p>
        </w:tc>
        <w:tc>
          <w:tcPr>
            <w:tcW w:w="1804" w:type="dxa"/>
            <w:tcBorders>
              <w:top w:val="nil"/>
              <w:bottom w:val="nil"/>
            </w:tcBorders>
          </w:tcPr>
          <w:p>
            <w:pPr>
              <w:pStyle w:val="TableParagraph"/>
              <w:spacing w:before="14"/>
              <w:ind w:left="16"/>
              <w:jc w:val="left"/>
              <w:rPr>
                <w:sz w:val="13"/>
              </w:rPr>
            </w:pPr>
            <w:r>
              <w:rPr>
                <w:sz w:val="13"/>
              </w:rPr>
              <w:t>C5-6 ITALY</w:t>
            </w:r>
          </w:p>
        </w:tc>
        <w:tc>
          <w:tcPr>
            <w:tcW w:w="1054" w:type="dxa"/>
            <w:tcBorders>
              <w:top w:val="nil"/>
              <w:bottom w:val="nil"/>
            </w:tcBorders>
          </w:tcPr>
          <w:p>
            <w:pPr>
              <w:pStyle w:val="TableParagraph"/>
              <w:spacing w:before="14"/>
              <w:ind w:right="60"/>
              <w:rPr>
                <w:sz w:val="13"/>
              </w:rPr>
            </w:pPr>
            <w:r>
              <w:rPr>
                <w:sz w:val="13"/>
              </w:rPr>
              <w:t>3.334</w:t>
            </w:r>
          </w:p>
        </w:tc>
        <w:tc>
          <w:tcPr>
            <w:tcW w:w="1054" w:type="dxa"/>
            <w:vMerge/>
          </w:tcPr>
          <w:p>
            <w:pPr/>
          </w:p>
        </w:tc>
        <w:tc>
          <w:tcPr>
            <w:tcW w:w="1054" w:type="dxa"/>
            <w:tcBorders>
              <w:top w:val="nil"/>
              <w:bottom w:val="nil"/>
            </w:tcBorders>
          </w:tcPr>
          <w:p>
            <w:pPr>
              <w:pStyle w:val="TableParagraph"/>
              <w:spacing w:before="14"/>
              <w:ind w:right="60"/>
              <w:rPr>
                <w:sz w:val="13"/>
              </w:rPr>
            </w:pPr>
            <w:r>
              <w:rPr>
                <w:sz w:val="13"/>
              </w:rPr>
              <w:t>3.334</w:t>
            </w:r>
          </w:p>
        </w:tc>
        <w:tc>
          <w:tcPr>
            <w:tcW w:w="1054" w:type="dxa"/>
            <w:tcBorders>
              <w:top w:val="nil"/>
              <w:bottom w:val="nil"/>
            </w:tcBorders>
          </w:tcPr>
          <w:p>
            <w:pPr>
              <w:pStyle w:val="TableParagraph"/>
              <w:spacing w:before="14"/>
              <w:ind w:right="18"/>
              <w:rPr>
                <w:sz w:val="13"/>
              </w:rPr>
            </w:pPr>
            <w:r>
              <w:rPr>
                <w:sz w:val="13"/>
              </w:rPr>
              <w:t>(3.334)</w:t>
            </w:r>
          </w:p>
        </w:tc>
        <w:tc>
          <w:tcPr>
            <w:tcW w:w="947" w:type="dxa"/>
            <w:tcBorders>
              <w:top w:val="nil"/>
              <w:bottom w:val="nil"/>
            </w:tcBorders>
          </w:tcPr>
          <w:p>
            <w:pPr/>
          </w:p>
        </w:tc>
        <w:tc>
          <w:tcPr>
            <w:tcW w:w="1054" w:type="dxa"/>
            <w:tcBorders>
              <w:top w:val="nil"/>
              <w:bottom w:val="nil"/>
            </w:tcBorders>
          </w:tcPr>
          <w:p>
            <w:pPr>
              <w:pStyle w:val="TableParagraph"/>
              <w:spacing w:before="14"/>
              <w:ind w:right="187"/>
              <w:rPr>
                <w:sz w:val="13"/>
              </w:rPr>
            </w:pPr>
            <w:r>
              <w:rPr>
                <w:w w:val="101"/>
                <w:sz w:val="13"/>
              </w:rPr>
              <w:t>-</w:t>
            </w:r>
          </w:p>
        </w:tc>
      </w:tr>
      <w:tr>
        <w:trPr>
          <w:trHeight w:val="173" w:hRule="exact"/>
        </w:trPr>
        <w:tc>
          <w:tcPr>
            <w:tcW w:w="1038" w:type="dxa"/>
            <w:tcBorders>
              <w:top w:val="nil"/>
              <w:bottom w:val="nil"/>
            </w:tcBorders>
          </w:tcPr>
          <w:p>
            <w:pPr>
              <w:pStyle w:val="TableParagraph"/>
              <w:spacing w:before="14"/>
              <w:ind w:left="47" w:right="40"/>
              <w:jc w:val="center"/>
              <w:rPr>
                <w:sz w:val="13"/>
              </w:rPr>
            </w:pPr>
            <w:r>
              <w:rPr>
                <w:sz w:val="13"/>
              </w:rPr>
              <w:t>2249012</w:t>
            </w:r>
          </w:p>
        </w:tc>
        <w:tc>
          <w:tcPr>
            <w:tcW w:w="1804" w:type="dxa"/>
            <w:tcBorders>
              <w:top w:val="nil"/>
              <w:bottom w:val="nil"/>
            </w:tcBorders>
          </w:tcPr>
          <w:p>
            <w:pPr>
              <w:pStyle w:val="TableParagraph"/>
              <w:spacing w:before="14"/>
              <w:ind w:left="16"/>
              <w:jc w:val="left"/>
              <w:rPr>
                <w:sz w:val="13"/>
              </w:rPr>
            </w:pPr>
            <w:r>
              <w:rPr>
                <w:sz w:val="13"/>
              </w:rPr>
              <w:t>ITALIAN BIOPRODUCT</w:t>
            </w:r>
          </w:p>
        </w:tc>
        <w:tc>
          <w:tcPr>
            <w:tcW w:w="1054" w:type="dxa"/>
            <w:tcBorders>
              <w:top w:val="nil"/>
              <w:bottom w:val="nil"/>
            </w:tcBorders>
          </w:tcPr>
          <w:p>
            <w:pPr>
              <w:pStyle w:val="TableParagraph"/>
              <w:spacing w:before="14"/>
              <w:ind w:right="60"/>
              <w:rPr>
                <w:sz w:val="13"/>
              </w:rPr>
            </w:pPr>
            <w:r>
              <w:rPr>
                <w:sz w:val="13"/>
              </w:rPr>
              <w:t>9.093</w:t>
            </w:r>
          </w:p>
        </w:tc>
        <w:tc>
          <w:tcPr>
            <w:tcW w:w="1054" w:type="dxa"/>
            <w:vMerge/>
          </w:tcPr>
          <w:p>
            <w:pPr/>
          </w:p>
        </w:tc>
        <w:tc>
          <w:tcPr>
            <w:tcW w:w="1054" w:type="dxa"/>
            <w:tcBorders>
              <w:top w:val="nil"/>
              <w:bottom w:val="nil"/>
            </w:tcBorders>
          </w:tcPr>
          <w:p>
            <w:pPr>
              <w:pStyle w:val="TableParagraph"/>
              <w:spacing w:before="14"/>
              <w:ind w:right="60"/>
              <w:rPr>
                <w:sz w:val="13"/>
              </w:rPr>
            </w:pPr>
            <w:r>
              <w:rPr>
                <w:sz w:val="13"/>
              </w:rPr>
              <w:t>9.093</w:t>
            </w:r>
          </w:p>
        </w:tc>
        <w:tc>
          <w:tcPr>
            <w:tcW w:w="1054" w:type="dxa"/>
            <w:tcBorders>
              <w:top w:val="nil"/>
              <w:bottom w:val="nil"/>
            </w:tcBorders>
          </w:tcPr>
          <w:p>
            <w:pPr/>
          </w:p>
        </w:tc>
        <w:tc>
          <w:tcPr>
            <w:tcW w:w="947" w:type="dxa"/>
            <w:tcBorders>
              <w:top w:val="nil"/>
              <w:bottom w:val="nil"/>
            </w:tcBorders>
          </w:tcPr>
          <w:p>
            <w:pPr>
              <w:pStyle w:val="TableParagraph"/>
              <w:spacing w:before="14"/>
              <w:ind w:right="18"/>
              <w:rPr>
                <w:sz w:val="13"/>
              </w:rPr>
            </w:pPr>
            <w:r>
              <w:rPr>
                <w:sz w:val="13"/>
              </w:rPr>
              <w:t>(9.093)</w:t>
            </w:r>
          </w:p>
        </w:tc>
        <w:tc>
          <w:tcPr>
            <w:tcW w:w="1054" w:type="dxa"/>
            <w:tcBorders>
              <w:top w:val="nil"/>
              <w:bottom w:val="nil"/>
            </w:tcBorders>
          </w:tcPr>
          <w:p>
            <w:pPr>
              <w:pStyle w:val="TableParagraph"/>
              <w:spacing w:before="14"/>
              <w:ind w:right="187"/>
              <w:rPr>
                <w:sz w:val="13"/>
              </w:rPr>
            </w:pPr>
            <w:r>
              <w:rPr>
                <w:w w:val="101"/>
                <w:sz w:val="13"/>
              </w:rPr>
              <w:t>-</w:t>
            </w:r>
          </w:p>
        </w:tc>
      </w:tr>
      <w:tr>
        <w:trPr>
          <w:trHeight w:val="173" w:hRule="exact"/>
        </w:trPr>
        <w:tc>
          <w:tcPr>
            <w:tcW w:w="1038" w:type="dxa"/>
            <w:tcBorders>
              <w:top w:val="nil"/>
              <w:bottom w:val="nil"/>
            </w:tcBorders>
          </w:tcPr>
          <w:p>
            <w:pPr>
              <w:pStyle w:val="TableParagraph"/>
              <w:spacing w:before="14"/>
              <w:ind w:left="47" w:right="40"/>
              <w:jc w:val="center"/>
              <w:rPr>
                <w:sz w:val="13"/>
              </w:rPr>
            </w:pPr>
            <w:r>
              <w:rPr>
                <w:sz w:val="13"/>
              </w:rPr>
              <w:t>2249170</w:t>
            </w:r>
          </w:p>
        </w:tc>
        <w:tc>
          <w:tcPr>
            <w:tcW w:w="1804" w:type="dxa"/>
            <w:tcBorders>
              <w:top w:val="nil"/>
              <w:bottom w:val="nil"/>
            </w:tcBorders>
          </w:tcPr>
          <w:p>
            <w:pPr>
              <w:pStyle w:val="TableParagraph"/>
              <w:spacing w:before="14"/>
              <w:ind w:left="16"/>
              <w:jc w:val="left"/>
              <w:rPr>
                <w:sz w:val="13"/>
              </w:rPr>
            </w:pPr>
            <w:r>
              <w:rPr>
                <w:sz w:val="13"/>
              </w:rPr>
              <w:t>M&amp;G SPA</w:t>
            </w:r>
          </w:p>
        </w:tc>
        <w:tc>
          <w:tcPr>
            <w:tcW w:w="1054" w:type="dxa"/>
            <w:tcBorders>
              <w:top w:val="nil"/>
              <w:bottom w:val="nil"/>
            </w:tcBorders>
          </w:tcPr>
          <w:p>
            <w:pPr>
              <w:pStyle w:val="TableParagraph"/>
              <w:spacing w:before="14"/>
              <w:ind w:right="60"/>
              <w:rPr>
                <w:sz w:val="13"/>
              </w:rPr>
            </w:pPr>
            <w:r>
              <w:rPr>
                <w:sz w:val="13"/>
              </w:rPr>
              <w:t>365.266</w:t>
            </w:r>
          </w:p>
        </w:tc>
        <w:tc>
          <w:tcPr>
            <w:tcW w:w="1054" w:type="dxa"/>
            <w:vMerge/>
          </w:tcPr>
          <w:p>
            <w:pPr/>
          </w:p>
        </w:tc>
        <w:tc>
          <w:tcPr>
            <w:tcW w:w="1054" w:type="dxa"/>
            <w:tcBorders>
              <w:top w:val="nil"/>
              <w:bottom w:val="nil"/>
            </w:tcBorders>
          </w:tcPr>
          <w:p>
            <w:pPr>
              <w:pStyle w:val="TableParagraph"/>
              <w:spacing w:before="14"/>
              <w:ind w:right="60"/>
              <w:rPr>
                <w:sz w:val="13"/>
              </w:rPr>
            </w:pPr>
            <w:r>
              <w:rPr>
                <w:sz w:val="13"/>
              </w:rPr>
              <w:t>365.266</w:t>
            </w:r>
          </w:p>
        </w:tc>
        <w:tc>
          <w:tcPr>
            <w:tcW w:w="1054" w:type="dxa"/>
            <w:tcBorders>
              <w:top w:val="nil"/>
              <w:bottom w:val="nil"/>
            </w:tcBorders>
          </w:tcPr>
          <w:p>
            <w:pPr/>
          </w:p>
        </w:tc>
        <w:tc>
          <w:tcPr>
            <w:tcW w:w="947" w:type="dxa"/>
            <w:tcBorders>
              <w:top w:val="nil"/>
              <w:bottom w:val="nil"/>
            </w:tcBorders>
          </w:tcPr>
          <w:p>
            <w:pPr>
              <w:pStyle w:val="TableParagraph"/>
              <w:spacing w:before="14"/>
              <w:ind w:right="18"/>
              <w:rPr>
                <w:sz w:val="13"/>
              </w:rPr>
            </w:pPr>
            <w:r>
              <w:rPr>
                <w:sz w:val="13"/>
              </w:rPr>
              <w:t>(365.266)</w:t>
            </w:r>
          </w:p>
        </w:tc>
        <w:tc>
          <w:tcPr>
            <w:tcW w:w="1054" w:type="dxa"/>
            <w:tcBorders>
              <w:top w:val="nil"/>
              <w:bottom w:val="nil"/>
            </w:tcBorders>
          </w:tcPr>
          <w:p>
            <w:pPr>
              <w:pStyle w:val="TableParagraph"/>
              <w:spacing w:before="14"/>
              <w:ind w:right="187"/>
              <w:rPr>
                <w:sz w:val="13"/>
              </w:rPr>
            </w:pPr>
            <w:r>
              <w:rPr>
                <w:w w:val="101"/>
                <w:sz w:val="13"/>
              </w:rPr>
              <w:t>-</w:t>
            </w:r>
          </w:p>
        </w:tc>
      </w:tr>
      <w:tr>
        <w:trPr>
          <w:trHeight w:val="163" w:hRule="exact"/>
        </w:trPr>
        <w:tc>
          <w:tcPr>
            <w:tcW w:w="1038" w:type="dxa"/>
            <w:tcBorders>
              <w:top w:val="nil"/>
            </w:tcBorders>
          </w:tcPr>
          <w:p>
            <w:pPr>
              <w:pStyle w:val="TableParagraph"/>
              <w:spacing w:before="14"/>
              <w:ind w:left="47" w:right="40"/>
              <w:jc w:val="center"/>
              <w:rPr>
                <w:sz w:val="13"/>
              </w:rPr>
            </w:pPr>
            <w:r>
              <w:rPr>
                <w:sz w:val="13"/>
              </w:rPr>
              <w:t>2249012</w:t>
            </w:r>
          </w:p>
        </w:tc>
        <w:tc>
          <w:tcPr>
            <w:tcW w:w="1804" w:type="dxa"/>
            <w:tcBorders>
              <w:top w:val="nil"/>
            </w:tcBorders>
          </w:tcPr>
          <w:p>
            <w:pPr>
              <w:pStyle w:val="TableParagraph"/>
              <w:spacing w:before="14"/>
              <w:ind w:left="16"/>
              <w:jc w:val="left"/>
              <w:rPr>
                <w:sz w:val="13"/>
              </w:rPr>
            </w:pPr>
            <w:r>
              <w:rPr>
                <w:sz w:val="13"/>
              </w:rPr>
              <w:t>M&amp;G POLIMERI</w:t>
            </w:r>
          </w:p>
        </w:tc>
        <w:tc>
          <w:tcPr>
            <w:tcW w:w="1054" w:type="dxa"/>
            <w:tcBorders>
              <w:top w:val="nil"/>
            </w:tcBorders>
          </w:tcPr>
          <w:p>
            <w:pPr>
              <w:pStyle w:val="TableParagraph"/>
              <w:spacing w:before="14"/>
              <w:ind w:right="60"/>
              <w:rPr>
                <w:sz w:val="13"/>
              </w:rPr>
            </w:pPr>
            <w:r>
              <w:rPr>
                <w:sz w:val="13"/>
              </w:rPr>
              <w:t>3.649</w:t>
            </w:r>
          </w:p>
        </w:tc>
        <w:tc>
          <w:tcPr>
            <w:tcW w:w="1054" w:type="dxa"/>
            <w:vMerge/>
          </w:tcPr>
          <w:p>
            <w:pPr/>
          </w:p>
        </w:tc>
        <w:tc>
          <w:tcPr>
            <w:tcW w:w="1054" w:type="dxa"/>
            <w:tcBorders>
              <w:top w:val="nil"/>
            </w:tcBorders>
          </w:tcPr>
          <w:p>
            <w:pPr>
              <w:pStyle w:val="TableParagraph"/>
              <w:spacing w:before="14"/>
              <w:ind w:right="60"/>
              <w:rPr>
                <w:sz w:val="13"/>
              </w:rPr>
            </w:pPr>
            <w:r>
              <w:rPr>
                <w:sz w:val="13"/>
              </w:rPr>
              <w:t>3.649</w:t>
            </w:r>
          </w:p>
        </w:tc>
        <w:tc>
          <w:tcPr>
            <w:tcW w:w="1054" w:type="dxa"/>
            <w:tcBorders>
              <w:top w:val="nil"/>
            </w:tcBorders>
          </w:tcPr>
          <w:p>
            <w:pPr/>
          </w:p>
        </w:tc>
        <w:tc>
          <w:tcPr>
            <w:tcW w:w="947" w:type="dxa"/>
            <w:tcBorders>
              <w:top w:val="nil"/>
            </w:tcBorders>
          </w:tcPr>
          <w:p>
            <w:pPr>
              <w:pStyle w:val="TableParagraph"/>
              <w:spacing w:before="14"/>
              <w:ind w:right="18"/>
              <w:rPr>
                <w:sz w:val="13"/>
              </w:rPr>
            </w:pPr>
            <w:r>
              <w:rPr>
                <w:sz w:val="13"/>
              </w:rPr>
              <w:t>(3.649)</w:t>
            </w:r>
          </w:p>
        </w:tc>
        <w:tc>
          <w:tcPr>
            <w:tcW w:w="1054" w:type="dxa"/>
            <w:tcBorders>
              <w:top w:val="nil"/>
            </w:tcBorders>
          </w:tcPr>
          <w:p>
            <w:pPr>
              <w:pStyle w:val="TableParagraph"/>
              <w:spacing w:before="14"/>
              <w:ind w:right="187"/>
              <w:rPr>
                <w:sz w:val="13"/>
              </w:rPr>
            </w:pPr>
            <w:r>
              <w:rPr>
                <w:w w:val="101"/>
                <w:sz w:val="13"/>
              </w:rPr>
              <w:t>-</w:t>
            </w:r>
          </w:p>
        </w:tc>
      </w:tr>
      <w:tr>
        <w:trPr>
          <w:trHeight w:val="173" w:hRule="exact"/>
        </w:trPr>
        <w:tc>
          <w:tcPr>
            <w:tcW w:w="2841" w:type="dxa"/>
            <w:gridSpan w:val="2"/>
            <w:tcBorders>
              <w:bottom w:val="single" w:sz="3" w:space="0" w:color="000000"/>
            </w:tcBorders>
            <w:shd w:val="clear" w:color="auto" w:fill="BEBEBE"/>
          </w:tcPr>
          <w:p>
            <w:pPr>
              <w:pStyle w:val="TableParagraph"/>
              <w:spacing w:before="19"/>
              <w:ind w:left="16"/>
              <w:jc w:val="left"/>
              <w:rPr>
                <w:b/>
                <w:sz w:val="13"/>
              </w:rPr>
            </w:pPr>
            <w:r>
              <w:rPr>
                <w:b/>
                <w:sz w:val="13"/>
              </w:rPr>
              <w:t>Totale Altri Crediti Infragruppo</w:t>
            </w:r>
          </w:p>
        </w:tc>
        <w:tc>
          <w:tcPr>
            <w:tcW w:w="1054" w:type="dxa"/>
            <w:tcBorders>
              <w:bottom w:val="single" w:sz="3" w:space="0" w:color="000000"/>
            </w:tcBorders>
            <w:shd w:val="clear" w:color="auto" w:fill="BEBEBE"/>
          </w:tcPr>
          <w:p>
            <w:pPr>
              <w:pStyle w:val="TableParagraph"/>
              <w:spacing w:before="19"/>
              <w:ind w:right="52"/>
              <w:rPr>
                <w:b/>
                <w:sz w:val="13"/>
              </w:rPr>
            </w:pPr>
            <w:r>
              <w:rPr>
                <w:b/>
                <w:sz w:val="13"/>
              </w:rPr>
              <w:t>762.439</w:t>
            </w:r>
          </w:p>
        </w:tc>
        <w:tc>
          <w:tcPr>
            <w:tcW w:w="1054" w:type="dxa"/>
            <w:tcBorders>
              <w:bottom w:val="single" w:sz="3" w:space="0" w:color="000000"/>
            </w:tcBorders>
            <w:shd w:val="clear" w:color="auto" w:fill="BEBEBE"/>
          </w:tcPr>
          <w:p>
            <w:pPr>
              <w:pStyle w:val="TableParagraph"/>
              <w:spacing w:before="19"/>
              <w:ind w:right="184"/>
              <w:rPr>
                <w:b/>
                <w:sz w:val="13"/>
              </w:rPr>
            </w:pPr>
            <w:r>
              <w:rPr>
                <w:b/>
                <w:w w:val="101"/>
                <w:sz w:val="13"/>
              </w:rPr>
              <w:t>-</w:t>
            </w:r>
          </w:p>
        </w:tc>
        <w:tc>
          <w:tcPr>
            <w:tcW w:w="1054" w:type="dxa"/>
            <w:tcBorders>
              <w:bottom w:val="single" w:sz="3" w:space="0" w:color="000000"/>
            </w:tcBorders>
            <w:shd w:val="clear" w:color="auto" w:fill="BEBEBE"/>
          </w:tcPr>
          <w:p>
            <w:pPr>
              <w:pStyle w:val="TableParagraph"/>
              <w:spacing w:before="19"/>
              <w:ind w:right="60"/>
              <w:rPr>
                <w:b/>
                <w:sz w:val="13"/>
              </w:rPr>
            </w:pPr>
            <w:r>
              <w:rPr>
                <w:b/>
                <w:sz w:val="13"/>
              </w:rPr>
              <w:t>762.439</w:t>
            </w:r>
          </w:p>
        </w:tc>
        <w:tc>
          <w:tcPr>
            <w:tcW w:w="1054" w:type="dxa"/>
            <w:tcBorders>
              <w:bottom w:val="single" w:sz="3" w:space="0" w:color="000000"/>
            </w:tcBorders>
            <w:shd w:val="clear" w:color="auto" w:fill="BEBEBE"/>
          </w:tcPr>
          <w:p>
            <w:pPr>
              <w:pStyle w:val="TableParagraph"/>
              <w:spacing w:before="19"/>
              <w:ind w:right="18"/>
              <w:rPr>
                <w:b/>
                <w:sz w:val="13"/>
              </w:rPr>
            </w:pPr>
            <w:r>
              <w:rPr>
                <w:b/>
                <w:sz w:val="13"/>
              </w:rPr>
              <w:t>(3.334)</w:t>
            </w:r>
          </w:p>
        </w:tc>
        <w:tc>
          <w:tcPr>
            <w:tcW w:w="947" w:type="dxa"/>
            <w:tcBorders>
              <w:bottom w:val="single" w:sz="3" w:space="0" w:color="000000"/>
            </w:tcBorders>
            <w:shd w:val="clear" w:color="auto" w:fill="BEBEBE"/>
          </w:tcPr>
          <w:p>
            <w:pPr>
              <w:pStyle w:val="TableParagraph"/>
              <w:spacing w:before="19"/>
              <w:ind w:right="18"/>
              <w:rPr>
                <w:b/>
                <w:sz w:val="13"/>
              </w:rPr>
            </w:pPr>
            <w:r>
              <w:rPr>
                <w:b/>
                <w:sz w:val="13"/>
              </w:rPr>
              <w:t>(588.107)</w:t>
            </w:r>
          </w:p>
        </w:tc>
        <w:tc>
          <w:tcPr>
            <w:tcW w:w="1054" w:type="dxa"/>
            <w:tcBorders>
              <w:bottom w:val="single" w:sz="3" w:space="0" w:color="000000"/>
            </w:tcBorders>
            <w:shd w:val="clear" w:color="auto" w:fill="BEBEBE"/>
          </w:tcPr>
          <w:p>
            <w:pPr>
              <w:pStyle w:val="TableParagraph"/>
              <w:spacing w:before="19"/>
              <w:ind w:right="60"/>
              <w:rPr>
                <w:b/>
                <w:sz w:val="13"/>
              </w:rPr>
            </w:pPr>
            <w:r>
              <w:rPr>
                <w:b/>
                <w:sz w:val="13"/>
              </w:rPr>
              <w:t>170.998</w:t>
            </w:r>
          </w:p>
        </w:tc>
      </w:tr>
    </w:tbl>
    <w:p>
      <w:pPr>
        <w:pStyle w:val="BodyText"/>
        <w:spacing w:before="9"/>
        <w:rPr>
          <w:b/>
          <w:sz w:val="27"/>
        </w:rPr>
      </w:pPr>
    </w:p>
    <w:p>
      <w:pPr>
        <w:spacing w:before="100"/>
        <w:ind w:left="1418" w:right="0" w:firstLine="0"/>
        <w:jc w:val="both"/>
        <w:rPr>
          <w:b/>
          <w:sz w:val="24"/>
        </w:rPr>
      </w:pPr>
      <w:r>
        <w:rPr>
          <w:b/>
          <w:sz w:val="24"/>
          <w:u w:val="single"/>
        </w:rPr>
        <w:t>Credito verso Beta Renawables</w:t>
      </w:r>
    </w:p>
    <w:p>
      <w:pPr>
        <w:pStyle w:val="BodyText"/>
        <w:spacing w:before="10"/>
        <w:rPr>
          <w:b/>
          <w:sz w:val="23"/>
        </w:rPr>
      </w:pPr>
    </w:p>
    <w:p>
      <w:pPr>
        <w:pStyle w:val="BodyText"/>
        <w:spacing w:line="480" w:lineRule="auto"/>
        <w:ind w:left="1418" w:right="1418"/>
        <w:jc w:val="both"/>
      </w:pPr>
      <w:r>
        <w:rPr/>
        <w:t>Nella situazione contabile al 15 ottobre 2017 risulta iscritto un credito per imposte anticipate per Euro 381.097, trasferite in sede del conferimento Ramo PROESA. Il conferimento è stato effettuato in data 07 ottobre 2011 ed è relativo al ramo di azienda inerente la tecnologia PROESA da parte di Biochemtex (già Chemtex Italia S.p.A.) in Beta Renewables (già M&amp;G Holding Italia S.p.A.).</w:t>
      </w:r>
    </w:p>
    <w:p>
      <w:pPr>
        <w:pStyle w:val="Heading2"/>
        <w:jc w:val="both"/>
      </w:pPr>
      <w:r>
        <w:rPr>
          <w:u w:val="single"/>
        </w:rPr>
        <w:t>Credito verso C5-6</w:t>
      </w:r>
    </w:p>
    <w:p>
      <w:pPr>
        <w:spacing w:after="0"/>
        <w:jc w:val="both"/>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spacing w:before="4"/>
        <w:rPr>
          <w:b/>
          <w:sz w:val="27"/>
        </w:rPr>
      </w:pPr>
    </w:p>
    <w:p>
      <w:pPr>
        <w:pStyle w:val="BodyText"/>
        <w:spacing w:line="480" w:lineRule="auto" w:before="100"/>
        <w:ind w:left="1418" w:right="1424"/>
        <w:jc w:val="both"/>
      </w:pPr>
      <w:r>
        <w:rPr/>
        <w:t>Il credito risulta iscritto per Euro 3.33,73 ed è riferito per Euro 2.626,99 per assunzione del personale ed Euro 706,74 per stanziamento interessi.</w:t>
      </w:r>
    </w:p>
    <w:p>
      <w:pPr>
        <w:pStyle w:val="Heading2"/>
        <w:jc w:val="both"/>
      </w:pPr>
      <w:r>
        <w:rPr>
          <w:u w:val="single"/>
        </w:rPr>
        <w:t>Credito verso IBP Srl</w:t>
      </w:r>
    </w:p>
    <w:p>
      <w:pPr>
        <w:pStyle w:val="BodyText"/>
        <w:rPr>
          <w:b/>
        </w:rPr>
      </w:pPr>
    </w:p>
    <w:p>
      <w:pPr>
        <w:pStyle w:val="BodyText"/>
        <w:spacing w:line="480" w:lineRule="auto"/>
        <w:ind w:left="1418" w:right="1417"/>
        <w:jc w:val="both"/>
      </w:pPr>
      <w:r>
        <w:rPr/>
        <w:t>Il credito risulta iscritto per Euro 9.093,02 ed è riferito al TFR maturato con riferimento al dipendente Scremin Simonetta assunta dalla IBP Srl nel dicembre del 2016.</w:t>
      </w:r>
    </w:p>
    <w:p>
      <w:pPr>
        <w:pStyle w:val="Heading2"/>
        <w:jc w:val="both"/>
      </w:pPr>
      <w:r>
        <w:rPr>
          <w:u w:val="single"/>
        </w:rPr>
        <w:t>Credito verso M&amp;G S.p.A.</w:t>
      </w:r>
    </w:p>
    <w:p>
      <w:pPr>
        <w:pStyle w:val="BodyText"/>
        <w:spacing w:before="10"/>
        <w:rPr>
          <w:b/>
          <w:sz w:val="23"/>
        </w:rPr>
      </w:pPr>
    </w:p>
    <w:p>
      <w:pPr>
        <w:pStyle w:val="BodyText"/>
        <w:spacing w:line="480" w:lineRule="auto"/>
        <w:ind w:left="1418" w:right="1413"/>
        <w:jc w:val="both"/>
      </w:pPr>
      <w:r>
        <w:rPr/>
        <w:t>Il credito ammonta ad Euro 365.266 e si riferisce alla quota residua del credito per IRES  trasferito alla controllante negli anni antecedenti al 2013, in relazione ai quali gli scriventi hanno preso visione delle dichiarazioni. Gli scriventi segnalano che le società del Gruppo aderiscono al consolidato fiscale. Il consolidato fiscale nazionale è un regime di tassazione fiscale opzionale che permette alle società consolidanti, indipendentemente dall'obbligo civilistico di redigere il bilancio consolidato, di calcolare l'IRES in modo unitario con riferimento alle società aderenti al consolidato. Il consolidato si realizza determinando in capo alla società controllante  (M&amp;G S.p.A.) un'unica base imponibile per l'intero gruppo di imprese, in misura corrispondente alla somma algebrica degli imponibili di ciascuna società che vi</w:t>
      </w:r>
      <w:r>
        <w:rPr>
          <w:spacing w:val="-32"/>
        </w:rPr>
        <w:t> </w:t>
      </w:r>
      <w:r>
        <w:rPr/>
        <w:t>partecipa.</w:t>
      </w:r>
    </w:p>
    <w:p>
      <w:pPr>
        <w:pStyle w:val="BodyText"/>
        <w:spacing w:line="480" w:lineRule="auto"/>
        <w:ind w:left="1418" w:right="1416"/>
        <w:jc w:val="both"/>
      </w:pPr>
      <w:r>
        <w:rPr/>
        <w:t>Il modello di consolidamento adottato prevede la determinazione di una base imponibile unica per le società che partecipano alla tassazione di</w:t>
      </w:r>
      <w:r>
        <w:rPr>
          <w:spacing w:val="-21"/>
        </w:rPr>
        <w:t> </w:t>
      </w:r>
      <w:r>
        <w:rPr/>
        <w:t>gruppo.</w:t>
      </w:r>
    </w:p>
    <w:p>
      <w:pPr>
        <w:pStyle w:val="BodyText"/>
        <w:spacing w:line="480" w:lineRule="auto"/>
        <w:ind w:left="1418" w:right="1415"/>
        <w:jc w:val="both"/>
      </w:pPr>
      <w:r>
        <w:rPr/>
        <w:t>Nel consolidato nazionale la somma algebrica delle basi imponibili riguarda l’intero reddito delle società consolidate, indipendentemente dalla percentuale di partecipazione in esse detenuta dal soggetto consolidante, e consente di compensare immediatamente ed integralmente i redditi e le perdite prodotti nell’ambito del gruppo.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jc w:val="both"/>
      </w:pPr>
      <w:r>
        <w:rPr>
          <w:u w:val="single"/>
        </w:rPr>
        <w:t>Credito verso M&amp;G Polimeri</w:t>
      </w:r>
    </w:p>
    <w:p>
      <w:pPr>
        <w:pStyle w:val="BodyText"/>
        <w:spacing w:before="11"/>
        <w:rPr>
          <w:b/>
          <w:sz w:val="23"/>
        </w:rPr>
      </w:pPr>
    </w:p>
    <w:p>
      <w:pPr>
        <w:pStyle w:val="BodyText"/>
        <w:spacing w:line="480" w:lineRule="auto"/>
        <w:ind w:left="1418" w:right="1419"/>
        <w:jc w:val="both"/>
      </w:pPr>
      <w:r>
        <w:rPr/>
        <w:t>Il credito iscritto risulta pari ad Euro 3.649,39 ed è riferito a credito per contributi sulle ferie del dipendente Carli.</w:t>
      </w:r>
    </w:p>
    <w:p>
      <w:pPr>
        <w:pStyle w:val="BodyText"/>
        <w:ind w:left="1418"/>
        <w:jc w:val="both"/>
      </w:pPr>
      <w:r>
        <w:rPr>
          <w:u w:val="single"/>
        </w:rPr>
        <w:t>Attività svolta</w:t>
      </w:r>
    </w:p>
    <w:p>
      <w:pPr>
        <w:pStyle w:val="BodyText"/>
      </w:pPr>
    </w:p>
    <w:p>
      <w:pPr>
        <w:pStyle w:val="BodyText"/>
        <w:spacing w:line="480" w:lineRule="auto"/>
        <w:ind w:left="1418" w:right="1413"/>
        <w:jc w:val="both"/>
      </w:pPr>
      <w:r>
        <w:rPr/>
        <w:t>In riferimento al credito verso M&amp;G S.P.A., gli scriventi hanno analizzato copia dei mastrini contabili, hanno preso visione del contratto di consolidato fiscale stipulato con M&amp;G S.p.A.,  delle relative schede contabili, nonché copia delle dichiarazioni fiscali degli ultimi 5 anni e copia delle contabili bancarie relative ai rimborsi effettuati dalla M&amp;G</w:t>
      </w:r>
      <w:r>
        <w:rPr>
          <w:spacing w:val="-24"/>
        </w:rPr>
        <w:t> </w:t>
      </w:r>
      <w:r>
        <w:rPr/>
        <w:t>S.p.A.</w:t>
      </w:r>
    </w:p>
    <w:p>
      <w:pPr>
        <w:pStyle w:val="BodyText"/>
        <w:spacing w:line="480" w:lineRule="auto"/>
        <w:ind w:left="1418" w:right="1415"/>
        <w:jc w:val="both"/>
      </w:pPr>
      <w:r>
        <w:rPr/>
        <w:t>In riferimento al credito verso Beta Renewables gli scriventi hanno dell’atto di conferimento del 07 ottobre 2011.</w:t>
      </w:r>
    </w:p>
    <w:p>
      <w:pPr>
        <w:pStyle w:val="BodyText"/>
        <w:spacing w:line="480" w:lineRule="auto"/>
        <w:ind w:left="1418" w:right="3460"/>
      </w:pPr>
      <w:r>
        <w:rPr/>
        <w:t>In generale per tutti i crediti è stata presa visione di tutti i mastrini contabili. </w:t>
      </w:r>
      <w:r>
        <w:rPr>
          <w:u w:val="single"/>
        </w:rPr>
        <w:t>Valorizzazione concordataria</w:t>
      </w:r>
    </w:p>
    <w:p>
      <w:pPr>
        <w:pStyle w:val="BodyText"/>
        <w:spacing w:line="480" w:lineRule="auto"/>
        <w:ind w:left="1418" w:right="1412"/>
        <w:jc w:val="both"/>
      </w:pPr>
      <w:r>
        <w:rPr/>
        <w:t>Ai fini del piano concordatario, il credito verso C5/6 è stato interamente compensato con il debito.</w:t>
      </w:r>
    </w:p>
    <w:p>
      <w:pPr>
        <w:pStyle w:val="BodyText"/>
        <w:spacing w:line="480" w:lineRule="auto"/>
        <w:ind w:left="1418" w:right="1421"/>
        <w:jc w:val="both"/>
      </w:pPr>
      <w:r>
        <w:rPr/>
        <w:t>In riferimento al credito verso Beta è stato stimato un realizzo nella misura del 44,87% (come previsto nel piano di Beta), così per complessivi Euro 170.998.</w:t>
      </w:r>
    </w:p>
    <w:p>
      <w:pPr>
        <w:pStyle w:val="BodyText"/>
        <w:spacing w:line="480" w:lineRule="auto"/>
        <w:ind w:left="1418" w:right="1413"/>
        <w:jc w:val="both"/>
      </w:pPr>
      <w:r>
        <w:rPr/>
        <w:t>Il credito verso IBP è stato svalutato tenuto conto che tale posta nel piano depositato da IBP è stato classificato come postergato.</w:t>
      </w:r>
    </w:p>
    <w:p>
      <w:pPr>
        <w:pStyle w:val="BodyText"/>
        <w:spacing w:line="480" w:lineRule="auto"/>
        <w:ind w:left="1418" w:right="1418"/>
        <w:jc w:val="both"/>
      </w:pPr>
      <w:r>
        <w:rPr/>
        <w:t>I crediti verso M&amp;G S.p.A. e verso M&amp;G Polimeri sono stati interamente svalutati tenuto conto che allo stato attuale non è possibile prevedere le percentuali di soddisfacimento dei creditori chirografari che verranno indicate nei piani ancora in fase di elaborazione.</w:t>
      </w:r>
    </w:p>
    <w:p>
      <w:pPr>
        <w:pStyle w:val="BodyText"/>
        <w:spacing w:line="480" w:lineRule="auto"/>
        <w:ind w:left="1418" w:right="1419"/>
        <w:jc w:val="both"/>
      </w:pPr>
      <w:r>
        <w:rPr/>
        <w:t>Alla luce di quanto sopra esposto, nonché delle analisi svolte, gli scriventi ritengono di confermare le stime di realizzo indicate dalla Società nel piano</w:t>
      </w:r>
      <w:r>
        <w:rPr>
          <w:spacing w:val="-38"/>
        </w:rPr>
        <w:t> </w:t>
      </w:r>
      <w:r>
        <w:rPr/>
        <w:t>concordatario.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Heading2"/>
        <w:numPr>
          <w:ilvl w:val="0"/>
          <w:numId w:val="61"/>
        </w:numPr>
        <w:tabs>
          <w:tab w:pos="2126" w:val="left" w:leader="none"/>
          <w:tab w:pos="2127" w:val="left" w:leader="none"/>
        </w:tabs>
        <w:spacing w:line="240" w:lineRule="auto" w:before="100" w:after="0"/>
        <w:ind w:left="2126" w:right="0" w:hanging="348"/>
        <w:jc w:val="left"/>
      </w:pPr>
      <w:r>
        <w:rPr/>
        <w:t>Crediti finanziari verso il</w:t>
      </w:r>
      <w:r>
        <w:rPr>
          <w:spacing w:val="-15"/>
        </w:rPr>
        <w:t> </w:t>
      </w:r>
      <w:r>
        <w:rPr/>
        <w:t>Gruppo</w:t>
      </w:r>
    </w:p>
    <w:p>
      <w:pPr>
        <w:pStyle w:val="BodyText"/>
        <w:rPr>
          <w:b/>
          <w:sz w:val="20"/>
        </w:rPr>
      </w:pPr>
    </w:p>
    <w:p>
      <w:pPr>
        <w:pStyle w:val="BodyText"/>
        <w:spacing w:before="8"/>
        <w:rPr>
          <w:b/>
          <w:sz w:val="19"/>
        </w:rPr>
      </w:pPr>
    </w:p>
    <w:tbl>
      <w:tblPr>
        <w:tblW w:w="0" w:type="auto"/>
        <w:jc w:val="left"/>
        <w:tblInd w:w="11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1051"/>
        <w:gridCol w:w="2377"/>
        <w:gridCol w:w="909"/>
        <w:gridCol w:w="1067"/>
        <w:gridCol w:w="1067"/>
        <w:gridCol w:w="1068"/>
        <w:gridCol w:w="959"/>
        <w:gridCol w:w="1067"/>
      </w:tblGrid>
      <w:tr>
        <w:trPr>
          <w:trHeight w:val="623" w:hRule="exact"/>
        </w:trPr>
        <w:tc>
          <w:tcPr>
            <w:tcW w:w="1051" w:type="dxa"/>
            <w:tcBorders>
              <w:bottom w:val="single" w:sz="3" w:space="0" w:color="000000"/>
            </w:tcBorders>
            <w:shd w:val="clear" w:color="auto" w:fill="BEBEBE"/>
          </w:tcPr>
          <w:p>
            <w:pPr>
              <w:pStyle w:val="TableParagraph"/>
              <w:spacing w:before="0"/>
              <w:jc w:val="left"/>
              <w:rPr>
                <w:b/>
                <w:sz w:val="14"/>
              </w:rPr>
            </w:pPr>
          </w:p>
          <w:p>
            <w:pPr>
              <w:pStyle w:val="TableParagraph"/>
              <w:spacing w:before="88"/>
              <w:ind w:left="15" w:right="13"/>
              <w:jc w:val="center"/>
              <w:rPr>
                <w:b/>
                <w:sz w:val="13"/>
              </w:rPr>
            </w:pPr>
            <w:r>
              <w:rPr>
                <w:b/>
                <w:w w:val="105"/>
                <w:sz w:val="13"/>
              </w:rPr>
              <w:t>Conto</w:t>
            </w:r>
          </w:p>
        </w:tc>
        <w:tc>
          <w:tcPr>
            <w:tcW w:w="2377" w:type="dxa"/>
            <w:tcBorders>
              <w:bottom w:val="single" w:sz="3" w:space="0" w:color="000000"/>
            </w:tcBorders>
            <w:shd w:val="clear" w:color="auto" w:fill="BEBEBE"/>
          </w:tcPr>
          <w:p>
            <w:pPr>
              <w:pStyle w:val="TableParagraph"/>
              <w:spacing w:before="0"/>
              <w:jc w:val="left"/>
              <w:rPr>
                <w:b/>
                <w:sz w:val="14"/>
              </w:rPr>
            </w:pPr>
          </w:p>
          <w:p>
            <w:pPr>
              <w:pStyle w:val="TableParagraph"/>
              <w:spacing w:before="88"/>
              <w:ind w:left="820" w:right="818"/>
              <w:jc w:val="center"/>
              <w:rPr>
                <w:b/>
                <w:sz w:val="13"/>
              </w:rPr>
            </w:pPr>
            <w:r>
              <w:rPr>
                <w:b/>
                <w:w w:val="105"/>
                <w:sz w:val="13"/>
              </w:rPr>
              <w:t>Descrizione</w:t>
            </w:r>
          </w:p>
        </w:tc>
        <w:tc>
          <w:tcPr>
            <w:tcW w:w="909" w:type="dxa"/>
            <w:tcBorders>
              <w:bottom w:val="single" w:sz="3" w:space="0" w:color="000000"/>
            </w:tcBorders>
            <w:shd w:val="clear" w:color="auto" w:fill="BEBEBE"/>
          </w:tcPr>
          <w:p>
            <w:pPr>
              <w:pStyle w:val="TableParagraph"/>
              <w:spacing w:before="7"/>
              <w:jc w:val="left"/>
              <w:rPr>
                <w:b/>
                <w:sz w:val="13"/>
              </w:rPr>
            </w:pPr>
          </w:p>
          <w:p>
            <w:pPr>
              <w:pStyle w:val="TableParagraph"/>
              <w:spacing w:line="285" w:lineRule="auto" w:before="0"/>
              <w:ind w:left="174" w:firstLine="83"/>
              <w:jc w:val="left"/>
              <w:rPr>
                <w:b/>
                <w:sz w:val="13"/>
              </w:rPr>
            </w:pPr>
            <w:r>
              <w:rPr>
                <w:b/>
                <w:w w:val="105"/>
                <w:sz w:val="13"/>
              </w:rPr>
              <w:t>BdV al </w:t>
            </w:r>
            <w:r>
              <w:rPr>
                <w:b/>
                <w:sz w:val="13"/>
              </w:rPr>
              <w:t>15.10.2017</w:t>
            </w:r>
          </w:p>
        </w:tc>
        <w:tc>
          <w:tcPr>
            <w:tcW w:w="1067" w:type="dxa"/>
            <w:tcBorders>
              <w:bottom w:val="single" w:sz="3" w:space="0" w:color="000000"/>
            </w:tcBorders>
            <w:shd w:val="clear" w:color="auto" w:fill="BEBEBE"/>
          </w:tcPr>
          <w:p>
            <w:pPr>
              <w:pStyle w:val="TableParagraph"/>
              <w:spacing w:before="7"/>
              <w:jc w:val="left"/>
              <w:rPr>
                <w:b/>
                <w:sz w:val="13"/>
              </w:rPr>
            </w:pPr>
          </w:p>
          <w:p>
            <w:pPr>
              <w:pStyle w:val="TableParagraph"/>
              <w:spacing w:line="285" w:lineRule="auto" w:before="0"/>
              <w:ind w:left="300" w:hanging="101"/>
              <w:jc w:val="left"/>
              <w:rPr>
                <w:b/>
                <w:sz w:val="13"/>
              </w:rPr>
            </w:pPr>
            <w:r>
              <w:rPr>
                <w:b/>
                <w:w w:val="105"/>
                <w:sz w:val="13"/>
              </w:rPr>
              <w:t>Trasferito a Versalis</w:t>
            </w:r>
          </w:p>
        </w:tc>
        <w:tc>
          <w:tcPr>
            <w:tcW w:w="1067" w:type="dxa"/>
            <w:tcBorders>
              <w:bottom w:val="single" w:sz="3" w:space="0" w:color="000000"/>
            </w:tcBorders>
            <w:shd w:val="clear" w:color="auto" w:fill="BEBEBE"/>
          </w:tcPr>
          <w:p>
            <w:pPr>
              <w:pStyle w:val="TableParagraph"/>
              <w:spacing w:before="0"/>
              <w:jc w:val="left"/>
              <w:rPr>
                <w:b/>
                <w:sz w:val="14"/>
              </w:rPr>
            </w:pPr>
          </w:p>
          <w:p>
            <w:pPr>
              <w:pStyle w:val="TableParagraph"/>
              <w:spacing w:before="88"/>
              <w:ind w:left="124"/>
              <w:jc w:val="left"/>
              <w:rPr>
                <w:b/>
                <w:sz w:val="13"/>
              </w:rPr>
            </w:pPr>
            <w:r>
              <w:rPr>
                <w:b/>
                <w:w w:val="105"/>
                <w:sz w:val="13"/>
              </w:rPr>
              <w:t>Non trasferito</w:t>
            </w:r>
          </w:p>
        </w:tc>
        <w:tc>
          <w:tcPr>
            <w:tcW w:w="1068" w:type="dxa"/>
            <w:tcBorders>
              <w:bottom w:val="single" w:sz="3" w:space="0" w:color="000000"/>
            </w:tcBorders>
            <w:shd w:val="clear" w:color="auto" w:fill="BEBEBE"/>
          </w:tcPr>
          <w:p>
            <w:pPr>
              <w:pStyle w:val="TableParagraph"/>
              <w:spacing w:before="0"/>
              <w:jc w:val="left"/>
              <w:rPr>
                <w:b/>
                <w:sz w:val="14"/>
              </w:rPr>
            </w:pPr>
          </w:p>
          <w:p>
            <w:pPr>
              <w:pStyle w:val="TableParagraph"/>
              <w:spacing w:before="88"/>
              <w:ind w:left="83"/>
              <w:jc w:val="left"/>
              <w:rPr>
                <w:b/>
                <w:sz w:val="13"/>
              </w:rPr>
            </w:pPr>
            <w:r>
              <w:rPr>
                <w:b/>
                <w:w w:val="105"/>
                <w:sz w:val="13"/>
              </w:rPr>
              <w:t>Compensazioni</w:t>
            </w:r>
          </w:p>
        </w:tc>
        <w:tc>
          <w:tcPr>
            <w:tcW w:w="959" w:type="dxa"/>
            <w:tcBorders>
              <w:bottom w:val="single" w:sz="3" w:space="0" w:color="000000"/>
            </w:tcBorders>
            <w:shd w:val="clear" w:color="auto" w:fill="BEBEBE"/>
          </w:tcPr>
          <w:p>
            <w:pPr>
              <w:pStyle w:val="TableParagraph"/>
              <w:spacing w:before="7"/>
              <w:jc w:val="left"/>
              <w:rPr>
                <w:b/>
                <w:sz w:val="13"/>
              </w:rPr>
            </w:pPr>
          </w:p>
          <w:p>
            <w:pPr>
              <w:pStyle w:val="TableParagraph"/>
              <w:spacing w:line="285" w:lineRule="auto" w:before="0"/>
              <w:ind w:left="74" w:firstLine="125"/>
              <w:jc w:val="left"/>
              <w:rPr>
                <w:b/>
                <w:sz w:val="13"/>
              </w:rPr>
            </w:pPr>
            <w:r>
              <w:rPr>
                <w:b/>
                <w:w w:val="105"/>
                <w:sz w:val="13"/>
              </w:rPr>
              <w:t>Rettifiche </w:t>
            </w:r>
            <w:r>
              <w:rPr>
                <w:b/>
                <w:sz w:val="13"/>
              </w:rPr>
              <w:t>concordatarie</w:t>
            </w:r>
          </w:p>
        </w:tc>
        <w:tc>
          <w:tcPr>
            <w:tcW w:w="1067" w:type="dxa"/>
            <w:tcBorders>
              <w:bottom w:val="single" w:sz="3" w:space="0" w:color="000000"/>
            </w:tcBorders>
            <w:shd w:val="clear" w:color="auto" w:fill="BEBEBE"/>
          </w:tcPr>
          <w:p>
            <w:pPr>
              <w:pStyle w:val="TableParagraph"/>
              <w:spacing w:line="285" w:lineRule="auto" w:before="71"/>
              <w:ind w:left="19" w:right="24"/>
              <w:jc w:val="center"/>
              <w:rPr>
                <w:b/>
                <w:sz w:val="13"/>
              </w:rPr>
            </w:pPr>
            <w:r>
              <w:rPr>
                <w:b/>
                <w:w w:val="105"/>
                <w:sz w:val="13"/>
              </w:rPr>
              <w:t>valore di realizzo ai fini concordatario</w:t>
            </w:r>
          </w:p>
        </w:tc>
      </w:tr>
      <w:tr>
        <w:trPr>
          <w:trHeight w:val="185" w:hRule="exact"/>
        </w:trPr>
        <w:tc>
          <w:tcPr>
            <w:tcW w:w="1051" w:type="dxa"/>
            <w:tcBorders>
              <w:top w:val="single" w:sz="3" w:space="0" w:color="000000"/>
              <w:bottom w:val="nil"/>
            </w:tcBorders>
          </w:tcPr>
          <w:p>
            <w:pPr>
              <w:pStyle w:val="TableParagraph"/>
              <w:spacing w:before="20"/>
              <w:ind w:left="15" w:right="47"/>
              <w:jc w:val="center"/>
              <w:rPr>
                <w:sz w:val="13"/>
              </w:rPr>
            </w:pPr>
            <w:r>
              <w:rPr>
                <w:w w:val="105"/>
                <w:sz w:val="13"/>
              </w:rPr>
              <w:t>2229012-2229020</w:t>
            </w:r>
          </w:p>
        </w:tc>
        <w:tc>
          <w:tcPr>
            <w:tcW w:w="2377" w:type="dxa"/>
            <w:tcBorders>
              <w:top w:val="single" w:sz="3" w:space="0" w:color="000000"/>
              <w:bottom w:val="nil"/>
            </w:tcBorders>
          </w:tcPr>
          <w:p>
            <w:pPr>
              <w:pStyle w:val="TableParagraph"/>
              <w:spacing w:before="20"/>
              <w:ind w:left="16"/>
              <w:jc w:val="left"/>
              <w:rPr>
                <w:sz w:val="13"/>
              </w:rPr>
            </w:pPr>
            <w:r>
              <w:rPr>
                <w:w w:val="105"/>
                <w:sz w:val="13"/>
              </w:rPr>
              <w:t>BETA RENEWABLES</w:t>
            </w:r>
          </w:p>
        </w:tc>
        <w:tc>
          <w:tcPr>
            <w:tcW w:w="909" w:type="dxa"/>
            <w:tcBorders>
              <w:top w:val="single" w:sz="3" w:space="0" w:color="000000"/>
              <w:bottom w:val="nil"/>
            </w:tcBorders>
          </w:tcPr>
          <w:p>
            <w:pPr>
              <w:pStyle w:val="TableParagraph"/>
              <w:spacing w:before="20"/>
              <w:ind w:right="61"/>
              <w:rPr>
                <w:sz w:val="13"/>
              </w:rPr>
            </w:pPr>
            <w:r>
              <w:rPr>
                <w:sz w:val="13"/>
              </w:rPr>
              <w:t>3.004.950</w:t>
            </w:r>
          </w:p>
        </w:tc>
        <w:tc>
          <w:tcPr>
            <w:tcW w:w="1067" w:type="dxa"/>
            <w:vMerge w:val="restart"/>
            <w:tcBorders>
              <w:top w:val="single" w:sz="3" w:space="0" w:color="000000"/>
            </w:tcBorders>
          </w:tcPr>
          <w:p>
            <w:pPr/>
          </w:p>
        </w:tc>
        <w:tc>
          <w:tcPr>
            <w:tcW w:w="1067" w:type="dxa"/>
            <w:tcBorders>
              <w:top w:val="single" w:sz="3" w:space="0" w:color="000000"/>
              <w:bottom w:val="nil"/>
            </w:tcBorders>
          </w:tcPr>
          <w:p>
            <w:pPr>
              <w:pStyle w:val="TableParagraph"/>
              <w:spacing w:before="20"/>
              <w:ind w:right="61"/>
              <w:rPr>
                <w:sz w:val="13"/>
              </w:rPr>
            </w:pPr>
            <w:r>
              <w:rPr>
                <w:sz w:val="13"/>
              </w:rPr>
              <w:t>3.004.950</w:t>
            </w:r>
          </w:p>
        </w:tc>
        <w:tc>
          <w:tcPr>
            <w:tcW w:w="1068" w:type="dxa"/>
            <w:tcBorders>
              <w:top w:val="single" w:sz="3" w:space="0" w:color="000000"/>
              <w:bottom w:val="nil"/>
            </w:tcBorders>
          </w:tcPr>
          <w:p>
            <w:pPr/>
          </w:p>
        </w:tc>
        <w:tc>
          <w:tcPr>
            <w:tcW w:w="959" w:type="dxa"/>
            <w:tcBorders>
              <w:top w:val="single" w:sz="3" w:space="0" w:color="000000"/>
              <w:bottom w:val="nil"/>
            </w:tcBorders>
          </w:tcPr>
          <w:p>
            <w:pPr>
              <w:pStyle w:val="TableParagraph"/>
              <w:spacing w:before="20"/>
              <w:ind w:right="19"/>
              <w:rPr>
                <w:sz w:val="13"/>
              </w:rPr>
            </w:pPr>
            <w:r>
              <w:rPr>
                <w:sz w:val="13"/>
              </w:rPr>
              <w:t>(1.656.629)</w:t>
            </w:r>
          </w:p>
        </w:tc>
        <w:tc>
          <w:tcPr>
            <w:tcW w:w="1067" w:type="dxa"/>
            <w:tcBorders>
              <w:top w:val="single" w:sz="3" w:space="0" w:color="000000"/>
              <w:bottom w:val="nil"/>
            </w:tcBorders>
          </w:tcPr>
          <w:p>
            <w:pPr>
              <w:pStyle w:val="TableParagraph"/>
              <w:spacing w:before="20"/>
              <w:ind w:right="61"/>
              <w:rPr>
                <w:sz w:val="13"/>
              </w:rPr>
            </w:pPr>
            <w:r>
              <w:rPr>
                <w:sz w:val="13"/>
              </w:rPr>
              <w:t>1.348.321</w:t>
            </w:r>
          </w:p>
        </w:tc>
      </w:tr>
      <w:tr>
        <w:trPr>
          <w:trHeight w:val="174" w:hRule="exact"/>
        </w:trPr>
        <w:tc>
          <w:tcPr>
            <w:tcW w:w="1051" w:type="dxa"/>
            <w:tcBorders>
              <w:top w:val="nil"/>
              <w:bottom w:val="nil"/>
            </w:tcBorders>
          </w:tcPr>
          <w:p>
            <w:pPr>
              <w:pStyle w:val="TableParagraph"/>
              <w:spacing w:before="15"/>
              <w:ind w:left="15" w:right="47"/>
              <w:jc w:val="center"/>
              <w:rPr>
                <w:sz w:val="13"/>
              </w:rPr>
            </w:pPr>
            <w:r>
              <w:rPr>
                <w:w w:val="105"/>
                <w:sz w:val="13"/>
              </w:rPr>
              <w:t>2239010-2239012</w:t>
            </w:r>
          </w:p>
        </w:tc>
        <w:tc>
          <w:tcPr>
            <w:tcW w:w="2377" w:type="dxa"/>
            <w:tcBorders>
              <w:top w:val="nil"/>
              <w:bottom w:val="nil"/>
            </w:tcBorders>
          </w:tcPr>
          <w:p>
            <w:pPr>
              <w:pStyle w:val="TableParagraph"/>
              <w:spacing w:before="15"/>
              <w:ind w:left="16"/>
              <w:jc w:val="left"/>
              <w:rPr>
                <w:sz w:val="13"/>
              </w:rPr>
            </w:pPr>
            <w:r>
              <w:rPr>
                <w:w w:val="105"/>
                <w:sz w:val="13"/>
              </w:rPr>
              <w:t>C5-6 ITALY</w:t>
            </w:r>
          </w:p>
        </w:tc>
        <w:tc>
          <w:tcPr>
            <w:tcW w:w="909" w:type="dxa"/>
            <w:tcBorders>
              <w:top w:val="nil"/>
              <w:bottom w:val="nil"/>
            </w:tcBorders>
          </w:tcPr>
          <w:p>
            <w:pPr>
              <w:pStyle w:val="TableParagraph"/>
              <w:spacing w:before="15"/>
              <w:ind w:right="61"/>
              <w:rPr>
                <w:sz w:val="13"/>
              </w:rPr>
            </w:pPr>
            <w:r>
              <w:rPr>
                <w:sz w:val="13"/>
              </w:rPr>
              <w:t>33.514</w:t>
            </w:r>
          </w:p>
        </w:tc>
        <w:tc>
          <w:tcPr>
            <w:tcW w:w="1067" w:type="dxa"/>
            <w:vMerge/>
          </w:tcPr>
          <w:p>
            <w:pPr/>
          </w:p>
        </w:tc>
        <w:tc>
          <w:tcPr>
            <w:tcW w:w="1067" w:type="dxa"/>
            <w:tcBorders>
              <w:top w:val="nil"/>
              <w:bottom w:val="nil"/>
            </w:tcBorders>
          </w:tcPr>
          <w:p>
            <w:pPr>
              <w:pStyle w:val="TableParagraph"/>
              <w:spacing w:before="15"/>
              <w:ind w:right="61"/>
              <w:rPr>
                <w:sz w:val="13"/>
              </w:rPr>
            </w:pPr>
            <w:r>
              <w:rPr>
                <w:sz w:val="13"/>
              </w:rPr>
              <w:t>33.514</w:t>
            </w:r>
          </w:p>
        </w:tc>
        <w:tc>
          <w:tcPr>
            <w:tcW w:w="1068" w:type="dxa"/>
            <w:tcBorders>
              <w:top w:val="nil"/>
              <w:bottom w:val="nil"/>
            </w:tcBorders>
          </w:tcPr>
          <w:p>
            <w:pPr>
              <w:pStyle w:val="TableParagraph"/>
              <w:spacing w:before="15"/>
              <w:ind w:right="18"/>
              <w:rPr>
                <w:sz w:val="13"/>
              </w:rPr>
            </w:pPr>
            <w:r>
              <w:rPr>
                <w:sz w:val="13"/>
              </w:rPr>
              <w:t>(33.514)</w:t>
            </w:r>
          </w:p>
        </w:tc>
        <w:tc>
          <w:tcPr>
            <w:tcW w:w="959" w:type="dxa"/>
            <w:tcBorders>
              <w:top w:val="nil"/>
              <w:bottom w:val="nil"/>
            </w:tcBorders>
          </w:tcPr>
          <w:p>
            <w:pPr>
              <w:pStyle w:val="TableParagraph"/>
              <w:spacing w:before="15"/>
              <w:ind w:right="189"/>
              <w:rPr>
                <w:sz w:val="13"/>
              </w:rPr>
            </w:pPr>
            <w:r>
              <w:rPr>
                <w:w w:val="102"/>
                <w:sz w:val="13"/>
              </w:rPr>
              <w:t>-</w:t>
            </w:r>
          </w:p>
        </w:tc>
        <w:tc>
          <w:tcPr>
            <w:tcW w:w="1067" w:type="dxa"/>
            <w:tcBorders>
              <w:top w:val="nil"/>
              <w:bottom w:val="nil"/>
            </w:tcBorders>
          </w:tcPr>
          <w:p>
            <w:pPr>
              <w:pStyle w:val="TableParagraph"/>
              <w:spacing w:before="15"/>
              <w:ind w:right="189"/>
              <w:rPr>
                <w:sz w:val="13"/>
              </w:rPr>
            </w:pPr>
            <w:r>
              <w:rPr>
                <w:w w:val="102"/>
                <w:sz w:val="13"/>
              </w:rPr>
              <w:t>-</w:t>
            </w:r>
          </w:p>
        </w:tc>
      </w:tr>
      <w:tr>
        <w:trPr>
          <w:trHeight w:val="164" w:hRule="exact"/>
        </w:trPr>
        <w:tc>
          <w:tcPr>
            <w:tcW w:w="1051" w:type="dxa"/>
            <w:tcBorders>
              <w:top w:val="nil"/>
            </w:tcBorders>
          </w:tcPr>
          <w:p>
            <w:pPr>
              <w:pStyle w:val="TableParagraph"/>
              <w:spacing w:before="15"/>
              <w:ind w:left="15" w:right="7"/>
              <w:jc w:val="center"/>
              <w:rPr>
                <w:sz w:val="13"/>
              </w:rPr>
            </w:pPr>
            <w:r>
              <w:rPr>
                <w:w w:val="105"/>
                <w:sz w:val="13"/>
              </w:rPr>
              <w:t>2229012</w:t>
            </w:r>
          </w:p>
        </w:tc>
        <w:tc>
          <w:tcPr>
            <w:tcW w:w="2377" w:type="dxa"/>
            <w:tcBorders>
              <w:top w:val="nil"/>
            </w:tcBorders>
          </w:tcPr>
          <w:p>
            <w:pPr>
              <w:pStyle w:val="TableParagraph"/>
              <w:spacing w:before="15"/>
              <w:ind w:left="16"/>
              <w:jc w:val="left"/>
              <w:rPr>
                <w:sz w:val="13"/>
              </w:rPr>
            </w:pPr>
            <w:r>
              <w:rPr>
                <w:w w:val="105"/>
                <w:sz w:val="13"/>
              </w:rPr>
              <w:t>C5-6 ITALY</w:t>
            </w:r>
          </w:p>
        </w:tc>
        <w:tc>
          <w:tcPr>
            <w:tcW w:w="909" w:type="dxa"/>
            <w:tcBorders>
              <w:top w:val="nil"/>
            </w:tcBorders>
          </w:tcPr>
          <w:p>
            <w:pPr>
              <w:pStyle w:val="TableParagraph"/>
              <w:spacing w:before="15"/>
              <w:ind w:right="61"/>
              <w:rPr>
                <w:sz w:val="13"/>
              </w:rPr>
            </w:pPr>
            <w:r>
              <w:rPr>
                <w:sz w:val="13"/>
              </w:rPr>
              <w:t>1.109.500</w:t>
            </w:r>
          </w:p>
        </w:tc>
        <w:tc>
          <w:tcPr>
            <w:tcW w:w="1067" w:type="dxa"/>
            <w:vMerge/>
          </w:tcPr>
          <w:p>
            <w:pPr/>
          </w:p>
        </w:tc>
        <w:tc>
          <w:tcPr>
            <w:tcW w:w="1067" w:type="dxa"/>
            <w:tcBorders>
              <w:top w:val="nil"/>
            </w:tcBorders>
          </w:tcPr>
          <w:p>
            <w:pPr>
              <w:pStyle w:val="TableParagraph"/>
              <w:spacing w:before="15"/>
              <w:ind w:right="61"/>
              <w:rPr>
                <w:sz w:val="13"/>
              </w:rPr>
            </w:pPr>
            <w:r>
              <w:rPr>
                <w:sz w:val="13"/>
              </w:rPr>
              <w:t>1.109.500</w:t>
            </w:r>
          </w:p>
        </w:tc>
        <w:tc>
          <w:tcPr>
            <w:tcW w:w="1068" w:type="dxa"/>
            <w:tcBorders>
              <w:top w:val="nil"/>
            </w:tcBorders>
          </w:tcPr>
          <w:p>
            <w:pPr/>
          </w:p>
        </w:tc>
        <w:tc>
          <w:tcPr>
            <w:tcW w:w="959" w:type="dxa"/>
            <w:tcBorders>
              <w:top w:val="nil"/>
            </w:tcBorders>
          </w:tcPr>
          <w:p>
            <w:pPr>
              <w:pStyle w:val="TableParagraph"/>
              <w:spacing w:before="15"/>
              <w:ind w:right="18"/>
              <w:rPr>
                <w:sz w:val="13"/>
              </w:rPr>
            </w:pPr>
            <w:r>
              <w:rPr>
                <w:sz w:val="13"/>
              </w:rPr>
              <w:t>(909.500)</w:t>
            </w:r>
          </w:p>
        </w:tc>
        <w:tc>
          <w:tcPr>
            <w:tcW w:w="1067" w:type="dxa"/>
            <w:tcBorders>
              <w:top w:val="nil"/>
            </w:tcBorders>
          </w:tcPr>
          <w:p>
            <w:pPr>
              <w:pStyle w:val="TableParagraph"/>
              <w:spacing w:before="15"/>
              <w:ind w:right="61"/>
              <w:rPr>
                <w:sz w:val="13"/>
              </w:rPr>
            </w:pPr>
            <w:r>
              <w:rPr>
                <w:sz w:val="13"/>
              </w:rPr>
              <w:t>200.000</w:t>
            </w:r>
          </w:p>
        </w:tc>
      </w:tr>
      <w:tr>
        <w:trPr>
          <w:trHeight w:val="174" w:hRule="exact"/>
        </w:trPr>
        <w:tc>
          <w:tcPr>
            <w:tcW w:w="3428" w:type="dxa"/>
            <w:gridSpan w:val="2"/>
            <w:shd w:val="clear" w:color="auto" w:fill="BEBEBE"/>
          </w:tcPr>
          <w:p>
            <w:pPr>
              <w:pStyle w:val="TableParagraph"/>
              <w:spacing w:before="20"/>
              <w:ind w:left="16"/>
              <w:jc w:val="left"/>
              <w:rPr>
                <w:b/>
                <w:sz w:val="13"/>
              </w:rPr>
            </w:pPr>
            <w:r>
              <w:rPr>
                <w:b/>
                <w:w w:val="105"/>
                <w:sz w:val="13"/>
              </w:rPr>
              <w:t>Totale crediti finanziari Infragruppo</w:t>
            </w:r>
          </w:p>
        </w:tc>
        <w:tc>
          <w:tcPr>
            <w:tcW w:w="909" w:type="dxa"/>
            <w:shd w:val="clear" w:color="auto" w:fill="BEBEBE"/>
          </w:tcPr>
          <w:p>
            <w:pPr>
              <w:pStyle w:val="TableParagraph"/>
              <w:spacing w:before="20"/>
              <w:ind w:right="53"/>
              <w:rPr>
                <w:b/>
                <w:sz w:val="13"/>
              </w:rPr>
            </w:pPr>
            <w:r>
              <w:rPr>
                <w:b/>
                <w:sz w:val="13"/>
              </w:rPr>
              <w:t>4.147.964</w:t>
            </w:r>
          </w:p>
        </w:tc>
        <w:tc>
          <w:tcPr>
            <w:tcW w:w="1067" w:type="dxa"/>
            <w:shd w:val="clear" w:color="auto" w:fill="BEBEBE"/>
          </w:tcPr>
          <w:p>
            <w:pPr>
              <w:pStyle w:val="TableParagraph"/>
              <w:spacing w:before="20"/>
              <w:ind w:right="186"/>
              <w:rPr>
                <w:b/>
                <w:sz w:val="13"/>
              </w:rPr>
            </w:pPr>
            <w:r>
              <w:rPr>
                <w:b/>
                <w:w w:val="102"/>
                <w:sz w:val="13"/>
              </w:rPr>
              <w:t>-</w:t>
            </w:r>
          </w:p>
        </w:tc>
        <w:tc>
          <w:tcPr>
            <w:tcW w:w="1067" w:type="dxa"/>
            <w:shd w:val="clear" w:color="auto" w:fill="BEBEBE"/>
          </w:tcPr>
          <w:p>
            <w:pPr>
              <w:pStyle w:val="TableParagraph"/>
              <w:spacing w:before="20"/>
              <w:ind w:right="61"/>
              <w:rPr>
                <w:b/>
                <w:sz w:val="13"/>
              </w:rPr>
            </w:pPr>
            <w:r>
              <w:rPr>
                <w:b/>
                <w:sz w:val="13"/>
              </w:rPr>
              <w:t>4.147.964</w:t>
            </w:r>
          </w:p>
        </w:tc>
        <w:tc>
          <w:tcPr>
            <w:tcW w:w="1068" w:type="dxa"/>
            <w:shd w:val="clear" w:color="auto" w:fill="BEBEBE"/>
          </w:tcPr>
          <w:p>
            <w:pPr>
              <w:pStyle w:val="TableParagraph"/>
              <w:spacing w:before="20"/>
              <w:ind w:right="18"/>
              <w:rPr>
                <w:b/>
                <w:sz w:val="13"/>
              </w:rPr>
            </w:pPr>
            <w:r>
              <w:rPr>
                <w:b/>
                <w:sz w:val="13"/>
              </w:rPr>
              <w:t>(33.514)</w:t>
            </w:r>
          </w:p>
        </w:tc>
        <w:tc>
          <w:tcPr>
            <w:tcW w:w="959" w:type="dxa"/>
            <w:shd w:val="clear" w:color="auto" w:fill="BEBEBE"/>
          </w:tcPr>
          <w:p>
            <w:pPr>
              <w:pStyle w:val="TableParagraph"/>
              <w:spacing w:before="20"/>
              <w:ind w:right="18"/>
              <w:rPr>
                <w:b/>
                <w:sz w:val="13"/>
              </w:rPr>
            </w:pPr>
            <w:r>
              <w:rPr>
                <w:b/>
                <w:w w:val="105"/>
                <w:sz w:val="13"/>
              </w:rPr>
              <w:t>(2.566.129)</w:t>
            </w:r>
          </w:p>
        </w:tc>
        <w:tc>
          <w:tcPr>
            <w:tcW w:w="1067" w:type="dxa"/>
            <w:shd w:val="clear" w:color="auto" w:fill="BEBEBE"/>
          </w:tcPr>
          <w:p>
            <w:pPr>
              <w:pStyle w:val="TableParagraph"/>
              <w:spacing w:before="20"/>
              <w:ind w:right="54"/>
              <w:rPr>
                <w:b/>
                <w:sz w:val="13"/>
              </w:rPr>
            </w:pPr>
            <w:r>
              <w:rPr>
                <w:b/>
                <w:sz w:val="13"/>
              </w:rPr>
              <w:t>1.548.321</w:t>
            </w:r>
          </w:p>
        </w:tc>
      </w:tr>
    </w:tbl>
    <w:p>
      <w:pPr>
        <w:pStyle w:val="BodyText"/>
        <w:rPr>
          <w:b/>
          <w:sz w:val="20"/>
        </w:rPr>
      </w:pPr>
    </w:p>
    <w:p>
      <w:pPr>
        <w:spacing w:before="217"/>
        <w:ind w:left="1418" w:right="0" w:firstLine="0"/>
        <w:jc w:val="both"/>
        <w:rPr>
          <w:b/>
          <w:sz w:val="24"/>
        </w:rPr>
      </w:pPr>
      <w:r>
        <w:rPr>
          <w:b/>
          <w:sz w:val="24"/>
          <w:u w:val="single"/>
        </w:rPr>
        <w:t>Crediti verso Beta Renewables</w:t>
      </w:r>
    </w:p>
    <w:p>
      <w:pPr>
        <w:pStyle w:val="BodyText"/>
        <w:spacing w:before="10"/>
        <w:rPr>
          <w:b/>
          <w:sz w:val="23"/>
        </w:rPr>
      </w:pPr>
    </w:p>
    <w:p>
      <w:pPr>
        <w:pStyle w:val="BodyText"/>
        <w:spacing w:line="480" w:lineRule="auto"/>
        <w:ind w:left="1418" w:right="1422"/>
        <w:jc w:val="both"/>
      </w:pPr>
      <w:r>
        <w:rPr/>
        <w:t>Il credito ammonta ad Euro 3.004.950 di cui Euro 2.875.000 in linea capitale, ed Euro 129.950 a titolo di interessi ed è relativo ai finanziamenti fruttiferi concessi dalla Biochemtex alla Beta.</w:t>
      </w:r>
    </w:p>
    <w:p>
      <w:pPr>
        <w:pStyle w:val="BodyText"/>
        <w:spacing w:line="480" w:lineRule="auto"/>
        <w:ind w:left="1418" w:right="1416"/>
        <w:jc w:val="both"/>
      </w:pPr>
      <w:r>
        <w:rPr/>
        <w:t>In data 25 agosto 2016, la Biochemtex ha concesso un primo finanziamento di Euro 50.000, prevedendo un tasso di interesse del 7%, successivamente integrato con altri 28 nuovi finanziamenti. Gli scriventi hanno preso visione delle lettere di finanziamento infragruppo concessi dalla data del 25 agosto 2016 alla data del 25 agosto 2017, e della scheda contabile della società controllante. Si precisa che tutti gli apporti di finanziamento sono regolati da lettere infragruppo.</w:t>
      </w:r>
    </w:p>
    <w:p>
      <w:pPr>
        <w:pStyle w:val="Heading2"/>
        <w:jc w:val="both"/>
      </w:pPr>
      <w:r>
        <w:rPr>
          <w:u w:val="single"/>
        </w:rPr>
        <w:t>Crediti verso C5-6 Italy</w:t>
      </w:r>
    </w:p>
    <w:p>
      <w:pPr>
        <w:pStyle w:val="BodyText"/>
        <w:spacing w:before="10"/>
        <w:rPr>
          <w:b/>
          <w:sz w:val="23"/>
        </w:rPr>
      </w:pPr>
    </w:p>
    <w:p>
      <w:pPr>
        <w:pStyle w:val="BodyText"/>
        <w:spacing w:line="480" w:lineRule="auto"/>
        <w:ind w:left="1418" w:right="1415"/>
        <w:jc w:val="both"/>
      </w:pPr>
      <w:r>
        <w:rPr/>
        <w:t>Alla data del 15 ottobre 2017 nella situazione contabile della società risulta iscritto un credito per Euro 1.109.500 riferito alla quota capitale e per Euro 36.848 relativo ad interessi per un totale di Euro 1.146.348. Il credito è relativo ai finanziamenti concessi alla società per sviluppare un progetto di R &amp;S per processo enzimatico della tecnologia PROESA a fronte del quale C5-6 ha ricevuto un finanziamento agevolato dalla Regione Piemonte il cui residuo incasso è previsto in Euro 200.000.</w:t>
      </w:r>
    </w:p>
    <w:p>
      <w:pPr>
        <w:pStyle w:val="BodyText"/>
        <w:ind w:left="1418"/>
        <w:jc w:val="both"/>
      </w:pPr>
      <w:r>
        <w:rPr>
          <w:u w:val="single"/>
        </w:rPr>
        <w:t>Attività svolta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In riferimento al credito verso Beta Renewables gli scriventi hanno preso visione di copia delle lettere di concessione di finanziamento.</w:t>
      </w:r>
    </w:p>
    <w:p>
      <w:pPr>
        <w:pStyle w:val="BodyText"/>
        <w:spacing w:line="480" w:lineRule="auto"/>
        <w:ind w:left="1418" w:right="1416"/>
        <w:jc w:val="both"/>
      </w:pPr>
      <w:r>
        <w:rPr/>
        <w:t>In riferimento al credito verso C5-6 Italy gli scriventi hanno concordato i saldi intercompany e preso visione della contabile di addebito del 2 febbraio 2017 per 60.000 ultima tranche del finanziamento.  Hanno poi preso visione del bilancio di verifica della società al 31 dicembre 2017 e del decreto di concessione del finanziamento agevolato della regione Piemonte.</w:t>
      </w:r>
    </w:p>
    <w:p>
      <w:pPr>
        <w:pStyle w:val="BodyText"/>
        <w:ind w:left="1418"/>
        <w:jc w:val="both"/>
      </w:pPr>
      <w:r>
        <w:rPr>
          <w:u w:val="single"/>
        </w:rPr>
        <w:t>Valorizzazione concordataria</w:t>
      </w:r>
    </w:p>
    <w:p>
      <w:pPr>
        <w:pStyle w:val="BodyText"/>
        <w:spacing w:before="1"/>
        <w:rPr>
          <w:sz w:val="15"/>
        </w:rPr>
      </w:pPr>
    </w:p>
    <w:p>
      <w:pPr>
        <w:pStyle w:val="BodyText"/>
        <w:spacing w:line="480" w:lineRule="auto" w:before="100"/>
        <w:ind w:left="1418" w:right="1422"/>
        <w:jc w:val="both"/>
      </w:pPr>
      <w:r>
        <w:rPr/>
        <w:t>Con riferimento al credito verso Beta è stato un realizzo nella misura del 44,87% in linea con le previsioni di pagamento previste nel piano concordatario di Beta, così per complessivi Euro 1.348.321.</w:t>
      </w:r>
    </w:p>
    <w:p>
      <w:pPr>
        <w:pStyle w:val="BodyText"/>
        <w:spacing w:line="480" w:lineRule="auto"/>
        <w:ind w:left="1418" w:right="1415"/>
        <w:jc w:val="both"/>
      </w:pPr>
      <w:r>
        <w:rPr/>
        <w:t>Con riferimento al credito verso C5-6 la posta è stata compensata per Euro 36.389, svalutata per 909.959 tenuto conto delle disponibilità finanziarie della società dopo l’incasso della residua parte di finanziamento agevolato per 200.000 Euro.</w:t>
      </w:r>
    </w:p>
    <w:p>
      <w:pPr>
        <w:pStyle w:val="ListParagraph"/>
        <w:numPr>
          <w:ilvl w:val="0"/>
          <w:numId w:val="61"/>
        </w:numPr>
        <w:tabs>
          <w:tab w:pos="2126" w:val="left" w:leader="none"/>
          <w:tab w:pos="2127" w:val="left" w:leader="none"/>
        </w:tabs>
        <w:spacing w:line="306" w:lineRule="exact" w:before="0" w:after="0"/>
        <w:ind w:left="2126" w:right="0" w:hanging="348"/>
        <w:jc w:val="left"/>
        <w:rPr>
          <w:b/>
          <w:i/>
          <w:sz w:val="25"/>
        </w:rPr>
      </w:pPr>
      <w:r>
        <w:rPr>
          <w:b/>
          <w:sz w:val="24"/>
        </w:rPr>
        <w:t>Crediti</w:t>
      </w:r>
      <w:r>
        <w:rPr>
          <w:b/>
          <w:spacing w:val="-32"/>
          <w:sz w:val="24"/>
        </w:rPr>
        <w:t> </w:t>
      </w:r>
      <w:r>
        <w:rPr>
          <w:b/>
          <w:i/>
          <w:sz w:val="25"/>
        </w:rPr>
        <w:t>Cash</w:t>
      </w:r>
      <w:r>
        <w:rPr>
          <w:b/>
          <w:i/>
          <w:spacing w:val="-34"/>
          <w:sz w:val="25"/>
        </w:rPr>
        <w:t> </w:t>
      </w:r>
      <w:r>
        <w:rPr>
          <w:b/>
          <w:i/>
          <w:sz w:val="25"/>
        </w:rPr>
        <w:t>pooling</w:t>
      </w:r>
    </w:p>
    <w:p>
      <w:pPr>
        <w:pStyle w:val="BodyText"/>
        <w:rPr>
          <w:b/>
          <w:i/>
          <w:sz w:val="20"/>
        </w:rPr>
      </w:pPr>
    </w:p>
    <w:p>
      <w:pPr>
        <w:pStyle w:val="BodyText"/>
        <w:spacing w:before="10"/>
        <w:rPr>
          <w:b/>
          <w:i/>
          <w:sz w:val="18"/>
        </w:rPr>
      </w:pPr>
    </w:p>
    <w:tbl>
      <w:tblPr>
        <w:tblW w:w="0" w:type="auto"/>
        <w:jc w:val="left"/>
        <w:tblInd w:w="1419"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1537"/>
        <w:gridCol w:w="1374"/>
        <w:gridCol w:w="1041"/>
        <w:gridCol w:w="1041"/>
        <w:gridCol w:w="1041"/>
        <w:gridCol w:w="1041"/>
        <w:gridCol w:w="935"/>
        <w:gridCol w:w="1041"/>
      </w:tblGrid>
      <w:tr>
        <w:trPr>
          <w:trHeight w:val="609" w:hRule="exact"/>
        </w:trPr>
        <w:tc>
          <w:tcPr>
            <w:tcW w:w="1537" w:type="dxa"/>
            <w:shd w:val="clear" w:color="auto" w:fill="BEBEBE"/>
          </w:tcPr>
          <w:p>
            <w:pPr>
              <w:pStyle w:val="TableParagraph"/>
              <w:spacing w:before="0"/>
              <w:jc w:val="left"/>
              <w:rPr>
                <w:b/>
                <w:i/>
                <w:sz w:val="14"/>
              </w:rPr>
            </w:pPr>
          </w:p>
          <w:p>
            <w:pPr>
              <w:pStyle w:val="TableParagraph"/>
              <w:spacing w:before="80"/>
              <w:ind w:left="63" w:right="53"/>
              <w:jc w:val="center"/>
              <w:rPr>
                <w:b/>
                <w:sz w:val="13"/>
              </w:rPr>
            </w:pPr>
            <w:r>
              <w:rPr>
                <w:b/>
                <w:sz w:val="13"/>
              </w:rPr>
              <w:t>Conto</w:t>
            </w:r>
          </w:p>
        </w:tc>
        <w:tc>
          <w:tcPr>
            <w:tcW w:w="1374" w:type="dxa"/>
            <w:shd w:val="clear" w:color="auto" w:fill="BEBEBE"/>
          </w:tcPr>
          <w:p>
            <w:pPr>
              <w:pStyle w:val="TableParagraph"/>
              <w:spacing w:before="0"/>
              <w:jc w:val="left"/>
              <w:rPr>
                <w:b/>
                <w:i/>
                <w:sz w:val="14"/>
              </w:rPr>
            </w:pPr>
          </w:p>
          <w:p>
            <w:pPr>
              <w:pStyle w:val="TableParagraph"/>
              <w:spacing w:before="80"/>
              <w:ind w:left="349"/>
              <w:jc w:val="left"/>
              <w:rPr>
                <w:b/>
                <w:sz w:val="13"/>
              </w:rPr>
            </w:pPr>
            <w:r>
              <w:rPr>
                <w:b/>
                <w:sz w:val="13"/>
              </w:rPr>
              <w:t>Descrizione</w:t>
            </w:r>
          </w:p>
        </w:tc>
        <w:tc>
          <w:tcPr>
            <w:tcW w:w="1041" w:type="dxa"/>
            <w:shd w:val="clear" w:color="auto" w:fill="BEBEBE"/>
          </w:tcPr>
          <w:p>
            <w:pPr>
              <w:pStyle w:val="TableParagraph"/>
              <w:spacing w:before="0"/>
              <w:jc w:val="left"/>
              <w:rPr>
                <w:b/>
                <w:i/>
                <w:sz w:val="14"/>
              </w:rPr>
            </w:pPr>
          </w:p>
          <w:p>
            <w:pPr>
              <w:pStyle w:val="TableParagraph"/>
              <w:spacing w:before="80"/>
              <w:ind w:right="44"/>
              <w:rPr>
                <w:b/>
                <w:sz w:val="13"/>
              </w:rPr>
            </w:pPr>
            <w:r>
              <w:rPr>
                <w:b/>
                <w:sz w:val="13"/>
              </w:rPr>
              <w:t>BdV al 15.10.2017</w:t>
            </w:r>
          </w:p>
        </w:tc>
        <w:tc>
          <w:tcPr>
            <w:tcW w:w="1041" w:type="dxa"/>
            <w:shd w:val="clear" w:color="auto" w:fill="BEBEBE"/>
          </w:tcPr>
          <w:p>
            <w:pPr>
              <w:pStyle w:val="TableParagraph"/>
              <w:spacing w:before="1"/>
              <w:jc w:val="left"/>
              <w:rPr>
                <w:b/>
                <w:i/>
                <w:sz w:val="13"/>
              </w:rPr>
            </w:pPr>
          </w:p>
          <w:p>
            <w:pPr>
              <w:pStyle w:val="TableParagraph"/>
              <w:spacing w:line="280" w:lineRule="auto" w:before="0"/>
              <w:ind w:left="292" w:right="183" w:hanging="98"/>
              <w:jc w:val="left"/>
              <w:rPr>
                <w:b/>
                <w:sz w:val="13"/>
              </w:rPr>
            </w:pPr>
            <w:r>
              <w:rPr>
                <w:b/>
                <w:sz w:val="13"/>
              </w:rPr>
              <w:t>Trasferito a Versalis</w:t>
            </w:r>
          </w:p>
        </w:tc>
        <w:tc>
          <w:tcPr>
            <w:tcW w:w="1041" w:type="dxa"/>
            <w:shd w:val="clear" w:color="auto" w:fill="BEBEBE"/>
          </w:tcPr>
          <w:p>
            <w:pPr>
              <w:pStyle w:val="TableParagraph"/>
              <w:spacing w:before="0"/>
              <w:jc w:val="left"/>
              <w:rPr>
                <w:b/>
                <w:i/>
                <w:sz w:val="14"/>
              </w:rPr>
            </w:pPr>
          </w:p>
          <w:p>
            <w:pPr>
              <w:pStyle w:val="TableParagraph"/>
              <w:spacing w:before="80"/>
              <w:ind w:right="126"/>
              <w:rPr>
                <w:b/>
                <w:sz w:val="13"/>
              </w:rPr>
            </w:pPr>
            <w:r>
              <w:rPr>
                <w:b/>
                <w:sz w:val="13"/>
              </w:rPr>
              <w:t>Non trasferito</w:t>
            </w:r>
          </w:p>
        </w:tc>
        <w:tc>
          <w:tcPr>
            <w:tcW w:w="1041" w:type="dxa"/>
            <w:shd w:val="clear" w:color="auto" w:fill="BEBEBE"/>
          </w:tcPr>
          <w:p>
            <w:pPr>
              <w:pStyle w:val="TableParagraph"/>
              <w:spacing w:before="0"/>
              <w:jc w:val="left"/>
              <w:rPr>
                <w:b/>
                <w:i/>
                <w:sz w:val="14"/>
              </w:rPr>
            </w:pPr>
          </w:p>
          <w:p>
            <w:pPr>
              <w:pStyle w:val="TableParagraph"/>
              <w:spacing w:before="80"/>
              <w:ind w:right="77"/>
              <w:rPr>
                <w:b/>
                <w:sz w:val="13"/>
              </w:rPr>
            </w:pPr>
            <w:r>
              <w:rPr>
                <w:b/>
                <w:sz w:val="13"/>
              </w:rPr>
              <w:t>Compensazioni</w:t>
            </w:r>
          </w:p>
        </w:tc>
        <w:tc>
          <w:tcPr>
            <w:tcW w:w="935" w:type="dxa"/>
            <w:shd w:val="clear" w:color="auto" w:fill="BEBEBE"/>
          </w:tcPr>
          <w:p>
            <w:pPr>
              <w:pStyle w:val="TableParagraph"/>
              <w:spacing w:before="1"/>
              <w:jc w:val="left"/>
              <w:rPr>
                <w:b/>
                <w:i/>
                <w:sz w:val="13"/>
              </w:rPr>
            </w:pPr>
          </w:p>
          <w:p>
            <w:pPr>
              <w:pStyle w:val="TableParagraph"/>
              <w:spacing w:line="280" w:lineRule="auto" w:before="0"/>
              <w:ind w:left="73" w:right="80" w:firstLine="121"/>
              <w:jc w:val="left"/>
              <w:rPr>
                <w:b/>
                <w:sz w:val="13"/>
              </w:rPr>
            </w:pPr>
            <w:r>
              <w:rPr>
                <w:b/>
                <w:sz w:val="13"/>
              </w:rPr>
              <w:t>Rettifiche concordatarie</w:t>
            </w:r>
          </w:p>
        </w:tc>
        <w:tc>
          <w:tcPr>
            <w:tcW w:w="1041" w:type="dxa"/>
            <w:shd w:val="clear" w:color="auto" w:fill="BEBEBE"/>
          </w:tcPr>
          <w:p>
            <w:pPr>
              <w:pStyle w:val="TableParagraph"/>
              <w:spacing w:line="280" w:lineRule="auto" w:before="66"/>
              <w:ind w:left="40" w:right="45"/>
              <w:jc w:val="center"/>
              <w:rPr>
                <w:b/>
                <w:sz w:val="13"/>
              </w:rPr>
            </w:pPr>
            <w:r>
              <w:rPr>
                <w:b/>
                <w:sz w:val="13"/>
              </w:rPr>
              <w:t>valore di realizzo ai fini concordatario</w:t>
            </w:r>
          </w:p>
        </w:tc>
      </w:tr>
      <w:tr>
        <w:trPr>
          <w:trHeight w:val="180" w:hRule="exact"/>
        </w:trPr>
        <w:tc>
          <w:tcPr>
            <w:tcW w:w="1537" w:type="dxa"/>
            <w:tcBorders>
              <w:bottom w:val="nil"/>
            </w:tcBorders>
          </w:tcPr>
          <w:p>
            <w:pPr>
              <w:pStyle w:val="TableParagraph"/>
              <w:spacing w:before="18"/>
              <w:ind w:left="63" w:right="64"/>
              <w:jc w:val="center"/>
              <w:rPr>
                <w:sz w:val="13"/>
              </w:rPr>
            </w:pPr>
            <w:r>
              <w:rPr>
                <w:sz w:val="13"/>
              </w:rPr>
              <w:t>2229800-2229840-2292820</w:t>
            </w:r>
          </w:p>
        </w:tc>
        <w:tc>
          <w:tcPr>
            <w:tcW w:w="1374" w:type="dxa"/>
            <w:tcBorders>
              <w:bottom w:val="nil"/>
            </w:tcBorders>
          </w:tcPr>
          <w:p>
            <w:pPr>
              <w:pStyle w:val="TableParagraph"/>
              <w:spacing w:before="18"/>
              <w:ind w:left="16"/>
              <w:jc w:val="left"/>
              <w:rPr>
                <w:sz w:val="13"/>
              </w:rPr>
            </w:pPr>
            <w:r>
              <w:rPr>
                <w:sz w:val="13"/>
              </w:rPr>
              <w:t>M&amp;G FINANZIARIA</w:t>
            </w:r>
          </w:p>
        </w:tc>
        <w:tc>
          <w:tcPr>
            <w:tcW w:w="1041" w:type="dxa"/>
            <w:tcBorders>
              <w:bottom w:val="nil"/>
            </w:tcBorders>
          </w:tcPr>
          <w:p>
            <w:pPr>
              <w:pStyle w:val="TableParagraph"/>
              <w:spacing w:before="18"/>
              <w:ind w:right="60"/>
              <w:rPr>
                <w:sz w:val="13"/>
              </w:rPr>
            </w:pPr>
            <w:r>
              <w:rPr>
                <w:sz w:val="13"/>
              </w:rPr>
              <w:t>33.176.963</w:t>
            </w:r>
          </w:p>
        </w:tc>
        <w:tc>
          <w:tcPr>
            <w:tcW w:w="1041" w:type="dxa"/>
            <w:vMerge w:val="restart"/>
          </w:tcPr>
          <w:p>
            <w:pPr/>
          </w:p>
        </w:tc>
        <w:tc>
          <w:tcPr>
            <w:tcW w:w="1041" w:type="dxa"/>
            <w:tcBorders>
              <w:bottom w:val="nil"/>
            </w:tcBorders>
          </w:tcPr>
          <w:p>
            <w:pPr>
              <w:pStyle w:val="TableParagraph"/>
              <w:spacing w:before="18"/>
              <w:ind w:right="60"/>
              <w:rPr>
                <w:sz w:val="13"/>
              </w:rPr>
            </w:pPr>
            <w:r>
              <w:rPr>
                <w:sz w:val="13"/>
              </w:rPr>
              <w:t>33.176.963</w:t>
            </w:r>
          </w:p>
        </w:tc>
        <w:tc>
          <w:tcPr>
            <w:tcW w:w="1041" w:type="dxa"/>
            <w:vMerge w:val="restart"/>
          </w:tcPr>
          <w:p>
            <w:pPr/>
          </w:p>
        </w:tc>
        <w:tc>
          <w:tcPr>
            <w:tcW w:w="935" w:type="dxa"/>
            <w:tcBorders>
              <w:bottom w:val="nil"/>
            </w:tcBorders>
          </w:tcPr>
          <w:p>
            <w:pPr>
              <w:pStyle w:val="TableParagraph"/>
              <w:spacing w:before="18"/>
              <w:ind w:right="18"/>
              <w:rPr>
                <w:sz w:val="13"/>
              </w:rPr>
            </w:pPr>
            <w:r>
              <w:rPr>
                <w:sz w:val="13"/>
              </w:rPr>
              <w:t>(33.176.963)</w:t>
            </w:r>
          </w:p>
        </w:tc>
        <w:tc>
          <w:tcPr>
            <w:tcW w:w="1041" w:type="dxa"/>
            <w:tcBorders>
              <w:bottom w:val="nil"/>
            </w:tcBorders>
          </w:tcPr>
          <w:p>
            <w:pPr>
              <w:pStyle w:val="TableParagraph"/>
              <w:spacing w:before="18"/>
              <w:ind w:right="185"/>
              <w:rPr>
                <w:sz w:val="13"/>
              </w:rPr>
            </w:pPr>
            <w:r>
              <w:rPr>
                <w:w w:val="100"/>
                <w:sz w:val="13"/>
              </w:rPr>
              <w:t>-</w:t>
            </w:r>
          </w:p>
        </w:tc>
      </w:tr>
      <w:tr>
        <w:trPr>
          <w:trHeight w:val="171" w:hRule="exact"/>
        </w:trPr>
        <w:tc>
          <w:tcPr>
            <w:tcW w:w="1537" w:type="dxa"/>
            <w:tcBorders>
              <w:top w:val="nil"/>
              <w:bottom w:val="nil"/>
            </w:tcBorders>
          </w:tcPr>
          <w:p>
            <w:pPr>
              <w:pStyle w:val="TableParagraph"/>
              <w:spacing w:before="12"/>
              <w:ind w:left="63" w:right="63"/>
              <w:jc w:val="center"/>
              <w:rPr>
                <w:sz w:val="13"/>
              </w:rPr>
            </w:pPr>
            <w:r>
              <w:rPr>
                <w:sz w:val="13"/>
              </w:rPr>
              <w:t>2229820</w:t>
            </w:r>
          </w:p>
        </w:tc>
        <w:tc>
          <w:tcPr>
            <w:tcW w:w="1374" w:type="dxa"/>
            <w:tcBorders>
              <w:top w:val="nil"/>
              <w:bottom w:val="nil"/>
            </w:tcBorders>
          </w:tcPr>
          <w:p>
            <w:pPr>
              <w:pStyle w:val="TableParagraph"/>
              <w:spacing w:before="12"/>
              <w:ind w:left="16"/>
              <w:jc w:val="left"/>
              <w:rPr>
                <w:sz w:val="13"/>
              </w:rPr>
            </w:pPr>
            <w:r>
              <w:rPr>
                <w:sz w:val="13"/>
              </w:rPr>
              <w:t>IBP ENERGIA</w:t>
            </w:r>
          </w:p>
        </w:tc>
        <w:tc>
          <w:tcPr>
            <w:tcW w:w="1041" w:type="dxa"/>
            <w:tcBorders>
              <w:top w:val="nil"/>
              <w:bottom w:val="nil"/>
            </w:tcBorders>
          </w:tcPr>
          <w:p>
            <w:pPr>
              <w:pStyle w:val="TableParagraph"/>
              <w:spacing w:before="12"/>
              <w:ind w:right="59"/>
              <w:rPr>
                <w:sz w:val="13"/>
              </w:rPr>
            </w:pPr>
            <w:r>
              <w:rPr>
                <w:sz w:val="13"/>
              </w:rPr>
              <w:t>3.371</w:t>
            </w:r>
          </w:p>
        </w:tc>
        <w:tc>
          <w:tcPr>
            <w:tcW w:w="1041" w:type="dxa"/>
            <w:vMerge/>
          </w:tcPr>
          <w:p>
            <w:pPr/>
          </w:p>
        </w:tc>
        <w:tc>
          <w:tcPr>
            <w:tcW w:w="1041" w:type="dxa"/>
            <w:tcBorders>
              <w:top w:val="nil"/>
              <w:bottom w:val="nil"/>
            </w:tcBorders>
          </w:tcPr>
          <w:p>
            <w:pPr>
              <w:pStyle w:val="TableParagraph"/>
              <w:spacing w:before="12"/>
              <w:ind w:right="59"/>
              <w:rPr>
                <w:sz w:val="13"/>
              </w:rPr>
            </w:pPr>
            <w:r>
              <w:rPr>
                <w:sz w:val="13"/>
              </w:rPr>
              <w:t>3.371</w:t>
            </w:r>
          </w:p>
        </w:tc>
        <w:tc>
          <w:tcPr>
            <w:tcW w:w="1041" w:type="dxa"/>
            <w:vMerge/>
          </w:tcPr>
          <w:p>
            <w:pPr/>
          </w:p>
        </w:tc>
        <w:tc>
          <w:tcPr>
            <w:tcW w:w="935" w:type="dxa"/>
            <w:tcBorders>
              <w:top w:val="nil"/>
              <w:bottom w:val="nil"/>
            </w:tcBorders>
          </w:tcPr>
          <w:p>
            <w:pPr>
              <w:pStyle w:val="TableParagraph"/>
              <w:spacing w:before="12"/>
              <w:ind w:right="17"/>
              <w:rPr>
                <w:sz w:val="13"/>
              </w:rPr>
            </w:pPr>
            <w:r>
              <w:rPr>
                <w:sz w:val="13"/>
              </w:rPr>
              <w:t>(753)</w:t>
            </w:r>
          </w:p>
        </w:tc>
        <w:tc>
          <w:tcPr>
            <w:tcW w:w="1041" w:type="dxa"/>
            <w:tcBorders>
              <w:top w:val="nil"/>
              <w:bottom w:val="nil"/>
            </w:tcBorders>
          </w:tcPr>
          <w:p>
            <w:pPr>
              <w:pStyle w:val="TableParagraph"/>
              <w:spacing w:before="12"/>
              <w:ind w:right="59"/>
              <w:rPr>
                <w:sz w:val="13"/>
              </w:rPr>
            </w:pPr>
            <w:r>
              <w:rPr>
                <w:sz w:val="13"/>
              </w:rPr>
              <w:t>2.618</w:t>
            </w:r>
          </w:p>
        </w:tc>
      </w:tr>
      <w:tr>
        <w:trPr>
          <w:trHeight w:val="171" w:hRule="exact"/>
        </w:trPr>
        <w:tc>
          <w:tcPr>
            <w:tcW w:w="1537" w:type="dxa"/>
            <w:tcBorders>
              <w:top w:val="nil"/>
              <w:bottom w:val="nil"/>
            </w:tcBorders>
          </w:tcPr>
          <w:p>
            <w:pPr>
              <w:pStyle w:val="TableParagraph"/>
              <w:spacing w:before="12"/>
              <w:ind w:left="63" w:right="63"/>
              <w:jc w:val="center"/>
              <w:rPr>
                <w:sz w:val="13"/>
              </w:rPr>
            </w:pPr>
            <w:r>
              <w:rPr>
                <w:sz w:val="13"/>
              </w:rPr>
              <w:t>2239010</w:t>
            </w:r>
          </w:p>
        </w:tc>
        <w:tc>
          <w:tcPr>
            <w:tcW w:w="1374" w:type="dxa"/>
            <w:tcBorders>
              <w:top w:val="nil"/>
              <w:bottom w:val="nil"/>
            </w:tcBorders>
          </w:tcPr>
          <w:p>
            <w:pPr>
              <w:pStyle w:val="TableParagraph"/>
              <w:spacing w:before="12"/>
              <w:ind w:left="16"/>
              <w:jc w:val="left"/>
              <w:rPr>
                <w:sz w:val="13"/>
              </w:rPr>
            </w:pPr>
            <w:r>
              <w:rPr>
                <w:sz w:val="13"/>
              </w:rPr>
              <w:t>IBP ENERGIA</w:t>
            </w:r>
          </w:p>
        </w:tc>
        <w:tc>
          <w:tcPr>
            <w:tcW w:w="1041" w:type="dxa"/>
            <w:tcBorders>
              <w:top w:val="nil"/>
              <w:bottom w:val="nil"/>
            </w:tcBorders>
          </w:tcPr>
          <w:p>
            <w:pPr>
              <w:pStyle w:val="TableParagraph"/>
              <w:spacing w:before="12"/>
              <w:ind w:right="59"/>
              <w:rPr>
                <w:sz w:val="13"/>
              </w:rPr>
            </w:pPr>
            <w:r>
              <w:rPr>
                <w:sz w:val="13"/>
              </w:rPr>
              <w:t>1.800</w:t>
            </w:r>
          </w:p>
        </w:tc>
        <w:tc>
          <w:tcPr>
            <w:tcW w:w="1041" w:type="dxa"/>
            <w:vMerge/>
          </w:tcPr>
          <w:p>
            <w:pPr/>
          </w:p>
        </w:tc>
        <w:tc>
          <w:tcPr>
            <w:tcW w:w="1041" w:type="dxa"/>
            <w:tcBorders>
              <w:top w:val="nil"/>
              <w:bottom w:val="nil"/>
            </w:tcBorders>
          </w:tcPr>
          <w:p>
            <w:pPr>
              <w:pStyle w:val="TableParagraph"/>
              <w:spacing w:before="12"/>
              <w:ind w:right="59"/>
              <w:rPr>
                <w:sz w:val="13"/>
              </w:rPr>
            </w:pPr>
            <w:r>
              <w:rPr>
                <w:sz w:val="13"/>
              </w:rPr>
              <w:t>1.800</w:t>
            </w:r>
          </w:p>
        </w:tc>
        <w:tc>
          <w:tcPr>
            <w:tcW w:w="1041" w:type="dxa"/>
            <w:vMerge/>
          </w:tcPr>
          <w:p>
            <w:pPr/>
          </w:p>
        </w:tc>
        <w:tc>
          <w:tcPr>
            <w:tcW w:w="935" w:type="dxa"/>
            <w:tcBorders>
              <w:top w:val="nil"/>
              <w:bottom w:val="nil"/>
            </w:tcBorders>
          </w:tcPr>
          <w:p>
            <w:pPr>
              <w:pStyle w:val="TableParagraph"/>
              <w:spacing w:before="12"/>
              <w:ind w:right="17"/>
              <w:rPr>
                <w:sz w:val="13"/>
              </w:rPr>
            </w:pPr>
            <w:r>
              <w:rPr>
                <w:sz w:val="13"/>
              </w:rPr>
              <w:t>(402)</w:t>
            </w:r>
          </w:p>
        </w:tc>
        <w:tc>
          <w:tcPr>
            <w:tcW w:w="1041" w:type="dxa"/>
            <w:tcBorders>
              <w:top w:val="nil"/>
              <w:bottom w:val="nil"/>
            </w:tcBorders>
          </w:tcPr>
          <w:p>
            <w:pPr>
              <w:pStyle w:val="TableParagraph"/>
              <w:spacing w:before="12"/>
              <w:ind w:right="59"/>
              <w:rPr>
                <w:sz w:val="13"/>
              </w:rPr>
            </w:pPr>
            <w:r>
              <w:rPr>
                <w:sz w:val="13"/>
              </w:rPr>
              <w:t>1.398</w:t>
            </w:r>
          </w:p>
        </w:tc>
      </w:tr>
      <w:tr>
        <w:trPr>
          <w:trHeight w:val="161" w:hRule="exact"/>
        </w:trPr>
        <w:tc>
          <w:tcPr>
            <w:tcW w:w="1537" w:type="dxa"/>
            <w:tcBorders>
              <w:top w:val="nil"/>
            </w:tcBorders>
          </w:tcPr>
          <w:p>
            <w:pPr>
              <w:pStyle w:val="TableParagraph"/>
              <w:spacing w:before="12"/>
              <w:ind w:left="63" w:right="63"/>
              <w:jc w:val="center"/>
              <w:rPr>
                <w:sz w:val="13"/>
              </w:rPr>
            </w:pPr>
            <w:r>
              <w:rPr>
                <w:sz w:val="13"/>
              </w:rPr>
              <w:t>2229840</w:t>
            </w:r>
          </w:p>
        </w:tc>
        <w:tc>
          <w:tcPr>
            <w:tcW w:w="1374" w:type="dxa"/>
            <w:tcBorders>
              <w:top w:val="nil"/>
            </w:tcBorders>
          </w:tcPr>
          <w:p>
            <w:pPr>
              <w:pStyle w:val="TableParagraph"/>
              <w:spacing w:before="12"/>
              <w:ind w:left="16"/>
              <w:jc w:val="left"/>
              <w:rPr>
                <w:sz w:val="13"/>
              </w:rPr>
            </w:pPr>
            <w:r>
              <w:rPr>
                <w:sz w:val="13"/>
              </w:rPr>
              <w:t>IBP</w:t>
            </w:r>
          </w:p>
        </w:tc>
        <w:tc>
          <w:tcPr>
            <w:tcW w:w="1041" w:type="dxa"/>
            <w:tcBorders>
              <w:top w:val="nil"/>
            </w:tcBorders>
          </w:tcPr>
          <w:p>
            <w:pPr>
              <w:pStyle w:val="TableParagraph"/>
              <w:spacing w:before="12"/>
              <w:ind w:right="60"/>
              <w:rPr>
                <w:sz w:val="13"/>
              </w:rPr>
            </w:pPr>
            <w:r>
              <w:rPr>
                <w:sz w:val="13"/>
              </w:rPr>
              <w:t>360.058</w:t>
            </w:r>
          </w:p>
        </w:tc>
        <w:tc>
          <w:tcPr>
            <w:tcW w:w="1041" w:type="dxa"/>
            <w:vMerge/>
          </w:tcPr>
          <w:p>
            <w:pPr/>
          </w:p>
        </w:tc>
        <w:tc>
          <w:tcPr>
            <w:tcW w:w="1041" w:type="dxa"/>
            <w:tcBorders>
              <w:top w:val="nil"/>
            </w:tcBorders>
          </w:tcPr>
          <w:p>
            <w:pPr>
              <w:pStyle w:val="TableParagraph"/>
              <w:spacing w:before="12"/>
              <w:ind w:right="59"/>
              <w:rPr>
                <w:sz w:val="13"/>
              </w:rPr>
            </w:pPr>
            <w:r>
              <w:rPr>
                <w:sz w:val="13"/>
              </w:rPr>
              <w:t>360.058</w:t>
            </w:r>
          </w:p>
        </w:tc>
        <w:tc>
          <w:tcPr>
            <w:tcW w:w="1041" w:type="dxa"/>
            <w:vMerge/>
          </w:tcPr>
          <w:p>
            <w:pPr/>
          </w:p>
        </w:tc>
        <w:tc>
          <w:tcPr>
            <w:tcW w:w="935" w:type="dxa"/>
            <w:tcBorders>
              <w:top w:val="nil"/>
            </w:tcBorders>
          </w:tcPr>
          <w:p>
            <w:pPr>
              <w:pStyle w:val="TableParagraph"/>
              <w:spacing w:before="12"/>
              <w:ind w:right="18"/>
              <w:rPr>
                <w:sz w:val="13"/>
              </w:rPr>
            </w:pPr>
            <w:r>
              <w:rPr>
                <w:sz w:val="13"/>
              </w:rPr>
              <w:t>(360.058)</w:t>
            </w:r>
          </w:p>
        </w:tc>
        <w:tc>
          <w:tcPr>
            <w:tcW w:w="1041" w:type="dxa"/>
            <w:tcBorders>
              <w:top w:val="nil"/>
            </w:tcBorders>
          </w:tcPr>
          <w:p>
            <w:pPr>
              <w:pStyle w:val="TableParagraph"/>
              <w:spacing w:before="12"/>
              <w:ind w:right="185"/>
              <w:rPr>
                <w:sz w:val="13"/>
              </w:rPr>
            </w:pPr>
            <w:r>
              <w:rPr>
                <w:w w:val="100"/>
                <w:sz w:val="13"/>
              </w:rPr>
              <w:t>-</w:t>
            </w:r>
          </w:p>
        </w:tc>
      </w:tr>
      <w:tr>
        <w:trPr>
          <w:trHeight w:val="171" w:hRule="exact"/>
        </w:trPr>
        <w:tc>
          <w:tcPr>
            <w:tcW w:w="2911" w:type="dxa"/>
            <w:gridSpan w:val="2"/>
            <w:shd w:val="clear" w:color="auto" w:fill="BEBEBE"/>
          </w:tcPr>
          <w:p>
            <w:pPr>
              <w:pStyle w:val="TableParagraph"/>
              <w:spacing w:before="18"/>
              <w:ind w:left="16"/>
              <w:jc w:val="left"/>
              <w:rPr>
                <w:b/>
                <w:sz w:val="13"/>
              </w:rPr>
            </w:pPr>
            <w:r>
              <w:rPr>
                <w:b/>
                <w:sz w:val="13"/>
              </w:rPr>
              <w:t>Totale crediti Cash Pooling</w:t>
            </w:r>
          </w:p>
        </w:tc>
        <w:tc>
          <w:tcPr>
            <w:tcW w:w="1041" w:type="dxa"/>
            <w:shd w:val="clear" w:color="auto" w:fill="BEBEBE"/>
          </w:tcPr>
          <w:p>
            <w:pPr>
              <w:pStyle w:val="TableParagraph"/>
              <w:spacing w:before="18"/>
              <w:ind w:right="45"/>
              <w:rPr>
                <w:b/>
                <w:sz w:val="13"/>
              </w:rPr>
            </w:pPr>
            <w:r>
              <w:rPr>
                <w:b/>
                <w:sz w:val="13"/>
              </w:rPr>
              <w:t>33.542.191</w:t>
            </w:r>
          </w:p>
        </w:tc>
        <w:tc>
          <w:tcPr>
            <w:tcW w:w="1041" w:type="dxa"/>
            <w:shd w:val="clear" w:color="auto" w:fill="BEBEBE"/>
          </w:tcPr>
          <w:p>
            <w:pPr>
              <w:pStyle w:val="TableParagraph"/>
              <w:spacing w:before="18"/>
              <w:ind w:right="181"/>
              <w:rPr>
                <w:b/>
                <w:sz w:val="13"/>
              </w:rPr>
            </w:pPr>
            <w:r>
              <w:rPr>
                <w:b/>
                <w:w w:val="100"/>
                <w:sz w:val="13"/>
              </w:rPr>
              <w:t>-</w:t>
            </w:r>
          </w:p>
        </w:tc>
        <w:tc>
          <w:tcPr>
            <w:tcW w:w="1041" w:type="dxa"/>
            <w:shd w:val="clear" w:color="auto" w:fill="BEBEBE"/>
          </w:tcPr>
          <w:p>
            <w:pPr>
              <w:pStyle w:val="TableParagraph"/>
              <w:spacing w:before="18"/>
              <w:ind w:right="53"/>
              <w:rPr>
                <w:b/>
                <w:sz w:val="13"/>
              </w:rPr>
            </w:pPr>
            <w:r>
              <w:rPr>
                <w:b/>
                <w:sz w:val="13"/>
              </w:rPr>
              <w:t>33.542.191</w:t>
            </w:r>
          </w:p>
        </w:tc>
        <w:tc>
          <w:tcPr>
            <w:tcW w:w="1041" w:type="dxa"/>
            <w:shd w:val="clear" w:color="auto" w:fill="BEBEBE"/>
          </w:tcPr>
          <w:p>
            <w:pPr>
              <w:pStyle w:val="TableParagraph"/>
              <w:spacing w:before="18"/>
              <w:ind w:right="182"/>
              <w:rPr>
                <w:b/>
                <w:sz w:val="13"/>
              </w:rPr>
            </w:pPr>
            <w:r>
              <w:rPr>
                <w:b/>
                <w:w w:val="100"/>
                <w:sz w:val="13"/>
              </w:rPr>
              <w:t>-</w:t>
            </w:r>
          </w:p>
        </w:tc>
        <w:tc>
          <w:tcPr>
            <w:tcW w:w="935" w:type="dxa"/>
            <w:shd w:val="clear" w:color="auto" w:fill="BEBEBE"/>
          </w:tcPr>
          <w:p>
            <w:pPr>
              <w:pStyle w:val="TableParagraph"/>
              <w:spacing w:before="18"/>
              <w:ind w:right="18"/>
              <w:rPr>
                <w:b/>
                <w:sz w:val="13"/>
              </w:rPr>
            </w:pPr>
            <w:r>
              <w:rPr>
                <w:b/>
                <w:sz w:val="13"/>
              </w:rPr>
              <w:t>(33.538.175)</w:t>
            </w:r>
          </w:p>
        </w:tc>
        <w:tc>
          <w:tcPr>
            <w:tcW w:w="1041" w:type="dxa"/>
            <w:shd w:val="clear" w:color="auto" w:fill="BEBEBE"/>
          </w:tcPr>
          <w:p>
            <w:pPr>
              <w:pStyle w:val="TableParagraph"/>
              <w:spacing w:before="18"/>
              <w:ind w:right="59"/>
              <w:rPr>
                <w:b/>
                <w:sz w:val="13"/>
              </w:rPr>
            </w:pPr>
            <w:r>
              <w:rPr>
                <w:b/>
                <w:sz w:val="13"/>
              </w:rPr>
              <w:t>4.016</w:t>
            </w:r>
          </w:p>
        </w:tc>
      </w:tr>
    </w:tbl>
    <w:p>
      <w:pPr>
        <w:pStyle w:val="BodyText"/>
        <w:rPr>
          <w:b/>
          <w:i/>
          <w:sz w:val="20"/>
        </w:rPr>
      </w:pPr>
    </w:p>
    <w:p>
      <w:pPr>
        <w:pStyle w:val="Heading2"/>
        <w:spacing w:before="219"/>
        <w:jc w:val="both"/>
      </w:pPr>
      <w:r>
        <w:rPr>
          <w:u w:val="single"/>
        </w:rPr>
        <w:t>Crediti verso M&amp;G Finanziaria</w:t>
      </w:r>
    </w:p>
    <w:p>
      <w:pPr>
        <w:pStyle w:val="BodyText"/>
        <w:spacing w:before="10"/>
        <w:rPr>
          <w:b/>
          <w:sz w:val="23"/>
        </w:rPr>
      </w:pPr>
    </w:p>
    <w:p>
      <w:pPr>
        <w:pStyle w:val="BodyText"/>
        <w:spacing w:line="480" w:lineRule="auto"/>
        <w:ind w:left="1418" w:right="1413"/>
        <w:jc w:val="both"/>
      </w:pPr>
      <w:r>
        <w:rPr/>
        <w:t>Dai colloqui e dalle ricostruzioni effettiate dal management della Società e riportate nei </w:t>
      </w:r>
      <w:r>
        <w:rPr>
          <w:i/>
        </w:rPr>
        <w:t>Deliverables </w:t>
      </w:r>
      <w:r>
        <w:rPr/>
        <w:t>di Deloitte con riferimento alla comprensione delle modalità di gestione della società alla procedura di tesoreria accentrata – </w:t>
      </w:r>
      <w:r>
        <w:rPr>
          <w:i/>
        </w:rPr>
        <w:t>cash pooling </w:t>
      </w:r>
      <w:r>
        <w:rPr/>
        <w:t>– i cui esiti ci sono stati illustrati dal management stesso  in  particolare  dal  dott.  Toselli  CFO  del  gruppo,    gli  scriventi  hanno  appreso  che 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4"/>
        <w:jc w:val="both"/>
      </w:pPr>
      <w:r>
        <w:rPr/>
        <w:t>decorrere dal 2011 Biochemtex partecipa al sistema di </w:t>
      </w:r>
      <w:r>
        <w:rPr>
          <w:i/>
        </w:rPr>
        <w:t>cash pooling </w:t>
      </w:r>
      <w:r>
        <w:rPr/>
        <w:t>in forza del quale  viene attribuita in capo ad un solo soggetto giuridico la gestione delle disponibilità finanziarie del gruppo, con l’obiettivo di ottenere una gestione accentrata della tesoreria aziendale.</w:t>
      </w:r>
    </w:p>
    <w:p>
      <w:pPr>
        <w:pStyle w:val="BodyText"/>
        <w:spacing w:line="480" w:lineRule="auto"/>
        <w:ind w:left="1418" w:right="1414"/>
        <w:jc w:val="both"/>
      </w:pPr>
      <w:r>
        <w:rPr/>
        <w:t>Il Gruppo Mossi &amp; Ghisolfi deteneva i seguenti n. 3 rapporti di </w:t>
      </w:r>
      <w:r>
        <w:rPr>
          <w:i/>
        </w:rPr>
        <w:t>cash pooling </w:t>
      </w:r>
      <w:r>
        <w:rPr/>
        <w:t>a cui Biochemtex partecipava (e tuttora partecipa):</w:t>
      </w:r>
    </w:p>
    <w:p>
      <w:pPr>
        <w:pStyle w:val="ListParagraph"/>
        <w:numPr>
          <w:ilvl w:val="0"/>
          <w:numId w:val="62"/>
        </w:numPr>
        <w:tabs>
          <w:tab w:pos="1578" w:val="left" w:leader="none"/>
        </w:tabs>
        <w:spacing w:line="480" w:lineRule="auto" w:before="0" w:after="0"/>
        <w:ind w:left="1418" w:right="1413" w:firstLine="0"/>
        <w:jc w:val="both"/>
        <w:rPr>
          <w:sz w:val="24"/>
        </w:rPr>
      </w:pPr>
      <w:r>
        <w:rPr>
          <w:sz w:val="24"/>
        </w:rPr>
        <w:t>“</w:t>
      </w:r>
      <w:r>
        <w:rPr>
          <w:i/>
          <w:sz w:val="24"/>
        </w:rPr>
        <w:t>cash pooling </w:t>
      </w:r>
      <w:r>
        <w:rPr>
          <w:sz w:val="24"/>
        </w:rPr>
        <w:t>BIO” (attivato in data 10 aprile 2012), di cui Biochemtex è la </w:t>
      </w:r>
      <w:r>
        <w:rPr>
          <w:i/>
          <w:sz w:val="24"/>
        </w:rPr>
        <w:t>Pooler </w:t>
      </w:r>
      <w:r>
        <w:rPr>
          <w:sz w:val="24"/>
        </w:rPr>
        <w:t>delle Società costituenti il c.d. “Polo Bio”, ossia IBP Energia, IBP (fino a dicembre 2016) e Biochemtex Agro (fino all’11 dicembre</w:t>
      </w:r>
      <w:r>
        <w:rPr>
          <w:spacing w:val="-7"/>
          <w:sz w:val="24"/>
        </w:rPr>
        <w:t> </w:t>
      </w:r>
      <w:r>
        <w:rPr>
          <w:sz w:val="24"/>
        </w:rPr>
        <w:t>2015);</w:t>
      </w:r>
    </w:p>
    <w:p>
      <w:pPr>
        <w:pStyle w:val="ListParagraph"/>
        <w:numPr>
          <w:ilvl w:val="0"/>
          <w:numId w:val="62"/>
        </w:numPr>
        <w:tabs>
          <w:tab w:pos="1575" w:val="left" w:leader="none"/>
        </w:tabs>
        <w:spacing w:line="480" w:lineRule="auto" w:before="0" w:after="0"/>
        <w:ind w:left="1418" w:right="1419" w:firstLine="0"/>
        <w:jc w:val="both"/>
        <w:rPr>
          <w:sz w:val="24"/>
        </w:rPr>
      </w:pPr>
      <w:r>
        <w:rPr>
          <w:sz w:val="24"/>
        </w:rPr>
        <w:t>“</w:t>
      </w:r>
      <w:r>
        <w:rPr>
          <w:i/>
          <w:sz w:val="24"/>
        </w:rPr>
        <w:t>cash pooling </w:t>
      </w:r>
      <w:r>
        <w:rPr>
          <w:sz w:val="24"/>
        </w:rPr>
        <w:t>Intesa” (attivato in data 1° agosto 2011), di cui M&amp;G Finanziaria è la Pooler e al quale partecipano (oltre a Biochemtex) le società di diritto italiano Acetati, M&amp;G Polimeri, Italpet, Cobarr e</w:t>
      </w:r>
      <w:r>
        <w:rPr>
          <w:spacing w:val="-12"/>
          <w:sz w:val="24"/>
        </w:rPr>
        <w:t> </w:t>
      </w:r>
      <w:r>
        <w:rPr>
          <w:sz w:val="24"/>
        </w:rPr>
        <w:t>M&amp;G;</w:t>
      </w:r>
    </w:p>
    <w:p>
      <w:pPr>
        <w:pStyle w:val="ListParagraph"/>
        <w:numPr>
          <w:ilvl w:val="0"/>
          <w:numId w:val="62"/>
        </w:numPr>
        <w:tabs>
          <w:tab w:pos="1559" w:val="left" w:leader="none"/>
        </w:tabs>
        <w:spacing w:line="480" w:lineRule="auto" w:before="1" w:after="0"/>
        <w:ind w:left="1418" w:right="1418" w:firstLine="0"/>
        <w:jc w:val="both"/>
        <w:rPr>
          <w:sz w:val="24"/>
        </w:rPr>
      </w:pPr>
      <w:r>
        <w:rPr>
          <w:sz w:val="24"/>
        </w:rPr>
        <w:t>“</w:t>
      </w:r>
      <w:r>
        <w:rPr>
          <w:i/>
          <w:sz w:val="24"/>
        </w:rPr>
        <w:t>cash pooling </w:t>
      </w:r>
      <w:r>
        <w:rPr>
          <w:sz w:val="24"/>
        </w:rPr>
        <w:t>Unicredit” (attivato in data 1° settembre 2011), con Pooler la M&amp;G Finanziaria e al quale partecipano (oltre a Biochemtex) le società Acetati, M&amp;G Polimeri, Italpet, Cobarr, M&amp;G, M&amp;G Capital (Lussemburgo) e M&amp;G Capital Investment</w:t>
      </w:r>
      <w:r>
        <w:rPr>
          <w:spacing w:val="-23"/>
          <w:sz w:val="24"/>
        </w:rPr>
        <w:t> </w:t>
      </w:r>
      <w:r>
        <w:rPr>
          <w:sz w:val="24"/>
        </w:rPr>
        <w:t>(Lussemburgo).</w:t>
      </w:r>
    </w:p>
    <w:p>
      <w:pPr>
        <w:pStyle w:val="BodyText"/>
        <w:spacing w:line="480" w:lineRule="auto"/>
        <w:ind w:left="1418" w:right="1413"/>
        <w:jc w:val="both"/>
      </w:pPr>
      <w:r>
        <w:rPr/>
        <w:t>Nell’ambito di tali rapporti le società identificate come </w:t>
      </w:r>
      <w:r>
        <w:rPr>
          <w:i/>
        </w:rPr>
        <w:t>pooler</w:t>
      </w:r>
      <w:r>
        <w:rPr/>
        <w:t>, ricevono sul c.d. </w:t>
      </w:r>
      <w:r>
        <w:rPr>
          <w:i/>
        </w:rPr>
        <w:t>Concentration </w:t>
      </w:r>
      <w:r>
        <w:rPr>
          <w:i/>
        </w:rPr>
        <w:t>Account</w:t>
      </w:r>
      <w:r>
        <w:rPr/>
        <w:t>» dalla banca che gestisce il servizio [ndr. Unicredit o Intesa] - in automatico e su base giornaliera - i saldi giornalieri sia positivi che negativi (da contratto è previsto il limite di Euro 50 mila per trasferimenti saldi negativi) presenti sui conti delle singole società partecipanti (c.d. “ZB Account”).</w:t>
      </w:r>
    </w:p>
    <w:p>
      <w:pPr>
        <w:pStyle w:val="BodyText"/>
        <w:ind w:left="1418"/>
        <w:jc w:val="both"/>
      </w:pPr>
      <w:r>
        <w:rPr/>
        <w:t>I tassi di interesse applicati alle posizioni attive e passive sono conformi a quelli di mercato.</w:t>
      </w:r>
    </w:p>
    <w:p>
      <w:pPr>
        <w:pStyle w:val="BodyText"/>
        <w:spacing w:before="11"/>
        <w:rPr>
          <w:sz w:val="23"/>
        </w:rPr>
      </w:pPr>
    </w:p>
    <w:p>
      <w:pPr>
        <w:pStyle w:val="BodyText"/>
        <w:spacing w:line="480" w:lineRule="auto"/>
        <w:ind w:left="1418" w:right="1418"/>
        <w:jc w:val="both"/>
      </w:pPr>
      <w:r>
        <w:rPr/>
        <w:t>Dal punto di vista contabile, il «Pooler» e ciascuna società partecipante sono tenuti a registrare in un conto dedicato ("</w:t>
      </w:r>
      <w:r>
        <w:rPr>
          <w:i/>
        </w:rPr>
        <w:t>Cash pooling </w:t>
      </w:r>
      <w:r>
        <w:rPr/>
        <w:t>Account”) tutti i trasferimenti avvenuti nel corso della singola giornata; il </w:t>
      </w:r>
      <w:r>
        <w:rPr>
          <w:i/>
        </w:rPr>
        <w:t>Pooler </w:t>
      </w:r>
      <w:r>
        <w:rPr/>
        <w:t>su base trimestrale (31 marzo; 30 giugno; 30 settembre; 31 dicembre)   provvede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1"/>
        <w:jc w:val="both"/>
      </w:pPr>
      <w:r>
        <w:rPr/>
        <w:t>ad inviare a ciascuna società partecipante una dichiarazione di sintesi (c.d. “</w:t>
      </w:r>
      <w:r>
        <w:rPr>
          <w:i/>
        </w:rPr>
        <w:t>Quaterly  Pooling </w:t>
      </w:r>
      <w:r>
        <w:rPr>
          <w:i/>
        </w:rPr>
        <w:t>Report</w:t>
      </w:r>
      <w:r>
        <w:rPr/>
        <w:t>”) in cui vengono riepilogate tutte le operazioni registrate nel periodo di riferimento nei confronti della singola partecipante (a ciascuna per quanto di propria competenza). Il “</w:t>
      </w:r>
      <w:r>
        <w:rPr>
          <w:i/>
        </w:rPr>
        <w:t>Quaterly </w:t>
      </w:r>
      <w:r>
        <w:rPr>
          <w:i/>
        </w:rPr>
        <w:t>Pooling Report</w:t>
      </w:r>
      <w:r>
        <w:rPr/>
        <w:t>” deve poi essere confermato (o meno) da ciascuna società partecipante entro cinquantacinque giorni dall’avvenuta ricezione dello stesso, senza poter richiedere la disponibilità degli eventuali saldi positivi prima della data di chiusura del singolo conto corrente di </w:t>
      </w:r>
      <w:r>
        <w:rPr>
          <w:i/>
        </w:rPr>
        <w:t>cash pooling </w:t>
      </w:r>
      <w:r>
        <w:rPr/>
        <w:t>(31 dicembre).</w:t>
      </w:r>
    </w:p>
    <w:p>
      <w:pPr>
        <w:pStyle w:val="BodyText"/>
        <w:spacing w:line="480" w:lineRule="auto"/>
        <w:ind w:left="1418" w:right="1411"/>
        <w:jc w:val="both"/>
      </w:pPr>
      <w:r>
        <w:rPr/>
        <w:t>Nella tabella seguente si riportano le condizioni economiche dei rapporti di </w:t>
      </w:r>
      <w:r>
        <w:rPr>
          <w:i/>
        </w:rPr>
        <w:t>cash pooling </w:t>
      </w:r>
      <w:r>
        <w:rPr/>
        <w:t>sopra descritti:</w:t>
      </w:r>
    </w:p>
    <w:p>
      <w:pPr>
        <w:pStyle w:val="BodyText"/>
        <w:spacing w:before="3"/>
        <w:rPr>
          <w:sz w:val="18"/>
        </w:rPr>
      </w:pPr>
    </w:p>
    <w:tbl>
      <w:tblPr>
        <w:tblW w:w="0" w:type="auto"/>
        <w:jc w:val="left"/>
        <w:tblInd w:w="1419"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top w:w="0" w:type="dxa"/>
          <w:left w:w="0" w:type="dxa"/>
          <w:bottom w:w="0" w:type="dxa"/>
          <w:right w:w="0" w:type="dxa"/>
        </w:tblCellMar>
        <w:tblLook w:val="01E0"/>
      </w:tblPr>
      <w:tblGrid>
        <w:gridCol w:w="4365"/>
        <w:gridCol w:w="4683"/>
      </w:tblGrid>
      <w:tr>
        <w:trPr>
          <w:trHeight w:val="293" w:hRule="exact"/>
        </w:trPr>
        <w:tc>
          <w:tcPr>
            <w:tcW w:w="4365" w:type="dxa"/>
            <w:shd w:val="clear" w:color="auto" w:fill="BEBEBE"/>
          </w:tcPr>
          <w:p>
            <w:pPr>
              <w:pStyle w:val="TableParagraph"/>
              <w:spacing w:before="68"/>
              <w:ind w:left="24"/>
              <w:jc w:val="left"/>
              <w:rPr>
                <w:b/>
                <w:sz w:val="19"/>
              </w:rPr>
            </w:pPr>
            <w:r>
              <w:rPr>
                <w:b/>
                <w:w w:val="105"/>
                <w:sz w:val="19"/>
              </w:rPr>
              <w:t>Tipologia</w:t>
            </w:r>
          </w:p>
        </w:tc>
        <w:tc>
          <w:tcPr>
            <w:tcW w:w="4683" w:type="dxa"/>
            <w:shd w:val="clear" w:color="auto" w:fill="BEBEBE"/>
          </w:tcPr>
          <w:p>
            <w:pPr>
              <w:pStyle w:val="TableParagraph"/>
              <w:spacing w:before="68"/>
              <w:ind w:left="24"/>
              <w:jc w:val="left"/>
              <w:rPr>
                <w:b/>
                <w:sz w:val="19"/>
              </w:rPr>
            </w:pPr>
            <w:r>
              <w:rPr>
                <w:b/>
                <w:sz w:val="19"/>
              </w:rPr>
              <w:t>Condizioni Economiche</w:t>
            </w:r>
          </w:p>
        </w:tc>
      </w:tr>
      <w:tr>
        <w:trPr>
          <w:trHeight w:val="537" w:hRule="exact"/>
        </w:trPr>
        <w:tc>
          <w:tcPr>
            <w:tcW w:w="4365" w:type="dxa"/>
          </w:tcPr>
          <w:p>
            <w:pPr>
              <w:pStyle w:val="TableParagraph"/>
              <w:spacing w:line="288" w:lineRule="auto" w:before="56"/>
              <w:ind w:left="24"/>
              <w:jc w:val="left"/>
              <w:rPr>
                <w:sz w:val="19"/>
              </w:rPr>
            </w:pPr>
            <w:r>
              <w:rPr>
                <w:w w:val="105"/>
                <w:sz w:val="19"/>
              </w:rPr>
              <w:t>Tasso d'interesse su saldi creditori dei partecipanti trasferiti al Pooler</w:t>
            </w:r>
          </w:p>
        </w:tc>
        <w:tc>
          <w:tcPr>
            <w:tcW w:w="4683" w:type="dxa"/>
          </w:tcPr>
          <w:p>
            <w:pPr>
              <w:pStyle w:val="TableParagraph"/>
              <w:spacing w:before="31"/>
              <w:ind w:left="24"/>
              <w:jc w:val="left"/>
              <w:rPr>
                <w:sz w:val="19"/>
              </w:rPr>
            </w:pPr>
            <w:r>
              <w:rPr>
                <w:w w:val="105"/>
                <w:sz w:val="19"/>
              </w:rPr>
              <w:t>Media mensile dell'EURIBOR 3 mesi + spread (1,325%)</w:t>
            </w:r>
          </w:p>
        </w:tc>
      </w:tr>
      <w:tr>
        <w:trPr>
          <w:trHeight w:val="463" w:hRule="exact"/>
        </w:trPr>
        <w:tc>
          <w:tcPr>
            <w:tcW w:w="4365" w:type="dxa"/>
          </w:tcPr>
          <w:p>
            <w:pPr>
              <w:pStyle w:val="TableParagraph"/>
              <w:spacing w:line="196" w:lineRule="exact" w:before="0"/>
              <w:ind w:left="24"/>
              <w:jc w:val="left"/>
              <w:rPr>
                <w:sz w:val="19"/>
              </w:rPr>
            </w:pPr>
            <w:r>
              <w:rPr>
                <w:w w:val="105"/>
                <w:sz w:val="19"/>
              </w:rPr>
              <w:t>Tasso d'interesse su saldi creditori del Pooler nei</w:t>
            </w:r>
          </w:p>
          <w:p>
            <w:pPr>
              <w:pStyle w:val="TableParagraph"/>
              <w:spacing w:before="42"/>
              <w:ind w:left="24"/>
              <w:jc w:val="left"/>
              <w:rPr>
                <w:sz w:val="19"/>
              </w:rPr>
            </w:pPr>
            <w:r>
              <w:rPr>
                <w:w w:val="105"/>
                <w:sz w:val="19"/>
              </w:rPr>
              <w:t>confronti dei partecipanti</w:t>
            </w:r>
          </w:p>
        </w:tc>
        <w:tc>
          <w:tcPr>
            <w:tcW w:w="4683" w:type="dxa"/>
          </w:tcPr>
          <w:p>
            <w:pPr>
              <w:pStyle w:val="TableParagraph"/>
              <w:spacing w:before="31"/>
              <w:ind w:left="24"/>
              <w:jc w:val="left"/>
              <w:rPr>
                <w:sz w:val="19"/>
              </w:rPr>
            </w:pPr>
            <w:r>
              <w:rPr>
                <w:w w:val="105"/>
                <w:sz w:val="19"/>
              </w:rPr>
              <w:t>Media mensile dell'EURIBOR 3 mesi + spread (1,20%)</w:t>
            </w:r>
          </w:p>
        </w:tc>
      </w:tr>
      <w:tr>
        <w:trPr>
          <w:trHeight w:val="256" w:hRule="exact"/>
        </w:trPr>
        <w:tc>
          <w:tcPr>
            <w:tcW w:w="4365" w:type="dxa"/>
            <w:tcBorders>
              <w:bottom w:val="single" w:sz="5" w:space="0" w:color="000000"/>
            </w:tcBorders>
          </w:tcPr>
          <w:p>
            <w:pPr>
              <w:pStyle w:val="TableParagraph"/>
              <w:spacing w:before="31"/>
              <w:ind w:left="24"/>
              <w:jc w:val="left"/>
              <w:rPr>
                <w:sz w:val="19"/>
              </w:rPr>
            </w:pPr>
            <w:r>
              <w:rPr>
                <w:w w:val="105"/>
                <w:sz w:val="19"/>
              </w:rPr>
              <w:t>Margine di intermediazione a favore del Pooler</w:t>
            </w:r>
          </w:p>
        </w:tc>
        <w:tc>
          <w:tcPr>
            <w:tcW w:w="4683" w:type="dxa"/>
            <w:tcBorders>
              <w:bottom w:val="single" w:sz="5" w:space="0" w:color="000000"/>
            </w:tcBorders>
          </w:tcPr>
          <w:p>
            <w:pPr>
              <w:pStyle w:val="TableParagraph"/>
              <w:spacing w:before="31"/>
              <w:ind w:left="24"/>
              <w:jc w:val="left"/>
              <w:rPr>
                <w:sz w:val="19"/>
              </w:rPr>
            </w:pPr>
            <w:r>
              <w:rPr>
                <w:w w:val="105"/>
                <w:sz w:val="19"/>
              </w:rPr>
              <w:t>0,125%</w:t>
            </w:r>
          </w:p>
        </w:tc>
      </w:tr>
      <w:tr>
        <w:trPr>
          <w:trHeight w:val="256" w:hRule="exact"/>
        </w:trPr>
        <w:tc>
          <w:tcPr>
            <w:tcW w:w="4365" w:type="dxa"/>
            <w:tcBorders>
              <w:top w:val="single" w:sz="5" w:space="0" w:color="000000"/>
            </w:tcBorders>
          </w:tcPr>
          <w:p>
            <w:pPr>
              <w:pStyle w:val="TableParagraph"/>
              <w:spacing w:before="31"/>
              <w:ind w:left="24"/>
              <w:jc w:val="left"/>
              <w:rPr>
                <w:sz w:val="19"/>
              </w:rPr>
            </w:pPr>
            <w:r>
              <w:rPr>
                <w:w w:val="105"/>
                <w:sz w:val="19"/>
              </w:rPr>
              <w:t>Fee Annuale per ogni partecipante</w:t>
            </w:r>
          </w:p>
        </w:tc>
        <w:tc>
          <w:tcPr>
            <w:tcW w:w="4683" w:type="dxa"/>
            <w:tcBorders>
              <w:top w:val="single" w:sz="5" w:space="0" w:color="000000"/>
            </w:tcBorders>
          </w:tcPr>
          <w:p>
            <w:pPr>
              <w:pStyle w:val="TableParagraph"/>
              <w:spacing w:before="31"/>
              <w:ind w:left="24"/>
              <w:jc w:val="left"/>
              <w:rPr>
                <w:sz w:val="19"/>
              </w:rPr>
            </w:pPr>
            <w:r>
              <w:rPr>
                <w:w w:val="105"/>
                <w:sz w:val="19"/>
              </w:rPr>
              <w:t>1.800 Euro</w:t>
            </w:r>
          </w:p>
        </w:tc>
      </w:tr>
    </w:tbl>
    <w:p>
      <w:pPr>
        <w:pStyle w:val="BodyText"/>
        <w:rPr>
          <w:sz w:val="20"/>
        </w:rPr>
      </w:pPr>
    </w:p>
    <w:p>
      <w:pPr>
        <w:pStyle w:val="BodyText"/>
        <w:spacing w:before="8"/>
        <w:rPr>
          <w:sz w:val="22"/>
        </w:rPr>
      </w:pPr>
    </w:p>
    <w:p>
      <w:pPr>
        <w:pStyle w:val="BodyText"/>
        <w:spacing w:line="480" w:lineRule="auto"/>
        <w:ind w:left="1418" w:right="1414"/>
        <w:jc w:val="both"/>
      </w:pPr>
      <w:r>
        <w:rPr/>
        <w:t>Nella posta in esame risultano iscritti crediti verso M&amp;G Finanziaria per </w:t>
      </w:r>
      <w:r>
        <w:rPr>
          <w:i/>
        </w:rPr>
        <w:t>cash pooling </w:t>
      </w:r>
      <w:r>
        <w:rPr/>
        <w:t>sulla Banca Intesa per Euro 22.746.623, crediti per </w:t>
      </w:r>
      <w:r>
        <w:rPr>
          <w:i/>
        </w:rPr>
        <w:t>cash pooling </w:t>
      </w:r>
      <w:r>
        <w:rPr/>
        <w:t>sulla banca Unicredit per Euro 10.468.022, ed interessi per Euro 150.513.</w:t>
      </w:r>
    </w:p>
    <w:p>
      <w:pPr>
        <w:pStyle w:val="Heading2"/>
        <w:jc w:val="both"/>
      </w:pPr>
      <w:r>
        <w:rPr>
          <w:u w:val="single"/>
        </w:rPr>
        <w:t>Crediti verso IBP Energia</w:t>
      </w:r>
    </w:p>
    <w:p>
      <w:pPr>
        <w:pStyle w:val="BodyText"/>
        <w:spacing w:before="2"/>
        <w:rPr>
          <w:b/>
          <w:sz w:val="15"/>
        </w:rPr>
      </w:pPr>
    </w:p>
    <w:p>
      <w:pPr>
        <w:pStyle w:val="BodyText"/>
        <w:spacing w:line="480" w:lineRule="auto" w:before="100"/>
        <w:ind w:left="1418" w:right="1443"/>
      </w:pPr>
      <w:r>
        <w:rPr/>
        <w:t>Il credito, maturato per effetto dei rapporti di </w:t>
      </w:r>
      <w:r>
        <w:rPr>
          <w:i/>
        </w:rPr>
        <w:t>cash pooling </w:t>
      </w:r>
      <w:r>
        <w:rPr/>
        <w:t>sopra descritti, ammonta ad Euro 5.171 e si riferisce agli interessi maturati sui rapporti di </w:t>
      </w:r>
      <w:r>
        <w:rPr>
          <w:i/>
        </w:rPr>
        <w:t>cash pooling </w:t>
      </w:r>
      <w:r>
        <w:rPr/>
        <w:t>nel</w:t>
      </w:r>
      <w:r>
        <w:rPr>
          <w:spacing w:val="-20"/>
        </w:rPr>
        <w:t> </w:t>
      </w:r>
      <w:r>
        <w:rPr/>
        <w:t>2016-2017.</w:t>
      </w:r>
    </w:p>
    <w:p>
      <w:pPr>
        <w:pStyle w:val="BodyText"/>
        <w:ind w:left="1418"/>
      </w:pPr>
      <w:r>
        <w:rPr/>
        <w:t>I crediti sono portati dalle seguenti fatture:</w:t>
      </w:r>
    </w:p>
    <w:p>
      <w:pPr>
        <w:pStyle w:val="BodyText"/>
      </w:pPr>
    </w:p>
    <w:p>
      <w:pPr>
        <w:pStyle w:val="BodyText"/>
        <w:tabs>
          <w:tab w:pos="2126" w:val="left" w:leader="none"/>
        </w:tabs>
        <w:ind w:left="1778"/>
      </w:pPr>
      <w:r>
        <w:rPr>
          <w:rFonts w:ascii="Calibri"/>
        </w:rPr>
        <w:t>-</w:t>
        <w:tab/>
      </w:r>
      <w:r>
        <w:rPr/>
        <w:t>Ft. n. 1116060127 del 15.12.2016 per Euro</w:t>
      </w:r>
      <w:r>
        <w:rPr>
          <w:spacing w:val="-14"/>
        </w:rPr>
        <w:t> </w:t>
      </w:r>
      <w:r>
        <w:rPr/>
        <w:t>1.800;</w:t>
      </w:r>
    </w:p>
    <w:p>
      <w:pPr>
        <w:pStyle w:val="BodyText"/>
        <w:spacing w:before="8"/>
      </w:pPr>
    </w:p>
    <w:p>
      <w:pPr>
        <w:pStyle w:val="BodyText"/>
        <w:tabs>
          <w:tab w:pos="2126" w:val="left" w:leader="none"/>
        </w:tabs>
        <w:ind w:left="1778"/>
      </w:pPr>
      <w:r>
        <w:rPr>
          <w:rFonts w:ascii="Calibri"/>
        </w:rPr>
        <w:t>-</w:t>
        <w:tab/>
      </w:r>
      <w:r>
        <w:rPr/>
        <w:t>Ft. n. 1116060149 del 31.12.2016 per Euro</w:t>
      </w:r>
      <w:r>
        <w:rPr>
          <w:spacing w:val="-11"/>
        </w:rPr>
        <w:t> </w:t>
      </w:r>
      <w:r>
        <w:rPr/>
        <w:t>628,74;</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BodyText"/>
        <w:tabs>
          <w:tab w:pos="2126" w:val="left" w:leader="none"/>
        </w:tabs>
        <w:spacing w:before="78"/>
        <w:ind w:left="1778"/>
      </w:pPr>
      <w:r>
        <w:rPr>
          <w:rFonts w:ascii="Calibri"/>
        </w:rPr>
        <w:t>-</w:t>
        <w:tab/>
      </w:r>
      <w:r>
        <w:rPr/>
        <w:t>Ft. n. 1117060047 del 14.04.2017 per</w:t>
      </w:r>
      <w:r>
        <w:rPr>
          <w:spacing w:val="-12"/>
        </w:rPr>
        <w:t> </w:t>
      </w:r>
      <w:r>
        <w:rPr/>
        <w:t>2.741,98.</w:t>
      </w:r>
    </w:p>
    <w:p>
      <w:pPr>
        <w:pStyle w:val="BodyText"/>
        <w:spacing w:before="10"/>
      </w:pPr>
    </w:p>
    <w:p>
      <w:pPr>
        <w:pStyle w:val="Heading2"/>
        <w:jc w:val="both"/>
      </w:pPr>
      <w:r>
        <w:rPr>
          <w:u w:val="single"/>
        </w:rPr>
        <w:t>Crediti verso IBP</w:t>
      </w:r>
    </w:p>
    <w:p>
      <w:pPr>
        <w:pStyle w:val="BodyText"/>
        <w:spacing w:before="11"/>
        <w:rPr>
          <w:b/>
          <w:sz w:val="23"/>
        </w:rPr>
      </w:pPr>
    </w:p>
    <w:p>
      <w:pPr>
        <w:pStyle w:val="BodyText"/>
        <w:spacing w:line="480" w:lineRule="auto"/>
        <w:ind w:left="1418" w:right="1412"/>
        <w:jc w:val="both"/>
      </w:pPr>
      <w:r>
        <w:rPr/>
        <w:t>Il credito iscritto pari ad Euro 360.058, è maturato per effetto dei rapporti di </w:t>
      </w:r>
      <w:r>
        <w:rPr>
          <w:i/>
        </w:rPr>
        <w:t>cash pooling </w:t>
      </w:r>
      <w:r>
        <w:rPr/>
        <w:t>sopra descritti. Il credito si riferisce per Euro 188.296 al credito in linea capitale e per Euro 171.762 a titolo di interessi.</w:t>
      </w:r>
    </w:p>
    <w:p>
      <w:pPr>
        <w:pStyle w:val="BodyText"/>
        <w:ind w:left="1418"/>
        <w:jc w:val="both"/>
      </w:pPr>
      <w:r>
        <w:rPr>
          <w:u w:val="single"/>
        </w:rPr>
        <w:t>Attività svolta</w:t>
      </w:r>
    </w:p>
    <w:p>
      <w:pPr>
        <w:pStyle w:val="BodyText"/>
        <w:spacing w:before="10"/>
        <w:rPr>
          <w:sz w:val="23"/>
        </w:rPr>
      </w:pPr>
    </w:p>
    <w:p>
      <w:pPr>
        <w:pStyle w:val="BodyText"/>
        <w:spacing w:line="480" w:lineRule="auto"/>
        <w:ind w:left="1418" w:right="1412"/>
        <w:jc w:val="both"/>
      </w:pPr>
      <w:r>
        <w:rPr/>
        <w:t>Con riferimento ai crediti per </w:t>
      </w:r>
      <w:r>
        <w:rPr>
          <w:i/>
        </w:rPr>
        <w:t>cash pooling </w:t>
      </w:r>
      <w:r>
        <w:rPr/>
        <w:t>gli scriventi hanno preso visione di tutti i contratti sottoscritti dal Gruppo per il </w:t>
      </w:r>
      <w:r>
        <w:rPr>
          <w:i/>
        </w:rPr>
        <w:t>cash pooling </w:t>
      </w:r>
      <w:r>
        <w:rPr/>
        <w:t>e dei mastrini contabili Dall’esame delle schede contabili si evince che Biochemtex ha sempre mantenuto nel corso del periodo 2013 – 15 ottobre 2017 un credito verso la M&amp;G Finanziaria che è passato da Euro 97.151 mila del 31 dicembre 2013 da Euro 33.026 mila del 15 ottobre 2017.</w:t>
      </w:r>
    </w:p>
    <w:p>
      <w:pPr>
        <w:pStyle w:val="BodyText"/>
        <w:ind w:left="1418"/>
        <w:jc w:val="both"/>
      </w:pPr>
      <w:r>
        <w:rPr>
          <w:u w:val="single"/>
        </w:rPr>
        <w:t>Valorizzazione concordataria</w:t>
      </w:r>
    </w:p>
    <w:p>
      <w:pPr>
        <w:pStyle w:val="BodyText"/>
      </w:pPr>
    </w:p>
    <w:p>
      <w:pPr>
        <w:pStyle w:val="BodyText"/>
        <w:spacing w:line="480" w:lineRule="auto"/>
        <w:ind w:left="1418" w:right="1415"/>
        <w:jc w:val="both"/>
      </w:pPr>
      <w:r>
        <w:rPr/>
        <w:t>In riferimento al credito verso M&amp;G Finanziaria, si segnala che la posta è stata svalutata tenuto conto che allo stato attuale non è possibile prevedere la percentuale di soddisfacimento dei creditori chirografari che verrà prevista nel piano concordatario della stessa ancora in fase di predisposizione.</w:t>
      </w:r>
    </w:p>
    <w:p>
      <w:pPr>
        <w:pStyle w:val="BodyText"/>
        <w:spacing w:line="480" w:lineRule="auto"/>
        <w:ind w:left="1418" w:right="1420"/>
        <w:jc w:val="both"/>
      </w:pPr>
      <w:r>
        <w:rPr/>
        <w:t>In riferimento al credito verso IBP Srl si segnala che è stato rettificato tenuto conto che nel piano concordatario di IBP la posta è stata postergata.</w:t>
      </w:r>
    </w:p>
    <w:p>
      <w:pPr>
        <w:pStyle w:val="BodyText"/>
        <w:spacing w:line="480" w:lineRule="auto" w:before="1"/>
        <w:ind w:left="1418" w:right="1419"/>
        <w:jc w:val="both"/>
      </w:pPr>
      <w:r>
        <w:rPr/>
        <w:t>Con riferimento al credito verso IBP Energia si segnala che la società ha previsto un realizzo pari al 77,66% (in linea con la percentuale di pagamento prevista nel piano di IBP Energia) e così per complessivi Euro 4.016.</w:t>
      </w:r>
    </w:p>
    <w:p>
      <w:pPr>
        <w:pStyle w:val="BodyText"/>
        <w:spacing w:line="480" w:lineRule="auto"/>
        <w:ind w:left="1418" w:right="1413"/>
        <w:jc w:val="both"/>
      </w:pPr>
      <w:r>
        <w:rPr/>
        <w:t>La società ha provveduto a circolarizzare i saldi intercompany al 15 ottobre 2017 ed ha analizzato con il supporto di Deloitte le risposte pervenute, riconciliando gli importi discordanti con la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società con successiva imputazione contabile delle eventuali rettifiche, ed effettuando le procedure alternative per i soggetti che non hanno risposto alle</w:t>
      </w:r>
      <w:r>
        <w:rPr>
          <w:spacing w:val="-27"/>
        </w:rPr>
        <w:t> </w:t>
      </w:r>
      <w:r>
        <w:rPr/>
        <w:t>lettere.</w:t>
      </w:r>
    </w:p>
    <w:p>
      <w:pPr>
        <w:pStyle w:val="BodyText"/>
        <w:spacing w:line="480" w:lineRule="auto"/>
        <w:ind w:left="1418" w:right="1414"/>
        <w:jc w:val="both"/>
      </w:pPr>
      <w:r>
        <w:rPr/>
        <w:t>Gli scriventi hanno preso visione dei </w:t>
      </w:r>
      <w:r>
        <w:rPr>
          <w:i/>
        </w:rPr>
        <w:t>deliverables </w:t>
      </w:r>
      <w:r>
        <w:rPr/>
        <w:t>predisposti da Deloitte ed hanno verificato a campione la documentazione e gli esiti del lavoro svolto. Nello specifico, per quanto riguarda le circolarizzazioni hanno analizzato gli importi delle conferme saldi ove significativi e le ragioni delle eventuali </w:t>
      </w:r>
      <w:r>
        <w:rPr>
          <w:i/>
        </w:rPr>
        <w:t>adjustments </w:t>
      </w:r>
      <w:r>
        <w:rPr/>
        <w:t>per quanto riguarda i soggetti che non hanno risposto alle circolarizzazioni gli scriventi hanno verificato a campione la documentazione probativa a supporto delle procedure alternativa (Fatture, incassi e pagamenti</w:t>
      </w:r>
      <w:r>
        <w:rPr>
          <w:spacing w:val="-23"/>
        </w:rPr>
        <w:t> </w:t>
      </w:r>
      <w:r>
        <w:rPr/>
        <w:t>successivi).</w:t>
      </w:r>
    </w:p>
    <w:p>
      <w:pPr>
        <w:pStyle w:val="BodyText"/>
        <w:spacing w:line="480" w:lineRule="auto"/>
        <w:ind w:left="1418" w:right="1412"/>
        <w:jc w:val="both"/>
      </w:pPr>
      <w:r>
        <w:rPr/>
        <w:t>Di seguito la tabella riepilogativa con l’analisi delle lettere di circolarizzazione effettuata dalla Società e riportate nei </w:t>
      </w:r>
      <w:r>
        <w:rPr>
          <w:i/>
        </w:rPr>
        <w:t>Deliverables </w:t>
      </w:r>
      <w:r>
        <w:rPr/>
        <w:t>di Deloitte:</w:t>
      </w:r>
    </w:p>
    <w:p>
      <w:pPr>
        <w:pStyle w:val="BodyText"/>
        <w:spacing w:before="10" w:after="1"/>
        <w:rPr>
          <w:sz w:val="12"/>
        </w:rPr>
      </w:pPr>
    </w:p>
    <w:tbl>
      <w:tblPr>
        <w:tblW w:w="0" w:type="auto"/>
        <w:jc w:val="left"/>
        <w:tblInd w:w="1419"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652"/>
        <w:gridCol w:w="2671"/>
        <w:gridCol w:w="1061"/>
        <w:gridCol w:w="861"/>
        <w:gridCol w:w="748"/>
        <w:gridCol w:w="1079"/>
        <w:gridCol w:w="887"/>
        <w:gridCol w:w="1096"/>
      </w:tblGrid>
      <w:tr>
        <w:trPr>
          <w:trHeight w:val="148" w:hRule="exact"/>
        </w:trPr>
        <w:tc>
          <w:tcPr>
            <w:tcW w:w="652" w:type="dxa"/>
            <w:vMerge w:val="restart"/>
            <w:shd w:val="clear" w:color="auto" w:fill="85BB24"/>
          </w:tcPr>
          <w:p>
            <w:pPr>
              <w:pStyle w:val="TableParagraph"/>
              <w:spacing w:before="88"/>
              <w:ind w:left="148"/>
              <w:jc w:val="left"/>
              <w:rPr>
                <w:b/>
                <w:sz w:val="14"/>
              </w:rPr>
            </w:pPr>
            <w:r>
              <w:rPr>
                <w:b/>
                <w:color w:val="FFFFFF"/>
                <w:sz w:val="14"/>
              </w:rPr>
              <w:t>Co.ge</w:t>
            </w:r>
          </w:p>
        </w:tc>
        <w:tc>
          <w:tcPr>
            <w:tcW w:w="2671" w:type="dxa"/>
            <w:vMerge w:val="restart"/>
            <w:shd w:val="clear" w:color="auto" w:fill="85BB24"/>
          </w:tcPr>
          <w:p>
            <w:pPr>
              <w:pStyle w:val="TableParagraph"/>
              <w:spacing w:before="88"/>
              <w:ind w:left="983" w:right="978"/>
              <w:jc w:val="center"/>
              <w:rPr>
                <w:b/>
                <w:sz w:val="14"/>
              </w:rPr>
            </w:pPr>
            <w:r>
              <w:rPr>
                <w:b/>
                <w:color w:val="FFFFFF"/>
                <w:sz w:val="14"/>
              </w:rPr>
              <w:t>Clienti I/C</w:t>
            </w:r>
          </w:p>
        </w:tc>
        <w:tc>
          <w:tcPr>
            <w:tcW w:w="1061" w:type="dxa"/>
            <w:vMerge w:val="restart"/>
            <w:shd w:val="clear" w:color="auto" w:fill="85BB24"/>
          </w:tcPr>
          <w:p>
            <w:pPr>
              <w:pStyle w:val="TableParagraph"/>
              <w:spacing w:before="1"/>
              <w:ind w:left="217"/>
              <w:jc w:val="left"/>
              <w:rPr>
                <w:b/>
                <w:sz w:val="14"/>
              </w:rPr>
            </w:pPr>
            <w:r>
              <w:rPr>
                <w:b/>
                <w:color w:val="FFFFFF"/>
                <w:sz w:val="14"/>
              </w:rPr>
              <w:t>Saldo al 15</w:t>
            </w:r>
          </w:p>
          <w:p>
            <w:pPr>
              <w:pStyle w:val="TableParagraph"/>
              <w:spacing w:before="25"/>
              <w:ind w:left="165"/>
              <w:jc w:val="left"/>
              <w:rPr>
                <w:b/>
                <w:sz w:val="14"/>
              </w:rPr>
            </w:pPr>
            <w:r>
              <w:rPr>
                <w:b/>
                <w:color w:val="FFFFFF"/>
                <w:sz w:val="14"/>
              </w:rPr>
              <w:t>ottobre 2017</w:t>
            </w:r>
          </w:p>
        </w:tc>
        <w:tc>
          <w:tcPr>
            <w:tcW w:w="861" w:type="dxa"/>
            <w:vMerge w:val="restart"/>
            <w:shd w:val="clear" w:color="auto" w:fill="85BB24"/>
          </w:tcPr>
          <w:p>
            <w:pPr>
              <w:pStyle w:val="TableParagraph"/>
              <w:spacing w:line="278" w:lineRule="auto" w:before="1"/>
              <w:ind w:left="226" w:right="96" w:hanging="113"/>
              <w:jc w:val="left"/>
              <w:rPr>
                <w:b/>
                <w:sz w:val="14"/>
              </w:rPr>
            </w:pPr>
            <w:r>
              <w:rPr>
                <w:b/>
                <w:color w:val="FFFFFF"/>
                <w:sz w:val="14"/>
              </w:rPr>
              <w:t>Differenza</w:t>
            </w:r>
            <w:r>
              <w:rPr>
                <w:b/>
                <w:color w:val="FFFFFF"/>
                <w:w w:val="99"/>
                <w:sz w:val="14"/>
              </w:rPr>
              <w:t> </w:t>
            </w:r>
            <w:r>
              <w:rPr>
                <w:b/>
                <w:color w:val="FFFFFF"/>
                <w:sz w:val="14"/>
              </w:rPr>
              <w:t>Cambi</w:t>
            </w:r>
          </w:p>
        </w:tc>
        <w:tc>
          <w:tcPr>
            <w:tcW w:w="748" w:type="dxa"/>
            <w:tcBorders>
              <w:right w:val="nil"/>
            </w:tcBorders>
            <w:shd w:val="clear" w:color="auto" w:fill="85BB24"/>
          </w:tcPr>
          <w:p>
            <w:pPr>
              <w:pStyle w:val="TableParagraph"/>
              <w:spacing w:before="1"/>
              <w:ind w:left="382"/>
              <w:jc w:val="left"/>
              <w:rPr>
                <w:b/>
                <w:sz w:val="14"/>
              </w:rPr>
            </w:pPr>
            <w:r>
              <w:rPr>
                <w:b/>
                <w:color w:val="FFFFFF"/>
                <w:sz w:val="14"/>
              </w:rPr>
              <w:t>Circol</w:t>
            </w:r>
          </w:p>
        </w:tc>
        <w:tc>
          <w:tcPr>
            <w:tcW w:w="1079" w:type="dxa"/>
            <w:tcBorders>
              <w:left w:val="nil"/>
            </w:tcBorders>
            <w:shd w:val="clear" w:color="auto" w:fill="85BB24"/>
          </w:tcPr>
          <w:p>
            <w:pPr>
              <w:pStyle w:val="TableParagraph"/>
              <w:spacing w:before="1"/>
              <w:ind w:left="-6"/>
              <w:jc w:val="left"/>
              <w:rPr>
                <w:b/>
                <w:sz w:val="14"/>
              </w:rPr>
            </w:pPr>
            <w:r>
              <w:rPr>
                <w:b/>
                <w:color w:val="FFFFFF"/>
                <w:sz w:val="14"/>
              </w:rPr>
              <w:t>arizzazione</w:t>
            </w:r>
          </w:p>
        </w:tc>
        <w:tc>
          <w:tcPr>
            <w:tcW w:w="887" w:type="dxa"/>
            <w:vMerge w:val="restart"/>
            <w:shd w:val="clear" w:color="auto" w:fill="85BB24"/>
          </w:tcPr>
          <w:p>
            <w:pPr>
              <w:pStyle w:val="TableParagraph"/>
              <w:spacing w:before="88"/>
              <w:ind w:left="298" w:right="286"/>
              <w:jc w:val="center"/>
              <w:rPr>
                <w:b/>
                <w:sz w:val="14"/>
              </w:rPr>
            </w:pPr>
            <w:r>
              <w:rPr>
                <w:b/>
                <w:color w:val="FFFFFF"/>
                <w:sz w:val="14"/>
              </w:rPr>
              <w:t>ADJ</w:t>
            </w:r>
          </w:p>
        </w:tc>
        <w:tc>
          <w:tcPr>
            <w:tcW w:w="1096" w:type="dxa"/>
            <w:vMerge w:val="restart"/>
            <w:shd w:val="clear" w:color="auto" w:fill="85BB24"/>
          </w:tcPr>
          <w:p>
            <w:pPr>
              <w:pStyle w:val="TableParagraph"/>
              <w:spacing w:before="88"/>
              <w:ind w:left="165"/>
              <w:jc w:val="left"/>
              <w:rPr>
                <w:b/>
                <w:sz w:val="14"/>
              </w:rPr>
            </w:pPr>
            <w:r>
              <w:rPr>
                <w:b/>
                <w:color w:val="FFFFFF"/>
                <w:sz w:val="14"/>
              </w:rPr>
              <w:t>Saldo post ADJ</w:t>
            </w:r>
          </w:p>
        </w:tc>
      </w:tr>
      <w:tr>
        <w:trPr>
          <w:trHeight w:val="183" w:hRule="exact"/>
        </w:trPr>
        <w:tc>
          <w:tcPr>
            <w:tcW w:w="652" w:type="dxa"/>
            <w:vMerge/>
            <w:shd w:val="clear" w:color="auto" w:fill="85BB24"/>
          </w:tcPr>
          <w:p>
            <w:pPr/>
          </w:p>
        </w:tc>
        <w:tc>
          <w:tcPr>
            <w:tcW w:w="2671" w:type="dxa"/>
            <w:vMerge/>
            <w:shd w:val="clear" w:color="auto" w:fill="85BB24"/>
          </w:tcPr>
          <w:p>
            <w:pPr/>
          </w:p>
        </w:tc>
        <w:tc>
          <w:tcPr>
            <w:tcW w:w="1061" w:type="dxa"/>
            <w:vMerge/>
            <w:shd w:val="clear" w:color="auto" w:fill="85BB24"/>
          </w:tcPr>
          <w:p>
            <w:pPr/>
          </w:p>
        </w:tc>
        <w:tc>
          <w:tcPr>
            <w:tcW w:w="861" w:type="dxa"/>
            <w:vMerge/>
            <w:shd w:val="clear" w:color="auto" w:fill="85BB24"/>
          </w:tcPr>
          <w:p>
            <w:pPr/>
          </w:p>
        </w:tc>
        <w:tc>
          <w:tcPr>
            <w:tcW w:w="748" w:type="dxa"/>
            <w:shd w:val="clear" w:color="auto" w:fill="85BB24"/>
          </w:tcPr>
          <w:p>
            <w:pPr>
              <w:pStyle w:val="TableParagraph"/>
              <w:spacing w:before="18"/>
              <w:ind w:left="113"/>
              <w:jc w:val="left"/>
              <w:rPr>
                <w:b/>
                <w:sz w:val="14"/>
              </w:rPr>
            </w:pPr>
            <w:r>
              <w:rPr>
                <w:b/>
                <w:color w:val="FFFFFF"/>
                <w:sz w:val="14"/>
              </w:rPr>
              <w:t>Risposta</w:t>
            </w:r>
          </w:p>
        </w:tc>
        <w:tc>
          <w:tcPr>
            <w:tcW w:w="1079" w:type="dxa"/>
            <w:shd w:val="clear" w:color="auto" w:fill="85BB24"/>
          </w:tcPr>
          <w:p>
            <w:pPr>
              <w:pStyle w:val="TableParagraph"/>
              <w:spacing w:before="18"/>
              <w:ind w:left="359" w:right="357"/>
              <w:jc w:val="center"/>
              <w:rPr>
                <w:b/>
                <w:sz w:val="14"/>
              </w:rPr>
            </w:pPr>
            <w:r>
              <w:rPr>
                <w:b/>
                <w:color w:val="FFFFFF"/>
                <w:sz w:val="14"/>
              </w:rPr>
              <w:t>Esito</w:t>
            </w:r>
          </w:p>
        </w:tc>
        <w:tc>
          <w:tcPr>
            <w:tcW w:w="887" w:type="dxa"/>
            <w:vMerge/>
            <w:shd w:val="clear" w:color="auto" w:fill="85BB24"/>
          </w:tcPr>
          <w:p>
            <w:pPr/>
          </w:p>
        </w:tc>
        <w:tc>
          <w:tcPr>
            <w:tcW w:w="1096" w:type="dxa"/>
            <w:vMerge/>
            <w:shd w:val="clear" w:color="auto" w:fill="85BB24"/>
          </w:tcPr>
          <w:p>
            <w:pPr/>
          </w:p>
        </w:tc>
      </w:tr>
      <w:tr>
        <w:trPr>
          <w:trHeight w:val="183" w:hRule="exact"/>
        </w:trPr>
        <w:tc>
          <w:tcPr>
            <w:tcW w:w="652" w:type="dxa"/>
            <w:tcBorders>
              <w:right w:val="nil"/>
            </w:tcBorders>
          </w:tcPr>
          <w:p>
            <w:pPr>
              <w:pStyle w:val="TableParagraph"/>
              <w:spacing w:before="18"/>
              <w:ind w:left="17"/>
              <w:jc w:val="left"/>
              <w:rPr>
                <w:sz w:val="14"/>
              </w:rPr>
            </w:pPr>
            <w:r>
              <w:rPr>
                <w:sz w:val="14"/>
              </w:rPr>
              <w:t>200118</w:t>
            </w:r>
          </w:p>
        </w:tc>
        <w:tc>
          <w:tcPr>
            <w:tcW w:w="2671" w:type="dxa"/>
            <w:tcBorders>
              <w:left w:val="nil"/>
              <w:right w:val="nil"/>
            </w:tcBorders>
          </w:tcPr>
          <w:p>
            <w:pPr>
              <w:pStyle w:val="TableParagraph"/>
              <w:spacing w:before="18"/>
              <w:ind w:left="21"/>
              <w:jc w:val="left"/>
              <w:rPr>
                <w:sz w:val="14"/>
              </w:rPr>
            </w:pPr>
            <w:r>
              <w:rPr>
                <w:sz w:val="14"/>
              </w:rPr>
              <w:t>BETA RENEWABLES</w:t>
            </w:r>
          </w:p>
        </w:tc>
        <w:tc>
          <w:tcPr>
            <w:tcW w:w="1061" w:type="dxa"/>
            <w:tcBorders>
              <w:left w:val="nil"/>
              <w:right w:val="nil"/>
            </w:tcBorders>
          </w:tcPr>
          <w:p>
            <w:pPr>
              <w:pStyle w:val="TableParagraph"/>
              <w:spacing w:before="18"/>
              <w:ind w:right="64"/>
              <w:rPr>
                <w:sz w:val="14"/>
              </w:rPr>
            </w:pPr>
            <w:r>
              <w:rPr>
                <w:sz w:val="14"/>
              </w:rPr>
              <w:t>26.892.839,93</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60"/>
              <w:rPr>
                <w:sz w:val="14"/>
              </w:rPr>
            </w:pPr>
            <w:r>
              <w:rPr>
                <w:sz w:val="14"/>
              </w:rPr>
              <w:t>26.892.839,93</w:t>
            </w:r>
          </w:p>
        </w:tc>
      </w:tr>
      <w:tr>
        <w:trPr>
          <w:trHeight w:val="183" w:hRule="exact"/>
        </w:trPr>
        <w:tc>
          <w:tcPr>
            <w:tcW w:w="652" w:type="dxa"/>
            <w:tcBorders>
              <w:right w:val="nil"/>
            </w:tcBorders>
          </w:tcPr>
          <w:p>
            <w:pPr>
              <w:pStyle w:val="TableParagraph"/>
              <w:spacing w:before="18"/>
              <w:ind w:left="17"/>
              <w:jc w:val="left"/>
              <w:rPr>
                <w:sz w:val="14"/>
              </w:rPr>
            </w:pPr>
            <w:r>
              <w:rPr>
                <w:sz w:val="14"/>
              </w:rPr>
              <w:t>200219</w:t>
            </w:r>
          </w:p>
        </w:tc>
        <w:tc>
          <w:tcPr>
            <w:tcW w:w="2671" w:type="dxa"/>
            <w:tcBorders>
              <w:left w:val="nil"/>
              <w:right w:val="nil"/>
            </w:tcBorders>
          </w:tcPr>
          <w:p>
            <w:pPr>
              <w:pStyle w:val="TableParagraph"/>
              <w:spacing w:before="18"/>
              <w:ind w:left="21"/>
              <w:jc w:val="left"/>
              <w:rPr>
                <w:sz w:val="14"/>
              </w:rPr>
            </w:pPr>
            <w:r>
              <w:rPr>
                <w:sz w:val="14"/>
              </w:rPr>
              <w:t>C5-6 ITALY</w:t>
            </w:r>
          </w:p>
        </w:tc>
        <w:tc>
          <w:tcPr>
            <w:tcW w:w="1061" w:type="dxa"/>
            <w:tcBorders>
              <w:left w:val="nil"/>
              <w:right w:val="nil"/>
            </w:tcBorders>
          </w:tcPr>
          <w:p>
            <w:pPr>
              <w:pStyle w:val="TableParagraph"/>
              <w:spacing w:before="18"/>
              <w:ind w:right="63"/>
              <w:rPr>
                <w:sz w:val="14"/>
              </w:rPr>
            </w:pPr>
            <w:r>
              <w:rPr>
                <w:sz w:val="14"/>
              </w:rPr>
              <w:t>33.055,04</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33.055,04</w:t>
            </w:r>
          </w:p>
        </w:tc>
      </w:tr>
      <w:tr>
        <w:trPr>
          <w:trHeight w:val="183" w:hRule="exact"/>
        </w:trPr>
        <w:tc>
          <w:tcPr>
            <w:tcW w:w="652" w:type="dxa"/>
            <w:tcBorders>
              <w:right w:val="nil"/>
            </w:tcBorders>
          </w:tcPr>
          <w:p>
            <w:pPr>
              <w:pStyle w:val="TableParagraph"/>
              <w:spacing w:before="18"/>
              <w:ind w:left="17"/>
              <w:jc w:val="left"/>
              <w:rPr>
                <w:sz w:val="14"/>
              </w:rPr>
            </w:pPr>
            <w:r>
              <w:rPr>
                <w:sz w:val="14"/>
              </w:rPr>
              <w:t>200218</w:t>
            </w:r>
          </w:p>
        </w:tc>
        <w:tc>
          <w:tcPr>
            <w:tcW w:w="2671" w:type="dxa"/>
            <w:tcBorders>
              <w:left w:val="nil"/>
              <w:right w:val="nil"/>
            </w:tcBorders>
          </w:tcPr>
          <w:p>
            <w:pPr>
              <w:pStyle w:val="TableParagraph"/>
              <w:spacing w:before="18"/>
              <w:ind w:left="21"/>
              <w:jc w:val="left"/>
              <w:rPr>
                <w:sz w:val="14"/>
              </w:rPr>
            </w:pPr>
            <w:r>
              <w:rPr>
                <w:sz w:val="14"/>
              </w:rPr>
              <w:t>CAROLINA CELLULOSIC BIOFUELS LLC</w:t>
            </w:r>
          </w:p>
        </w:tc>
        <w:tc>
          <w:tcPr>
            <w:tcW w:w="1061" w:type="dxa"/>
            <w:tcBorders>
              <w:left w:val="nil"/>
              <w:right w:val="nil"/>
            </w:tcBorders>
          </w:tcPr>
          <w:p>
            <w:pPr>
              <w:pStyle w:val="TableParagraph"/>
              <w:spacing w:before="18"/>
              <w:ind w:right="63"/>
              <w:rPr>
                <w:sz w:val="14"/>
              </w:rPr>
            </w:pPr>
            <w:r>
              <w:rPr>
                <w:sz w:val="14"/>
              </w:rPr>
              <w:t>551.116,01</w:t>
            </w:r>
          </w:p>
        </w:tc>
        <w:tc>
          <w:tcPr>
            <w:tcW w:w="861" w:type="dxa"/>
            <w:tcBorders>
              <w:left w:val="nil"/>
              <w:right w:val="nil"/>
            </w:tcBorders>
          </w:tcPr>
          <w:p>
            <w:pPr>
              <w:pStyle w:val="TableParagraph"/>
              <w:spacing w:before="18"/>
              <w:ind w:right="59"/>
              <w:rPr>
                <w:sz w:val="14"/>
              </w:rPr>
            </w:pPr>
            <w:r>
              <w:rPr>
                <w:sz w:val="14"/>
              </w:rPr>
              <w:t>(43.071,98)</w:t>
            </w:r>
          </w:p>
        </w:tc>
        <w:tc>
          <w:tcPr>
            <w:tcW w:w="748" w:type="dxa"/>
            <w:tcBorders>
              <w:left w:val="nil"/>
              <w:right w:val="nil"/>
            </w:tcBorders>
          </w:tcPr>
          <w:p>
            <w:pPr/>
          </w:p>
        </w:tc>
        <w:tc>
          <w:tcPr>
            <w:tcW w:w="1079" w:type="dxa"/>
            <w:tcBorders>
              <w:left w:val="nil"/>
              <w:right w:val="nil"/>
            </w:tcBorders>
          </w:tcPr>
          <w:p>
            <w:pPr>
              <w:pStyle w:val="TableParagraph"/>
              <w:spacing w:before="18"/>
              <w:ind w:right="78"/>
              <w:rPr>
                <w:sz w:val="14"/>
              </w:rPr>
            </w:pPr>
            <w:r>
              <w:rPr>
                <w:sz w:val="14"/>
              </w:rPr>
              <w:t>Proc. Alternativa</w:t>
            </w:r>
          </w:p>
        </w:tc>
        <w:tc>
          <w:tcPr>
            <w:tcW w:w="887" w:type="dxa"/>
            <w:tcBorders>
              <w:left w:val="nil"/>
              <w:right w:val="nil"/>
            </w:tcBorders>
          </w:tcPr>
          <w:p>
            <w:pPr/>
          </w:p>
        </w:tc>
        <w:tc>
          <w:tcPr>
            <w:tcW w:w="1096" w:type="dxa"/>
            <w:tcBorders>
              <w:left w:val="nil"/>
            </w:tcBorders>
          </w:tcPr>
          <w:p>
            <w:pPr>
              <w:pStyle w:val="TableParagraph"/>
              <w:spacing w:before="18"/>
              <w:ind w:right="59"/>
              <w:rPr>
                <w:sz w:val="14"/>
              </w:rPr>
            </w:pPr>
            <w:r>
              <w:rPr>
                <w:sz w:val="14"/>
              </w:rPr>
              <w:t>508.044,03</w:t>
            </w:r>
          </w:p>
        </w:tc>
      </w:tr>
      <w:tr>
        <w:trPr>
          <w:trHeight w:val="183" w:hRule="exact"/>
        </w:trPr>
        <w:tc>
          <w:tcPr>
            <w:tcW w:w="652" w:type="dxa"/>
            <w:tcBorders>
              <w:right w:val="nil"/>
            </w:tcBorders>
          </w:tcPr>
          <w:p>
            <w:pPr>
              <w:pStyle w:val="TableParagraph"/>
              <w:spacing w:before="18"/>
              <w:ind w:left="17"/>
              <w:jc w:val="left"/>
              <w:rPr>
                <w:sz w:val="14"/>
              </w:rPr>
            </w:pPr>
            <w:r>
              <w:rPr>
                <w:sz w:val="14"/>
              </w:rPr>
              <w:t>200077</w:t>
            </w:r>
          </w:p>
        </w:tc>
        <w:tc>
          <w:tcPr>
            <w:tcW w:w="2671" w:type="dxa"/>
            <w:tcBorders>
              <w:left w:val="nil"/>
              <w:right w:val="nil"/>
            </w:tcBorders>
          </w:tcPr>
          <w:p>
            <w:pPr>
              <w:pStyle w:val="TableParagraph"/>
              <w:spacing w:before="18"/>
              <w:ind w:left="21"/>
              <w:jc w:val="left"/>
              <w:rPr>
                <w:sz w:val="14"/>
              </w:rPr>
            </w:pPr>
            <w:r>
              <w:rPr>
                <w:sz w:val="14"/>
              </w:rPr>
              <w:t>CHEMTEX INTERNATIONAL (Shangai)</w:t>
            </w:r>
          </w:p>
        </w:tc>
        <w:tc>
          <w:tcPr>
            <w:tcW w:w="1061" w:type="dxa"/>
            <w:tcBorders>
              <w:left w:val="nil"/>
              <w:right w:val="nil"/>
            </w:tcBorders>
          </w:tcPr>
          <w:p>
            <w:pPr>
              <w:pStyle w:val="TableParagraph"/>
              <w:spacing w:before="18"/>
              <w:ind w:right="63"/>
              <w:rPr>
                <w:sz w:val="14"/>
              </w:rPr>
            </w:pPr>
            <w:r>
              <w:rPr>
                <w:sz w:val="14"/>
              </w:rPr>
              <w:t>6.040,00</w:t>
            </w:r>
          </w:p>
        </w:tc>
        <w:tc>
          <w:tcPr>
            <w:tcW w:w="861" w:type="dxa"/>
            <w:tcBorders>
              <w:left w:val="nil"/>
              <w:right w:val="nil"/>
            </w:tcBorders>
          </w:tcPr>
          <w:p>
            <w:pPr/>
          </w:p>
        </w:tc>
        <w:tc>
          <w:tcPr>
            <w:tcW w:w="748" w:type="dxa"/>
            <w:tcBorders>
              <w:left w:val="nil"/>
              <w:right w:val="nil"/>
            </w:tcBorders>
          </w:tcPr>
          <w:p>
            <w:pPr/>
          </w:p>
        </w:tc>
        <w:tc>
          <w:tcPr>
            <w:tcW w:w="1079" w:type="dxa"/>
            <w:tcBorders>
              <w:left w:val="nil"/>
              <w:right w:val="nil"/>
            </w:tcBorders>
          </w:tcPr>
          <w:p>
            <w:pPr>
              <w:pStyle w:val="TableParagraph"/>
              <w:spacing w:before="18"/>
              <w:ind w:right="78"/>
              <w:rPr>
                <w:sz w:val="14"/>
              </w:rPr>
            </w:pPr>
            <w:r>
              <w:rPr>
                <w:sz w:val="14"/>
              </w:rPr>
              <w:t>Proc. Alternativa</w:t>
            </w:r>
          </w:p>
        </w:tc>
        <w:tc>
          <w:tcPr>
            <w:tcW w:w="887" w:type="dxa"/>
            <w:tcBorders>
              <w:left w:val="nil"/>
              <w:right w:val="nil"/>
            </w:tcBorders>
          </w:tcPr>
          <w:p>
            <w:pPr>
              <w:pStyle w:val="TableParagraph"/>
              <w:spacing w:before="18"/>
              <w:ind w:right="59"/>
              <w:rPr>
                <w:sz w:val="14"/>
              </w:rPr>
            </w:pPr>
            <w:r>
              <w:rPr>
                <w:sz w:val="14"/>
              </w:rPr>
              <w:t>(6.040,00)</w:t>
            </w:r>
          </w:p>
        </w:tc>
        <w:tc>
          <w:tcPr>
            <w:tcW w:w="1096" w:type="dxa"/>
            <w:tcBorders>
              <w:left w:val="nil"/>
            </w:tcBorders>
          </w:tcPr>
          <w:p>
            <w:pPr>
              <w:pStyle w:val="TableParagraph"/>
              <w:spacing w:before="18"/>
              <w:ind w:right="198"/>
              <w:rPr>
                <w:sz w:val="14"/>
              </w:rPr>
            </w:pPr>
            <w:r>
              <w:rPr>
                <w:w w:val="99"/>
                <w:sz w:val="14"/>
              </w:rPr>
              <w:t>-</w:t>
            </w:r>
          </w:p>
        </w:tc>
      </w:tr>
      <w:tr>
        <w:trPr>
          <w:trHeight w:val="183" w:hRule="exact"/>
        </w:trPr>
        <w:tc>
          <w:tcPr>
            <w:tcW w:w="652" w:type="dxa"/>
            <w:tcBorders>
              <w:right w:val="nil"/>
            </w:tcBorders>
          </w:tcPr>
          <w:p>
            <w:pPr>
              <w:pStyle w:val="TableParagraph"/>
              <w:spacing w:before="18"/>
              <w:ind w:left="17"/>
              <w:jc w:val="left"/>
              <w:rPr>
                <w:sz w:val="14"/>
              </w:rPr>
            </w:pPr>
            <w:r>
              <w:rPr>
                <w:sz w:val="14"/>
              </w:rPr>
              <w:t>200248</w:t>
            </w:r>
          </w:p>
        </w:tc>
        <w:tc>
          <w:tcPr>
            <w:tcW w:w="2671" w:type="dxa"/>
            <w:tcBorders>
              <w:left w:val="nil"/>
              <w:right w:val="nil"/>
            </w:tcBorders>
          </w:tcPr>
          <w:p>
            <w:pPr>
              <w:pStyle w:val="TableParagraph"/>
              <w:spacing w:before="18"/>
              <w:ind w:left="21"/>
              <w:jc w:val="left"/>
              <w:rPr>
                <w:sz w:val="14"/>
              </w:rPr>
            </w:pPr>
            <w:r>
              <w:rPr>
                <w:sz w:val="14"/>
              </w:rPr>
              <w:t>IBP ENERGIA</w:t>
            </w:r>
          </w:p>
        </w:tc>
        <w:tc>
          <w:tcPr>
            <w:tcW w:w="1061" w:type="dxa"/>
            <w:tcBorders>
              <w:left w:val="nil"/>
              <w:right w:val="nil"/>
            </w:tcBorders>
          </w:tcPr>
          <w:p>
            <w:pPr>
              <w:pStyle w:val="TableParagraph"/>
              <w:spacing w:before="18"/>
              <w:ind w:right="63"/>
              <w:rPr>
                <w:sz w:val="14"/>
              </w:rPr>
            </w:pPr>
            <w:r>
              <w:rPr>
                <w:sz w:val="14"/>
              </w:rPr>
              <w:t>1.800,00</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Riconcliliato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1.800,00</w:t>
            </w:r>
          </w:p>
        </w:tc>
      </w:tr>
      <w:tr>
        <w:trPr>
          <w:trHeight w:val="183" w:hRule="exact"/>
        </w:trPr>
        <w:tc>
          <w:tcPr>
            <w:tcW w:w="652" w:type="dxa"/>
            <w:tcBorders>
              <w:right w:val="nil"/>
            </w:tcBorders>
          </w:tcPr>
          <w:p>
            <w:pPr>
              <w:pStyle w:val="TableParagraph"/>
              <w:spacing w:before="18"/>
              <w:ind w:left="17"/>
              <w:jc w:val="left"/>
              <w:rPr>
                <w:sz w:val="14"/>
              </w:rPr>
            </w:pPr>
            <w:r>
              <w:rPr>
                <w:sz w:val="14"/>
              </w:rPr>
              <w:t>200078</w:t>
            </w:r>
          </w:p>
        </w:tc>
        <w:tc>
          <w:tcPr>
            <w:tcW w:w="2671" w:type="dxa"/>
            <w:tcBorders>
              <w:left w:val="nil"/>
              <w:right w:val="nil"/>
            </w:tcBorders>
          </w:tcPr>
          <w:p>
            <w:pPr>
              <w:pStyle w:val="TableParagraph"/>
              <w:spacing w:before="18"/>
              <w:ind w:left="21"/>
              <w:jc w:val="left"/>
              <w:rPr>
                <w:sz w:val="14"/>
              </w:rPr>
            </w:pPr>
            <w:r>
              <w:rPr>
                <w:sz w:val="14"/>
              </w:rPr>
              <w:t>ITALIAN BIO PRODUCT</w:t>
            </w:r>
          </w:p>
        </w:tc>
        <w:tc>
          <w:tcPr>
            <w:tcW w:w="1061" w:type="dxa"/>
            <w:tcBorders>
              <w:left w:val="nil"/>
              <w:right w:val="nil"/>
            </w:tcBorders>
          </w:tcPr>
          <w:p>
            <w:pPr>
              <w:pStyle w:val="TableParagraph"/>
              <w:spacing w:before="18"/>
              <w:ind w:right="64"/>
              <w:rPr>
                <w:sz w:val="14"/>
              </w:rPr>
            </w:pPr>
            <w:r>
              <w:rPr>
                <w:sz w:val="14"/>
              </w:rPr>
              <w:t>7.776.328,96</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7.776.328,96</w:t>
            </w:r>
          </w:p>
        </w:tc>
      </w:tr>
      <w:tr>
        <w:trPr>
          <w:trHeight w:val="183" w:hRule="exact"/>
        </w:trPr>
        <w:tc>
          <w:tcPr>
            <w:tcW w:w="652" w:type="dxa"/>
            <w:tcBorders>
              <w:right w:val="nil"/>
            </w:tcBorders>
          </w:tcPr>
          <w:p>
            <w:pPr>
              <w:pStyle w:val="TableParagraph"/>
              <w:spacing w:before="18"/>
              <w:ind w:left="17"/>
              <w:jc w:val="left"/>
              <w:rPr>
                <w:sz w:val="14"/>
              </w:rPr>
            </w:pPr>
            <w:r>
              <w:rPr>
                <w:sz w:val="14"/>
              </w:rPr>
              <w:t>200065</w:t>
            </w:r>
          </w:p>
        </w:tc>
        <w:tc>
          <w:tcPr>
            <w:tcW w:w="2671" w:type="dxa"/>
            <w:tcBorders>
              <w:left w:val="nil"/>
              <w:right w:val="nil"/>
            </w:tcBorders>
          </w:tcPr>
          <w:p>
            <w:pPr>
              <w:pStyle w:val="TableParagraph"/>
              <w:spacing w:before="18"/>
              <w:ind w:left="21"/>
              <w:jc w:val="left"/>
              <w:rPr>
                <w:sz w:val="14"/>
              </w:rPr>
            </w:pPr>
            <w:r>
              <w:rPr>
                <w:w w:val="95"/>
                <w:sz w:val="14"/>
              </w:rPr>
              <w:t>M&amp;G  FINANZIARIA</w:t>
            </w:r>
          </w:p>
        </w:tc>
        <w:tc>
          <w:tcPr>
            <w:tcW w:w="1061" w:type="dxa"/>
            <w:tcBorders>
              <w:left w:val="nil"/>
              <w:right w:val="nil"/>
            </w:tcBorders>
          </w:tcPr>
          <w:p>
            <w:pPr>
              <w:pStyle w:val="TableParagraph"/>
              <w:spacing w:before="18"/>
              <w:ind w:right="64"/>
              <w:rPr>
                <w:sz w:val="14"/>
              </w:rPr>
            </w:pPr>
            <w:r>
              <w:rPr>
                <w:sz w:val="14"/>
              </w:rPr>
              <w:t>1.645.675,70</w:t>
            </w:r>
          </w:p>
        </w:tc>
        <w:tc>
          <w:tcPr>
            <w:tcW w:w="861" w:type="dxa"/>
            <w:tcBorders>
              <w:left w:val="nil"/>
              <w:right w:val="nil"/>
            </w:tcBorders>
          </w:tcPr>
          <w:p>
            <w:pPr>
              <w:pStyle w:val="TableParagraph"/>
              <w:spacing w:before="18"/>
              <w:ind w:right="58"/>
              <w:rPr>
                <w:sz w:val="14"/>
              </w:rPr>
            </w:pPr>
            <w:r>
              <w:rPr>
                <w:w w:val="95"/>
                <w:sz w:val="14"/>
              </w:rPr>
              <w:t>(708,77)</w:t>
            </w: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1.644.966,93</w:t>
            </w:r>
          </w:p>
        </w:tc>
      </w:tr>
      <w:tr>
        <w:trPr>
          <w:trHeight w:val="183" w:hRule="exact"/>
        </w:trPr>
        <w:tc>
          <w:tcPr>
            <w:tcW w:w="652" w:type="dxa"/>
            <w:tcBorders>
              <w:right w:val="nil"/>
            </w:tcBorders>
          </w:tcPr>
          <w:p>
            <w:pPr>
              <w:pStyle w:val="TableParagraph"/>
              <w:spacing w:before="18"/>
              <w:ind w:left="17"/>
              <w:jc w:val="left"/>
              <w:rPr>
                <w:sz w:val="14"/>
              </w:rPr>
            </w:pPr>
            <w:r>
              <w:rPr>
                <w:sz w:val="14"/>
              </w:rPr>
              <w:t>200244</w:t>
            </w:r>
          </w:p>
        </w:tc>
        <w:tc>
          <w:tcPr>
            <w:tcW w:w="2671" w:type="dxa"/>
            <w:tcBorders>
              <w:left w:val="nil"/>
              <w:right w:val="nil"/>
            </w:tcBorders>
          </w:tcPr>
          <w:p>
            <w:pPr>
              <w:pStyle w:val="TableParagraph"/>
              <w:spacing w:before="18"/>
              <w:ind w:left="21"/>
              <w:jc w:val="left"/>
              <w:rPr>
                <w:sz w:val="14"/>
              </w:rPr>
            </w:pPr>
            <w:r>
              <w:rPr>
                <w:sz w:val="14"/>
              </w:rPr>
              <w:t>M&amp;G LOGIST</w:t>
            </w:r>
          </w:p>
        </w:tc>
        <w:tc>
          <w:tcPr>
            <w:tcW w:w="1061" w:type="dxa"/>
            <w:tcBorders>
              <w:left w:val="nil"/>
              <w:right w:val="nil"/>
            </w:tcBorders>
          </w:tcPr>
          <w:p>
            <w:pPr>
              <w:pStyle w:val="TableParagraph"/>
              <w:spacing w:before="18"/>
              <w:ind w:right="63"/>
              <w:rPr>
                <w:sz w:val="14"/>
              </w:rPr>
            </w:pPr>
            <w:r>
              <w:rPr>
                <w:sz w:val="14"/>
              </w:rPr>
              <w:t>29.261,30</w:t>
            </w:r>
          </w:p>
        </w:tc>
        <w:tc>
          <w:tcPr>
            <w:tcW w:w="861" w:type="dxa"/>
            <w:tcBorders>
              <w:left w:val="nil"/>
              <w:right w:val="nil"/>
            </w:tcBorders>
          </w:tcPr>
          <w:p>
            <w:pPr/>
          </w:p>
        </w:tc>
        <w:tc>
          <w:tcPr>
            <w:tcW w:w="748" w:type="dxa"/>
            <w:tcBorders>
              <w:left w:val="nil"/>
              <w:right w:val="nil"/>
            </w:tcBorders>
          </w:tcPr>
          <w:p>
            <w:pPr/>
          </w:p>
        </w:tc>
        <w:tc>
          <w:tcPr>
            <w:tcW w:w="1079" w:type="dxa"/>
            <w:tcBorders>
              <w:left w:val="nil"/>
              <w:right w:val="nil"/>
            </w:tcBorders>
          </w:tcPr>
          <w:p>
            <w:pPr>
              <w:pStyle w:val="TableParagraph"/>
              <w:spacing w:before="18"/>
              <w:ind w:right="78"/>
              <w:rPr>
                <w:sz w:val="14"/>
              </w:rPr>
            </w:pPr>
            <w:r>
              <w:rPr>
                <w:sz w:val="14"/>
              </w:rPr>
              <w:t>Proc. Alternativa</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29.261,30</w:t>
            </w:r>
          </w:p>
        </w:tc>
      </w:tr>
      <w:tr>
        <w:trPr>
          <w:trHeight w:val="183" w:hRule="exact"/>
        </w:trPr>
        <w:tc>
          <w:tcPr>
            <w:tcW w:w="652" w:type="dxa"/>
            <w:tcBorders>
              <w:right w:val="nil"/>
            </w:tcBorders>
          </w:tcPr>
          <w:p>
            <w:pPr>
              <w:pStyle w:val="TableParagraph"/>
              <w:spacing w:before="18"/>
              <w:ind w:left="17"/>
              <w:jc w:val="left"/>
              <w:rPr>
                <w:sz w:val="14"/>
              </w:rPr>
            </w:pPr>
            <w:r>
              <w:rPr>
                <w:sz w:val="14"/>
              </w:rPr>
              <w:t>200007</w:t>
            </w:r>
          </w:p>
        </w:tc>
        <w:tc>
          <w:tcPr>
            <w:tcW w:w="2671" w:type="dxa"/>
            <w:tcBorders>
              <w:left w:val="nil"/>
              <w:right w:val="nil"/>
            </w:tcBorders>
          </w:tcPr>
          <w:p>
            <w:pPr>
              <w:pStyle w:val="TableParagraph"/>
              <w:spacing w:before="18"/>
              <w:ind w:left="21"/>
              <w:jc w:val="left"/>
              <w:rPr>
                <w:sz w:val="14"/>
              </w:rPr>
            </w:pPr>
            <w:r>
              <w:rPr>
                <w:sz w:val="14"/>
              </w:rPr>
              <w:t>M&amp;G POLYMERS USA, LLC</w:t>
            </w:r>
          </w:p>
        </w:tc>
        <w:tc>
          <w:tcPr>
            <w:tcW w:w="1061" w:type="dxa"/>
            <w:tcBorders>
              <w:left w:val="nil"/>
              <w:right w:val="nil"/>
            </w:tcBorders>
          </w:tcPr>
          <w:p>
            <w:pPr>
              <w:pStyle w:val="TableParagraph"/>
              <w:spacing w:before="18"/>
              <w:ind w:right="63"/>
              <w:rPr>
                <w:sz w:val="14"/>
              </w:rPr>
            </w:pPr>
            <w:r>
              <w:rPr>
                <w:sz w:val="14"/>
              </w:rPr>
              <w:t>116.666,75</w:t>
            </w:r>
          </w:p>
        </w:tc>
        <w:tc>
          <w:tcPr>
            <w:tcW w:w="861" w:type="dxa"/>
            <w:tcBorders>
              <w:left w:val="nil"/>
              <w:right w:val="nil"/>
            </w:tcBorders>
          </w:tcPr>
          <w:p>
            <w:pPr>
              <w:pStyle w:val="TableParagraph"/>
              <w:spacing w:before="18"/>
              <w:ind w:right="63"/>
              <w:rPr>
                <w:sz w:val="14"/>
              </w:rPr>
            </w:pPr>
            <w:r>
              <w:rPr>
                <w:sz w:val="14"/>
              </w:rPr>
              <w:t>133,16</w:t>
            </w:r>
          </w:p>
        </w:tc>
        <w:tc>
          <w:tcPr>
            <w:tcW w:w="748" w:type="dxa"/>
            <w:tcBorders>
              <w:left w:val="nil"/>
              <w:right w:val="nil"/>
            </w:tcBorders>
          </w:tcPr>
          <w:p>
            <w:pPr/>
          </w:p>
        </w:tc>
        <w:tc>
          <w:tcPr>
            <w:tcW w:w="1079" w:type="dxa"/>
            <w:tcBorders>
              <w:left w:val="nil"/>
              <w:right w:val="nil"/>
            </w:tcBorders>
          </w:tcPr>
          <w:p>
            <w:pPr>
              <w:pStyle w:val="TableParagraph"/>
              <w:spacing w:before="18"/>
              <w:ind w:right="78"/>
              <w:rPr>
                <w:sz w:val="14"/>
              </w:rPr>
            </w:pPr>
            <w:r>
              <w:rPr>
                <w:sz w:val="14"/>
              </w:rPr>
              <w:t>Proc. Alternativa</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116.799,91</w:t>
            </w:r>
          </w:p>
        </w:tc>
      </w:tr>
      <w:tr>
        <w:trPr>
          <w:trHeight w:val="183" w:hRule="exact"/>
        </w:trPr>
        <w:tc>
          <w:tcPr>
            <w:tcW w:w="652" w:type="dxa"/>
            <w:tcBorders>
              <w:right w:val="nil"/>
            </w:tcBorders>
          </w:tcPr>
          <w:p>
            <w:pPr>
              <w:pStyle w:val="TableParagraph"/>
              <w:spacing w:before="18"/>
              <w:ind w:left="17"/>
              <w:jc w:val="left"/>
              <w:rPr>
                <w:sz w:val="14"/>
              </w:rPr>
            </w:pPr>
            <w:r>
              <w:rPr>
                <w:sz w:val="14"/>
              </w:rPr>
              <w:t>200166</w:t>
            </w:r>
          </w:p>
        </w:tc>
        <w:tc>
          <w:tcPr>
            <w:tcW w:w="2671" w:type="dxa"/>
            <w:tcBorders>
              <w:left w:val="nil"/>
              <w:right w:val="nil"/>
            </w:tcBorders>
          </w:tcPr>
          <w:p>
            <w:pPr>
              <w:pStyle w:val="TableParagraph"/>
              <w:spacing w:before="18"/>
              <w:ind w:left="21"/>
              <w:jc w:val="left"/>
              <w:rPr>
                <w:sz w:val="14"/>
              </w:rPr>
            </w:pPr>
            <w:r>
              <w:rPr>
                <w:sz w:val="14"/>
              </w:rPr>
              <w:t>M&amp;G RESINS</w:t>
            </w:r>
          </w:p>
        </w:tc>
        <w:tc>
          <w:tcPr>
            <w:tcW w:w="1061" w:type="dxa"/>
            <w:tcBorders>
              <w:left w:val="nil"/>
              <w:right w:val="nil"/>
            </w:tcBorders>
          </w:tcPr>
          <w:p>
            <w:pPr>
              <w:pStyle w:val="TableParagraph"/>
              <w:spacing w:before="18"/>
              <w:ind w:right="63"/>
              <w:rPr>
                <w:sz w:val="14"/>
              </w:rPr>
            </w:pPr>
            <w:r>
              <w:rPr>
                <w:sz w:val="14"/>
              </w:rPr>
              <w:t>6.476,80</w:t>
            </w:r>
          </w:p>
        </w:tc>
        <w:tc>
          <w:tcPr>
            <w:tcW w:w="861" w:type="dxa"/>
            <w:tcBorders>
              <w:left w:val="nil"/>
              <w:right w:val="nil"/>
            </w:tcBorders>
          </w:tcPr>
          <w:p>
            <w:pPr/>
          </w:p>
        </w:tc>
        <w:tc>
          <w:tcPr>
            <w:tcW w:w="748" w:type="dxa"/>
            <w:tcBorders>
              <w:left w:val="nil"/>
              <w:right w:val="nil"/>
            </w:tcBorders>
          </w:tcPr>
          <w:p>
            <w:pPr/>
          </w:p>
        </w:tc>
        <w:tc>
          <w:tcPr>
            <w:tcW w:w="1079" w:type="dxa"/>
            <w:tcBorders>
              <w:left w:val="nil"/>
              <w:right w:val="nil"/>
            </w:tcBorders>
          </w:tcPr>
          <w:p>
            <w:pPr>
              <w:pStyle w:val="TableParagraph"/>
              <w:spacing w:before="18"/>
              <w:ind w:right="78"/>
              <w:rPr>
                <w:sz w:val="14"/>
              </w:rPr>
            </w:pPr>
            <w:r>
              <w:rPr>
                <w:sz w:val="14"/>
              </w:rPr>
              <w:t>Proc. Alternativa</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6.476,80</w:t>
            </w:r>
          </w:p>
        </w:tc>
      </w:tr>
      <w:tr>
        <w:trPr>
          <w:trHeight w:val="183" w:hRule="exact"/>
        </w:trPr>
        <w:tc>
          <w:tcPr>
            <w:tcW w:w="652" w:type="dxa"/>
            <w:tcBorders>
              <w:right w:val="nil"/>
            </w:tcBorders>
          </w:tcPr>
          <w:p>
            <w:pPr>
              <w:pStyle w:val="TableParagraph"/>
              <w:spacing w:before="18"/>
              <w:ind w:left="17"/>
              <w:jc w:val="left"/>
              <w:rPr>
                <w:sz w:val="14"/>
              </w:rPr>
            </w:pPr>
            <w:r>
              <w:rPr>
                <w:sz w:val="14"/>
              </w:rPr>
              <w:t>200004</w:t>
            </w:r>
          </w:p>
        </w:tc>
        <w:tc>
          <w:tcPr>
            <w:tcW w:w="2671" w:type="dxa"/>
            <w:tcBorders>
              <w:left w:val="nil"/>
              <w:right w:val="nil"/>
            </w:tcBorders>
          </w:tcPr>
          <w:p>
            <w:pPr>
              <w:pStyle w:val="TableParagraph"/>
              <w:spacing w:before="18"/>
              <w:ind w:left="21"/>
              <w:jc w:val="left"/>
              <w:rPr>
                <w:sz w:val="14"/>
              </w:rPr>
            </w:pPr>
            <w:r>
              <w:rPr>
                <w:sz w:val="14"/>
              </w:rPr>
              <w:t>M&amp;g USA CO</w:t>
            </w:r>
          </w:p>
        </w:tc>
        <w:tc>
          <w:tcPr>
            <w:tcW w:w="1061" w:type="dxa"/>
            <w:tcBorders>
              <w:left w:val="nil"/>
              <w:right w:val="nil"/>
            </w:tcBorders>
          </w:tcPr>
          <w:p>
            <w:pPr>
              <w:pStyle w:val="TableParagraph"/>
              <w:spacing w:before="18"/>
              <w:ind w:right="63"/>
              <w:rPr>
                <w:sz w:val="14"/>
              </w:rPr>
            </w:pPr>
            <w:r>
              <w:rPr>
                <w:sz w:val="14"/>
              </w:rPr>
              <w:t>940,29</w:t>
            </w:r>
          </w:p>
        </w:tc>
        <w:tc>
          <w:tcPr>
            <w:tcW w:w="861" w:type="dxa"/>
            <w:tcBorders>
              <w:left w:val="nil"/>
              <w:right w:val="nil"/>
            </w:tcBorders>
          </w:tcPr>
          <w:p>
            <w:pPr>
              <w:pStyle w:val="TableParagraph"/>
              <w:spacing w:before="18"/>
              <w:ind w:right="58"/>
              <w:rPr>
                <w:sz w:val="14"/>
              </w:rPr>
            </w:pPr>
            <w:r>
              <w:rPr>
                <w:w w:val="95"/>
                <w:sz w:val="14"/>
              </w:rPr>
              <w:t>(93,55)</w:t>
            </w:r>
          </w:p>
        </w:tc>
        <w:tc>
          <w:tcPr>
            <w:tcW w:w="748" w:type="dxa"/>
            <w:tcBorders>
              <w:left w:val="nil"/>
              <w:right w:val="nil"/>
            </w:tcBorders>
          </w:tcPr>
          <w:p>
            <w:pPr/>
          </w:p>
        </w:tc>
        <w:tc>
          <w:tcPr>
            <w:tcW w:w="1079" w:type="dxa"/>
            <w:tcBorders>
              <w:left w:val="nil"/>
              <w:right w:val="nil"/>
            </w:tcBorders>
          </w:tcPr>
          <w:p>
            <w:pPr>
              <w:pStyle w:val="TableParagraph"/>
              <w:spacing w:before="18"/>
              <w:ind w:right="78"/>
              <w:rPr>
                <w:sz w:val="14"/>
              </w:rPr>
            </w:pPr>
            <w:r>
              <w:rPr>
                <w:sz w:val="14"/>
              </w:rPr>
              <w:t>Proc. Alternativa</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846,74</w:t>
            </w:r>
          </w:p>
        </w:tc>
      </w:tr>
      <w:tr>
        <w:trPr>
          <w:trHeight w:val="183" w:hRule="exact"/>
        </w:trPr>
        <w:tc>
          <w:tcPr>
            <w:tcW w:w="652" w:type="dxa"/>
            <w:tcBorders>
              <w:right w:val="nil"/>
            </w:tcBorders>
          </w:tcPr>
          <w:p>
            <w:pPr>
              <w:pStyle w:val="TableParagraph"/>
              <w:spacing w:before="18"/>
              <w:ind w:left="17"/>
              <w:jc w:val="left"/>
              <w:rPr>
                <w:sz w:val="14"/>
              </w:rPr>
            </w:pPr>
            <w:r>
              <w:rPr>
                <w:sz w:val="14"/>
              </w:rPr>
              <w:t>200219</w:t>
            </w:r>
          </w:p>
        </w:tc>
        <w:tc>
          <w:tcPr>
            <w:tcW w:w="2671" w:type="dxa"/>
            <w:tcBorders>
              <w:left w:val="nil"/>
              <w:right w:val="nil"/>
            </w:tcBorders>
          </w:tcPr>
          <w:p>
            <w:pPr>
              <w:pStyle w:val="TableParagraph"/>
              <w:spacing w:before="18"/>
              <w:ind w:left="21"/>
              <w:jc w:val="left"/>
              <w:rPr>
                <w:sz w:val="14"/>
              </w:rPr>
            </w:pPr>
            <w:r>
              <w:rPr>
                <w:sz w:val="14"/>
              </w:rPr>
              <w:t>C5-6 ITALY</w:t>
            </w:r>
          </w:p>
        </w:tc>
        <w:tc>
          <w:tcPr>
            <w:tcW w:w="1061" w:type="dxa"/>
            <w:tcBorders>
              <w:left w:val="nil"/>
              <w:right w:val="nil"/>
            </w:tcBorders>
          </w:tcPr>
          <w:p>
            <w:pPr>
              <w:pStyle w:val="TableParagraph"/>
              <w:spacing w:before="18"/>
              <w:ind w:right="63"/>
              <w:rPr>
                <w:sz w:val="14"/>
              </w:rPr>
            </w:pPr>
            <w:r>
              <w:rPr>
                <w:sz w:val="14"/>
              </w:rPr>
              <w:t>459,27</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459,27</w:t>
            </w:r>
          </w:p>
        </w:tc>
      </w:tr>
      <w:tr>
        <w:trPr>
          <w:trHeight w:val="183" w:hRule="exact"/>
        </w:trPr>
        <w:tc>
          <w:tcPr>
            <w:tcW w:w="652" w:type="dxa"/>
            <w:tcBorders>
              <w:right w:val="nil"/>
            </w:tcBorders>
          </w:tcPr>
          <w:p>
            <w:pPr>
              <w:pStyle w:val="TableParagraph"/>
              <w:spacing w:before="18"/>
              <w:ind w:left="17"/>
              <w:jc w:val="left"/>
              <w:rPr>
                <w:sz w:val="14"/>
              </w:rPr>
            </w:pPr>
            <w:r>
              <w:rPr>
                <w:sz w:val="14"/>
              </w:rPr>
              <w:t>200065</w:t>
            </w:r>
          </w:p>
        </w:tc>
        <w:tc>
          <w:tcPr>
            <w:tcW w:w="2671" w:type="dxa"/>
            <w:tcBorders>
              <w:left w:val="nil"/>
              <w:right w:val="nil"/>
            </w:tcBorders>
          </w:tcPr>
          <w:p>
            <w:pPr>
              <w:pStyle w:val="TableParagraph"/>
              <w:spacing w:before="18"/>
              <w:ind w:left="21"/>
              <w:jc w:val="left"/>
              <w:rPr>
                <w:sz w:val="14"/>
              </w:rPr>
            </w:pPr>
            <w:r>
              <w:rPr>
                <w:w w:val="95"/>
                <w:sz w:val="14"/>
              </w:rPr>
              <w:t>M&amp;G  FINANZIARIA</w:t>
            </w:r>
          </w:p>
        </w:tc>
        <w:tc>
          <w:tcPr>
            <w:tcW w:w="1061" w:type="dxa"/>
            <w:tcBorders>
              <w:left w:val="nil"/>
              <w:right w:val="nil"/>
            </w:tcBorders>
          </w:tcPr>
          <w:p>
            <w:pPr>
              <w:pStyle w:val="TableParagraph"/>
              <w:spacing w:before="18"/>
              <w:ind w:right="63"/>
              <w:rPr>
                <w:sz w:val="14"/>
              </w:rPr>
            </w:pPr>
            <w:r>
              <w:rPr>
                <w:sz w:val="14"/>
              </w:rPr>
              <w:t>150.613,14</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150.613,14</w:t>
            </w:r>
          </w:p>
        </w:tc>
      </w:tr>
      <w:tr>
        <w:trPr>
          <w:trHeight w:val="183" w:hRule="exact"/>
        </w:trPr>
        <w:tc>
          <w:tcPr>
            <w:tcW w:w="652" w:type="dxa"/>
            <w:tcBorders>
              <w:right w:val="nil"/>
            </w:tcBorders>
          </w:tcPr>
          <w:p>
            <w:pPr>
              <w:pStyle w:val="TableParagraph"/>
              <w:spacing w:before="18"/>
              <w:ind w:left="17"/>
              <w:jc w:val="left"/>
              <w:rPr>
                <w:sz w:val="14"/>
              </w:rPr>
            </w:pPr>
            <w:r>
              <w:rPr>
                <w:sz w:val="14"/>
              </w:rPr>
              <w:t>200248</w:t>
            </w:r>
          </w:p>
        </w:tc>
        <w:tc>
          <w:tcPr>
            <w:tcW w:w="2671" w:type="dxa"/>
            <w:tcBorders>
              <w:left w:val="nil"/>
              <w:right w:val="nil"/>
            </w:tcBorders>
          </w:tcPr>
          <w:p>
            <w:pPr>
              <w:pStyle w:val="TableParagraph"/>
              <w:spacing w:before="18"/>
              <w:ind w:left="21"/>
              <w:jc w:val="left"/>
              <w:rPr>
                <w:sz w:val="14"/>
              </w:rPr>
            </w:pPr>
            <w:r>
              <w:rPr>
                <w:sz w:val="14"/>
              </w:rPr>
              <w:t>IBP ENERGIA</w:t>
            </w:r>
          </w:p>
        </w:tc>
        <w:tc>
          <w:tcPr>
            <w:tcW w:w="1061" w:type="dxa"/>
            <w:tcBorders>
              <w:left w:val="nil"/>
              <w:right w:val="nil"/>
            </w:tcBorders>
          </w:tcPr>
          <w:p>
            <w:pPr>
              <w:pStyle w:val="TableParagraph"/>
              <w:spacing w:before="18"/>
              <w:ind w:right="63"/>
              <w:rPr>
                <w:sz w:val="14"/>
              </w:rPr>
            </w:pPr>
            <w:r>
              <w:rPr>
                <w:sz w:val="14"/>
              </w:rPr>
              <w:t>3.370,72</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3.370,72</w:t>
            </w:r>
          </w:p>
        </w:tc>
      </w:tr>
      <w:tr>
        <w:trPr>
          <w:trHeight w:val="183" w:hRule="exact"/>
        </w:trPr>
        <w:tc>
          <w:tcPr>
            <w:tcW w:w="652" w:type="dxa"/>
            <w:tcBorders>
              <w:right w:val="nil"/>
            </w:tcBorders>
          </w:tcPr>
          <w:p>
            <w:pPr>
              <w:pStyle w:val="TableParagraph"/>
              <w:spacing w:before="18"/>
              <w:ind w:left="17"/>
              <w:jc w:val="left"/>
              <w:rPr>
                <w:sz w:val="14"/>
              </w:rPr>
            </w:pPr>
            <w:r>
              <w:rPr>
                <w:sz w:val="14"/>
              </w:rPr>
              <w:t>200078</w:t>
            </w:r>
          </w:p>
        </w:tc>
        <w:tc>
          <w:tcPr>
            <w:tcW w:w="2671" w:type="dxa"/>
            <w:tcBorders>
              <w:left w:val="nil"/>
              <w:right w:val="nil"/>
            </w:tcBorders>
          </w:tcPr>
          <w:p>
            <w:pPr>
              <w:pStyle w:val="TableParagraph"/>
              <w:spacing w:before="18"/>
              <w:ind w:left="21"/>
              <w:jc w:val="left"/>
              <w:rPr>
                <w:sz w:val="14"/>
              </w:rPr>
            </w:pPr>
            <w:r>
              <w:rPr>
                <w:w w:val="95"/>
                <w:sz w:val="14"/>
              </w:rPr>
              <w:t>ITALIAN  BIOPRODUCT</w:t>
            </w:r>
          </w:p>
        </w:tc>
        <w:tc>
          <w:tcPr>
            <w:tcW w:w="1061" w:type="dxa"/>
            <w:tcBorders>
              <w:left w:val="nil"/>
              <w:right w:val="nil"/>
            </w:tcBorders>
          </w:tcPr>
          <w:p>
            <w:pPr>
              <w:pStyle w:val="TableParagraph"/>
              <w:spacing w:before="18"/>
              <w:ind w:right="63"/>
              <w:rPr>
                <w:sz w:val="14"/>
              </w:rPr>
            </w:pPr>
            <w:r>
              <w:rPr>
                <w:sz w:val="14"/>
              </w:rPr>
              <w:t>171.761,98</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171.761,98</w:t>
            </w:r>
          </w:p>
        </w:tc>
      </w:tr>
      <w:tr>
        <w:trPr>
          <w:trHeight w:val="183" w:hRule="exact"/>
        </w:trPr>
        <w:tc>
          <w:tcPr>
            <w:tcW w:w="652" w:type="dxa"/>
            <w:tcBorders>
              <w:right w:val="nil"/>
            </w:tcBorders>
          </w:tcPr>
          <w:p>
            <w:pPr>
              <w:pStyle w:val="TableParagraph"/>
              <w:spacing w:before="18"/>
              <w:ind w:left="17"/>
              <w:jc w:val="left"/>
              <w:rPr>
                <w:sz w:val="14"/>
              </w:rPr>
            </w:pPr>
            <w:r>
              <w:rPr>
                <w:sz w:val="14"/>
              </w:rPr>
              <w:t>n.d</w:t>
            </w:r>
          </w:p>
        </w:tc>
        <w:tc>
          <w:tcPr>
            <w:tcW w:w="2671" w:type="dxa"/>
            <w:tcBorders>
              <w:left w:val="nil"/>
              <w:right w:val="nil"/>
            </w:tcBorders>
          </w:tcPr>
          <w:p>
            <w:pPr>
              <w:pStyle w:val="TableParagraph"/>
              <w:spacing w:before="18"/>
              <w:ind w:left="21"/>
              <w:jc w:val="left"/>
              <w:rPr>
                <w:sz w:val="14"/>
              </w:rPr>
            </w:pPr>
            <w:r>
              <w:rPr>
                <w:sz w:val="14"/>
              </w:rPr>
              <w:t>M&amp;G Polimeri Italia S.p.A.</w:t>
            </w:r>
          </w:p>
        </w:tc>
        <w:tc>
          <w:tcPr>
            <w:tcW w:w="1061" w:type="dxa"/>
            <w:tcBorders>
              <w:left w:val="nil"/>
              <w:right w:val="nil"/>
            </w:tcBorders>
          </w:tcPr>
          <w:p>
            <w:pPr>
              <w:pStyle w:val="TableParagraph"/>
              <w:spacing w:before="18"/>
              <w:ind w:right="63"/>
              <w:rPr>
                <w:sz w:val="14"/>
              </w:rPr>
            </w:pPr>
            <w:r>
              <w:rPr>
                <w:sz w:val="14"/>
              </w:rPr>
              <w:t>3.649,39</w:t>
            </w:r>
          </w:p>
        </w:tc>
        <w:tc>
          <w:tcPr>
            <w:tcW w:w="861" w:type="dxa"/>
            <w:tcBorders>
              <w:left w:val="nil"/>
              <w:right w:val="nil"/>
            </w:tcBorders>
          </w:tcPr>
          <w:p>
            <w:pPr/>
          </w:p>
        </w:tc>
        <w:tc>
          <w:tcPr>
            <w:tcW w:w="748" w:type="dxa"/>
            <w:tcBorders>
              <w:left w:val="nil"/>
              <w:right w:val="nil"/>
            </w:tcBorders>
          </w:tcPr>
          <w:p>
            <w:pPr/>
          </w:p>
        </w:tc>
        <w:tc>
          <w:tcPr>
            <w:tcW w:w="1079" w:type="dxa"/>
            <w:tcBorders>
              <w:left w:val="nil"/>
              <w:right w:val="nil"/>
            </w:tcBorders>
          </w:tcPr>
          <w:p>
            <w:pPr>
              <w:pStyle w:val="TableParagraph"/>
              <w:spacing w:before="18"/>
              <w:ind w:right="28"/>
              <w:rPr>
                <w:sz w:val="14"/>
              </w:rPr>
            </w:pPr>
            <w:r>
              <w:rPr>
                <w:sz w:val="14"/>
              </w:rPr>
              <w:t>non circolarizzato</w:t>
            </w:r>
          </w:p>
        </w:tc>
        <w:tc>
          <w:tcPr>
            <w:tcW w:w="887" w:type="dxa"/>
            <w:tcBorders>
              <w:left w:val="nil"/>
              <w:right w:val="nil"/>
            </w:tcBorders>
          </w:tcPr>
          <w:p>
            <w:pPr/>
          </w:p>
        </w:tc>
        <w:tc>
          <w:tcPr>
            <w:tcW w:w="1096" w:type="dxa"/>
            <w:tcBorders>
              <w:left w:val="nil"/>
            </w:tcBorders>
          </w:tcPr>
          <w:p>
            <w:pPr>
              <w:pStyle w:val="TableParagraph"/>
              <w:spacing w:before="18"/>
              <w:ind w:right="59"/>
              <w:rPr>
                <w:sz w:val="14"/>
              </w:rPr>
            </w:pPr>
            <w:r>
              <w:rPr>
                <w:sz w:val="14"/>
              </w:rPr>
              <w:t>3.649,39</w:t>
            </w:r>
          </w:p>
        </w:tc>
      </w:tr>
      <w:tr>
        <w:trPr>
          <w:trHeight w:val="183" w:hRule="exact"/>
        </w:trPr>
        <w:tc>
          <w:tcPr>
            <w:tcW w:w="652" w:type="dxa"/>
            <w:tcBorders>
              <w:right w:val="nil"/>
            </w:tcBorders>
          </w:tcPr>
          <w:p>
            <w:pPr>
              <w:pStyle w:val="TableParagraph"/>
              <w:spacing w:before="18"/>
              <w:ind w:left="17"/>
              <w:jc w:val="left"/>
              <w:rPr>
                <w:sz w:val="14"/>
              </w:rPr>
            </w:pPr>
            <w:r>
              <w:rPr>
                <w:sz w:val="14"/>
              </w:rPr>
              <w:t>200219</w:t>
            </w:r>
          </w:p>
        </w:tc>
        <w:tc>
          <w:tcPr>
            <w:tcW w:w="2671" w:type="dxa"/>
            <w:tcBorders>
              <w:left w:val="nil"/>
              <w:right w:val="nil"/>
            </w:tcBorders>
          </w:tcPr>
          <w:p>
            <w:pPr>
              <w:pStyle w:val="TableParagraph"/>
              <w:spacing w:before="18"/>
              <w:ind w:left="21"/>
              <w:jc w:val="left"/>
              <w:rPr>
                <w:sz w:val="14"/>
              </w:rPr>
            </w:pPr>
            <w:r>
              <w:rPr>
                <w:sz w:val="14"/>
              </w:rPr>
              <w:t>C5-6 ITALY</w:t>
            </w:r>
          </w:p>
        </w:tc>
        <w:tc>
          <w:tcPr>
            <w:tcW w:w="1061" w:type="dxa"/>
            <w:tcBorders>
              <w:left w:val="nil"/>
              <w:right w:val="nil"/>
            </w:tcBorders>
          </w:tcPr>
          <w:p>
            <w:pPr>
              <w:pStyle w:val="TableParagraph"/>
              <w:spacing w:before="18"/>
              <w:ind w:right="63"/>
              <w:rPr>
                <w:sz w:val="14"/>
              </w:rPr>
            </w:pPr>
            <w:r>
              <w:rPr>
                <w:sz w:val="14"/>
              </w:rPr>
              <w:t>3.333,73</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3.333,73</w:t>
            </w:r>
          </w:p>
        </w:tc>
      </w:tr>
      <w:tr>
        <w:trPr>
          <w:trHeight w:val="183" w:hRule="exact"/>
        </w:trPr>
        <w:tc>
          <w:tcPr>
            <w:tcW w:w="652" w:type="dxa"/>
            <w:tcBorders>
              <w:right w:val="nil"/>
            </w:tcBorders>
          </w:tcPr>
          <w:p>
            <w:pPr>
              <w:pStyle w:val="TableParagraph"/>
              <w:spacing w:before="18"/>
              <w:ind w:left="17"/>
              <w:jc w:val="left"/>
              <w:rPr>
                <w:sz w:val="14"/>
              </w:rPr>
            </w:pPr>
            <w:r>
              <w:rPr>
                <w:sz w:val="14"/>
              </w:rPr>
              <w:t>200078</w:t>
            </w:r>
          </w:p>
        </w:tc>
        <w:tc>
          <w:tcPr>
            <w:tcW w:w="2671" w:type="dxa"/>
            <w:tcBorders>
              <w:left w:val="nil"/>
              <w:right w:val="nil"/>
            </w:tcBorders>
          </w:tcPr>
          <w:p>
            <w:pPr>
              <w:pStyle w:val="TableParagraph"/>
              <w:spacing w:before="18"/>
              <w:ind w:left="21"/>
              <w:jc w:val="left"/>
              <w:rPr>
                <w:sz w:val="14"/>
              </w:rPr>
            </w:pPr>
            <w:r>
              <w:rPr>
                <w:w w:val="95"/>
                <w:sz w:val="14"/>
              </w:rPr>
              <w:t>ITALIAN  BIOPRODUCT</w:t>
            </w:r>
          </w:p>
        </w:tc>
        <w:tc>
          <w:tcPr>
            <w:tcW w:w="1061" w:type="dxa"/>
            <w:tcBorders>
              <w:left w:val="nil"/>
              <w:right w:val="nil"/>
            </w:tcBorders>
          </w:tcPr>
          <w:p>
            <w:pPr>
              <w:pStyle w:val="TableParagraph"/>
              <w:spacing w:before="18"/>
              <w:ind w:right="63"/>
              <w:rPr>
                <w:sz w:val="14"/>
              </w:rPr>
            </w:pPr>
            <w:r>
              <w:rPr>
                <w:sz w:val="14"/>
              </w:rPr>
              <w:t>9.093,02</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9.093,02</w:t>
            </w:r>
          </w:p>
        </w:tc>
      </w:tr>
      <w:tr>
        <w:trPr>
          <w:trHeight w:val="183" w:hRule="exact"/>
        </w:trPr>
        <w:tc>
          <w:tcPr>
            <w:tcW w:w="652" w:type="dxa"/>
            <w:tcBorders>
              <w:right w:val="nil"/>
            </w:tcBorders>
          </w:tcPr>
          <w:p>
            <w:pPr>
              <w:pStyle w:val="TableParagraph"/>
              <w:spacing w:before="18"/>
              <w:ind w:left="17"/>
              <w:jc w:val="left"/>
              <w:rPr>
                <w:sz w:val="14"/>
              </w:rPr>
            </w:pPr>
            <w:r>
              <w:rPr>
                <w:sz w:val="14"/>
              </w:rPr>
              <w:t>200118</w:t>
            </w:r>
          </w:p>
        </w:tc>
        <w:tc>
          <w:tcPr>
            <w:tcW w:w="2671" w:type="dxa"/>
            <w:tcBorders>
              <w:left w:val="nil"/>
              <w:right w:val="nil"/>
            </w:tcBorders>
          </w:tcPr>
          <w:p>
            <w:pPr>
              <w:pStyle w:val="TableParagraph"/>
              <w:spacing w:before="18"/>
              <w:ind w:left="21"/>
              <w:jc w:val="left"/>
              <w:rPr>
                <w:sz w:val="14"/>
              </w:rPr>
            </w:pPr>
            <w:r>
              <w:rPr>
                <w:sz w:val="14"/>
              </w:rPr>
              <w:t>BETA RENEWABLES</w:t>
            </w:r>
          </w:p>
        </w:tc>
        <w:tc>
          <w:tcPr>
            <w:tcW w:w="1061" w:type="dxa"/>
            <w:tcBorders>
              <w:left w:val="nil"/>
              <w:right w:val="nil"/>
            </w:tcBorders>
          </w:tcPr>
          <w:p>
            <w:pPr>
              <w:pStyle w:val="TableParagraph"/>
              <w:spacing w:before="18"/>
              <w:ind w:right="63"/>
              <w:rPr>
                <w:sz w:val="14"/>
              </w:rPr>
            </w:pPr>
            <w:r>
              <w:rPr>
                <w:sz w:val="14"/>
              </w:rPr>
              <w:t>217.770,00</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59"/>
              <w:rPr>
                <w:sz w:val="14"/>
              </w:rPr>
            </w:pPr>
            <w:r>
              <w:rPr>
                <w:sz w:val="14"/>
              </w:rPr>
              <w:t>217.770,00</w:t>
            </w:r>
          </w:p>
        </w:tc>
      </w:tr>
      <w:tr>
        <w:trPr>
          <w:trHeight w:val="183" w:hRule="exact"/>
        </w:trPr>
        <w:tc>
          <w:tcPr>
            <w:tcW w:w="652" w:type="dxa"/>
            <w:tcBorders>
              <w:right w:val="nil"/>
            </w:tcBorders>
          </w:tcPr>
          <w:p>
            <w:pPr>
              <w:pStyle w:val="TableParagraph"/>
              <w:spacing w:before="18"/>
              <w:ind w:left="17"/>
              <w:jc w:val="left"/>
              <w:rPr>
                <w:sz w:val="14"/>
              </w:rPr>
            </w:pPr>
            <w:r>
              <w:rPr>
                <w:sz w:val="14"/>
              </w:rPr>
              <w:t>200118</w:t>
            </w:r>
          </w:p>
        </w:tc>
        <w:tc>
          <w:tcPr>
            <w:tcW w:w="2671" w:type="dxa"/>
            <w:tcBorders>
              <w:left w:val="nil"/>
              <w:right w:val="nil"/>
            </w:tcBorders>
          </w:tcPr>
          <w:p>
            <w:pPr>
              <w:pStyle w:val="TableParagraph"/>
              <w:spacing w:before="18"/>
              <w:ind w:left="21"/>
              <w:jc w:val="left"/>
              <w:rPr>
                <w:sz w:val="14"/>
              </w:rPr>
            </w:pPr>
            <w:r>
              <w:rPr>
                <w:sz w:val="14"/>
              </w:rPr>
              <w:t>BETA RENEWABLES</w:t>
            </w:r>
          </w:p>
        </w:tc>
        <w:tc>
          <w:tcPr>
            <w:tcW w:w="1061" w:type="dxa"/>
            <w:tcBorders>
              <w:left w:val="nil"/>
              <w:right w:val="nil"/>
            </w:tcBorders>
          </w:tcPr>
          <w:p>
            <w:pPr>
              <w:pStyle w:val="TableParagraph"/>
              <w:spacing w:before="18"/>
              <w:ind w:right="63"/>
              <w:rPr>
                <w:sz w:val="14"/>
              </w:rPr>
            </w:pPr>
            <w:r>
              <w:rPr>
                <w:sz w:val="14"/>
              </w:rPr>
              <w:t>163.327,00</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16"/>
              <w:rPr>
                <w:sz w:val="14"/>
              </w:rPr>
            </w:pPr>
            <w:r>
              <w:rPr>
                <w:sz w:val="14"/>
              </w:rPr>
              <w:t>163.327,00</w:t>
            </w:r>
          </w:p>
        </w:tc>
      </w:tr>
      <w:tr>
        <w:trPr>
          <w:trHeight w:val="183" w:hRule="exact"/>
        </w:trPr>
        <w:tc>
          <w:tcPr>
            <w:tcW w:w="652" w:type="dxa"/>
            <w:tcBorders>
              <w:right w:val="nil"/>
            </w:tcBorders>
          </w:tcPr>
          <w:p>
            <w:pPr>
              <w:pStyle w:val="TableParagraph"/>
              <w:spacing w:before="18"/>
              <w:ind w:left="17"/>
              <w:jc w:val="left"/>
              <w:rPr>
                <w:sz w:val="14"/>
              </w:rPr>
            </w:pPr>
            <w:r>
              <w:rPr>
                <w:sz w:val="14"/>
              </w:rPr>
              <w:t>200118</w:t>
            </w:r>
          </w:p>
        </w:tc>
        <w:tc>
          <w:tcPr>
            <w:tcW w:w="2671" w:type="dxa"/>
            <w:tcBorders>
              <w:left w:val="nil"/>
              <w:right w:val="nil"/>
            </w:tcBorders>
          </w:tcPr>
          <w:p>
            <w:pPr>
              <w:pStyle w:val="TableParagraph"/>
              <w:spacing w:before="18"/>
              <w:ind w:left="21"/>
              <w:jc w:val="left"/>
              <w:rPr>
                <w:sz w:val="14"/>
              </w:rPr>
            </w:pPr>
            <w:r>
              <w:rPr>
                <w:sz w:val="14"/>
              </w:rPr>
              <w:t>BETA RENEWABLES</w:t>
            </w:r>
          </w:p>
        </w:tc>
        <w:tc>
          <w:tcPr>
            <w:tcW w:w="1061" w:type="dxa"/>
            <w:tcBorders>
              <w:left w:val="nil"/>
              <w:right w:val="nil"/>
            </w:tcBorders>
          </w:tcPr>
          <w:p>
            <w:pPr>
              <w:pStyle w:val="TableParagraph"/>
              <w:spacing w:before="18"/>
              <w:ind w:right="63"/>
              <w:rPr>
                <w:sz w:val="14"/>
              </w:rPr>
            </w:pPr>
            <w:r>
              <w:rPr>
                <w:sz w:val="14"/>
              </w:rPr>
              <w:t>129.949,74</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16"/>
              <w:rPr>
                <w:sz w:val="14"/>
              </w:rPr>
            </w:pPr>
            <w:r>
              <w:rPr>
                <w:sz w:val="14"/>
              </w:rPr>
              <w:t>129.949,74</w:t>
            </w:r>
          </w:p>
        </w:tc>
      </w:tr>
      <w:tr>
        <w:trPr>
          <w:trHeight w:val="183" w:hRule="exact"/>
        </w:trPr>
        <w:tc>
          <w:tcPr>
            <w:tcW w:w="652" w:type="dxa"/>
            <w:tcBorders>
              <w:right w:val="nil"/>
            </w:tcBorders>
          </w:tcPr>
          <w:p>
            <w:pPr>
              <w:pStyle w:val="TableParagraph"/>
              <w:spacing w:before="18"/>
              <w:ind w:left="17"/>
              <w:jc w:val="left"/>
              <w:rPr>
                <w:sz w:val="14"/>
              </w:rPr>
            </w:pPr>
            <w:r>
              <w:rPr>
                <w:sz w:val="14"/>
              </w:rPr>
              <w:t>200118</w:t>
            </w:r>
          </w:p>
        </w:tc>
        <w:tc>
          <w:tcPr>
            <w:tcW w:w="2671" w:type="dxa"/>
            <w:tcBorders>
              <w:left w:val="nil"/>
              <w:right w:val="nil"/>
            </w:tcBorders>
          </w:tcPr>
          <w:p>
            <w:pPr>
              <w:pStyle w:val="TableParagraph"/>
              <w:spacing w:before="18"/>
              <w:ind w:left="21"/>
              <w:jc w:val="left"/>
              <w:rPr>
                <w:sz w:val="14"/>
              </w:rPr>
            </w:pPr>
            <w:r>
              <w:rPr>
                <w:sz w:val="14"/>
              </w:rPr>
              <w:t>BETA RENEWABLES</w:t>
            </w:r>
          </w:p>
        </w:tc>
        <w:tc>
          <w:tcPr>
            <w:tcW w:w="1061" w:type="dxa"/>
            <w:tcBorders>
              <w:left w:val="nil"/>
              <w:right w:val="nil"/>
            </w:tcBorders>
          </w:tcPr>
          <w:p>
            <w:pPr>
              <w:pStyle w:val="TableParagraph"/>
              <w:spacing w:before="18"/>
              <w:ind w:right="63"/>
              <w:rPr>
                <w:sz w:val="14"/>
              </w:rPr>
            </w:pPr>
            <w:r>
              <w:rPr>
                <w:sz w:val="14"/>
              </w:rPr>
              <w:t>2.875.000</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16"/>
              <w:rPr>
                <w:sz w:val="14"/>
              </w:rPr>
            </w:pPr>
            <w:r>
              <w:rPr>
                <w:sz w:val="14"/>
              </w:rPr>
              <w:t>2.875.000,00</w:t>
            </w:r>
          </w:p>
        </w:tc>
      </w:tr>
      <w:tr>
        <w:trPr>
          <w:trHeight w:val="183" w:hRule="exact"/>
        </w:trPr>
        <w:tc>
          <w:tcPr>
            <w:tcW w:w="652" w:type="dxa"/>
            <w:tcBorders>
              <w:right w:val="nil"/>
            </w:tcBorders>
          </w:tcPr>
          <w:p>
            <w:pPr>
              <w:pStyle w:val="TableParagraph"/>
              <w:spacing w:before="18"/>
              <w:ind w:left="17"/>
              <w:jc w:val="left"/>
              <w:rPr>
                <w:sz w:val="14"/>
              </w:rPr>
            </w:pPr>
            <w:r>
              <w:rPr>
                <w:sz w:val="14"/>
              </w:rPr>
              <w:t>200219</w:t>
            </w:r>
          </w:p>
        </w:tc>
        <w:tc>
          <w:tcPr>
            <w:tcW w:w="2671" w:type="dxa"/>
            <w:tcBorders>
              <w:left w:val="nil"/>
              <w:right w:val="nil"/>
            </w:tcBorders>
          </w:tcPr>
          <w:p>
            <w:pPr>
              <w:pStyle w:val="TableParagraph"/>
              <w:spacing w:before="18"/>
              <w:ind w:left="21"/>
              <w:jc w:val="left"/>
              <w:rPr>
                <w:sz w:val="14"/>
              </w:rPr>
            </w:pPr>
            <w:r>
              <w:rPr>
                <w:sz w:val="14"/>
              </w:rPr>
              <w:t>C5-6 ITALY</w:t>
            </w:r>
          </w:p>
        </w:tc>
        <w:tc>
          <w:tcPr>
            <w:tcW w:w="1061" w:type="dxa"/>
            <w:tcBorders>
              <w:left w:val="nil"/>
              <w:right w:val="nil"/>
            </w:tcBorders>
          </w:tcPr>
          <w:p>
            <w:pPr>
              <w:pStyle w:val="TableParagraph"/>
              <w:spacing w:before="18"/>
              <w:ind w:right="63"/>
              <w:rPr>
                <w:sz w:val="14"/>
              </w:rPr>
            </w:pPr>
            <w:r>
              <w:rPr>
                <w:sz w:val="14"/>
              </w:rPr>
              <w:t>1.109.500</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16"/>
              <w:rPr>
                <w:sz w:val="14"/>
              </w:rPr>
            </w:pPr>
            <w:r>
              <w:rPr>
                <w:sz w:val="14"/>
              </w:rPr>
              <w:t>1.109.500,00</w:t>
            </w:r>
          </w:p>
        </w:tc>
      </w:tr>
      <w:tr>
        <w:trPr>
          <w:trHeight w:val="183" w:hRule="exact"/>
        </w:trPr>
        <w:tc>
          <w:tcPr>
            <w:tcW w:w="652" w:type="dxa"/>
            <w:tcBorders>
              <w:right w:val="nil"/>
            </w:tcBorders>
          </w:tcPr>
          <w:p>
            <w:pPr>
              <w:pStyle w:val="TableParagraph"/>
              <w:spacing w:before="18"/>
              <w:ind w:left="17"/>
              <w:jc w:val="left"/>
              <w:rPr>
                <w:sz w:val="14"/>
              </w:rPr>
            </w:pPr>
            <w:r>
              <w:rPr>
                <w:sz w:val="14"/>
              </w:rPr>
              <w:t>200078</w:t>
            </w:r>
          </w:p>
        </w:tc>
        <w:tc>
          <w:tcPr>
            <w:tcW w:w="2671" w:type="dxa"/>
            <w:tcBorders>
              <w:left w:val="nil"/>
              <w:right w:val="nil"/>
            </w:tcBorders>
          </w:tcPr>
          <w:p>
            <w:pPr>
              <w:pStyle w:val="TableParagraph"/>
              <w:spacing w:before="18"/>
              <w:ind w:left="21"/>
              <w:jc w:val="left"/>
              <w:rPr>
                <w:sz w:val="14"/>
              </w:rPr>
            </w:pPr>
            <w:r>
              <w:rPr>
                <w:w w:val="95"/>
                <w:sz w:val="14"/>
              </w:rPr>
              <w:t>ITALIAN  BIOPRODUCT</w:t>
            </w:r>
          </w:p>
        </w:tc>
        <w:tc>
          <w:tcPr>
            <w:tcW w:w="1061" w:type="dxa"/>
            <w:tcBorders>
              <w:left w:val="nil"/>
              <w:right w:val="nil"/>
            </w:tcBorders>
          </w:tcPr>
          <w:p>
            <w:pPr>
              <w:pStyle w:val="TableParagraph"/>
              <w:spacing w:before="18"/>
              <w:ind w:right="63"/>
              <w:rPr>
                <w:sz w:val="14"/>
              </w:rPr>
            </w:pPr>
            <w:r>
              <w:rPr>
                <w:sz w:val="14"/>
              </w:rPr>
              <w:t>188.295,52</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16"/>
              <w:rPr>
                <w:sz w:val="14"/>
              </w:rPr>
            </w:pPr>
            <w:r>
              <w:rPr>
                <w:sz w:val="14"/>
              </w:rPr>
              <w:t>188.295,52</w:t>
            </w:r>
          </w:p>
        </w:tc>
      </w:tr>
      <w:tr>
        <w:trPr>
          <w:trHeight w:val="183" w:hRule="exact"/>
        </w:trPr>
        <w:tc>
          <w:tcPr>
            <w:tcW w:w="652" w:type="dxa"/>
            <w:tcBorders>
              <w:right w:val="nil"/>
            </w:tcBorders>
          </w:tcPr>
          <w:p>
            <w:pPr>
              <w:pStyle w:val="TableParagraph"/>
              <w:spacing w:before="18"/>
              <w:ind w:left="17"/>
              <w:jc w:val="left"/>
              <w:rPr>
                <w:sz w:val="14"/>
              </w:rPr>
            </w:pPr>
            <w:r>
              <w:rPr>
                <w:sz w:val="14"/>
              </w:rPr>
              <w:t>200065</w:t>
            </w:r>
          </w:p>
        </w:tc>
        <w:tc>
          <w:tcPr>
            <w:tcW w:w="2671" w:type="dxa"/>
            <w:tcBorders>
              <w:left w:val="nil"/>
              <w:right w:val="nil"/>
            </w:tcBorders>
          </w:tcPr>
          <w:p>
            <w:pPr>
              <w:pStyle w:val="TableParagraph"/>
              <w:spacing w:before="18"/>
              <w:ind w:left="21"/>
              <w:jc w:val="left"/>
              <w:rPr>
                <w:sz w:val="14"/>
              </w:rPr>
            </w:pPr>
            <w:r>
              <w:rPr>
                <w:w w:val="95"/>
                <w:sz w:val="14"/>
              </w:rPr>
              <w:t>M&amp;G  FINANZIARIA</w:t>
            </w:r>
          </w:p>
        </w:tc>
        <w:tc>
          <w:tcPr>
            <w:tcW w:w="1061" w:type="dxa"/>
            <w:tcBorders>
              <w:left w:val="nil"/>
              <w:right w:val="nil"/>
            </w:tcBorders>
          </w:tcPr>
          <w:p>
            <w:pPr>
              <w:pStyle w:val="TableParagraph"/>
              <w:spacing w:before="18"/>
              <w:ind w:right="64"/>
              <w:rPr>
                <w:sz w:val="14"/>
              </w:rPr>
            </w:pPr>
            <w:r>
              <w:rPr>
                <w:sz w:val="14"/>
              </w:rPr>
              <w:t>10.279.726,46</w:t>
            </w:r>
          </w:p>
        </w:tc>
        <w:tc>
          <w:tcPr>
            <w:tcW w:w="861" w:type="dxa"/>
            <w:tcBorders>
              <w:left w:val="nil"/>
              <w:right w:val="nil"/>
            </w:tcBorders>
          </w:tcPr>
          <w:p>
            <w:pPr/>
          </w:p>
        </w:tc>
        <w:tc>
          <w:tcPr>
            <w:tcW w:w="748" w:type="dxa"/>
            <w:tcBorders>
              <w:left w:val="nil"/>
              <w:right w:val="nil"/>
            </w:tcBorders>
          </w:tcPr>
          <w:p>
            <w:pPr>
              <w:pStyle w:val="TableParagraph"/>
              <w:spacing w:before="41"/>
              <w:jc w:val="center"/>
              <w:rPr>
                <w:rFonts w:ascii="Webdings" w:hAnsi="Webdings"/>
                <w:sz w:val="9"/>
              </w:rPr>
            </w:pPr>
            <w:r>
              <w:rPr>
                <w:rFonts w:ascii="Webdings" w:hAnsi="Webdings"/>
                <w:w w:val="106"/>
                <w:sz w:val="9"/>
              </w:rPr>
              <w:t></w:t>
            </w:r>
          </w:p>
        </w:tc>
        <w:tc>
          <w:tcPr>
            <w:tcW w:w="1079" w:type="dxa"/>
            <w:tcBorders>
              <w:left w:val="nil"/>
              <w:right w:val="nil"/>
            </w:tcBorders>
          </w:tcPr>
          <w:p>
            <w:pPr>
              <w:pStyle w:val="TableParagraph"/>
              <w:spacing w:before="18"/>
              <w:ind w:left="65"/>
              <w:jc w:val="left"/>
              <w:rPr>
                <w:sz w:val="14"/>
              </w:rPr>
            </w:pPr>
            <w:r>
              <w:rPr>
                <w:sz w:val="14"/>
              </w:rPr>
              <w:t>In accordo</w:t>
            </w:r>
          </w:p>
        </w:tc>
        <w:tc>
          <w:tcPr>
            <w:tcW w:w="887" w:type="dxa"/>
            <w:tcBorders>
              <w:left w:val="nil"/>
              <w:right w:val="nil"/>
            </w:tcBorders>
          </w:tcPr>
          <w:p>
            <w:pPr>
              <w:pStyle w:val="TableParagraph"/>
              <w:spacing w:before="18"/>
              <w:ind w:right="202"/>
              <w:rPr>
                <w:sz w:val="14"/>
              </w:rPr>
            </w:pPr>
            <w:r>
              <w:rPr>
                <w:w w:val="99"/>
                <w:sz w:val="14"/>
              </w:rPr>
              <w:t>-</w:t>
            </w:r>
          </w:p>
        </w:tc>
        <w:tc>
          <w:tcPr>
            <w:tcW w:w="1096" w:type="dxa"/>
            <w:tcBorders>
              <w:left w:val="nil"/>
            </w:tcBorders>
          </w:tcPr>
          <w:p>
            <w:pPr>
              <w:pStyle w:val="TableParagraph"/>
              <w:spacing w:before="18"/>
              <w:ind w:right="16"/>
              <w:rPr>
                <w:sz w:val="14"/>
              </w:rPr>
            </w:pPr>
            <w:r>
              <w:rPr>
                <w:sz w:val="14"/>
              </w:rPr>
              <w:t>10.279.726,46</w:t>
            </w:r>
          </w:p>
        </w:tc>
      </w:tr>
      <w:tr>
        <w:trPr>
          <w:trHeight w:val="183" w:hRule="exact"/>
        </w:trPr>
        <w:tc>
          <w:tcPr>
            <w:tcW w:w="652" w:type="dxa"/>
            <w:tcBorders>
              <w:right w:val="nil"/>
            </w:tcBorders>
          </w:tcPr>
          <w:p>
            <w:pPr>
              <w:pStyle w:val="TableParagraph"/>
              <w:spacing w:before="18"/>
              <w:ind w:left="17"/>
              <w:jc w:val="left"/>
              <w:rPr>
                <w:b/>
                <w:sz w:val="14"/>
              </w:rPr>
            </w:pPr>
            <w:r>
              <w:rPr>
                <w:b/>
                <w:sz w:val="14"/>
              </w:rPr>
              <w:t>2239010</w:t>
            </w:r>
          </w:p>
        </w:tc>
        <w:tc>
          <w:tcPr>
            <w:tcW w:w="2671" w:type="dxa"/>
            <w:tcBorders>
              <w:left w:val="nil"/>
              <w:right w:val="nil"/>
            </w:tcBorders>
          </w:tcPr>
          <w:p>
            <w:pPr>
              <w:pStyle w:val="TableParagraph"/>
              <w:spacing w:before="18"/>
              <w:ind w:left="21"/>
              <w:jc w:val="left"/>
              <w:rPr>
                <w:b/>
                <w:sz w:val="14"/>
              </w:rPr>
            </w:pPr>
            <w:r>
              <w:rPr>
                <w:b/>
                <w:sz w:val="14"/>
              </w:rPr>
              <w:t>Crediti infragruppo circolari</w:t>
            </w:r>
          </w:p>
        </w:tc>
        <w:tc>
          <w:tcPr>
            <w:tcW w:w="1061" w:type="dxa"/>
            <w:tcBorders>
              <w:left w:val="nil"/>
              <w:right w:val="nil"/>
            </w:tcBorders>
          </w:tcPr>
          <w:p>
            <w:pPr>
              <w:pStyle w:val="TableParagraph"/>
              <w:spacing w:before="18"/>
              <w:ind w:right="69"/>
              <w:rPr>
                <w:b/>
                <w:sz w:val="14"/>
              </w:rPr>
            </w:pPr>
            <w:r>
              <w:rPr>
                <w:b/>
                <w:sz w:val="14"/>
              </w:rPr>
              <w:t>52.366.050,75</w:t>
            </w:r>
          </w:p>
        </w:tc>
        <w:tc>
          <w:tcPr>
            <w:tcW w:w="861" w:type="dxa"/>
            <w:tcBorders>
              <w:left w:val="nil"/>
              <w:right w:val="nil"/>
            </w:tcBorders>
          </w:tcPr>
          <w:p>
            <w:pPr>
              <w:pStyle w:val="TableParagraph"/>
              <w:spacing w:before="18"/>
              <w:ind w:right="58"/>
              <w:rPr>
                <w:b/>
                <w:sz w:val="14"/>
              </w:rPr>
            </w:pPr>
            <w:r>
              <w:rPr>
                <w:b/>
                <w:sz w:val="14"/>
              </w:rPr>
              <w:t>(43.741,14)</w:t>
            </w:r>
          </w:p>
        </w:tc>
        <w:tc>
          <w:tcPr>
            <w:tcW w:w="748" w:type="dxa"/>
            <w:tcBorders>
              <w:left w:val="nil"/>
              <w:right w:val="nil"/>
            </w:tcBorders>
          </w:tcPr>
          <w:p>
            <w:pPr/>
          </w:p>
        </w:tc>
        <w:tc>
          <w:tcPr>
            <w:tcW w:w="1079" w:type="dxa"/>
            <w:tcBorders>
              <w:left w:val="nil"/>
              <w:right w:val="nil"/>
            </w:tcBorders>
          </w:tcPr>
          <w:p>
            <w:pPr/>
          </w:p>
        </w:tc>
        <w:tc>
          <w:tcPr>
            <w:tcW w:w="887" w:type="dxa"/>
            <w:tcBorders>
              <w:left w:val="nil"/>
              <w:right w:val="nil"/>
            </w:tcBorders>
          </w:tcPr>
          <w:p>
            <w:pPr>
              <w:pStyle w:val="TableParagraph"/>
              <w:spacing w:before="18"/>
              <w:ind w:right="59"/>
              <w:rPr>
                <w:b/>
                <w:sz w:val="14"/>
              </w:rPr>
            </w:pPr>
            <w:r>
              <w:rPr>
                <w:b/>
                <w:w w:val="95"/>
                <w:sz w:val="14"/>
              </w:rPr>
              <w:t>(6.040,00)</w:t>
            </w:r>
          </w:p>
        </w:tc>
        <w:tc>
          <w:tcPr>
            <w:tcW w:w="1096" w:type="dxa"/>
            <w:tcBorders>
              <w:left w:val="nil"/>
            </w:tcBorders>
          </w:tcPr>
          <w:p>
            <w:pPr>
              <w:pStyle w:val="TableParagraph"/>
              <w:spacing w:before="18"/>
              <w:ind w:right="58"/>
              <w:rPr>
                <w:b/>
                <w:sz w:val="14"/>
              </w:rPr>
            </w:pPr>
            <w:r>
              <w:rPr>
                <w:b/>
                <w:sz w:val="14"/>
              </w:rPr>
              <w:t>52.316.269,61</w:t>
            </w:r>
          </w:p>
        </w:tc>
      </w:tr>
    </w:tbl>
    <w:p>
      <w:pPr>
        <w:spacing w:after="0"/>
        <w:rPr>
          <w:sz w:val="1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pPr>
      <w:r>
        <w:rPr>
          <w:u w:val="single"/>
        </w:rPr>
        <w:t>CREDITI TRIBUTARI</w:t>
      </w:r>
    </w:p>
    <w:p>
      <w:pPr>
        <w:pStyle w:val="BodyText"/>
        <w:spacing w:before="11"/>
        <w:rPr>
          <w:b/>
          <w:sz w:val="23"/>
        </w:rPr>
      </w:pPr>
    </w:p>
    <w:p>
      <w:pPr>
        <w:pStyle w:val="BodyText"/>
        <w:spacing w:line="480" w:lineRule="auto"/>
        <w:ind w:left="1418" w:right="1518"/>
      </w:pPr>
      <w:r>
        <w:rPr/>
        <w:t>Nella situazione contabile di riferimento, risultano iscritti crediti tributari per Euro 954.097 così suddivisi:</w:t>
      </w:r>
    </w:p>
    <w:p>
      <w:pPr>
        <w:pStyle w:val="BodyText"/>
        <w:spacing w:before="3"/>
        <w:rPr>
          <w:sz w:val="15"/>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8"/>
        <w:gridCol w:w="2857"/>
        <w:gridCol w:w="1090"/>
        <w:gridCol w:w="909"/>
        <w:gridCol w:w="909"/>
        <w:gridCol w:w="1141"/>
        <w:gridCol w:w="1322"/>
      </w:tblGrid>
      <w:tr>
        <w:trPr>
          <w:trHeight w:val="636" w:hRule="exact"/>
        </w:trPr>
        <w:tc>
          <w:tcPr>
            <w:tcW w:w="828" w:type="dxa"/>
            <w:shd w:val="clear" w:color="auto" w:fill="BEBEBE"/>
          </w:tcPr>
          <w:p>
            <w:pPr>
              <w:pStyle w:val="TableParagraph"/>
              <w:spacing w:before="10"/>
              <w:jc w:val="left"/>
              <w:rPr>
                <w:sz w:val="20"/>
              </w:rPr>
            </w:pPr>
          </w:p>
          <w:p>
            <w:pPr>
              <w:pStyle w:val="TableParagraph"/>
              <w:spacing w:before="0"/>
              <w:ind w:left="202"/>
              <w:jc w:val="left"/>
              <w:rPr>
                <w:b/>
                <w:sz w:val="16"/>
              </w:rPr>
            </w:pPr>
            <w:r>
              <w:rPr>
                <w:b/>
                <w:sz w:val="16"/>
              </w:rPr>
              <w:t>Conto</w:t>
            </w:r>
          </w:p>
        </w:tc>
        <w:tc>
          <w:tcPr>
            <w:tcW w:w="2857" w:type="dxa"/>
            <w:shd w:val="clear" w:color="auto" w:fill="BEBEBE"/>
          </w:tcPr>
          <w:p>
            <w:pPr>
              <w:pStyle w:val="TableParagraph"/>
              <w:spacing w:before="10"/>
              <w:jc w:val="left"/>
              <w:rPr>
                <w:sz w:val="20"/>
              </w:rPr>
            </w:pPr>
          </w:p>
          <w:p>
            <w:pPr>
              <w:pStyle w:val="TableParagraph"/>
              <w:spacing w:before="0"/>
              <w:ind w:left="1000" w:right="997"/>
              <w:jc w:val="center"/>
              <w:rPr>
                <w:b/>
                <w:sz w:val="16"/>
              </w:rPr>
            </w:pPr>
            <w:r>
              <w:rPr>
                <w:b/>
                <w:sz w:val="16"/>
              </w:rPr>
              <w:t>Descrizione</w:t>
            </w:r>
          </w:p>
        </w:tc>
        <w:tc>
          <w:tcPr>
            <w:tcW w:w="1090" w:type="dxa"/>
            <w:shd w:val="clear" w:color="auto" w:fill="BEBEBE"/>
          </w:tcPr>
          <w:p>
            <w:pPr>
              <w:pStyle w:val="TableParagraph"/>
              <w:spacing w:line="283" w:lineRule="auto" w:before="124"/>
              <w:ind w:left="202" w:right="209" w:firstLine="100"/>
              <w:jc w:val="left"/>
              <w:rPr>
                <w:b/>
                <w:sz w:val="16"/>
              </w:rPr>
            </w:pPr>
            <w:r>
              <w:rPr>
                <w:b/>
                <w:sz w:val="16"/>
              </w:rPr>
              <w:t>BdV al 15.10.2017</w:t>
            </w:r>
          </w:p>
        </w:tc>
        <w:tc>
          <w:tcPr>
            <w:tcW w:w="909" w:type="dxa"/>
            <w:shd w:val="clear" w:color="auto" w:fill="BEBEBE"/>
          </w:tcPr>
          <w:p>
            <w:pPr>
              <w:pStyle w:val="TableParagraph"/>
              <w:spacing w:line="283" w:lineRule="auto" w:before="124"/>
              <w:ind w:left="171" w:right="47" w:hanging="122"/>
              <w:jc w:val="left"/>
              <w:rPr>
                <w:b/>
                <w:sz w:val="16"/>
              </w:rPr>
            </w:pPr>
            <w:r>
              <w:rPr>
                <w:b/>
                <w:sz w:val="16"/>
              </w:rPr>
              <w:t>Trasferito a Versalis</w:t>
            </w:r>
          </w:p>
        </w:tc>
        <w:tc>
          <w:tcPr>
            <w:tcW w:w="909" w:type="dxa"/>
            <w:shd w:val="clear" w:color="auto" w:fill="BEBEBE"/>
          </w:tcPr>
          <w:p>
            <w:pPr>
              <w:pStyle w:val="TableParagraph"/>
              <w:spacing w:line="283" w:lineRule="auto" w:before="124"/>
              <w:ind w:left="141" w:right="132" w:firstLine="151"/>
              <w:jc w:val="left"/>
              <w:rPr>
                <w:b/>
                <w:sz w:val="16"/>
              </w:rPr>
            </w:pPr>
            <w:r>
              <w:rPr>
                <w:b/>
                <w:sz w:val="16"/>
              </w:rPr>
              <w:t>Non trasferito</w:t>
            </w:r>
          </w:p>
        </w:tc>
        <w:tc>
          <w:tcPr>
            <w:tcW w:w="1141" w:type="dxa"/>
            <w:shd w:val="clear" w:color="auto" w:fill="BEBEBE"/>
          </w:tcPr>
          <w:p>
            <w:pPr>
              <w:pStyle w:val="TableParagraph"/>
              <w:spacing w:line="283" w:lineRule="auto" w:before="124"/>
              <w:ind w:left="80" w:firstLine="151"/>
              <w:jc w:val="left"/>
              <w:rPr>
                <w:b/>
                <w:sz w:val="16"/>
              </w:rPr>
            </w:pPr>
            <w:r>
              <w:rPr>
                <w:b/>
                <w:sz w:val="16"/>
              </w:rPr>
              <w:t>Rettifiche concordatarie</w:t>
            </w:r>
          </w:p>
        </w:tc>
        <w:tc>
          <w:tcPr>
            <w:tcW w:w="1322" w:type="dxa"/>
            <w:shd w:val="clear" w:color="auto" w:fill="BEBEBE"/>
          </w:tcPr>
          <w:p>
            <w:pPr>
              <w:pStyle w:val="TableParagraph"/>
              <w:spacing w:line="283" w:lineRule="auto" w:before="24"/>
              <w:ind w:left="70" w:right="67"/>
              <w:jc w:val="center"/>
              <w:rPr>
                <w:b/>
                <w:sz w:val="16"/>
              </w:rPr>
            </w:pPr>
            <w:r>
              <w:rPr>
                <w:b/>
                <w:sz w:val="16"/>
              </w:rPr>
              <w:t>valore di realizzo ai fini concordatario</w:t>
            </w:r>
          </w:p>
        </w:tc>
      </w:tr>
      <w:tr>
        <w:trPr>
          <w:trHeight w:val="224" w:hRule="exact"/>
        </w:trPr>
        <w:tc>
          <w:tcPr>
            <w:tcW w:w="828" w:type="dxa"/>
            <w:tcBorders>
              <w:bottom w:val="nil"/>
            </w:tcBorders>
          </w:tcPr>
          <w:p>
            <w:pPr>
              <w:pStyle w:val="TableParagraph"/>
              <w:spacing w:before="23"/>
              <w:ind w:left="131"/>
              <w:jc w:val="left"/>
              <w:rPr>
                <w:sz w:val="16"/>
              </w:rPr>
            </w:pPr>
            <w:r>
              <w:rPr>
                <w:sz w:val="16"/>
              </w:rPr>
              <w:t>2240020</w:t>
            </w:r>
          </w:p>
        </w:tc>
        <w:tc>
          <w:tcPr>
            <w:tcW w:w="2857" w:type="dxa"/>
            <w:tcBorders>
              <w:bottom w:val="nil"/>
            </w:tcBorders>
          </w:tcPr>
          <w:p>
            <w:pPr>
              <w:pStyle w:val="TableParagraph"/>
              <w:spacing w:before="23"/>
              <w:ind w:left="20"/>
              <w:jc w:val="left"/>
              <w:rPr>
                <w:sz w:val="16"/>
              </w:rPr>
            </w:pPr>
            <w:r>
              <w:rPr>
                <w:sz w:val="16"/>
              </w:rPr>
              <w:t>VAT in demand</w:t>
            </w:r>
          </w:p>
        </w:tc>
        <w:tc>
          <w:tcPr>
            <w:tcW w:w="1090" w:type="dxa"/>
            <w:tcBorders>
              <w:bottom w:val="nil"/>
            </w:tcBorders>
          </w:tcPr>
          <w:p>
            <w:pPr>
              <w:pStyle w:val="TableParagraph"/>
              <w:spacing w:before="23"/>
              <w:ind w:right="145"/>
              <w:rPr>
                <w:sz w:val="16"/>
              </w:rPr>
            </w:pPr>
            <w:r>
              <w:rPr>
                <w:sz w:val="16"/>
              </w:rPr>
              <w:t>561.466</w:t>
            </w:r>
          </w:p>
        </w:tc>
        <w:tc>
          <w:tcPr>
            <w:tcW w:w="909" w:type="dxa"/>
            <w:vMerge w:val="restart"/>
          </w:tcPr>
          <w:p>
            <w:pPr/>
          </w:p>
        </w:tc>
        <w:tc>
          <w:tcPr>
            <w:tcW w:w="909" w:type="dxa"/>
            <w:tcBorders>
              <w:bottom w:val="nil"/>
            </w:tcBorders>
          </w:tcPr>
          <w:p>
            <w:pPr>
              <w:pStyle w:val="TableParagraph"/>
              <w:spacing w:before="23"/>
              <w:ind w:left="232"/>
              <w:jc w:val="left"/>
              <w:rPr>
                <w:sz w:val="16"/>
              </w:rPr>
            </w:pPr>
            <w:r>
              <w:rPr>
                <w:sz w:val="16"/>
              </w:rPr>
              <w:t>561.466</w:t>
            </w:r>
          </w:p>
        </w:tc>
        <w:tc>
          <w:tcPr>
            <w:tcW w:w="1141" w:type="dxa"/>
            <w:tcBorders>
              <w:bottom w:val="nil"/>
            </w:tcBorders>
          </w:tcPr>
          <w:p>
            <w:pPr>
              <w:pStyle w:val="TableParagraph"/>
              <w:spacing w:before="23"/>
              <w:ind w:right="23"/>
              <w:rPr>
                <w:sz w:val="16"/>
              </w:rPr>
            </w:pPr>
            <w:r>
              <w:rPr>
                <w:sz w:val="16"/>
              </w:rPr>
              <w:t>(424.564)</w:t>
            </w:r>
          </w:p>
        </w:tc>
        <w:tc>
          <w:tcPr>
            <w:tcW w:w="1322" w:type="dxa"/>
            <w:tcBorders>
              <w:bottom w:val="nil"/>
            </w:tcBorders>
          </w:tcPr>
          <w:p>
            <w:pPr>
              <w:pStyle w:val="TableParagraph"/>
              <w:spacing w:before="23"/>
              <w:ind w:right="74"/>
              <w:rPr>
                <w:sz w:val="16"/>
              </w:rPr>
            </w:pPr>
            <w:r>
              <w:rPr>
                <w:sz w:val="16"/>
              </w:rPr>
              <w:t>136.902</w:t>
            </w:r>
          </w:p>
        </w:tc>
      </w:tr>
      <w:tr>
        <w:trPr>
          <w:trHeight w:val="212" w:hRule="exact"/>
        </w:trPr>
        <w:tc>
          <w:tcPr>
            <w:tcW w:w="828" w:type="dxa"/>
            <w:tcBorders>
              <w:top w:val="nil"/>
              <w:bottom w:val="nil"/>
            </w:tcBorders>
          </w:tcPr>
          <w:p>
            <w:pPr>
              <w:pStyle w:val="TableParagraph"/>
              <w:spacing w:before="16"/>
              <w:ind w:left="131"/>
              <w:jc w:val="left"/>
              <w:rPr>
                <w:sz w:val="16"/>
              </w:rPr>
            </w:pPr>
            <w:r>
              <w:rPr>
                <w:sz w:val="16"/>
              </w:rPr>
              <w:t>2240030</w:t>
            </w:r>
          </w:p>
        </w:tc>
        <w:tc>
          <w:tcPr>
            <w:tcW w:w="2857" w:type="dxa"/>
            <w:tcBorders>
              <w:top w:val="nil"/>
              <w:bottom w:val="nil"/>
            </w:tcBorders>
          </w:tcPr>
          <w:p>
            <w:pPr>
              <w:pStyle w:val="TableParagraph"/>
              <w:spacing w:before="16"/>
              <w:ind w:left="20"/>
              <w:jc w:val="left"/>
              <w:rPr>
                <w:sz w:val="16"/>
              </w:rPr>
            </w:pPr>
            <w:r>
              <w:rPr>
                <w:sz w:val="16"/>
              </w:rPr>
              <w:t>input VAT</w:t>
            </w:r>
          </w:p>
        </w:tc>
        <w:tc>
          <w:tcPr>
            <w:tcW w:w="1090" w:type="dxa"/>
            <w:tcBorders>
              <w:top w:val="nil"/>
              <w:bottom w:val="nil"/>
            </w:tcBorders>
          </w:tcPr>
          <w:p>
            <w:pPr>
              <w:pStyle w:val="TableParagraph"/>
              <w:spacing w:before="16"/>
              <w:ind w:right="145"/>
              <w:rPr>
                <w:sz w:val="16"/>
              </w:rPr>
            </w:pPr>
            <w:r>
              <w:rPr>
                <w:sz w:val="16"/>
              </w:rPr>
              <w:t>78.376</w:t>
            </w:r>
          </w:p>
        </w:tc>
        <w:tc>
          <w:tcPr>
            <w:tcW w:w="909" w:type="dxa"/>
            <w:vMerge/>
          </w:tcPr>
          <w:p>
            <w:pPr/>
          </w:p>
        </w:tc>
        <w:tc>
          <w:tcPr>
            <w:tcW w:w="909" w:type="dxa"/>
            <w:tcBorders>
              <w:top w:val="nil"/>
              <w:bottom w:val="nil"/>
            </w:tcBorders>
          </w:tcPr>
          <w:p>
            <w:pPr>
              <w:pStyle w:val="TableParagraph"/>
              <w:spacing w:before="16"/>
              <w:ind w:left="312"/>
              <w:jc w:val="left"/>
              <w:rPr>
                <w:sz w:val="16"/>
              </w:rPr>
            </w:pPr>
            <w:r>
              <w:rPr>
                <w:sz w:val="16"/>
              </w:rPr>
              <w:t>78.376</w:t>
            </w:r>
          </w:p>
        </w:tc>
        <w:tc>
          <w:tcPr>
            <w:tcW w:w="1141" w:type="dxa"/>
            <w:tcBorders>
              <w:top w:val="nil"/>
              <w:bottom w:val="nil"/>
            </w:tcBorders>
          </w:tcPr>
          <w:p>
            <w:pPr>
              <w:pStyle w:val="TableParagraph"/>
              <w:spacing w:before="16"/>
              <w:ind w:right="23"/>
              <w:rPr>
                <w:sz w:val="16"/>
              </w:rPr>
            </w:pPr>
            <w:r>
              <w:rPr>
                <w:sz w:val="16"/>
              </w:rPr>
              <w:t>(78.376)</w:t>
            </w:r>
          </w:p>
        </w:tc>
        <w:tc>
          <w:tcPr>
            <w:tcW w:w="1322" w:type="dxa"/>
            <w:tcBorders>
              <w:top w:val="nil"/>
              <w:bottom w:val="nil"/>
            </w:tcBorders>
          </w:tcPr>
          <w:p>
            <w:pPr>
              <w:pStyle w:val="TableParagraph"/>
              <w:spacing w:before="16"/>
              <w:ind w:right="230"/>
              <w:rPr>
                <w:sz w:val="16"/>
              </w:rPr>
            </w:pPr>
            <w:r>
              <w:rPr>
                <w:w w:val="101"/>
                <w:sz w:val="16"/>
              </w:rPr>
              <w:t>-</w:t>
            </w:r>
          </w:p>
        </w:tc>
      </w:tr>
      <w:tr>
        <w:trPr>
          <w:trHeight w:val="212" w:hRule="exact"/>
        </w:trPr>
        <w:tc>
          <w:tcPr>
            <w:tcW w:w="828" w:type="dxa"/>
            <w:tcBorders>
              <w:top w:val="nil"/>
              <w:bottom w:val="nil"/>
            </w:tcBorders>
          </w:tcPr>
          <w:p>
            <w:pPr>
              <w:pStyle w:val="TableParagraph"/>
              <w:spacing w:before="16"/>
              <w:ind w:left="131"/>
              <w:jc w:val="left"/>
              <w:rPr>
                <w:sz w:val="16"/>
              </w:rPr>
            </w:pPr>
            <w:r>
              <w:rPr>
                <w:sz w:val="16"/>
              </w:rPr>
              <w:t>2240035</w:t>
            </w:r>
          </w:p>
        </w:tc>
        <w:tc>
          <w:tcPr>
            <w:tcW w:w="2857" w:type="dxa"/>
            <w:tcBorders>
              <w:top w:val="nil"/>
              <w:bottom w:val="nil"/>
            </w:tcBorders>
          </w:tcPr>
          <w:p>
            <w:pPr>
              <w:pStyle w:val="TableParagraph"/>
              <w:spacing w:before="16"/>
              <w:ind w:left="20"/>
              <w:jc w:val="left"/>
              <w:rPr>
                <w:sz w:val="16"/>
              </w:rPr>
            </w:pPr>
            <w:r>
              <w:rPr>
                <w:sz w:val="16"/>
              </w:rPr>
              <w:t>Input VAT Pre-petition</w:t>
            </w:r>
          </w:p>
        </w:tc>
        <w:tc>
          <w:tcPr>
            <w:tcW w:w="1090" w:type="dxa"/>
            <w:tcBorders>
              <w:top w:val="nil"/>
              <w:bottom w:val="nil"/>
            </w:tcBorders>
          </w:tcPr>
          <w:p>
            <w:pPr>
              <w:pStyle w:val="TableParagraph"/>
              <w:spacing w:before="16"/>
              <w:ind w:right="145"/>
              <w:rPr>
                <w:sz w:val="16"/>
              </w:rPr>
            </w:pPr>
            <w:r>
              <w:rPr>
                <w:sz w:val="16"/>
              </w:rPr>
              <w:t>170.474</w:t>
            </w:r>
          </w:p>
        </w:tc>
        <w:tc>
          <w:tcPr>
            <w:tcW w:w="909" w:type="dxa"/>
            <w:vMerge/>
          </w:tcPr>
          <w:p>
            <w:pPr/>
          </w:p>
        </w:tc>
        <w:tc>
          <w:tcPr>
            <w:tcW w:w="909" w:type="dxa"/>
            <w:tcBorders>
              <w:top w:val="nil"/>
              <w:bottom w:val="nil"/>
            </w:tcBorders>
          </w:tcPr>
          <w:p>
            <w:pPr>
              <w:pStyle w:val="TableParagraph"/>
              <w:spacing w:before="16"/>
              <w:ind w:left="232"/>
              <w:jc w:val="left"/>
              <w:rPr>
                <w:sz w:val="16"/>
              </w:rPr>
            </w:pPr>
            <w:r>
              <w:rPr>
                <w:sz w:val="16"/>
              </w:rPr>
              <w:t>170.474</w:t>
            </w:r>
          </w:p>
        </w:tc>
        <w:tc>
          <w:tcPr>
            <w:tcW w:w="1141" w:type="dxa"/>
            <w:tcBorders>
              <w:top w:val="nil"/>
              <w:bottom w:val="nil"/>
            </w:tcBorders>
          </w:tcPr>
          <w:p>
            <w:pPr>
              <w:pStyle w:val="TableParagraph"/>
              <w:spacing w:before="16"/>
              <w:ind w:right="23"/>
              <w:rPr>
                <w:sz w:val="16"/>
              </w:rPr>
            </w:pPr>
            <w:r>
              <w:rPr>
                <w:sz w:val="16"/>
              </w:rPr>
              <w:t>(170.474)</w:t>
            </w:r>
          </w:p>
        </w:tc>
        <w:tc>
          <w:tcPr>
            <w:tcW w:w="1322" w:type="dxa"/>
            <w:tcBorders>
              <w:top w:val="nil"/>
              <w:bottom w:val="nil"/>
            </w:tcBorders>
          </w:tcPr>
          <w:p>
            <w:pPr>
              <w:pStyle w:val="TableParagraph"/>
              <w:spacing w:before="16"/>
              <w:ind w:right="230"/>
              <w:rPr>
                <w:sz w:val="16"/>
              </w:rPr>
            </w:pPr>
            <w:r>
              <w:rPr>
                <w:w w:val="101"/>
                <w:sz w:val="16"/>
              </w:rPr>
              <w:t>-</w:t>
            </w:r>
          </w:p>
        </w:tc>
      </w:tr>
      <w:tr>
        <w:trPr>
          <w:trHeight w:val="212" w:hRule="exact"/>
        </w:trPr>
        <w:tc>
          <w:tcPr>
            <w:tcW w:w="828" w:type="dxa"/>
            <w:tcBorders>
              <w:top w:val="nil"/>
              <w:bottom w:val="nil"/>
            </w:tcBorders>
          </w:tcPr>
          <w:p>
            <w:pPr>
              <w:pStyle w:val="TableParagraph"/>
              <w:spacing w:before="16"/>
              <w:ind w:left="131"/>
              <w:jc w:val="left"/>
              <w:rPr>
                <w:sz w:val="16"/>
              </w:rPr>
            </w:pPr>
            <w:r>
              <w:rPr>
                <w:sz w:val="16"/>
              </w:rPr>
              <w:t>2240240</w:t>
            </w:r>
          </w:p>
        </w:tc>
        <w:tc>
          <w:tcPr>
            <w:tcW w:w="2857" w:type="dxa"/>
            <w:tcBorders>
              <w:top w:val="nil"/>
              <w:bottom w:val="nil"/>
            </w:tcBorders>
          </w:tcPr>
          <w:p>
            <w:pPr>
              <w:pStyle w:val="TableParagraph"/>
              <w:spacing w:before="16"/>
              <w:ind w:left="20"/>
              <w:jc w:val="left"/>
              <w:rPr>
                <w:sz w:val="16"/>
              </w:rPr>
            </w:pPr>
            <w:r>
              <w:rPr>
                <w:sz w:val="16"/>
              </w:rPr>
              <w:t>Irap a Credito</w:t>
            </w:r>
          </w:p>
        </w:tc>
        <w:tc>
          <w:tcPr>
            <w:tcW w:w="1090" w:type="dxa"/>
            <w:tcBorders>
              <w:top w:val="nil"/>
              <w:bottom w:val="nil"/>
            </w:tcBorders>
          </w:tcPr>
          <w:p>
            <w:pPr>
              <w:pStyle w:val="TableParagraph"/>
              <w:spacing w:before="16"/>
              <w:ind w:right="145"/>
              <w:rPr>
                <w:sz w:val="16"/>
              </w:rPr>
            </w:pPr>
            <w:r>
              <w:rPr>
                <w:sz w:val="16"/>
              </w:rPr>
              <w:t>143.742</w:t>
            </w:r>
          </w:p>
        </w:tc>
        <w:tc>
          <w:tcPr>
            <w:tcW w:w="909" w:type="dxa"/>
            <w:vMerge/>
          </w:tcPr>
          <w:p>
            <w:pPr/>
          </w:p>
        </w:tc>
        <w:tc>
          <w:tcPr>
            <w:tcW w:w="909" w:type="dxa"/>
            <w:tcBorders>
              <w:top w:val="nil"/>
              <w:bottom w:val="nil"/>
            </w:tcBorders>
          </w:tcPr>
          <w:p>
            <w:pPr>
              <w:pStyle w:val="TableParagraph"/>
              <w:spacing w:before="16"/>
              <w:ind w:left="232"/>
              <w:jc w:val="left"/>
              <w:rPr>
                <w:sz w:val="16"/>
              </w:rPr>
            </w:pPr>
            <w:r>
              <w:rPr>
                <w:sz w:val="16"/>
              </w:rPr>
              <w:t>143.742</w:t>
            </w:r>
          </w:p>
        </w:tc>
        <w:tc>
          <w:tcPr>
            <w:tcW w:w="1141" w:type="dxa"/>
            <w:tcBorders>
              <w:top w:val="nil"/>
              <w:bottom w:val="nil"/>
            </w:tcBorders>
          </w:tcPr>
          <w:p>
            <w:pPr>
              <w:pStyle w:val="TableParagraph"/>
              <w:spacing w:before="16"/>
              <w:ind w:right="23"/>
              <w:rPr>
                <w:sz w:val="16"/>
              </w:rPr>
            </w:pPr>
            <w:r>
              <w:rPr>
                <w:sz w:val="16"/>
              </w:rPr>
              <w:t>(143.742)</w:t>
            </w:r>
          </w:p>
        </w:tc>
        <w:tc>
          <w:tcPr>
            <w:tcW w:w="1322" w:type="dxa"/>
            <w:tcBorders>
              <w:top w:val="nil"/>
              <w:bottom w:val="nil"/>
            </w:tcBorders>
          </w:tcPr>
          <w:p>
            <w:pPr>
              <w:pStyle w:val="TableParagraph"/>
              <w:spacing w:before="16"/>
              <w:ind w:right="230"/>
              <w:rPr>
                <w:sz w:val="16"/>
              </w:rPr>
            </w:pPr>
            <w:r>
              <w:rPr>
                <w:w w:val="101"/>
                <w:sz w:val="16"/>
              </w:rPr>
              <w:t>-</w:t>
            </w:r>
          </w:p>
        </w:tc>
      </w:tr>
      <w:tr>
        <w:trPr>
          <w:trHeight w:val="200" w:hRule="exact"/>
        </w:trPr>
        <w:tc>
          <w:tcPr>
            <w:tcW w:w="828" w:type="dxa"/>
            <w:tcBorders>
              <w:top w:val="nil"/>
            </w:tcBorders>
          </w:tcPr>
          <w:p>
            <w:pPr>
              <w:pStyle w:val="TableParagraph"/>
              <w:spacing w:before="16"/>
              <w:ind w:left="131"/>
              <w:jc w:val="left"/>
              <w:rPr>
                <w:sz w:val="16"/>
              </w:rPr>
            </w:pPr>
            <w:r>
              <w:rPr>
                <w:sz w:val="16"/>
              </w:rPr>
              <w:t>2240060</w:t>
            </w:r>
          </w:p>
        </w:tc>
        <w:tc>
          <w:tcPr>
            <w:tcW w:w="2857" w:type="dxa"/>
            <w:tcBorders>
              <w:top w:val="nil"/>
            </w:tcBorders>
          </w:tcPr>
          <w:p>
            <w:pPr>
              <w:pStyle w:val="TableParagraph"/>
              <w:spacing w:before="16"/>
              <w:ind w:left="20"/>
              <w:jc w:val="left"/>
              <w:rPr>
                <w:sz w:val="16"/>
              </w:rPr>
            </w:pPr>
            <w:r>
              <w:rPr>
                <w:sz w:val="16"/>
              </w:rPr>
              <w:t>Crediti ritenuta in acconto  d'imposta</w:t>
            </w:r>
          </w:p>
        </w:tc>
        <w:tc>
          <w:tcPr>
            <w:tcW w:w="1090" w:type="dxa"/>
            <w:tcBorders>
              <w:top w:val="nil"/>
            </w:tcBorders>
          </w:tcPr>
          <w:p>
            <w:pPr>
              <w:pStyle w:val="TableParagraph"/>
              <w:spacing w:before="16"/>
              <w:ind w:right="139"/>
              <w:rPr>
                <w:sz w:val="16"/>
              </w:rPr>
            </w:pPr>
            <w:r>
              <w:rPr>
                <w:sz w:val="16"/>
              </w:rPr>
              <w:t>38</w:t>
            </w:r>
          </w:p>
        </w:tc>
        <w:tc>
          <w:tcPr>
            <w:tcW w:w="909" w:type="dxa"/>
            <w:vMerge/>
          </w:tcPr>
          <w:p>
            <w:pPr/>
          </w:p>
        </w:tc>
        <w:tc>
          <w:tcPr>
            <w:tcW w:w="909" w:type="dxa"/>
            <w:tcBorders>
              <w:top w:val="nil"/>
            </w:tcBorders>
          </w:tcPr>
          <w:p>
            <w:pPr>
              <w:pStyle w:val="TableParagraph"/>
              <w:spacing w:before="16"/>
              <w:ind w:right="139"/>
              <w:rPr>
                <w:sz w:val="16"/>
              </w:rPr>
            </w:pPr>
            <w:r>
              <w:rPr>
                <w:sz w:val="16"/>
              </w:rPr>
              <w:t>38</w:t>
            </w:r>
          </w:p>
        </w:tc>
        <w:tc>
          <w:tcPr>
            <w:tcW w:w="1141" w:type="dxa"/>
            <w:tcBorders>
              <w:top w:val="nil"/>
            </w:tcBorders>
          </w:tcPr>
          <w:p>
            <w:pPr>
              <w:pStyle w:val="TableParagraph"/>
              <w:spacing w:before="16"/>
              <w:ind w:right="22"/>
              <w:rPr>
                <w:sz w:val="16"/>
              </w:rPr>
            </w:pPr>
            <w:r>
              <w:rPr>
                <w:sz w:val="16"/>
              </w:rPr>
              <w:t>(38)</w:t>
            </w:r>
          </w:p>
        </w:tc>
        <w:tc>
          <w:tcPr>
            <w:tcW w:w="1322" w:type="dxa"/>
            <w:tcBorders>
              <w:top w:val="nil"/>
            </w:tcBorders>
          </w:tcPr>
          <w:p>
            <w:pPr>
              <w:pStyle w:val="TableParagraph"/>
              <w:spacing w:before="16"/>
              <w:ind w:right="230"/>
              <w:rPr>
                <w:sz w:val="16"/>
              </w:rPr>
            </w:pPr>
            <w:r>
              <w:rPr>
                <w:w w:val="101"/>
                <w:sz w:val="16"/>
              </w:rPr>
              <w:t>-</w:t>
            </w:r>
          </w:p>
        </w:tc>
      </w:tr>
      <w:tr>
        <w:trPr>
          <w:trHeight w:val="212" w:hRule="exact"/>
        </w:trPr>
        <w:tc>
          <w:tcPr>
            <w:tcW w:w="3685" w:type="dxa"/>
            <w:gridSpan w:val="2"/>
            <w:shd w:val="clear" w:color="auto" w:fill="BEBEBE"/>
          </w:tcPr>
          <w:p>
            <w:pPr>
              <w:pStyle w:val="TableParagraph"/>
              <w:spacing w:before="23"/>
              <w:ind w:left="20"/>
              <w:jc w:val="left"/>
              <w:rPr>
                <w:b/>
                <w:sz w:val="16"/>
              </w:rPr>
            </w:pPr>
            <w:r>
              <w:rPr>
                <w:b/>
                <w:sz w:val="16"/>
              </w:rPr>
              <w:t>Totale crediti tributari</w:t>
            </w:r>
          </w:p>
        </w:tc>
        <w:tc>
          <w:tcPr>
            <w:tcW w:w="1090" w:type="dxa"/>
            <w:shd w:val="clear" w:color="auto" w:fill="BEBEBE"/>
          </w:tcPr>
          <w:p>
            <w:pPr>
              <w:pStyle w:val="TableParagraph"/>
              <w:spacing w:before="23"/>
              <w:ind w:right="64"/>
              <w:rPr>
                <w:b/>
                <w:sz w:val="16"/>
              </w:rPr>
            </w:pPr>
            <w:r>
              <w:rPr>
                <w:b/>
                <w:sz w:val="16"/>
              </w:rPr>
              <w:t>954.097</w:t>
            </w:r>
          </w:p>
        </w:tc>
        <w:tc>
          <w:tcPr>
            <w:tcW w:w="909" w:type="dxa"/>
            <w:shd w:val="clear" w:color="auto" w:fill="BEBEBE"/>
          </w:tcPr>
          <w:p>
            <w:pPr>
              <w:pStyle w:val="TableParagraph"/>
              <w:spacing w:before="23"/>
              <w:ind w:right="226"/>
              <w:rPr>
                <w:b/>
                <w:sz w:val="16"/>
              </w:rPr>
            </w:pPr>
            <w:r>
              <w:rPr>
                <w:b/>
                <w:w w:val="101"/>
                <w:sz w:val="16"/>
              </w:rPr>
              <w:t>-</w:t>
            </w:r>
          </w:p>
        </w:tc>
        <w:tc>
          <w:tcPr>
            <w:tcW w:w="909" w:type="dxa"/>
            <w:shd w:val="clear" w:color="auto" w:fill="BEBEBE"/>
          </w:tcPr>
          <w:p>
            <w:pPr>
              <w:pStyle w:val="TableParagraph"/>
              <w:spacing w:before="23"/>
              <w:ind w:right="74"/>
              <w:rPr>
                <w:b/>
                <w:sz w:val="16"/>
              </w:rPr>
            </w:pPr>
            <w:r>
              <w:rPr>
                <w:b/>
                <w:sz w:val="16"/>
              </w:rPr>
              <w:t>810.317</w:t>
            </w:r>
          </w:p>
        </w:tc>
        <w:tc>
          <w:tcPr>
            <w:tcW w:w="1141" w:type="dxa"/>
            <w:shd w:val="clear" w:color="auto" w:fill="BEBEBE"/>
          </w:tcPr>
          <w:p>
            <w:pPr>
              <w:pStyle w:val="TableParagraph"/>
              <w:spacing w:before="23"/>
              <w:ind w:right="23"/>
              <w:rPr>
                <w:b/>
                <w:sz w:val="16"/>
              </w:rPr>
            </w:pPr>
            <w:r>
              <w:rPr>
                <w:b/>
                <w:sz w:val="16"/>
              </w:rPr>
              <w:t>(673.414)</w:t>
            </w:r>
          </w:p>
        </w:tc>
        <w:tc>
          <w:tcPr>
            <w:tcW w:w="1322" w:type="dxa"/>
            <w:shd w:val="clear" w:color="auto" w:fill="BEBEBE"/>
          </w:tcPr>
          <w:p>
            <w:pPr>
              <w:pStyle w:val="TableParagraph"/>
              <w:spacing w:before="23"/>
              <w:ind w:right="74"/>
              <w:rPr>
                <w:b/>
                <w:sz w:val="16"/>
              </w:rPr>
            </w:pPr>
            <w:r>
              <w:rPr>
                <w:b/>
                <w:sz w:val="16"/>
              </w:rPr>
              <w:t>136.902</w:t>
            </w:r>
          </w:p>
        </w:tc>
      </w:tr>
    </w:tbl>
    <w:p>
      <w:pPr>
        <w:pStyle w:val="BodyText"/>
        <w:rPr>
          <w:sz w:val="20"/>
        </w:rPr>
      </w:pPr>
    </w:p>
    <w:p>
      <w:pPr>
        <w:pStyle w:val="Heading2"/>
        <w:spacing w:before="214"/>
        <w:jc w:val="both"/>
      </w:pPr>
      <w:r>
        <w:rPr>
          <w:u w:val="single"/>
        </w:rPr>
        <w:t>Credito IVA richiesto a rimborso</w:t>
      </w:r>
    </w:p>
    <w:p>
      <w:pPr>
        <w:pStyle w:val="BodyText"/>
        <w:spacing w:before="10"/>
        <w:rPr>
          <w:b/>
          <w:sz w:val="23"/>
        </w:rPr>
      </w:pPr>
    </w:p>
    <w:p>
      <w:pPr>
        <w:pStyle w:val="BodyText"/>
        <w:spacing w:line="480" w:lineRule="auto"/>
        <w:ind w:left="1418" w:right="1411"/>
        <w:jc w:val="both"/>
      </w:pPr>
      <w:r>
        <w:rPr/>
        <w:t>Nella situazione contabile al 15 ottobre 2017 risultano iscritti crediti IVA sorti per effetto delle transazioni effettuate con il fornitore slovacco Chemstroj. Ai sensi dell’art art. 38 del DPR 633/72, in data 8 luglio 2017, la società ha presentato istanza di rimborso per la quota parte di IVA maturata nel 2016, assolta in Slovacchia, pari a complessivi Euro 424.564 (istanza prot. n IT1600004740320967), e in data 28 febbraio 2018 è stata rimborsata.</w:t>
      </w:r>
    </w:p>
    <w:p>
      <w:pPr>
        <w:pStyle w:val="BodyText"/>
        <w:spacing w:line="480" w:lineRule="auto"/>
        <w:ind w:left="1418" w:right="1414"/>
        <w:jc w:val="both"/>
      </w:pPr>
      <w:r>
        <w:rPr/>
        <w:t>In data 29 marzo 2018 la società ha presentato istanza di rimborso ai sensi dell’art 38 bis 1, DPR 633/72 per la quota parte di IVA assolta in Slovacchia nel periodo del 2017, per complessivi  Euro</w:t>
      </w:r>
      <w:r>
        <w:rPr>
          <w:spacing w:val="-2"/>
        </w:rPr>
        <w:t> </w:t>
      </w:r>
      <w:r>
        <w:rPr/>
        <w:t>136.903.</w:t>
      </w:r>
    </w:p>
    <w:p>
      <w:pPr>
        <w:pStyle w:val="BodyText"/>
        <w:ind w:left="1418"/>
        <w:jc w:val="both"/>
      </w:pPr>
      <w:r>
        <w:rPr>
          <w:u w:val="single"/>
        </w:rPr>
        <w:t>Attività svolta</w:t>
      </w:r>
    </w:p>
    <w:p>
      <w:pPr>
        <w:pStyle w:val="BodyText"/>
        <w:spacing w:before="1"/>
        <w:rPr>
          <w:sz w:val="15"/>
        </w:rPr>
      </w:pPr>
    </w:p>
    <w:p>
      <w:pPr>
        <w:pStyle w:val="BodyText"/>
        <w:spacing w:line="480" w:lineRule="auto" w:before="100"/>
        <w:ind w:left="1418" w:right="1420"/>
        <w:jc w:val="both"/>
      </w:pPr>
      <w:r>
        <w:rPr/>
        <w:t>Gli scriventi hanno preso visione della richiesta di rimborso IVA presentata all’agenzia delle entrate in data 08 luglio 2017, nonché della contabile bancaria di accredito del 28 febbraio 2018., e dell’istanza di rimborso presentata in data 29 marzo</w:t>
      </w:r>
      <w:r>
        <w:rPr>
          <w:spacing w:val="-15"/>
        </w:rPr>
        <w:t> </w:t>
      </w:r>
      <w:r>
        <w:rPr/>
        <w:t>2018.</w:t>
      </w:r>
    </w:p>
    <w:p>
      <w:pPr>
        <w:pStyle w:val="BodyText"/>
        <w:ind w:left="1418"/>
        <w:jc w:val="both"/>
      </w:pPr>
      <w:r>
        <w:rPr>
          <w:u w:val="single"/>
        </w:rPr>
        <w:t>Valorizzazione concordatario</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Ai fini del piano concordatario la società ha stimato di realizzare Euro 136.903, pari alla somma richiesta a rimborso.</w:t>
      </w:r>
    </w:p>
    <w:p>
      <w:pPr>
        <w:pStyle w:val="BodyText"/>
        <w:rPr>
          <w:sz w:val="26"/>
        </w:rPr>
      </w:pPr>
    </w:p>
    <w:p>
      <w:pPr>
        <w:pStyle w:val="BodyText"/>
        <w:rPr>
          <w:sz w:val="26"/>
        </w:rPr>
      </w:pPr>
    </w:p>
    <w:p>
      <w:pPr>
        <w:pStyle w:val="BodyText"/>
        <w:rPr>
          <w:sz w:val="26"/>
        </w:rPr>
      </w:pPr>
    </w:p>
    <w:p>
      <w:pPr>
        <w:pStyle w:val="Heading2"/>
        <w:spacing w:before="202"/>
      </w:pPr>
      <w:r>
        <w:rPr>
          <w:u w:val="single"/>
        </w:rPr>
        <w:t>Credito IVA</w:t>
      </w:r>
    </w:p>
    <w:p>
      <w:pPr>
        <w:pStyle w:val="BodyText"/>
        <w:spacing w:before="1"/>
        <w:rPr>
          <w:b/>
          <w:sz w:val="15"/>
        </w:rPr>
      </w:pPr>
    </w:p>
    <w:p>
      <w:pPr>
        <w:pStyle w:val="BodyText"/>
        <w:spacing w:line="480" w:lineRule="auto" w:before="100"/>
        <w:ind w:left="1418" w:right="1420"/>
        <w:jc w:val="both"/>
      </w:pPr>
      <w:r>
        <w:rPr/>
        <w:t>Per quanto riguarda l’IVA, la Società ha chiarito che il sistema contabile “SAP” non consente di effettuare la chiusura dell’iva inframensile (alla data del 15.10.2017), pertanto nella situazione contabile risultano iscritti:</w:t>
      </w:r>
    </w:p>
    <w:p>
      <w:pPr>
        <w:pStyle w:val="ListParagraph"/>
        <w:numPr>
          <w:ilvl w:val="0"/>
          <w:numId w:val="63"/>
        </w:numPr>
        <w:tabs>
          <w:tab w:pos="2127" w:val="left" w:leader="none"/>
        </w:tabs>
        <w:spacing w:line="460" w:lineRule="auto" w:before="0" w:after="0"/>
        <w:ind w:left="2138" w:right="1413" w:hanging="360"/>
        <w:jc w:val="both"/>
        <w:rPr>
          <w:sz w:val="24"/>
        </w:rPr>
      </w:pPr>
      <w:r>
        <w:rPr>
          <w:sz w:val="24"/>
        </w:rPr>
        <w:t>il credito IVA per Euro 78.376 relativo a fatture registrate in data antecedente al deposito della domanda di</w:t>
      </w:r>
      <w:r>
        <w:rPr>
          <w:spacing w:val="-13"/>
          <w:sz w:val="24"/>
        </w:rPr>
        <w:t> </w:t>
      </w:r>
      <w:r>
        <w:rPr>
          <w:sz w:val="24"/>
        </w:rPr>
        <w:t>concordato;</w:t>
      </w:r>
    </w:p>
    <w:p>
      <w:pPr>
        <w:pStyle w:val="ListParagraph"/>
        <w:numPr>
          <w:ilvl w:val="0"/>
          <w:numId w:val="63"/>
        </w:numPr>
        <w:tabs>
          <w:tab w:pos="2127" w:val="left" w:leader="none"/>
        </w:tabs>
        <w:spacing w:line="470" w:lineRule="auto" w:before="22" w:after="0"/>
        <w:ind w:left="2138" w:right="1421" w:hanging="360"/>
        <w:jc w:val="both"/>
        <w:rPr>
          <w:sz w:val="24"/>
        </w:rPr>
      </w:pPr>
      <w:r>
        <w:rPr>
          <w:sz w:val="24"/>
        </w:rPr>
        <w:t>il credito IVA per Euro 170.474 a titolo di stanziamenti IVA delle fatture relative a servizi e prestazioni ricevute ante concordato ma registrate a livello fiscale nel periodo successivo;</w:t>
      </w:r>
    </w:p>
    <w:p>
      <w:pPr>
        <w:pStyle w:val="ListParagraph"/>
        <w:numPr>
          <w:ilvl w:val="0"/>
          <w:numId w:val="63"/>
        </w:numPr>
        <w:tabs>
          <w:tab w:pos="2127" w:val="left" w:leader="none"/>
        </w:tabs>
        <w:spacing w:line="472" w:lineRule="auto" w:before="10" w:after="0"/>
        <w:ind w:left="2138" w:right="1417" w:hanging="360"/>
        <w:jc w:val="both"/>
        <w:rPr>
          <w:sz w:val="24"/>
        </w:rPr>
      </w:pPr>
      <w:r>
        <w:rPr>
          <w:sz w:val="24"/>
        </w:rPr>
        <w:t>il debito IVA sorto per Euro 48.961 relativo a fatture registrate in data antecedente al deposito della domanda di concordato, ed Euro 79.792 a titolo di stanziamenti IVA delle fatture relative a servizi e forniture effettuati ante concordato ma registrate a livello fiscale nel periodo</w:t>
      </w:r>
      <w:r>
        <w:rPr>
          <w:spacing w:val="-10"/>
          <w:sz w:val="24"/>
        </w:rPr>
        <w:t> </w:t>
      </w:r>
      <w:r>
        <w:rPr>
          <w:sz w:val="24"/>
        </w:rPr>
        <w:t>successivo.</w:t>
      </w:r>
    </w:p>
    <w:p>
      <w:pPr>
        <w:pStyle w:val="BodyText"/>
        <w:spacing w:line="480" w:lineRule="auto" w:before="7"/>
        <w:ind w:left="1418" w:right="1420"/>
        <w:jc w:val="both"/>
      </w:pPr>
      <w:r>
        <w:rPr/>
        <w:t>Tenuto conto di quanto premesso, il credito IVA alla data del 15.10.2017, al netto dell’IVA a debito registrata nello stato patrimoniale passivo ammonta ad Euro 120.097.</w:t>
      </w:r>
    </w:p>
    <w:p>
      <w:pPr>
        <w:pStyle w:val="BodyText"/>
        <w:ind w:left="1418"/>
        <w:jc w:val="both"/>
      </w:pPr>
      <w:r>
        <w:rPr>
          <w:u w:val="single"/>
        </w:rPr>
        <w:t>Attività svolta</w:t>
      </w:r>
    </w:p>
    <w:p>
      <w:pPr>
        <w:pStyle w:val="BodyText"/>
      </w:pPr>
    </w:p>
    <w:p>
      <w:pPr>
        <w:pStyle w:val="BodyText"/>
        <w:spacing w:line="480" w:lineRule="auto"/>
        <w:ind w:left="1418" w:right="3765"/>
      </w:pPr>
      <w:r>
        <w:rPr/>
        <w:t>Gli scriventi hanno visione delle liquidazioni IVA, dei mastrini contabili. </w:t>
      </w:r>
      <w:r>
        <w:rPr>
          <w:u w:val="single"/>
        </w:rPr>
        <w:t>Valorizzazione concordatario</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Ai fini del piano concordatario la società ha prudenzialmente svalutato la posta in esame. Gli scriventi, tenuto conto del maggior debito tributario iscritto in contabilità concordano con la svalutazione operata dalla società.</w:t>
      </w:r>
    </w:p>
    <w:p>
      <w:pPr>
        <w:pStyle w:val="BodyText"/>
        <w:rPr>
          <w:sz w:val="26"/>
        </w:rPr>
      </w:pPr>
    </w:p>
    <w:p>
      <w:pPr>
        <w:pStyle w:val="BodyText"/>
        <w:spacing w:before="11"/>
        <w:rPr>
          <w:sz w:val="21"/>
        </w:rPr>
      </w:pPr>
    </w:p>
    <w:p>
      <w:pPr>
        <w:pStyle w:val="Heading2"/>
        <w:jc w:val="both"/>
      </w:pPr>
      <w:r>
        <w:rPr>
          <w:u w:val="single"/>
        </w:rPr>
        <w:t>Credito IRAP</w:t>
      </w:r>
    </w:p>
    <w:p>
      <w:pPr>
        <w:pStyle w:val="BodyText"/>
        <w:spacing w:before="1"/>
        <w:rPr>
          <w:b/>
          <w:sz w:val="15"/>
        </w:rPr>
      </w:pPr>
    </w:p>
    <w:p>
      <w:pPr>
        <w:pStyle w:val="BodyText"/>
        <w:spacing w:line="480" w:lineRule="auto" w:before="100"/>
        <w:ind w:left="1418" w:right="1419"/>
        <w:jc w:val="both"/>
      </w:pPr>
      <w:r>
        <w:rPr/>
        <w:t>Nella situazione al 15 ottobre 2017 risulta un credito IRAP di Euro 143.742 corrispondente al credito IRAP sorto nella dichiarazione IRAP del periodo di imposta 2016, Prot. 17103116350016964, presentata in data 31 ottobre 2017, dallo studio legale tributario di Ernest Young.</w:t>
      </w:r>
    </w:p>
    <w:p>
      <w:pPr>
        <w:pStyle w:val="BodyText"/>
        <w:ind w:left="1418"/>
        <w:jc w:val="both"/>
      </w:pPr>
      <w:r>
        <w:rPr>
          <w:u w:val="single"/>
        </w:rPr>
        <w:t>Attività svolta</w:t>
      </w:r>
    </w:p>
    <w:p>
      <w:pPr>
        <w:pStyle w:val="BodyText"/>
      </w:pPr>
    </w:p>
    <w:p>
      <w:pPr>
        <w:pStyle w:val="BodyText"/>
        <w:spacing w:line="480" w:lineRule="auto"/>
        <w:ind w:left="1418" w:right="1421"/>
        <w:jc w:val="both"/>
      </w:pPr>
      <w:r>
        <w:rPr/>
        <w:t>Gli scriventi hanno preso visione della dichiarazione IRAP, nonché delle quietanze F24 relative agli acconti IRAP 2016, versati nelle date del 16 giugno e 30 novembre 2016.</w:t>
      </w:r>
    </w:p>
    <w:p>
      <w:pPr>
        <w:pStyle w:val="BodyText"/>
        <w:ind w:left="1418"/>
        <w:jc w:val="both"/>
      </w:pPr>
      <w:r>
        <w:rPr>
          <w:u w:val="single"/>
        </w:rPr>
        <w:t>Valorizzazione concordatario</w:t>
      </w:r>
    </w:p>
    <w:p>
      <w:pPr>
        <w:pStyle w:val="BodyText"/>
      </w:pPr>
    </w:p>
    <w:p>
      <w:pPr>
        <w:pStyle w:val="BodyText"/>
        <w:spacing w:line="480" w:lineRule="auto"/>
        <w:ind w:left="1418" w:right="1419"/>
        <w:jc w:val="both"/>
      </w:pPr>
      <w:r>
        <w:rPr/>
        <w:t>Ai fini del piano concordatario la società ha prudenzialmente svalutato la posta in esame. Gli scriventi, tenuto conto del maggior debito tributario iscritto in bilancio confermano la svalutazione operata dalla società.</w:t>
      </w:r>
    </w:p>
    <w:p>
      <w:pPr>
        <w:pStyle w:val="Heading2"/>
        <w:jc w:val="both"/>
      </w:pPr>
      <w:r>
        <w:rPr>
          <w:u w:val="single"/>
        </w:rPr>
        <w:t>Credito per ritenuta di acconto</w:t>
      </w:r>
    </w:p>
    <w:p>
      <w:pPr>
        <w:pStyle w:val="BodyText"/>
        <w:rPr>
          <w:b/>
        </w:rPr>
      </w:pPr>
    </w:p>
    <w:p>
      <w:pPr>
        <w:pStyle w:val="BodyText"/>
        <w:spacing w:line="480" w:lineRule="auto"/>
        <w:ind w:left="1418" w:right="1423"/>
        <w:jc w:val="both"/>
      </w:pPr>
      <w:r>
        <w:rPr/>
        <w:t>Alla data del 15 ottobre 2017 la situazione contabile presenta un credito per Euro 38 a titolo di ritenute sugli interessi attivi bancari.</w:t>
      </w:r>
    </w:p>
    <w:p>
      <w:pPr>
        <w:pStyle w:val="BodyText"/>
        <w:ind w:left="1418"/>
        <w:jc w:val="both"/>
      </w:pPr>
      <w:r>
        <w:rPr>
          <w:u w:val="single"/>
        </w:rPr>
        <w:t>Attività svolta</w:t>
      </w:r>
    </w:p>
    <w:p>
      <w:pPr>
        <w:pStyle w:val="BodyText"/>
      </w:pPr>
    </w:p>
    <w:p>
      <w:pPr>
        <w:pStyle w:val="BodyText"/>
        <w:spacing w:line="480" w:lineRule="auto"/>
        <w:ind w:left="1418" w:right="1548"/>
      </w:pPr>
      <w:r>
        <w:rPr/>
        <w:t>Gli scriventi hanno preso visione dei mastrini contabili della società e degli estratti conti bancari. </w:t>
      </w:r>
      <w:r>
        <w:rPr>
          <w:u w:val="single"/>
        </w:rPr>
        <w:t>Valorizzazione concordatario</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Ai fini del piano concordatario la società ha prudenzialmente svalutato la posta in esame. Gli scriventi, tenuto conto del maggior debito tributario iscritto in bilancio confermano la svalutazione operata dalla Società.</w:t>
      </w:r>
    </w:p>
    <w:p>
      <w:pPr>
        <w:pStyle w:val="BodyText"/>
        <w:spacing w:before="3"/>
        <w:rPr>
          <w:sz w:val="21"/>
        </w:rPr>
      </w:pPr>
    </w:p>
    <w:p>
      <w:pPr>
        <w:pStyle w:val="Heading2"/>
        <w:jc w:val="both"/>
      </w:pPr>
      <w:r>
        <w:rPr>
          <w:u w:val="single"/>
        </w:rPr>
        <w:t>CREDITI DIVERSI</w:t>
      </w:r>
    </w:p>
    <w:p>
      <w:pPr>
        <w:pStyle w:val="BodyText"/>
        <w:spacing w:before="1"/>
        <w:rPr>
          <w:b/>
          <w:sz w:val="15"/>
        </w:rPr>
      </w:pPr>
    </w:p>
    <w:p>
      <w:pPr>
        <w:pStyle w:val="BodyText"/>
        <w:spacing w:line="480" w:lineRule="auto" w:before="100"/>
        <w:ind w:left="1418" w:right="1413"/>
      </w:pPr>
      <w:r>
        <w:rPr/>
        <w:t>Alla data del 15.10.2017 nella situazione contabile risultano iscritti crediti diversi per Euro 59.447 così suddivisi:</w:t>
      </w:r>
    </w:p>
    <w:p>
      <w:pPr>
        <w:pStyle w:val="BodyText"/>
        <w:spacing w:after="1"/>
        <w:rPr>
          <w:sz w:val="21"/>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3"/>
        <w:gridCol w:w="2835"/>
        <w:gridCol w:w="904"/>
        <w:gridCol w:w="1107"/>
        <w:gridCol w:w="904"/>
        <w:gridCol w:w="1299"/>
        <w:gridCol w:w="1288"/>
      </w:tblGrid>
      <w:tr>
        <w:trPr>
          <w:trHeight w:val="746" w:hRule="exact"/>
        </w:trPr>
        <w:tc>
          <w:tcPr>
            <w:tcW w:w="723" w:type="dxa"/>
            <w:shd w:val="clear" w:color="auto" w:fill="BEBEBE"/>
          </w:tcPr>
          <w:p>
            <w:pPr>
              <w:pStyle w:val="TableParagraph"/>
              <w:spacing w:before="4"/>
              <w:jc w:val="left"/>
              <w:rPr>
                <w:sz w:val="24"/>
              </w:rPr>
            </w:pPr>
          </w:p>
          <w:p>
            <w:pPr>
              <w:pStyle w:val="TableParagraph"/>
              <w:spacing w:before="0"/>
              <w:ind w:left="26" w:right="23"/>
              <w:jc w:val="center"/>
              <w:rPr>
                <w:b/>
                <w:sz w:val="18"/>
              </w:rPr>
            </w:pPr>
            <w:r>
              <w:rPr>
                <w:b/>
                <w:sz w:val="18"/>
              </w:rPr>
              <w:t>Conto</w:t>
            </w:r>
          </w:p>
        </w:tc>
        <w:tc>
          <w:tcPr>
            <w:tcW w:w="2835" w:type="dxa"/>
            <w:shd w:val="clear" w:color="auto" w:fill="BEBEBE"/>
          </w:tcPr>
          <w:p>
            <w:pPr>
              <w:pStyle w:val="TableParagraph"/>
              <w:spacing w:before="4"/>
              <w:jc w:val="left"/>
              <w:rPr>
                <w:sz w:val="24"/>
              </w:rPr>
            </w:pPr>
          </w:p>
          <w:p>
            <w:pPr>
              <w:pStyle w:val="TableParagraph"/>
              <w:spacing w:before="0"/>
              <w:ind w:left="939" w:right="935"/>
              <w:jc w:val="center"/>
              <w:rPr>
                <w:b/>
                <w:sz w:val="18"/>
              </w:rPr>
            </w:pPr>
            <w:r>
              <w:rPr>
                <w:b/>
                <w:sz w:val="18"/>
              </w:rPr>
              <w:t>Descrizione</w:t>
            </w:r>
          </w:p>
        </w:tc>
        <w:tc>
          <w:tcPr>
            <w:tcW w:w="904" w:type="dxa"/>
            <w:shd w:val="clear" w:color="auto" w:fill="BEBEBE"/>
          </w:tcPr>
          <w:p>
            <w:pPr>
              <w:pStyle w:val="TableParagraph"/>
              <w:spacing w:line="280" w:lineRule="auto" w:before="161"/>
              <w:ind w:left="67" w:right="75" w:firstLine="112"/>
              <w:jc w:val="left"/>
              <w:rPr>
                <w:b/>
                <w:sz w:val="18"/>
              </w:rPr>
            </w:pPr>
            <w:r>
              <w:rPr>
                <w:b/>
                <w:sz w:val="18"/>
              </w:rPr>
              <w:t>BdV al 15.10.2017</w:t>
            </w:r>
          </w:p>
        </w:tc>
        <w:tc>
          <w:tcPr>
            <w:tcW w:w="1107" w:type="dxa"/>
            <w:shd w:val="clear" w:color="auto" w:fill="BEBEBE"/>
          </w:tcPr>
          <w:p>
            <w:pPr>
              <w:pStyle w:val="TableParagraph"/>
              <w:spacing w:line="280" w:lineRule="auto" w:before="161"/>
              <w:ind w:left="237" w:right="95" w:hanging="136"/>
              <w:jc w:val="left"/>
              <w:rPr>
                <w:b/>
                <w:sz w:val="18"/>
              </w:rPr>
            </w:pPr>
            <w:r>
              <w:rPr>
                <w:b/>
                <w:sz w:val="18"/>
              </w:rPr>
              <w:t>Trasferito a Versalis</w:t>
            </w:r>
          </w:p>
        </w:tc>
        <w:tc>
          <w:tcPr>
            <w:tcW w:w="904" w:type="dxa"/>
            <w:shd w:val="clear" w:color="auto" w:fill="BEBEBE"/>
          </w:tcPr>
          <w:p>
            <w:pPr>
              <w:pStyle w:val="TableParagraph"/>
              <w:spacing w:line="280" w:lineRule="auto" w:before="161"/>
              <w:ind w:left="101" w:right="90" w:firstLine="169"/>
              <w:jc w:val="left"/>
              <w:rPr>
                <w:b/>
                <w:sz w:val="18"/>
              </w:rPr>
            </w:pPr>
            <w:r>
              <w:rPr>
                <w:b/>
                <w:sz w:val="18"/>
              </w:rPr>
              <w:t>Non trasferito</w:t>
            </w:r>
          </w:p>
        </w:tc>
        <w:tc>
          <w:tcPr>
            <w:tcW w:w="1299" w:type="dxa"/>
            <w:shd w:val="clear" w:color="auto" w:fill="BEBEBE"/>
          </w:tcPr>
          <w:p>
            <w:pPr>
              <w:pStyle w:val="TableParagraph"/>
              <w:spacing w:line="280" w:lineRule="auto" w:before="161"/>
              <w:ind w:left="101" w:firstLine="169"/>
              <w:jc w:val="left"/>
              <w:rPr>
                <w:b/>
                <w:sz w:val="18"/>
              </w:rPr>
            </w:pPr>
            <w:r>
              <w:rPr>
                <w:b/>
                <w:sz w:val="18"/>
              </w:rPr>
              <w:t>Rettifiche concordatarie</w:t>
            </w:r>
          </w:p>
        </w:tc>
        <w:tc>
          <w:tcPr>
            <w:tcW w:w="1288" w:type="dxa"/>
            <w:shd w:val="clear" w:color="auto" w:fill="BEBEBE"/>
          </w:tcPr>
          <w:p>
            <w:pPr>
              <w:pStyle w:val="TableParagraph"/>
              <w:spacing w:line="280" w:lineRule="auto" w:before="37"/>
              <w:ind w:left="101" w:right="80" w:firstLine="214"/>
              <w:jc w:val="left"/>
              <w:rPr>
                <w:b/>
                <w:sz w:val="18"/>
              </w:rPr>
            </w:pPr>
            <w:r>
              <w:rPr>
                <w:b/>
                <w:sz w:val="18"/>
              </w:rPr>
              <w:t>valore di realizzo ai fini concordatario</w:t>
            </w:r>
          </w:p>
        </w:tc>
      </w:tr>
      <w:tr>
        <w:trPr>
          <w:trHeight w:val="251" w:hRule="exact"/>
        </w:trPr>
        <w:tc>
          <w:tcPr>
            <w:tcW w:w="723" w:type="dxa"/>
            <w:tcBorders>
              <w:bottom w:val="nil"/>
            </w:tcBorders>
          </w:tcPr>
          <w:p>
            <w:pPr>
              <w:pStyle w:val="TableParagraph"/>
              <w:spacing w:before="25"/>
              <w:ind w:left="56" w:right="23"/>
              <w:jc w:val="center"/>
              <w:rPr>
                <w:sz w:val="18"/>
              </w:rPr>
            </w:pPr>
            <w:r>
              <w:rPr>
                <w:sz w:val="18"/>
              </w:rPr>
              <w:t>2240260</w:t>
            </w:r>
          </w:p>
        </w:tc>
        <w:tc>
          <w:tcPr>
            <w:tcW w:w="2835" w:type="dxa"/>
            <w:tcBorders>
              <w:bottom w:val="nil"/>
            </w:tcBorders>
          </w:tcPr>
          <w:p>
            <w:pPr>
              <w:pStyle w:val="TableParagraph"/>
              <w:spacing w:before="25"/>
              <w:ind w:left="22"/>
              <w:jc w:val="left"/>
              <w:rPr>
                <w:sz w:val="18"/>
              </w:rPr>
            </w:pPr>
            <w:r>
              <w:rPr>
                <w:sz w:val="18"/>
              </w:rPr>
              <w:t>INPS</w:t>
            </w:r>
          </w:p>
        </w:tc>
        <w:tc>
          <w:tcPr>
            <w:tcW w:w="904" w:type="dxa"/>
            <w:tcBorders>
              <w:bottom w:val="nil"/>
            </w:tcBorders>
          </w:tcPr>
          <w:p>
            <w:pPr>
              <w:pStyle w:val="TableParagraph"/>
              <w:spacing w:before="25"/>
              <w:ind w:right="83"/>
              <w:rPr>
                <w:sz w:val="18"/>
              </w:rPr>
            </w:pPr>
            <w:r>
              <w:rPr>
                <w:sz w:val="18"/>
              </w:rPr>
              <w:t>43.597</w:t>
            </w:r>
          </w:p>
        </w:tc>
        <w:tc>
          <w:tcPr>
            <w:tcW w:w="1107" w:type="dxa"/>
            <w:tcBorders>
              <w:bottom w:val="nil"/>
            </w:tcBorders>
          </w:tcPr>
          <w:p>
            <w:pPr/>
          </w:p>
        </w:tc>
        <w:tc>
          <w:tcPr>
            <w:tcW w:w="904" w:type="dxa"/>
            <w:tcBorders>
              <w:bottom w:val="nil"/>
            </w:tcBorders>
          </w:tcPr>
          <w:p>
            <w:pPr>
              <w:pStyle w:val="TableParagraph"/>
              <w:spacing w:before="25"/>
              <w:ind w:right="83"/>
              <w:rPr>
                <w:sz w:val="18"/>
              </w:rPr>
            </w:pPr>
            <w:r>
              <w:rPr>
                <w:sz w:val="18"/>
              </w:rPr>
              <w:t>43.597</w:t>
            </w:r>
          </w:p>
        </w:tc>
        <w:tc>
          <w:tcPr>
            <w:tcW w:w="1299" w:type="dxa"/>
            <w:tcBorders>
              <w:bottom w:val="nil"/>
            </w:tcBorders>
          </w:tcPr>
          <w:p>
            <w:pPr>
              <w:pStyle w:val="TableParagraph"/>
              <w:spacing w:before="25"/>
              <w:ind w:right="27"/>
              <w:rPr>
                <w:sz w:val="18"/>
              </w:rPr>
            </w:pPr>
            <w:r>
              <w:rPr>
                <w:sz w:val="18"/>
              </w:rPr>
              <w:t>(43.597)</w:t>
            </w:r>
          </w:p>
        </w:tc>
        <w:tc>
          <w:tcPr>
            <w:tcW w:w="1288" w:type="dxa"/>
            <w:tcBorders>
              <w:bottom w:val="nil"/>
            </w:tcBorders>
          </w:tcPr>
          <w:p>
            <w:pPr>
              <w:pStyle w:val="TableParagraph"/>
              <w:spacing w:before="25"/>
              <w:ind w:right="257"/>
              <w:rPr>
                <w:sz w:val="18"/>
              </w:rPr>
            </w:pPr>
            <w:r>
              <w:rPr>
                <w:w w:val="100"/>
                <w:sz w:val="18"/>
              </w:rPr>
              <w:t>-</w:t>
            </w:r>
          </w:p>
        </w:tc>
      </w:tr>
      <w:tr>
        <w:trPr>
          <w:trHeight w:val="237" w:hRule="exact"/>
        </w:trPr>
        <w:tc>
          <w:tcPr>
            <w:tcW w:w="723" w:type="dxa"/>
            <w:tcBorders>
              <w:top w:val="nil"/>
              <w:bottom w:val="nil"/>
            </w:tcBorders>
          </w:tcPr>
          <w:p>
            <w:pPr>
              <w:pStyle w:val="TableParagraph"/>
              <w:spacing w:before="17"/>
              <w:ind w:left="56" w:right="23"/>
              <w:jc w:val="center"/>
              <w:rPr>
                <w:sz w:val="18"/>
              </w:rPr>
            </w:pPr>
            <w:r>
              <w:rPr>
                <w:sz w:val="18"/>
              </w:rPr>
              <w:t>2240270</w:t>
            </w:r>
          </w:p>
        </w:tc>
        <w:tc>
          <w:tcPr>
            <w:tcW w:w="2835" w:type="dxa"/>
            <w:tcBorders>
              <w:top w:val="nil"/>
              <w:bottom w:val="nil"/>
            </w:tcBorders>
          </w:tcPr>
          <w:p>
            <w:pPr>
              <w:pStyle w:val="TableParagraph"/>
              <w:spacing w:before="17"/>
              <w:ind w:left="22"/>
              <w:jc w:val="left"/>
              <w:rPr>
                <w:sz w:val="18"/>
              </w:rPr>
            </w:pPr>
            <w:r>
              <w:rPr>
                <w:sz w:val="18"/>
              </w:rPr>
              <w:t>INAIL</w:t>
            </w:r>
          </w:p>
        </w:tc>
        <w:tc>
          <w:tcPr>
            <w:tcW w:w="904" w:type="dxa"/>
            <w:tcBorders>
              <w:top w:val="nil"/>
              <w:bottom w:val="nil"/>
            </w:tcBorders>
          </w:tcPr>
          <w:p>
            <w:pPr>
              <w:pStyle w:val="TableParagraph"/>
              <w:spacing w:before="17"/>
              <w:ind w:right="83"/>
              <w:rPr>
                <w:sz w:val="18"/>
              </w:rPr>
            </w:pPr>
            <w:r>
              <w:rPr>
                <w:sz w:val="18"/>
              </w:rPr>
              <w:t>15.599</w:t>
            </w:r>
          </w:p>
        </w:tc>
        <w:tc>
          <w:tcPr>
            <w:tcW w:w="1107" w:type="dxa"/>
            <w:tcBorders>
              <w:top w:val="nil"/>
              <w:bottom w:val="nil"/>
            </w:tcBorders>
          </w:tcPr>
          <w:p>
            <w:pPr/>
          </w:p>
        </w:tc>
        <w:tc>
          <w:tcPr>
            <w:tcW w:w="904" w:type="dxa"/>
            <w:tcBorders>
              <w:top w:val="nil"/>
              <w:bottom w:val="nil"/>
            </w:tcBorders>
          </w:tcPr>
          <w:p>
            <w:pPr>
              <w:pStyle w:val="TableParagraph"/>
              <w:spacing w:before="17"/>
              <w:ind w:right="83"/>
              <w:rPr>
                <w:sz w:val="18"/>
              </w:rPr>
            </w:pPr>
            <w:r>
              <w:rPr>
                <w:sz w:val="18"/>
              </w:rPr>
              <w:t>15.599</w:t>
            </w:r>
          </w:p>
        </w:tc>
        <w:tc>
          <w:tcPr>
            <w:tcW w:w="1299" w:type="dxa"/>
            <w:tcBorders>
              <w:top w:val="nil"/>
              <w:bottom w:val="nil"/>
            </w:tcBorders>
          </w:tcPr>
          <w:p>
            <w:pPr>
              <w:pStyle w:val="TableParagraph"/>
              <w:spacing w:before="17"/>
              <w:ind w:right="27"/>
              <w:rPr>
                <w:sz w:val="18"/>
              </w:rPr>
            </w:pPr>
            <w:r>
              <w:rPr>
                <w:sz w:val="18"/>
              </w:rPr>
              <w:t>(15.599)</w:t>
            </w:r>
          </w:p>
        </w:tc>
        <w:tc>
          <w:tcPr>
            <w:tcW w:w="1288" w:type="dxa"/>
            <w:tcBorders>
              <w:top w:val="nil"/>
              <w:bottom w:val="nil"/>
            </w:tcBorders>
          </w:tcPr>
          <w:p>
            <w:pPr>
              <w:pStyle w:val="TableParagraph"/>
              <w:spacing w:before="17"/>
              <w:ind w:right="257"/>
              <w:rPr>
                <w:sz w:val="18"/>
              </w:rPr>
            </w:pPr>
            <w:r>
              <w:rPr>
                <w:w w:val="100"/>
                <w:sz w:val="18"/>
              </w:rPr>
              <w:t>-</w:t>
            </w:r>
          </w:p>
        </w:tc>
      </w:tr>
      <w:tr>
        <w:trPr>
          <w:trHeight w:val="223" w:hRule="exact"/>
        </w:trPr>
        <w:tc>
          <w:tcPr>
            <w:tcW w:w="723" w:type="dxa"/>
            <w:tcBorders>
              <w:top w:val="nil"/>
              <w:bottom w:val="single" w:sz="5" w:space="0" w:color="000000"/>
            </w:tcBorders>
          </w:tcPr>
          <w:p>
            <w:pPr>
              <w:pStyle w:val="TableParagraph"/>
              <w:spacing w:before="17"/>
              <w:ind w:left="56" w:right="23"/>
              <w:jc w:val="center"/>
              <w:rPr>
                <w:sz w:val="18"/>
              </w:rPr>
            </w:pPr>
            <w:r>
              <w:rPr>
                <w:sz w:val="18"/>
              </w:rPr>
              <w:t>2240150</w:t>
            </w:r>
          </w:p>
        </w:tc>
        <w:tc>
          <w:tcPr>
            <w:tcW w:w="2835" w:type="dxa"/>
            <w:tcBorders>
              <w:top w:val="nil"/>
              <w:bottom w:val="single" w:sz="5" w:space="0" w:color="000000"/>
            </w:tcBorders>
          </w:tcPr>
          <w:p>
            <w:pPr>
              <w:pStyle w:val="TableParagraph"/>
              <w:spacing w:before="17"/>
              <w:ind w:left="22"/>
              <w:jc w:val="left"/>
              <w:rPr>
                <w:sz w:val="18"/>
              </w:rPr>
            </w:pPr>
            <w:r>
              <w:rPr>
                <w:sz w:val="18"/>
              </w:rPr>
              <w:t>Anticipi a dipendenti</w:t>
            </w:r>
          </w:p>
        </w:tc>
        <w:tc>
          <w:tcPr>
            <w:tcW w:w="904" w:type="dxa"/>
            <w:tcBorders>
              <w:top w:val="nil"/>
              <w:bottom w:val="single" w:sz="5" w:space="0" w:color="000000"/>
            </w:tcBorders>
          </w:tcPr>
          <w:p>
            <w:pPr>
              <w:pStyle w:val="TableParagraph"/>
              <w:spacing w:before="17"/>
              <w:ind w:right="77"/>
              <w:rPr>
                <w:sz w:val="18"/>
              </w:rPr>
            </w:pPr>
            <w:r>
              <w:rPr>
                <w:sz w:val="18"/>
              </w:rPr>
              <w:t>251</w:t>
            </w:r>
          </w:p>
        </w:tc>
        <w:tc>
          <w:tcPr>
            <w:tcW w:w="1107" w:type="dxa"/>
            <w:tcBorders>
              <w:top w:val="nil"/>
              <w:bottom w:val="single" w:sz="5" w:space="0" w:color="000000"/>
            </w:tcBorders>
          </w:tcPr>
          <w:p>
            <w:pPr>
              <w:pStyle w:val="TableParagraph"/>
              <w:spacing w:before="17"/>
              <w:ind w:right="77"/>
              <w:rPr>
                <w:sz w:val="18"/>
              </w:rPr>
            </w:pPr>
            <w:r>
              <w:rPr>
                <w:sz w:val="18"/>
              </w:rPr>
              <w:t>251</w:t>
            </w:r>
          </w:p>
        </w:tc>
        <w:tc>
          <w:tcPr>
            <w:tcW w:w="904" w:type="dxa"/>
            <w:tcBorders>
              <w:top w:val="nil"/>
              <w:bottom w:val="single" w:sz="5" w:space="0" w:color="000000"/>
            </w:tcBorders>
          </w:tcPr>
          <w:p>
            <w:pPr/>
          </w:p>
        </w:tc>
        <w:tc>
          <w:tcPr>
            <w:tcW w:w="1299" w:type="dxa"/>
            <w:tcBorders>
              <w:top w:val="nil"/>
              <w:bottom w:val="single" w:sz="5" w:space="0" w:color="000000"/>
            </w:tcBorders>
          </w:tcPr>
          <w:p>
            <w:pPr/>
          </w:p>
        </w:tc>
        <w:tc>
          <w:tcPr>
            <w:tcW w:w="1288" w:type="dxa"/>
            <w:tcBorders>
              <w:top w:val="nil"/>
              <w:bottom w:val="single" w:sz="5" w:space="0" w:color="000000"/>
            </w:tcBorders>
          </w:tcPr>
          <w:p>
            <w:pPr/>
          </w:p>
        </w:tc>
      </w:tr>
      <w:tr>
        <w:trPr>
          <w:trHeight w:val="237" w:hRule="exact"/>
        </w:trPr>
        <w:tc>
          <w:tcPr>
            <w:tcW w:w="3558" w:type="dxa"/>
            <w:gridSpan w:val="2"/>
            <w:tcBorders>
              <w:top w:val="single" w:sz="5" w:space="0" w:color="000000"/>
            </w:tcBorders>
            <w:shd w:val="clear" w:color="auto" w:fill="BEBEBE"/>
          </w:tcPr>
          <w:p>
            <w:pPr>
              <w:pStyle w:val="TableParagraph"/>
              <w:spacing w:before="25"/>
              <w:ind w:left="22"/>
              <w:jc w:val="left"/>
              <w:rPr>
                <w:b/>
                <w:sz w:val="18"/>
              </w:rPr>
            </w:pPr>
            <w:r>
              <w:rPr>
                <w:b/>
                <w:sz w:val="18"/>
              </w:rPr>
              <w:t>Totale crediti diversi</w:t>
            </w:r>
          </w:p>
        </w:tc>
        <w:tc>
          <w:tcPr>
            <w:tcW w:w="904" w:type="dxa"/>
            <w:tcBorders>
              <w:top w:val="single" w:sz="5" w:space="0" w:color="000000"/>
            </w:tcBorders>
            <w:shd w:val="clear" w:color="auto" w:fill="BEBEBE"/>
          </w:tcPr>
          <w:p>
            <w:pPr>
              <w:pStyle w:val="TableParagraph"/>
              <w:spacing w:before="25"/>
              <w:ind w:right="72"/>
              <w:rPr>
                <w:b/>
                <w:sz w:val="18"/>
              </w:rPr>
            </w:pPr>
            <w:r>
              <w:rPr>
                <w:b/>
                <w:sz w:val="18"/>
              </w:rPr>
              <w:t>59.447</w:t>
            </w:r>
          </w:p>
        </w:tc>
        <w:tc>
          <w:tcPr>
            <w:tcW w:w="1107" w:type="dxa"/>
            <w:tcBorders>
              <w:top w:val="single" w:sz="5" w:space="0" w:color="000000"/>
            </w:tcBorders>
            <w:shd w:val="clear" w:color="auto" w:fill="BEBEBE"/>
          </w:tcPr>
          <w:p>
            <w:pPr>
              <w:pStyle w:val="TableParagraph"/>
              <w:spacing w:before="25"/>
              <w:ind w:right="67"/>
              <w:rPr>
                <w:b/>
                <w:sz w:val="18"/>
              </w:rPr>
            </w:pPr>
            <w:r>
              <w:rPr>
                <w:b/>
                <w:sz w:val="18"/>
              </w:rPr>
              <w:t>251</w:t>
            </w:r>
          </w:p>
        </w:tc>
        <w:tc>
          <w:tcPr>
            <w:tcW w:w="904" w:type="dxa"/>
            <w:tcBorders>
              <w:top w:val="single" w:sz="5" w:space="0" w:color="000000"/>
            </w:tcBorders>
            <w:shd w:val="clear" w:color="auto" w:fill="BEBEBE"/>
          </w:tcPr>
          <w:p>
            <w:pPr>
              <w:pStyle w:val="TableParagraph"/>
              <w:spacing w:before="25"/>
              <w:ind w:right="82"/>
              <w:rPr>
                <w:b/>
                <w:sz w:val="18"/>
              </w:rPr>
            </w:pPr>
            <w:r>
              <w:rPr>
                <w:b/>
                <w:sz w:val="18"/>
              </w:rPr>
              <w:t>59.196</w:t>
            </w:r>
          </w:p>
        </w:tc>
        <w:tc>
          <w:tcPr>
            <w:tcW w:w="1299" w:type="dxa"/>
            <w:tcBorders>
              <w:top w:val="single" w:sz="5" w:space="0" w:color="000000"/>
            </w:tcBorders>
            <w:shd w:val="clear" w:color="auto" w:fill="BEBEBE"/>
          </w:tcPr>
          <w:p>
            <w:pPr>
              <w:pStyle w:val="TableParagraph"/>
              <w:spacing w:before="25"/>
              <w:ind w:right="25"/>
              <w:rPr>
                <w:b/>
                <w:sz w:val="18"/>
              </w:rPr>
            </w:pPr>
            <w:r>
              <w:rPr>
                <w:b/>
                <w:sz w:val="18"/>
              </w:rPr>
              <w:t>(59.196)</w:t>
            </w:r>
          </w:p>
        </w:tc>
        <w:tc>
          <w:tcPr>
            <w:tcW w:w="1288" w:type="dxa"/>
            <w:tcBorders>
              <w:top w:val="single" w:sz="5" w:space="0" w:color="000000"/>
            </w:tcBorders>
            <w:shd w:val="clear" w:color="auto" w:fill="BEBEBE"/>
          </w:tcPr>
          <w:p>
            <w:pPr>
              <w:pStyle w:val="TableParagraph"/>
              <w:spacing w:before="25"/>
              <w:ind w:right="253"/>
              <w:rPr>
                <w:b/>
                <w:sz w:val="18"/>
              </w:rPr>
            </w:pPr>
            <w:r>
              <w:rPr>
                <w:b/>
                <w:w w:val="100"/>
                <w:sz w:val="18"/>
              </w:rPr>
              <w:t>-</w:t>
            </w:r>
          </w:p>
        </w:tc>
      </w:tr>
    </w:tbl>
    <w:p>
      <w:pPr>
        <w:pStyle w:val="BodyText"/>
        <w:rPr>
          <w:sz w:val="20"/>
        </w:rPr>
      </w:pPr>
    </w:p>
    <w:p>
      <w:pPr>
        <w:pStyle w:val="BodyText"/>
        <w:rPr>
          <w:sz w:val="16"/>
        </w:rPr>
      </w:pPr>
    </w:p>
    <w:p>
      <w:pPr>
        <w:pStyle w:val="BodyText"/>
        <w:spacing w:line="480" w:lineRule="auto" w:before="100"/>
        <w:ind w:left="1418" w:right="1518"/>
      </w:pPr>
      <w:r>
        <w:rPr/>
        <w:t>Di seguito si riporta una breve descrizione delle singole poste che compongono la voce Crediti diversi.</w:t>
      </w:r>
    </w:p>
    <w:p>
      <w:pPr>
        <w:pStyle w:val="Heading2"/>
        <w:numPr>
          <w:ilvl w:val="0"/>
          <w:numId w:val="64"/>
        </w:numPr>
        <w:tabs>
          <w:tab w:pos="2126" w:val="left" w:leader="none"/>
          <w:tab w:pos="2127" w:val="left" w:leader="none"/>
        </w:tabs>
        <w:spacing w:line="304" w:lineRule="exact" w:before="0" w:after="0"/>
        <w:ind w:left="2126" w:right="0" w:hanging="348"/>
        <w:jc w:val="left"/>
      </w:pPr>
      <w:r>
        <w:rPr>
          <w:u w:val="single"/>
        </w:rPr>
        <w:t>Crediti verso</w:t>
      </w:r>
      <w:r>
        <w:rPr>
          <w:spacing w:val="-10"/>
          <w:u w:val="single"/>
        </w:rPr>
        <w:t> </w:t>
      </w:r>
      <w:r>
        <w:rPr>
          <w:u w:val="single"/>
        </w:rPr>
        <w:t>INPS</w:t>
      </w:r>
    </w:p>
    <w:p>
      <w:pPr>
        <w:pStyle w:val="BodyText"/>
        <w:spacing w:before="3"/>
        <w:rPr>
          <w:b/>
          <w:sz w:val="15"/>
        </w:rPr>
      </w:pPr>
    </w:p>
    <w:p>
      <w:pPr>
        <w:pStyle w:val="BodyText"/>
        <w:spacing w:line="480" w:lineRule="auto" w:before="101"/>
        <w:ind w:left="1418" w:right="1418"/>
        <w:jc w:val="both"/>
      </w:pPr>
      <w:r>
        <w:rPr/>
        <w:t>Alla data del 15 ottobre 2017 risulta un credito Inps per un importo pari a 43.597 relativo alla quota del Fondo di Tesoreria del TFR al 15/10/2017. In particolare, il debito per TFR è iscritto  al lordo del Fondo di Tesoreria, e di conseguenza la società ha iscritto il relativo credito verso Inps. Il fondo tesoreria è interamente riferito al dipendente Ferrari</w:t>
      </w:r>
      <w:r>
        <w:rPr>
          <w:spacing w:val="-28"/>
        </w:rPr>
        <w:t> </w:t>
      </w:r>
      <w:r>
        <w:rPr/>
        <w:t>Gianluca.</w:t>
      </w:r>
    </w:p>
    <w:p>
      <w:pPr>
        <w:pStyle w:val="Heading2"/>
        <w:numPr>
          <w:ilvl w:val="0"/>
          <w:numId w:val="64"/>
        </w:numPr>
        <w:tabs>
          <w:tab w:pos="2126" w:val="left" w:leader="none"/>
          <w:tab w:pos="2127" w:val="left" w:leader="none"/>
        </w:tabs>
        <w:spacing w:line="304" w:lineRule="exact" w:before="0" w:after="0"/>
        <w:ind w:left="2126" w:right="0" w:hanging="348"/>
        <w:jc w:val="left"/>
      </w:pPr>
      <w:r>
        <w:rPr>
          <w:u w:val="single"/>
        </w:rPr>
        <w:t>Crediti verso</w:t>
      </w:r>
      <w:r>
        <w:rPr>
          <w:spacing w:val="-8"/>
          <w:u w:val="single"/>
        </w:rPr>
        <w:t> </w:t>
      </w:r>
      <w:r>
        <w:rPr>
          <w:u w:val="single"/>
        </w:rPr>
        <w:t>INAIL</w:t>
      </w:r>
    </w:p>
    <w:p>
      <w:pPr>
        <w:pStyle w:val="BodyText"/>
        <w:spacing w:before="270"/>
        <w:ind w:left="1418"/>
        <w:jc w:val="both"/>
      </w:pPr>
      <w:r>
        <w:rPr/>
        <w:t>Alla data del 15 ottobre 2017 risulta un credito INAIL per un importo pari a 15.599.</w:t>
      </w:r>
    </w:p>
    <w:p>
      <w:pPr>
        <w:pStyle w:val="BodyText"/>
        <w:spacing w:before="10"/>
        <w:rPr>
          <w:sz w:val="23"/>
        </w:rPr>
      </w:pPr>
    </w:p>
    <w:p>
      <w:pPr>
        <w:pStyle w:val="Heading2"/>
        <w:numPr>
          <w:ilvl w:val="0"/>
          <w:numId w:val="64"/>
        </w:numPr>
        <w:tabs>
          <w:tab w:pos="2126" w:val="left" w:leader="none"/>
          <w:tab w:pos="2127" w:val="left" w:leader="none"/>
        </w:tabs>
        <w:spacing w:line="240" w:lineRule="auto" w:before="0" w:after="0"/>
        <w:ind w:left="2126" w:right="0" w:hanging="348"/>
        <w:jc w:val="left"/>
      </w:pPr>
      <w:r>
        <w:rPr>
          <w:u w:val="single"/>
        </w:rPr>
        <w:t>Anticipi a</w:t>
      </w:r>
      <w:r>
        <w:rPr>
          <w:spacing w:val="-15"/>
          <w:u w:val="single"/>
        </w:rPr>
        <w:t> </w:t>
      </w:r>
      <w:r>
        <w:rPr>
          <w:u w:val="single"/>
        </w:rPr>
        <w:t>dipendenti</w:t>
      </w:r>
    </w:p>
    <w:p>
      <w:pPr>
        <w:pStyle w:val="BodyText"/>
        <w:spacing w:before="3"/>
        <w:rPr>
          <w:b/>
          <w:sz w:val="15"/>
        </w:rPr>
      </w:pPr>
    </w:p>
    <w:p>
      <w:pPr>
        <w:pStyle w:val="BodyText"/>
        <w:spacing w:line="480" w:lineRule="auto" w:before="100"/>
        <w:ind w:left="1418" w:right="1518"/>
      </w:pPr>
      <w:r>
        <w:rPr/>
        <w:t>Alla data del 15 ottobre 2017 risulta un credito per anticipi a dipendenti per un importo pari ad Euro 251.</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Attività svolta</w:t>
      </w:r>
    </w:p>
    <w:p>
      <w:pPr>
        <w:pStyle w:val="BodyText"/>
        <w:spacing w:before="11"/>
        <w:rPr>
          <w:sz w:val="23"/>
        </w:rPr>
      </w:pPr>
    </w:p>
    <w:p>
      <w:pPr>
        <w:pStyle w:val="BodyText"/>
        <w:spacing w:line="480" w:lineRule="auto"/>
        <w:ind w:left="1418" w:right="1421"/>
        <w:jc w:val="both"/>
      </w:pPr>
      <w:r>
        <w:rPr/>
        <w:t>Gli scriventi hanno preso visione di tabulato del TFR nominativo e dell’autoliquidazione INAIL relativa all’anno 2017.</w:t>
      </w:r>
    </w:p>
    <w:p>
      <w:pPr>
        <w:pStyle w:val="BodyText"/>
        <w:ind w:left="1418"/>
        <w:jc w:val="both"/>
      </w:pPr>
      <w:r>
        <w:rPr>
          <w:u w:val="single"/>
        </w:rPr>
        <w:t>Valorizzazione Concordataria</w:t>
      </w:r>
    </w:p>
    <w:p>
      <w:pPr>
        <w:pStyle w:val="BodyText"/>
      </w:pPr>
    </w:p>
    <w:p>
      <w:pPr>
        <w:pStyle w:val="BodyText"/>
        <w:spacing w:line="480" w:lineRule="auto"/>
        <w:ind w:left="1418" w:right="1419"/>
        <w:jc w:val="both"/>
      </w:pPr>
      <w:r>
        <w:rPr/>
        <w:t>Tenuto conto che le voci credito verso INAIL e verso INPS non sono ricomprese nel perimetro dell’offerta formulata da Versalis, la società ha prudenzialmente svalutato le poste contabili. Gli scriventi condividono la scelta adoperata dalla Società.</w:t>
      </w:r>
    </w:p>
    <w:p>
      <w:pPr>
        <w:pStyle w:val="BodyText"/>
        <w:spacing w:line="480" w:lineRule="auto"/>
        <w:ind w:left="1418" w:right="1422"/>
        <w:jc w:val="both"/>
      </w:pPr>
      <w:r>
        <w:rPr/>
        <w:t>La voce anticipi a dipendenti è ricompresa nell’offerta Versalis, pertanto non risulta oggetto di rettifiche o svalutazioni.</w:t>
      </w:r>
    </w:p>
    <w:p>
      <w:pPr>
        <w:pStyle w:val="BodyText"/>
        <w:spacing w:before="3"/>
        <w:rPr>
          <w:sz w:val="21"/>
        </w:rPr>
      </w:pPr>
    </w:p>
    <w:p>
      <w:pPr>
        <w:pStyle w:val="Heading2"/>
        <w:spacing w:before="1"/>
        <w:jc w:val="both"/>
      </w:pPr>
      <w:r>
        <w:rPr>
          <w:u w:val="single"/>
        </w:rPr>
        <w:t>DISPONIBILITA’ LIQUIDE</w:t>
      </w:r>
    </w:p>
    <w:p>
      <w:pPr>
        <w:pStyle w:val="BodyText"/>
        <w:rPr>
          <w:b/>
        </w:rPr>
      </w:pPr>
    </w:p>
    <w:p>
      <w:pPr>
        <w:pStyle w:val="BodyText"/>
        <w:spacing w:line="480" w:lineRule="auto"/>
        <w:ind w:left="1418" w:right="1418"/>
        <w:jc w:val="both"/>
      </w:pPr>
      <w:r>
        <w:rPr/>
        <w:t>Al 15 ottobre 2017 le disponibilità liquide ammontano ad Euro 1.125.466 e risultano così suddivise:</w:t>
      </w:r>
    </w:p>
    <w:p>
      <w:pPr>
        <w:pStyle w:val="BodyText"/>
        <w:spacing w:before="3"/>
        <w:rPr>
          <w:sz w:val="16"/>
        </w:rPr>
      </w:pPr>
    </w:p>
    <w:tbl>
      <w:tblPr>
        <w:tblW w:w="0" w:type="auto"/>
        <w:jc w:val="left"/>
        <w:tblInd w:w="1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8"/>
        <w:gridCol w:w="3681"/>
        <w:gridCol w:w="903"/>
        <w:gridCol w:w="699"/>
        <w:gridCol w:w="858"/>
        <w:gridCol w:w="956"/>
        <w:gridCol w:w="1168"/>
      </w:tblGrid>
      <w:tr>
        <w:trPr>
          <w:trHeight w:val="717" w:hRule="exact"/>
        </w:trPr>
        <w:tc>
          <w:tcPr>
            <w:tcW w:w="788" w:type="dxa"/>
            <w:shd w:val="clear" w:color="auto" w:fill="BEBEBE"/>
          </w:tcPr>
          <w:p>
            <w:pPr>
              <w:pStyle w:val="TableParagraph"/>
              <w:spacing w:before="0"/>
              <w:jc w:val="left"/>
              <w:rPr>
                <w:sz w:val="16"/>
              </w:rPr>
            </w:pPr>
          </w:p>
          <w:p>
            <w:pPr>
              <w:pStyle w:val="TableParagraph"/>
              <w:spacing w:before="106"/>
              <w:ind w:right="198"/>
              <w:rPr>
                <w:b/>
                <w:sz w:val="14"/>
              </w:rPr>
            </w:pPr>
            <w:r>
              <w:rPr>
                <w:b/>
                <w:sz w:val="14"/>
              </w:rPr>
              <w:t>Conto</w:t>
            </w:r>
          </w:p>
        </w:tc>
        <w:tc>
          <w:tcPr>
            <w:tcW w:w="3681" w:type="dxa"/>
            <w:shd w:val="clear" w:color="auto" w:fill="BEBEBE"/>
          </w:tcPr>
          <w:p>
            <w:pPr>
              <w:pStyle w:val="TableParagraph"/>
              <w:spacing w:before="0"/>
              <w:jc w:val="left"/>
              <w:rPr>
                <w:sz w:val="16"/>
              </w:rPr>
            </w:pPr>
          </w:p>
          <w:p>
            <w:pPr>
              <w:pStyle w:val="TableParagraph"/>
              <w:spacing w:before="106"/>
              <w:ind w:left="1460" w:right="1464"/>
              <w:jc w:val="center"/>
              <w:rPr>
                <w:b/>
                <w:sz w:val="14"/>
              </w:rPr>
            </w:pPr>
            <w:r>
              <w:rPr>
                <w:b/>
                <w:sz w:val="14"/>
              </w:rPr>
              <w:t>Descrizione</w:t>
            </w:r>
          </w:p>
        </w:tc>
        <w:tc>
          <w:tcPr>
            <w:tcW w:w="903" w:type="dxa"/>
            <w:shd w:val="clear" w:color="auto" w:fill="BEBEBE"/>
          </w:tcPr>
          <w:p>
            <w:pPr>
              <w:pStyle w:val="TableParagraph"/>
              <w:spacing w:before="9"/>
              <w:jc w:val="left"/>
              <w:rPr>
                <w:sz w:val="16"/>
              </w:rPr>
            </w:pPr>
          </w:p>
          <w:p>
            <w:pPr>
              <w:pStyle w:val="TableParagraph"/>
              <w:spacing w:line="283" w:lineRule="auto" w:before="0"/>
              <w:ind w:left="150" w:right="156" w:firstLine="88"/>
              <w:jc w:val="left"/>
              <w:rPr>
                <w:b/>
                <w:sz w:val="14"/>
              </w:rPr>
            </w:pPr>
            <w:r>
              <w:rPr>
                <w:b/>
                <w:sz w:val="14"/>
              </w:rPr>
              <w:t>BdV al 15.10.2017</w:t>
            </w:r>
          </w:p>
        </w:tc>
        <w:tc>
          <w:tcPr>
            <w:tcW w:w="699" w:type="dxa"/>
            <w:shd w:val="clear" w:color="auto" w:fill="BEBEBE"/>
          </w:tcPr>
          <w:p>
            <w:pPr>
              <w:pStyle w:val="TableParagraph"/>
              <w:spacing w:before="9"/>
              <w:jc w:val="left"/>
              <w:rPr>
                <w:sz w:val="16"/>
              </w:rPr>
            </w:pPr>
          </w:p>
          <w:p>
            <w:pPr>
              <w:pStyle w:val="TableParagraph"/>
              <w:spacing w:line="283" w:lineRule="auto" w:before="0"/>
              <w:ind w:left="44" w:right="44"/>
              <w:jc w:val="left"/>
              <w:rPr>
                <w:b/>
                <w:sz w:val="14"/>
              </w:rPr>
            </w:pPr>
            <w:r>
              <w:rPr>
                <w:b/>
                <w:sz w:val="14"/>
              </w:rPr>
              <w:t>Trasferito a Versalis</w:t>
            </w:r>
          </w:p>
        </w:tc>
        <w:tc>
          <w:tcPr>
            <w:tcW w:w="858" w:type="dxa"/>
            <w:shd w:val="clear" w:color="auto" w:fill="BEBEBE"/>
          </w:tcPr>
          <w:p>
            <w:pPr>
              <w:pStyle w:val="TableParagraph"/>
              <w:spacing w:before="9"/>
              <w:jc w:val="left"/>
              <w:rPr>
                <w:sz w:val="16"/>
              </w:rPr>
            </w:pPr>
          </w:p>
          <w:p>
            <w:pPr>
              <w:pStyle w:val="TableParagraph"/>
              <w:spacing w:line="283" w:lineRule="auto" w:before="0"/>
              <w:ind w:left="150" w:right="150" w:firstLine="132"/>
              <w:jc w:val="left"/>
              <w:rPr>
                <w:b/>
                <w:sz w:val="14"/>
              </w:rPr>
            </w:pPr>
            <w:r>
              <w:rPr>
                <w:b/>
                <w:sz w:val="14"/>
              </w:rPr>
              <w:t>Non trasferito</w:t>
            </w:r>
          </w:p>
        </w:tc>
        <w:tc>
          <w:tcPr>
            <w:tcW w:w="956" w:type="dxa"/>
            <w:shd w:val="clear" w:color="auto" w:fill="BEBEBE"/>
          </w:tcPr>
          <w:p>
            <w:pPr>
              <w:pStyle w:val="TableParagraph"/>
              <w:spacing w:before="9"/>
              <w:jc w:val="left"/>
              <w:rPr>
                <w:sz w:val="16"/>
              </w:rPr>
            </w:pPr>
          </w:p>
          <w:p>
            <w:pPr>
              <w:pStyle w:val="TableParagraph"/>
              <w:spacing w:line="283" w:lineRule="auto" w:before="0"/>
              <w:ind w:left="53" w:firstLine="132"/>
              <w:jc w:val="left"/>
              <w:rPr>
                <w:b/>
                <w:sz w:val="14"/>
              </w:rPr>
            </w:pPr>
            <w:r>
              <w:rPr>
                <w:b/>
                <w:sz w:val="14"/>
              </w:rPr>
              <w:t>Rettifiche concordatarie</w:t>
            </w:r>
          </w:p>
        </w:tc>
        <w:tc>
          <w:tcPr>
            <w:tcW w:w="1168" w:type="dxa"/>
            <w:shd w:val="clear" w:color="auto" w:fill="BEBEBE"/>
          </w:tcPr>
          <w:p>
            <w:pPr>
              <w:pStyle w:val="TableParagraph"/>
              <w:spacing w:line="283" w:lineRule="auto" w:before="100"/>
              <w:ind w:left="61" w:right="67"/>
              <w:jc w:val="center"/>
              <w:rPr>
                <w:b/>
                <w:sz w:val="14"/>
              </w:rPr>
            </w:pPr>
            <w:r>
              <w:rPr>
                <w:b/>
                <w:sz w:val="14"/>
              </w:rPr>
              <w:t>valore di realizzo ai fini concordatario</w:t>
            </w:r>
          </w:p>
        </w:tc>
      </w:tr>
      <w:tr>
        <w:trPr>
          <w:trHeight w:val="197" w:hRule="exact"/>
        </w:trPr>
        <w:tc>
          <w:tcPr>
            <w:tcW w:w="788" w:type="dxa"/>
            <w:tcBorders>
              <w:bottom w:val="nil"/>
            </w:tcBorders>
          </w:tcPr>
          <w:p>
            <w:pPr>
              <w:pStyle w:val="TableParagraph"/>
              <w:spacing w:before="21"/>
              <w:ind w:right="140"/>
              <w:rPr>
                <w:sz w:val="14"/>
              </w:rPr>
            </w:pPr>
            <w:r>
              <w:rPr>
                <w:sz w:val="14"/>
              </w:rPr>
              <w:t>2250651</w:t>
            </w:r>
          </w:p>
        </w:tc>
        <w:tc>
          <w:tcPr>
            <w:tcW w:w="3681" w:type="dxa"/>
            <w:tcBorders>
              <w:bottom w:val="nil"/>
            </w:tcBorders>
          </w:tcPr>
          <w:p>
            <w:pPr>
              <w:pStyle w:val="TableParagraph"/>
              <w:spacing w:before="21"/>
              <w:ind w:left="17"/>
              <w:jc w:val="left"/>
              <w:rPr>
                <w:sz w:val="14"/>
              </w:rPr>
            </w:pPr>
            <w:r>
              <w:rPr>
                <w:sz w:val="14"/>
              </w:rPr>
              <w:t>Unicredit (Milano) Valutario  USD</w:t>
            </w:r>
          </w:p>
        </w:tc>
        <w:tc>
          <w:tcPr>
            <w:tcW w:w="903" w:type="dxa"/>
            <w:tcBorders>
              <w:bottom w:val="nil"/>
            </w:tcBorders>
          </w:tcPr>
          <w:p>
            <w:pPr>
              <w:pStyle w:val="TableParagraph"/>
              <w:spacing w:before="21"/>
              <w:ind w:right="60"/>
              <w:rPr>
                <w:sz w:val="14"/>
              </w:rPr>
            </w:pPr>
            <w:r>
              <w:rPr>
                <w:sz w:val="14"/>
              </w:rPr>
              <w:t>744.165</w:t>
            </w:r>
          </w:p>
        </w:tc>
        <w:tc>
          <w:tcPr>
            <w:tcW w:w="699" w:type="dxa"/>
            <w:vMerge w:val="restart"/>
          </w:tcPr>
          <w:p>
            <w:pPr/>
          </w:p>
        </w:tc>
        <w:tc>
          <w:tcPr>
            <w:tcW w:w="858" w:type="dxa"/>
            <w:tcBorders>
              <w:bottom w:val="nil"/>
            </w:tcBorders>
          </w:tcPr>
          <w:p>
            <w:pPr>
              <w:pStyle w:val="TableParagraph"/>
              <w:spacing w:before="21"/>
              <w:ind w:right="60"/>
              <w:rPr>
                <w:sz w:val="14"/>
              </w:rPr>
            </w:pPr>
            <w:r>
              <w:rPr>
                <w:sz w:val="14"/>
              </w:rPr>
              <w:t>744.165</w:t>
            </w:r>
          </w:p>
        </w:tc>
        <w:tc>
          <w:tcPr>
            <w:tcW w:w="956" w:type="dxa"/>
            <w:vMerge w:val="restart"/>
          </w:tcPr>
          <w:p>
            <w:pPr/>
          </w:p>
        </w:tc>
        <w:tc>
          <w:tcPr>
            <w:tcW w:w="1168" w:type="dxa"/>
            <w:tcBorders>
              <w:bottom w:val="nil"/>
            </w:tcBorders>
          </w:tcPr>
          <w:p>
            <w:pPr>
              <w:pStyle w:val="TableParagraph"/>
              <w:spacing w:before="21"/>
              <w:ind w:right="60"/>
              <w:rPr>
                <w:sz w:val="14"/>
              </w:rPr>
            </w:pPr>
            <w:r>
              <w:rPr>
                <w:sz w:val="14"/>
              </w:rPr>
              <w:t>744.165</w:t>
            </w:r>
          </w:p>
        </w:tc>
      </w:tr>
      <w:tr>
        <w:trPr>
          <w:trHeight w:val="186" w:hRule="exact"/>
        </w:trPr>
        <w:tc>
          <w:tcPr>
            <w:tcW w:w="788" w:type="dxa"/>
            <w:tcBorders>
              <w:top w:val="nil"/>
              <w:bottom w:val="nil"/>
            </w:tcBorders>
          </w:tcPr>
          <w:p>
            <w:pPr>
              <w:pStyle w:val="TableParagraph"/>
              <w:spacing w:before="14"/>
              <w:ind w:right="140"/>
              <w:rPr>
                <w:sz w:val="14"/>
              </w:rPr>
            </w:pPr>
            <w:r>
              <w:rPr>
                <w:sz w:val="14"/>
              </w:rPr>
              <w:t>2250690</w:t>
            </w:r>
          </w:p>
        </w:tc>
        <w:tc>
          <w:tcPr>
            <w:tcW w:w="3681" w:type="dxa"/>
            <w:tcBorders>
              <w:top w:val="nil"/>
              <w:bottom w:val="nil"/>
            </w:tcBorders>
          </w:tcPr>
          <w:p>
            <w:pPr>
              <w:pStyle w:val="TableParagraph"/>
              <w:spacing w:before="14"/>
              <w:ind w:left="17"/>
              <w:jc w:val="left"/>
              <w:rPr>
                <w:sz w:val="14"/>
              </w:rPr>
            </w:pPr>
            <w:r>
              <w:rPr>
                <w:sz w:val="14"/>
              </w:rPr>
              <w:t>Unicredit (Milano) Ordinario 2</w:t>
            </w:r>
          </w:p>
        </w:tc>
        <w:tc>
          <w:tcPr>
            <w:tcW w:w="903" w:type="dxa"/>
            <w:tcBorders>
              <w:top w:val="nil"/>
              <w:bottom w:val="nil"/>
            </w:tcBorders>
          </w:tcPr>
          <w:p>
            <w:pPr>
              <w:pStyle w:val="TableParagraph"/>
              <w:spacing w:before="14"/>
              <w:ind w:right="60"/>
              <w:rPr>
                <w:sz w:val="14"/>
              </w:rPr>
            </w:pPr>
            <w:r>
              <w:rPr>
                <w:sz w:val="14"/>
              </w:rPr>
              <w:t>455</w:t>
            </w:r>
          </w:p>
        </w:tc>
        <w:tc>
          <w:tcPr>
            <w:tcW w:w="699" w:type="dxa"/>
            <w:vMerge/>
          </w:tcPr>
          <w:p>
            <w:pPr/>
          </w:p>
        </w:tc>
        <w:tc>
          <w:tcPr>
            <w:tcW w:w="858" w:type="dxa"/>
            <w:tcBorders>
              <w:top w:val="nil"/>
              <w:bottom w:val="nil"/>
            </w:tcBorders>
          </w:tcPr>
          <w:p>
            <w:pPr>
              <w:pStyle w:val="TableParagraph"/>
              <w:spacing w:before="14"/>
              <w:ind w:right="60"/>
              <w:rPr>
                <w:sz w:val="14"/>
              </w:rPr>
            </w:pPr>
            <w:r>
              <w:rPr>
                <w:sz w:val="14"/>
              </w:rPr>
              <w:t>455</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455</w:t>
            </w:r>
          </w:p>
        </w:tc>
      </w:tr>
      <w:tr>
        <w:trPr>
          <w:trHeight w:val="186" w:hRule="exact"/>
        </w:trPr>
        <w:tc>
          <w:tcPr>
            <w:tcW w:w="788" w:type="dxa"/>
            <w:tcBorders>
              <w:top w:val="nil"/>
              <w:bottom w:val="nil"/>
            </w:tcBorders>
          </w:tcPr>
          <w:p>
            <w:pPr>
              <w:pStyle w:val="TableParagraph"/>
              <w:spacing w:before="14"/>
              <w:ind w:right="140"/>
              <w:rPr>
                <w:sz w:val="14"/>
              </w:rPr>
            </w:pPr>
            <w:r>
              <w:rPr>
                <w:sz w:val="14"/>
              </w:rPr>
              <w:t>2251800</w:t>
            </w:r>
          </w:p>
        </w:tc>
        <w:tc>
          <w:tcPr>
            <w:tcW w:w="3681" w:type="dxa"/>
            <w:tcBorders>
              <w:top w:val="nil"/>
              <w:bottom w:val="nil"/>
            </w:tcBorders>
          </w:tcPr>
          <w:p>
            <w:pPr>
              <w:pStyle w:val="TableParagraph"/>
              <w:spacing w:before="14"/>
              <w:ind w:left="17"/>
              <w:jc w:val="left"/>
              <w:rPr>
                <w:sz w:val="14"/>
              </w:rPr>
            </w:pPr>
            <w:r>
              <w:rPr>
                <w:sz w:val="14"/>
              </w:rPr>
              <w:t>BNL (Corsico) Ordinario</w:t>
            </w:r>
          </w:p>
        </w:tc>
        <w:tc>
          <w:tcPr>
            <w:tcW w:w="903" w:type="dxa"/>
            <w:tcBorders>
              <w:top w:val="nil"/>
              <w:bottom w:val="nil"/>
            </w:tcBorders>
          </w:tcPr>
          <w:p>
            <w:pPr>
              <w:pStyle w:val="TableParagraph"/>
              <w:spacing w:before="14"/>
              <w:ind w:right="60"/>
              <w:rPr>
                <w:sz w:val="14"/>
              </w:rPr>
            </w:pPr>
            <w:r>
              <w:rPr>
                <w:sz w:val="14"/>
              </w:rPr>
              <w:t>4.653</w:t>
            </w:r>
          </w:p>
        </w:tc>
        <w:tc>
          <w:tcPr>
            <w:tcW w:w="699" w:type="dxa"/>
            <w:vMerge/>
          </w:tcPr>
          <w:p>
            <w:pPr/>
          </w:p>
        </w:tc>
        <w:tc>
          <w:tcPr>
            <w:tcW w:w="858" w:type="dxa"/>
            <w:tcBorders>
              <w:top w:val="nil"/>
              <w:bottom w:val="nil"/>
            </w:tcBorders>
          </w:tcPr>
          <w:p>
            <w:pPr>
              <w:pStyle w:val="TableParagraph"/>
              <w:spacing w:before="14"/>
              <w:ind w:right="60"/>
              <w:rPr>
                <w:sz w:val="14"/>
              </w:rPr>
            </w:pPr>
            <w:r>
              <w:rPr>
                <w:sz w:val="14"/>
              </w:rPr>
              <w:t>4.653</w:t>
            </w:r>
          </w:p>
        </w:tc>
        <w:tc>
          <w:tcPr>
            <w:tcW w:w="956" w:type="dxa"/>
            <w:vMerge/>
          </w:tcPr>
          <w:p>
            <w:pPr/>
          </w:p>
        </w:tc>
        <w:tc>
          <w:tcPr>
            <w:tcW w:w="1168" w:type="dxa"/>
            <w:tcBorders>
              <w:top w:val="nil"/>
              <w:bottom w:val="nil"/>
            </w:tcBorders>
          </w:tcPr>
          <w:p>
            <w:pPr>
              <w:pStyle w:val="TableParagraph"/>
              <w:spacing w:before="14"/>
              <w:ind w:right="60"/>
              <w:rPr>
                <w:sz w:val="14"/>
              </w:rPr>
            </w:pPr>
            <w:r>
              <w:rPr>
                <w:sz w:val="14"/>
              </w:rPr>
              <w:t>4.653</w:t>
            </w:r>
          </w:p>
        </w:tc>
      </w:tr>
      <w:tr>
        <w:trPr>
          <w:trHeight w:val="186" w:hRule="exact"/>
        </w:trPr>
        <w:tc>
          <w:tcPr>
            <w:tcW w:w="788" w:type="dxa"/>
            <w:tcBorders>
              <w:top w:val="nil"/>
              <w:bottom w:val="nil"/>
            </w:tcBorders>
          </w:tcPr>
          <w:p>
            <w:pPr>
              <w:pStyle w:val="TableParagraph"/>
              <w:spacing w:before="14"/>
              <w:ind w:right="140"/>
              <w:rPr>
                <w:sz w:val="14"/>
              </w:rPr>
            </w:pPr>
            <w:r>
              <w:rPr>
                <w:sz w:val="14"/>
              </w:rPr>
              <w:t>2252100</w:t>
            </w:r>
          </w:p>
        </w:tc>
        <w:tc>
          <w:tcPr>
            <w:tcW w:w="3681" w:type="dxa"/>
            <w:tcBorders>
              <w:top w:val="nil"/>
              <w:bottom w:val="nil"/>
            </w:tcBorders>
          </w:tcPr>
          <w:p>
            <w:pPr>
              <w:pStyle w:val="TableParagraph"/>
              <w:spacing w:before="14"/>
              <w:ind w:left="17"/>
              <w:jc w:val="left"/>
              <w:rPr>
                <w:sz w:val="14"/>
              </w:rPr>
            </w:pPr>
            <w:r>
              <w:rPr>
                <w:sz w:val="14"/>
              </w:rPr>
              <w:t>Banca Popolare di Milano (Tortona)  Ordinario</w:t>
            </w:r>
          </w:p>
        </w:tc>
        <w:tc>
          <w:tcPr>
            <w:tcW w:w="903" w:type="dxa"/>
            <w:tcBorders>
              <w:top w:val="nil"/>
              <w:bottom w:val="nil"/>
            </w:tcBorders>
          </w:tcPr>
          <w:p>
            <w:pPr>
              <w:pStyle w:val="TableParagraph"/>
              <w:spacing w:before="14"/>
              <w:ind w:right="60"/>
              <w:rPr>
                <w:sz w:val="14"/>
              </w:rPr>
            </w:pPr>
            <w:r>
              <w:rPr>
                <w:sz w:val="14"/>
              </w:rPr>
              <w:t>1.493</w:t>
            </w:r>
          </w:p>
        </w:tc>
        <w:tc>
          <w:tcPr>
            <w:tcW w:w="699" w:type="dxa"/>
            <w:vMerge/>
          </w:tcPr>
          <w:p>
            <w:pPr/>
          </w:p>
        </w:tc>
        <w:tc>
          <w:tcPr>
            <w:tcW w:w="858" w:type="dxa"/>
            <w:tcBorders>
              <w:top w:val="nil"/>
              <w:bottom w:val="nil"/>
            </w:tcBorders>
          </w:tcPr>
          <w:p>
            <w:pPr>
              <w:pStyle w:val="TableParagraph"/>
              <w:spacing w:before="14"/>
              <w:ind w:right="60"/>
              <w:rPr>
                <w:sz w:val="14"/>
              </w:rPr>
            </w:pPr>
            <w:r>
              <w:rPr>
                <w:sz w:val="14"/>
              </w:rPr>
              <w:t>1.493</w:t>
            </w:r>
          </w:p>
        </w:tc>
        <w:tc>
          <w:tcPr>
            <w:tcW w:w="956" w:type="dxa"/>
            <w:vMerge/>
          </w:tcPr>
          <w:p>
            <w:pPr/>
          </w:p>
        </w:tc>
        <w:tc>
          <w:tcPr>
            <w:tcW w:w="1168" w:type="dxa"/>
            <w:tcBorders>
              <w:top w:val="nil"/>
              <w:bottom w:val="nil"/>
            </w:tcBorders>
          </w:tcPr>
          <w:p>
            <w:pPr>
              <w:pStyle w:val="TableParagraph"/>
              <w:spacing w:before="14"/>
              <w:ind w:right="60"/>
              <w:rPr>
                <w:sz w:val="14"/>
              </w:rPr>
            </w:pPr>
            <w:r>
              <w:rPr>
                <w:sz w:val="14"/>
              </w:rPr>
              <w:t>1.493</w:t>
            </w:r>
          </w:p>
        </w:tc>
      </w:tr>
      <w:tr>
        <w:trPr>
          <w:trHeight w:val="186" w:hRule="exact"/>
        </w:trPr>
        <w:tc>
          <w:tcPr>
            <w:tcW w:w="788" w:type="dxa"/>
            <w:tcBorders>
              <w:top w:val="nil"/>
              <w:bottom w:val="nil"/>
            </w:tcBorders>
          </w:tcPr>
          <w:p>
            <w:pPr>
              <w:pStyle w:val="TableParagraph"/>
              <w:spacing w:before="14"/>
              <w:ind w:right="140"/>
              <w:rPr>
                <w:sz w:val="14"/>
              </w:rPr>
            </w:pPr>
            <w:r>
              <w:rPr>
                <w:sz w:val="14"/>
              </w:rPr>
              <w:t>2253691</w:t>
            </w:r>
          </w:p>
        </w:tc>
        <w:tc>
          <w:tcPr>
            <w:tcW w:w="3681" w:type="dxa"/>
            <w:tcBorders>
              <w:top w:val="nil"/>
              <w:bottom w:val="nil"/>
            </w:tcBorders>
          </w:tcPr>
          <w:p>
            <w:pPr>
              <w:pStyle w:val="TableParagraph"/>
              <w:spacing w:before="14"/>
              <w:ind w:left="17"/>
              <w:jc w:val="left"/>
              <w:rPr>
                <w:sz w:val="14"/>
              </w:rPr>
            </w:pPr>
            <w:r>
              <w:rPr>
                <w:sz w:val="14"/>
              </w:rPr>
              <w:t>Intesa San Paolo (Alessandria) USD2</w:t>
            </w:r>
          </w:p>
        </w:tc>
        <w:tc>
          <w:tcPr>
            <w:tcW w:w="903" w:type="dxa"/>
            <w:tcBorders>
              <w:top w:val="nil"/>
              <w:bottom w:val="nil"/>
            </w:tcBorders>
          </w:tcPr>
          <w:p>
            <w:pPr>
              <w:pStyle w:val="TableParagraph"/>
              <w:spacing w:before="14"/>
              <w:ind w:right="60"/>
              <w:rPr>
                <w:sz w:val="14"/>
              </w:rPr>
            </w:pPr>
            <w:r>
              <w:rPr>
                <w:sz w:val="14"/>
              </w:rPr>
              <w:t>148</w:t>
            </w:r>
          </w:p>
        </w:tc>
        <w:tc>
          <w:tcPr>
            <w:tcW w:w="699" w:type="dxa"/>
            <w:vMerge/>
          </w:tcPr>
          <w:p>
            <w:pPr/>
          </w:p>
        </w:tc>
        <w:tc>
          <w:tcPr>
            <w:tcW w:w="858" w:type="dxa"/>
            <w:tcBorders>
              <w:top w:val="nil"/>
              <w:bottom w:val="nil"/>
            </w:tcBorders>
          </w:tcPr>
          <w:p>
            <w:pPr>
              <w:pStyle w:val="TableParagraph"/>
              <w:spacing w:before="14"/>
              <w:ind w:right="60"/>
              <w:rPr>
                <w:sz w:val="14"/>
              </w:rPr>
            </w:pPr>
            <w:r>
              <w:rPr>
                <w:sz w:val="14"/>
              </w:rPr>
              <w:t>148</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148</w:t>
            </w:r>
          </w:p>
        </w:tc>
      </w:tr>
      <w:tr>
        <w:trPr>
          <w:trHeight w:val="186" w:hRule="exact"/>
        </w:trPr>
        <w:tc>
          <w:tcPr>
            <w:tcW w:w="788" w:type="dxa"/>
            <w:tcBorders>
              <w:top w:val="nil"/>
              <w:bottom w:val="nil"/>
            </w:tcBorders>
          </w:tcPr>
          <w:p>
            <w:pPr>
              <w:pStyle w:val="TableParagraph"/>
              <w:spacing w:before="14"/>
              <w:ind w:right="140"/>
              <w:rPr>
                <w:sz w:val="14"/>
              </w:rPr>
            </w:pPr>
            <w:r>
              <w:rPr>
                <w:sz w:val="14"/>
              </w:rPr>
              <w:t>2254100</w:t>
            </w:r>
          </w:p>
        </w:tc>
        <w:tc>
          <w:tcPr>
            <w:tcW w:w="3681" w:type="dxa"/>
            <w:tcBorders>
              <w:top w:val="nil"/>
              <w:bottom w:val="nil"/>
            </w:tcBorders>
          </w:tcPr>
          <w:p>
            <w:pPr>
              <w:pStyle w:val="TableParagraph"/>
              <w:spacing w:before="14"/>
              <w:ind w:left="17"/>
              <w:jc w:val="left"/>
              <w:rPr>
                <w:sz w:val="14"/>
              </w:rPr>
            </w:pPr>
            <w:r>
              <w:rPr>
                <w:sz w:val="14"/>
              </w:rPr>
              <w:t>Credito Valtellinese (Tortona)  Ordinari</w:t>
            </w:r>
          </w:p>
        </w:tc>
        <w:tc>
          <w:tcPr>
            <w:tcW w:w="903" w:type="dxa"/>
            <w:tcBorders>
              <w:top w:val="nil"/>
              <w:bottom w:val="nil"/>
            </w:tcBorders>
          </w:tcPr>
          <w:p>
            <w:pPr>
              <w:pStyle w:val="TableParagraph"/>
              <w:spacing w:before="14"/>
              <w:ind w:right="64"/>
              <w:rPr>
                <w:sz w:val="14"/>
              </w:rPr>
            </w:pPr>
            <w:r>
              <w:rPr>
                <w:w w:val="101"/>
                <w:sz w:val="14"/>
              </w:rPr>
              <w:t>7</w:t>
            </w:r>
          </w:p>
        </w:tc>
        <w:tc>
          <w:tcPr>
            <w:tcW w:w="699" w:type="dxa"/>
            <w:vMerge/>
          </w:tcPr>
          <w:p>
            <w:pPr/>
          </w:p>
        </w:tc>
        <w:tc>
          <w:tcPr>
            <w:tcW w:w="858" w:type="dxa"/>
            <w:tcBorders>
              <w:top w:val="nil"/>
              <w:bottom w:val="nil"/>
            </w:tcBorders>
          </w:tcPr>
          <w:p>
            <w:pPr>
              <w:pStyle w:val="TableParagraph"/>
              <w:spacing w:before="14"/>
              <w:ind w:right="64"/>
              <w:rPr>
                <w:sz w:val="14"/>
              </w:rPr>
            </w:pPr>
            <w:r>
              <w:rPr>
                <w:w w:val="101"/>
                <w:sz w:val="14"/>
              </w:rPr>
              <w:t>7</w:t>
            </w:r>
          </w:p>
        </w:tc>
        <w:tc>
          <w:tcPr>
            <w:tcW w:w="956" w:type="dxa"/>
            <w:vMerge/>
          </w:tcPr>
          <w:p>
            <w:pPr/>
          </w:p>
        </w:tc>
        <w:tc>
          <w:tcPr>
            <w:tcW w:w="1168" w:type="dxa"/>
            <w:tcBorders>
              <w:top w:val="nil"/>
              <w:bottom w:val="nil"/>
            </w:tcBorders>
          </w:tcPr>
          <w:p>
            <w:pPr>
              <w:pStyle w:val="TableParagraph"/>
              <w:spacing w:before="14"/>
              <w:ind w:right="64"/>
              <w:rPr>
                <w:sz w:val="14"/>
              </w:rPr>
            </w:pPr>
            <w:r>
              <w:rPr>
                <w:w w:val="101"/>
                <w:sz w:val="14"/>
              </w:rPr>
              <w:t>7</w:t>
            </w:r>
          </w:p>
        </w:tc>
      </w:tr>
      <w:tr>
        <w:trPr>
          <w:trHeight w:val="186" w:hRule="exact"/>
        </w:trPr>
        <w:tc>
          <w:tcPr>
            <w:tcW w:w="788" w:type="dxa"/>
            <w:tcBorders>
              <w:top w:val="nil"/>
              <w:bottom w:val="nil"/>
            </w:tcBorders>
          </w:tcPr>
          <w:p>
            <w:pPr>
              <w:pStyle w:val="TableParagraph"/>
              <w:spacing w:before="14"/>
              <w:ind w:right="140"/>
              <w:rPr>
                <w:sz w:val="14"/>
              </w:rPr>
            </w:pPr>
            <w:r>
              <w:rPr>
                <w:sz w:val="14"/>
              </w:rPr>
              <w:t>2256851</w:t>
            </w:r>
          </w:p>
        </w:tc>
        <w:tc>
          <w:tcPr>
            <w:tcW w:w="3681" w:type="dxa"/>
            <w:tcBorders>
              <w:top w:val="nil"/>
              <w:bottom w:val="nil"/>
            </w:tcBorders>
          </w:tcPr>
          <w:p>
            <w:pPr>
              <w:pStyle w:val="TableParagraph"/>
              <w:spacing w:before="14"/>
              <w:ind w:left="17"/>
              <w:jc w:val="left"/>
              <w:rPr>
                <w:sz w:val="14"/>
              </w:rPr>
            </w:pPr>
            <w:r>
              <w:rPr>
                <w:sz w:val="14"/>
              </w:rPr>
              <w:t>Banca nazionale del lavoro (Milano)  USD</w:t>
            </w:r>
          </w:p>
        </w:tc>
        <w:tc>
          <w:tcPr>
            <w:tcW w:w="903" w:type="dxa"/>
            <w:tcBorders>
              <w:top w:val="nil"/>
              <w:bottom w:val="nil"/>
            </w:tcBorders>
          </w:tcPr>
          <w:p>
            <w:pPr>
              <w:pStyle w:val="TableParagraph"/>
              <w:spacing w:before="14"/>
              <w:ind w:right="60"/>
              <w:rPr>
                <w:sz w:val="14"/>
              </w:rPr>
            </w:pPr>
            <w:r>
              <w:rPr>
                <w:sz w:val="14"/>
              </w:rPr>
              <w:t>2.404</w:t>
            </w:r>
          </w:p>
        </w:tc>
        <w:tc>
          <w:tcPr>
            <w:tcW w:w="699" w:type="dxa"/>
            <w:vMerge/>
          </w:tcPr>
          <w:p>
            <w:pPr/>
          </w:p>
        </w:tc>
        <w:tc>
          <w:tcPr>
            <w:tcW w:w="858" w:type="dxa"/>
            <w:tcBorders>
              <w:top w:val="nil"/>
              <w:bottom w:val="nil"/>
            </w:tcBorders>
          </w:tcPr>
          <w:p>
            <w:pPr>
              <w:pStyle w:val="TableParagraph"/>
              <w:spacing w:before="14"/>
              <w:ind w:right="60"/>
              <w:rPr>
                <w:sz w:val="14"/>
              </w:rPr>
            </w:pPr>
            <w:r>
              <w:rPr>
                <w:sz w:val="14"/>
              </w:rPr>
              <w:t>2.404</w:t>
            </w:r>
          </w:p>
        </w:tc>
        <w:tc>
          <w:tcPr>
            <w:tcW w:w="956" w:type="dxa"/>
            <w:vMerge/>
          </w:tcPr>
          <w:p>
            <w:pPr/>
          </w:p>
        </w:tc>
        <w:tc>
          <w:tcPr>
            <w:tcW w:w="1168" w:type="dxa"/>
            <w:tcBorders>
              <w:top w:val="nil"/>
              <w:bottom w:val="nil"/>
            </w:tcBorders>
          </w:tcPr>
          <w:p>
            <w:pPr>
              <w:pStyle w:val="TableParagraph"/>
              <w:spacing w:before="14"/>
              <w:ind w:right="60"/>
              <w:rPr>
                <w:sz w:val="14"/>
              </w:rPr>
            </w:pPr>
            <w:r>
              <w:rPr>
                <w:sz w:val="14"/>
              </w:rPr>
              <w:t>2.404</w:t>
            </w:r>
          </w:p>
        </w:tc>
      </w:tr>
      <w:tr>
        <w:trPr>
          <w:trHeight w:val="186" w:hRule="exact"/>
        </w:trPr>
        <w:tc>
          <w:tcPr>
            <w:tcW w:w="788" w:type="dxa"/>
            <w:tcBorders>
              <w:top w:val="nil"/>
              <w:bottom w:val="nil"/>
            </w:tcBorders>
          </w:tcPr>
          <w:p>
            <w:pPr>
              <w:pStyle w:val="TableParagraph"/>
              <w:spacing w:before="14"/>
              <w:ind w:right="140"/>
              <w:rPr>
                <w:sz w:val="14"/>
              </w:rPr>
            </w:pPr>
            <w:r>
              <w:rPr>
                <w:sz w:val="14"/>
              </w:rPr>
              <w:t>2257000</w:t>
            </w:r>
          </w:p>
        </w:tc>
        <w:tc>
          <w:tcPr>
            <w:tcW w:w="3681" w:type="dxa"/>
            <w:tcBorders>
              <w:top w:val="nil"/>
              <w:bottom w:val="nil"/>
            </w:tcBorders>
          </w:tcPr>
          <w:p>
            <w:pPr>
              <w:pStyle w:val="TableParagraph"/>
              <w:spacing w:before="14"/>
              <w:ind w:left="17"/>
              <w:jc w:val="left"/>
              <w:rPr>
                <w:sz w:val="14"/>
              </w:rPr>
            </w:pPr>
            <w:r>
              <w:rPr>
                <w:sz w:val="14"/>
              </w:rPr>
              <w:t>ICBC Europe S.A. - Ordinario EURO</w:t>
            </w:r>
          </w:p>
        </w:tc>
        <w:tc>
          <w:tcPr>
            <w:tcW w:w="903" w:type="dxa"/>
            <w:tcBorders>
              <w:top w:val="nil"/>
              <w:bottom w:val="nil"/>
            </w:tcBorders>
          </w:tcPr>
          <w:p>
            <w:pPr>
              <w:pStyle w:val="TableParagraph"/>
              <w:spacing w:before="14"/>
              <w:ind w:right="60"/>
              <w:rPr>
                <w:sz w:val="14"/>
              </w:rPr>
            </w:pPr>
            <w:r>
              <w:rPr>
                <w:sz w:val="14"/>
              </w:rPr>
              <w:t>21.847</w:t>
            </w:r>
          </w:p>
        </w:tc>
        <w:tc>
          <w:tcPr>
            <w:tcW w:w="699" w:type="dxa"/>
            <w:vMerge/>
          </w:tcPr>
          <w:p>
            <w:pPr/>
          </w:p>
        </w:tc>
        <w:tc>
          <w:tcPr>
            <w:tcW w:w="858" w:type="dxa"/>
            <w:tcBorders>
              <w:top w:val="nil"/>
              <w:bottom w:val="nil"/>
            </w:tcBorders>
          </w:tcPr>
          <w:p>
            <w:pPr>
              <w:pStyle w:val="TableParagraph"/>
              <w:spacing w:before="14"/>
              <w:ind w:right="60"/>
              <w:rPr>
                <w:sz w:val="14"/>
              </w:rPr>
            </w:pPr>
            <w:r>
              <w:rPr>
                <w:sz w:val="14"/>
              </w:rPr>
              <w:t>21.847</w:t>
            </w:r>
          </w:p>
        </w:tc>
        <w:tc>
          <w:tcPr>
            <w:tcW w:w="956" w:type="dxa"/>
            <w:vMerge/>
          </w:tcPr>
          <w:p>
            <w:pPr/>
          </w:p>
        </w:tc>
        <w:tc>
          <w:tcPr>
            <w:tcW w:w="1168" w:type="dxa"/>
            <w:tcBorders>
              <w:top w:val="nil"/>
              <w:bottom w:val="nil"/>
            </w:tcBorders>
          </w:tcPr>
          <w:p>
            <w:pPr>
              <w:pStyle w:val="TableParagraph"/>
              <w:spacing w:before="14"/>
              <w:ind w:right="60"/>
              <w:rPr>
                <w:sz w:val="14"/>
              </w:rPr>
            </w:pPr>
            <w:r>
              <w:rPr>
                <w:sz w:val="14"/>
              </w:rPr>
              <w:t>21.847</w:t>
            </w:r>
          </w:p>
        </w:tc>
      </w:tr>
      <w:tr>
        <w:trPr>
          <w:trHeight w:val="186" w:hRule="exact"/>
        </w:trPr>
        <w:tc>
          <w:tcPr>
            <w:tcW w:w="788" w:type="dxa"/>
            <w:tcBorders>
              <w:top w:val="nil"/>
              <w:bottom w:val="nil"/>
            </w:tcBorders>
          </w:tcPr>
          <w:p>
            <w:pPr>
              <w:pStyle w:val="TableParagraph"/>
              <w:spacing w:before="14"/>
              <w:ind w:right="140"/>
              <w:rPr>
                <w:sz w:val="14"/>
              </w:rPr>
            </w:pPr>
            <w:r>
              <w:rPr>
                <w:sz w:val="14"/>
              </w:rPr>
              <w:t>2257001</w:t>
            </w:r>
          </w:p>
        </w:tc>
        <w:tc>
          <w:tcPr>
            <w:tcW w:w="3681" w:type="dxa"/>
            <w:tcBorders>
              <w:top w:val="nil"/>
              <w:bottom w:val="nil"/>
            </w:tcBorders>
          </w:tcPr>
          <w:p>
            <w:pPr>
              <w:pStyle w:val="TableParagraph"/>
              <w:spacing w:before="14"/>
              <w:ind w:left="17"/>
              <w:jc w:val="left"/>
              <w:rPr>
                <w:sz w:val="14"/>
              </w:rPr>
            </w:pPr>
            <w:r>
              <w:rPr>
                <w:sz w:val="14"/>
              </w:rPr>
              <w:t>ICBC Europe S.A. - Ordinario USD</w:t>
            </w:r>
          </w:p>
        </w:tc>
        <w:tc>
          <w:tcPr>
            <w:tcW w:w="903" w:type="dxa"/>
            <w:tcBorders>
              <w:top w:val="nil"/>
              <w:bottom w:val="nil"/>
            </w:tcBorders>
          </w:tcPr>
          <w:p>
            <w:pPr>
              <w:pStyle w:val="TableParagraph"/>
              <w:spacing w:before="14"/>
              <w:ind w:right="60"/>
              <w:rPr>
                <w:sz w:val="14"/>
              </w:rPr>
            </w:pPr>
            <w:r>
              <w:rPr>
                <w:sz w:val="14"/>
              </w:rPr>
              <w:t>6.097</w:t>
            </w:r>
          </w:p>
        </w:tc>
        <w:tc>
          <w:tcPr>
            <w:tcW w:w="699" w:type="dxa"/>
            <w:vMerge/>
          </w:tcPr>
          <w:p>
            <w:pPr/>
          </w:p>
        </w:tc>
        <w:tc>
          <w:tcPr>
            <w:tcW w:w="858" w:type="dxa"/>
            <w:tcBorders>
              <w:top w:val="nil"/>
              <w:bottom w:val="nil"/>
            </w:tcBorders>
          </w:tcPr>
          <w:p>
            <w:pPr>
              <w:pStyle w:val="TableParagraph"/>
              <w:spacing w:before="14"/>
              <w:ind w:right="60"/>
              <w:rPr>
                <w:sz w:val="14"/>
              </w:rPr>
            </w:pPr>
            <w:r>
              <w:rPr>
                <w:sz w:val="14"/>
              </w:rPr>
              <w:t>6.097</w:t>
            </w:r>
          </w:p>
        </w:tc>
        <w:tc>
          <w:tcPr>
            <w:tcW w:w="956" w:type="dxa"/>
            <w:vMerge/>
          </w:tcPr>
          <w:p>
            <w:pPr/>
          </w:p>
        </w:tc>
        <w:tc>
          <w:tcPr>
            <w:tcW w:w="1168" w:type="dxa"/>
            <w:tcBorders>
              <w:top w:val="nil"/>
              <w:bottom w:val="nil"/>
            </w:tcBorders>
          </w:tcPr>
          <w:p>
            <w:pPr>
              <w:pStyle w:val="TableParagraph"/>
              <w:spacing w:before="14"/>
              <w:ind w:right="60"/>
              <w:rPr>
                <w:sz w:val="14"/>
              </w:rPr>
            </w:pPr>
            <w:r>
              <w:rPr>
                <w:sz w:val="14"/>
              </w:rPr>
              <w:t>6.097</w:t>
            </w:r>
          </w:p>
        </w:tc>
      </w:tr>
      <w:tr>
        <w:trPr>
          <w:trHeight w:val="186" w:hRule="exact"/>
        </w:trPr>
        <w:tc>
          <w:tcPr>
            <w:tcW w:w="788" w:type="dxa"/>
            <w:tcBorders>
              <w:top w:val="nil"/>
              <w:bottom w:val="nil"/>
            </w:tcBorders>
          </w:tcPr>
          <w:p>
            <w:pPr>
              <w:pStyle w:val="TableParagraph"/>
              <w:spacing w:before="14"/>
              <w:ind w:right="140"/>
              <w:rPr>
                <w:sz w:val="14"/>
              </w:rPr>
            </w:pPr>
            <w:r>
              <w:rPr>
                <w:sz w:val="14"/>
              </w:rPr>
              <w:t>2257600</w:t>
            </w:r>
          </w:p>
        </w:tc>
        <w:tc>
          <w:tcPr>
            <w:tcW w:w="3681" w:type="dxa"/>
            <w:tcBorders>
              <w:top w:val="nil"/>
              <w:bottom w:val="nil"/>
            </w:tcBorders>
          </w:tcPr>
          <w:p>
            <w:pPr>
              <w:pStyle w:val="TableParagraph"/>
              <w:spacing w:before="14"/>
              <w:ind w:left="17"/>
              <w:jc w:val="left"/>
              <w:rPr>
                <w:sz w:val="14"/>
              </w:rPr>
            </w:pPr>
            <w:r>
              <w:rPr>
                <w:sz w:val="14"/>
              </w:rPr>
              <w:t>Banca Carime (Milano) Ordinario  EUR</w:t>
            </w:r>
          </w:p>
        </w:tc>
        <w:tc>
          <w:tcPr>
            <w:tcW w:w="903" w:type="dxa"/>
            <w:tcBorders>
              <w:top w:val="nil"/>
              <w:bottom w:val="nil"/>
            </w:tcBorders>
          </w:tcPr>
          <w:p>
            <w:pPr>
              <w:pStyle w:val="TableParagraph"/>
              <w:spacing w:before="14"/>
              <w:ind w:right="60"/>
              <w:rPr>
                <w:sz w:val="14"/>
              </w:rPr>
            </w:pPr>
            <w:r>
              <w:rPr>
                <w:sz w:val="14"/>
              </w:rPr>
              <w:t>938</w:t>
            </w:r>
          </w:p>
        </w:tc>
        <w:tc>
          <w:tcPr>
            <w:tcW w:w="699" w:type="dxa"/>
            <w:vMerge/>
          </w:tcPr>
          <w:p>
            <w:pPr/>
          </w:p>
        </w:tc>
        <w:tc>
          <w:tcPr>
            <w:tcW w:w="858" w:type="dxa"/>
            <w:tcBorders>
              <w:top w:val="nil"/>
              <w:bottom w:val="nil"/>
            </w:tcBorders>
          </w:tcPr>
          <w:p>
            <w:pPr>
              <w:pStyle w:val="TableParagraph"/>
              <w:spacing w:before="14"/>
              <w:ind w:right="60"/>
              <w:rPr>
                <w:sz w:val="14"/>
              </w:rPr>
            </w:pPr>
            <w:r>
              <w:rPr>
                <w:sz w:val="14"/>
              </w:rPr>
              <w:t>938</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938</w:t>
            </w:r>
          </w:p>
        </w:tc>
      </w:tr>
      <w:tr>
        <w:trPr>
          <w:trHeight w:val="186" w:hRule="exact"/>
        </w:trPr>
        <w:tc>
          <w:tcPr>
            <w:tcW w:w="788" w:type="dxa"/>
            <w:tcBorders>
              <w:top w:val="nil"/>
              <w:bottom w:val="nil"/>
            </w:tcBorders>
          </w:tcPr>
          <w:p>
            <w:pPr>
              <w:pStyle w:val="TableParagraph"/>
              <w:spacing w:before="14"/>
              <w:ind w:right="140"/>
              <w:rPr>
                <w:sz w:val="14"/>
              </w:rPr>
            </w:pPr>
            <w:r>
              <w:rPr>
                <w:sz w:val="14"/>
              </w:rPr>
              <w:t>2258000</w:t>
            </w:r>
          </w:p>
        </w:tc>
        <w:tc>
          <w:tcPr>
            <w:tcW w:w="3681" w:type="dxa"/>
            <w:tcBorders>
              <w:top w:val="nil"/>
              <w:bottom w:val="nil"/>
            </w:tcBorders>
          </w:tcPr>
          <w:p>
            <w:pPr>
              <w:pStyle w:val="TableParagraph"/>
              <w:spacing w:before="14"/>
              <w:ind w:left="17"/>
              <w:jc w:val="left"/>
              <w:rPr>
                <w:sz w:val="14"/>
              </w:rPr>
            </w:pPr>
            <w:r>
              <w:rPr>
                <w:sz w:val="14"/>
              </w:rPr>
              <w:t>Cassa Tickets</w:t>
            </w:r>
          </w:p>
        </w:tc>
        <w:tc>
          <w:tcPr>
            <w:tcW w:w="903" w:type="dxa"/>
            <w:tcBorders>
              <w:top w:val="nil"/>
              <w:bottom w:val="nil"/>
            </w:tcBorders>
          </w:tcPr>
          <w:p>
            <w:pPr>
              <w:pStyle w:val="TableParagraph"/>
              <w:spacing w:before="14"/>
              <w:ind w:right="60"/>
              <w:rPr>
                <w:sz w:val="14"/>
              </w:rPr>
            </w:pPr>
            <w:r>
              <w:rPr>
                <w:sz w:val="14"/>
              </w:rPr>
              <w:t>433</w:t>
            </w:r>
          </w:p>
        </w:tc>
        <w:tc>
          <w:tcPr>
            <w:tcW w:w="699" w:type="dxa"/>
            <w:vMerge/>
          </w:tcPr>
          <w:p>
            <w:pPr/>
          </w:p>
        </w:tc>
        <w:tc>
          <w:tcPr>
            <w:tcW w:w="858" w:type="dxa"/>
            <w:tcBorders>
              <w:top w:val="nil"/>
              <w:bottom w:val="nil"/>
            </w:tcBorders>
          </w:tcPr>
          <w:p>
            <w:pPr>
              <w:pStyle w:val="TableParagraph"/>
              <w:spacing w:before="14"/>
              <w:ind w:right="60"/>
              <w:rPr>
                <w:sz w:val="14"/>
              </w:rPr>
            </w:pPr>
            <w:r>
              <w:rPr>
                <w:sz w:val="14"/>
              </w:rPr>
              <w:t>433</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433</w:t>
            </w:r>
          </w:p>
        </w:tc>
      </w:tr>
      <w:tr>
        <w:trPr>
          <w:trHeight w:val="186" w:hRule="exact"/>
        </w:trPr>
        <w:tc>
          <w:tcPr>
            <w:tcW w:w="788" w:type="dxa"/>
            <w:tcBorders>
              <w:top w:val="nil"/>
              <w:bottom w:val="nil"/>
            </w:tcBorders>
          </w:tcPr>
          <w:p>
            <w:pPr>
              <w:pStyle w:val="TableParagraph"/>
              <w:spacing w:before="14"/>
              <w:ind w:right="140"/>
              <w:rPr>
                <w:sz w:val="14"/>
              </w:rPr>
            </w:pPr>
            <w:r>
              <w:rPr>
                <w:sz w:val="14"/>
              </w:rPr>
              <w:t>2258010</w:t>
            </w:r>
          </w:p>
        </w:tc>
        <w:tc>
          <w:tcPr>
            <w:tcW w:w="3681" w:type="dxa"/>
            <w:tcBorders>
              <w:top w:val="nil"/>
              <w:bottom w:val="nil"/>
            </w:tcBorders>
          </w:tcPr>
          <w:p>
            <w:pPr>
              <w:pStyle w:val="TableParagraph"/>
              <w:spacing w:before="14"/>
              <w:ind w:left="17"/>
              <w:jc w:val="left"/>
              <w:rPr>
                <w:sz w:val="14"/>
              </w:rPr>
            </w:pPr>
            <w:r>
              <w:rPr>
                <w:sz w:val="14"/>
              </w:rPr>
              <w:t>Cassa EURO</w:t>
            </w:r>
          </w:p>
        </w:tc>
        <w:tc>
          <w:tcPr>
            <w:tcW w:w="903" w:type="dxa"/>
            <w:tcBorders>
              <w:top w:val="nil"/>
              <w:bottom w:val="nil"/>
            </w:tcBorders>
          </w:tcPr>
          <w:p>
            <w:pPr>
              <w:pStyle w:val="TableParagraph"/>
              <w:spacing w:before="14"/>
              <w:ind w:right="60"/>
              <w:rPr>
                <w:sz w:val="14"/>
              </w:rPr>
            </w:pPr>
            <w:r>
              <w:rPr>
                <w:sz w:val="14"/>
              </w:rPr>
              <w:t>1.163</w:t>
            </w:r>
          </w:p>
        </w:tc>
        <w:tc>
          <w:tcPr>
            <w:tcW w:w="699" w:type="dxa"/>
            <w:vMerge/>
          </w:tcPr>
          <w:p>
            <w:pPr/>
          </w:p>
        </w:tc>
        <w:tc>
          <w:tcPr>
            <w:tcW w:w="858" w:type="dxa"/>
            <w:tcBorders>
              <w:top w:val="nil"/>
              <w:bottom w:val="nil"/>
            </w:tcBorders>
          </w:tcPr>
          <w:p>
            <w:pPr>
              <w:pStyle w:val="TableParagraph"/>
              <w:spacing w:before="14"/>
              <w:ind w:right="60"/>
              <w:rPr>
                <w:sz w:val="14"/>
              </w:rPr>
            </w:pPr>
            <w:r>
              <w:rPr>
                <w:sz w:val="14"/>
              </w:rPr>
              <w:t>1.163</w:t>
            </w:r>
          </w:p>
        </w:tc>
        <w:tc>
          <w:tcPr>
            <w:tcW w:w="956" w:type="dxa"/>
            <w:vMerge/>
          </w:tcPr>
          <w:p>
            <w:pPr/>
          </w:p>
        </w:tc>
        <w:tc>
          <w:tcPr>
            <w:tcW w:w="1168" w:type="dxa"/>
            <w:tcBorders>
              <w:top w:val="nil"/>
              <w:bottom w:val="nil"/>
            </w:tcBorders>
          </w:tcPr>
          <w:p>
            <w:pPr>
              <w:pStyle w:val="TableParagraph"/>
              <w:spacing w:before="14"/>
              <w:ind w:right="60"/>
              <w:rPr>
                <w:sz w:val="14"/>
              </w:rPr>
            </w:pPr>
            <w:r>
              <w:rPr>
                <w:sz w:val="14"/>
              </w:rPr>
              <w:t>1.163</w:t>
            </w:r>
          </w:p>
        </w:tc>
      </w:tr>
      <w:tr>
        <w:trPr>
          <w:trHeight w:val="186" w:hRule="exact"/>
        </w:trPr>
        <w:tc>
          <w:tcPr>
            <w:tcW w:w="788" w:type="dxa"/>
            <w:tcBorders>
              <w:top w:val="nil"/>
              <w:bottom w:val="nil"/>
            </w:tcBorders>
          </w:tcPr>
          <w:p>
            <w:pPr>
              <w:pStyle w:val="TableParagraph"/>
              <w:spacing w:before="14"/>
              <w:ind w:right="140"/>
              <w:rPr>
                <w:sz w:val="14"/>
              </w:rPr>
            </w:pPr>
            <w:r>
              <w:rPr>
                <w:sz w:val="14"/>
              </w:rPr>
              <w:t>2258012</w:t>
            </w:r>
          </w:p>
        </w:tc>
        <w:tc>
          <w:tcPr>
            <w:tcW w:w="3681" w:type="dxa"/>
            <w:tcBorders>
              <w:top w:val="nil"/>
              <w:bottom w:val="nil"/>
            </w:tcBorders>
          </w:tcPr>
          <w:p>
            <w:pPr>
              <w:pStyle w:val="TableParagraph"/>
              <w:spacing w:before="14"/>
              <w:ind w:left="17"/>
              <w:jc w:val="left"/>
              <w:rPr>
                <w:sz w:val="14"/>
              </w:rPr>
            </w:pPr>
            <w:r>
              <w:rPr>
                <w:sz w:val="14"/>
              </w:rPr>
              <w:t>Cassa EURO 2</w:t>
            </w:r>
          </w:p>
        </w:tc>
        <w:tc>
          <w:tcPr>
            <w:tcW w:w="903" w:type="dxa"/>
            <w:tcBorders>
              <w:top w:val="nil"/>
              <w:bottom w:val="nil"/>
            </w:tcBorders>
          </w:tcPr>
          <w:p>
            <w:pPr>
              <w:pStyle w:val="TableParagraph"/>
              <w:spacing w:before="14"/>
              <w:ind w:right="60"/>
              <w:rPr>
                <w:sz w:val="14"/>
              </w:rPr>
            </w:pPr>
            <w:r>
              <w:rPr>
                <w:sz w:val="14"/>
              </w:rPr>
              <w:t>538</w:t>
            </w:r>
          </w:p>
        </w:tc>
        <w:tc>
          <w:tcPr>
            <w:tcW w:w="699" w:type="dxa"/>
            <w:vMerge/>
          </w:tcPr>
          <w:p>
            <w:pPr/>
          </w:p>
        </w:tc>
        <w:tc>
          <w:tcPr>
            <w:tcW w:w="858" w:type="dxa"/>
            <w:tcBorders>
              <w:top w:val="nil"/>
              <w:bottom w:val="nil"/>
            </w:tcBorders>
          </w:tcPr>
          <w:p>
            <w:pPr>
              <w:pStyle w:val="TableParagraph"/>
              <w:spacing w:before="14"/>
              <w:ind w:right="60"/>
              <w:rPr>
                <w:sz w:val="14"/>
              </w:rPr>
            </w:pPr>
            <w:r>
              <w:rPr>
                <w:sz w:val="14"/>
              </w:rPr>
              <w:t>538</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538</w:t>
            </w:r>
          </w:p>
        </w:tc>
      </w:tr>
      <w:tr>
        <w:trPr>
          <w:trHeight w:val="186" w:hRule="exact"/>
        </w:trPr>
        <w:tc>
          <w:tcPr>
            <w:tcW w:w="788" w:type="dxa"/>
            <w:tcBorders>
              <w:top w:val="nil"/>
              <w:bottom w:val="nil"/>
            </w:tcBorders>
          </w:tcPr>
          <w:p>
            <w:pPr>
              <w:pStyle w:val="TableParagraph"/>
              <w:spacing w:before="14"/>
              <w:ind w:right="140"/>
              <w:rPr>
                <w:sz w:val="14"/>
              </w:rPr>
            </w:pPr>
            <w:r>
              <w:rPr>
                <w:sz w:val="14"/>
              </w:rPr>
              <w:t>2258014</w:t>
            </w:r>
          </w:p>
        </w:tc>
        <w:tc>
          <w:tcPr>
            <w:tcW w:w="3681" w:type="dxa"/>
            <w:tcBorders>
              <w:top w:val="nil"/>
              <w:bottom w:val="nil"/>
            </w:tcBorders>
          </w:tcPr>
          <w:p>
            <w:pPr>
              <w:pStyle w:val="TableParagraph"/>
              <w:spacing w:before="14"/>
              <w:ind w:left="17"/>
              <w:jc w:val="left"/>
              <w:rPr>
                <w:sz w:val="14"/>
              </w:rPr>
            </w:pPr>
            <w:r>
              <w:rPr>
                <w:sz w:val="14"/>
              </w:rPr>
              <w:t>Cassa EURO 3</w:t>
            </w:r>
          </w:p>
        </w:tc>
        <w:tc>
          <w:tcPr>
            <w:tcW w:w="903" w:type="dxa"/>
            <w:tcBorders>
              <w:top w:val="nil"/>
              <w:bottom w:val="nil"/>
            </w:tcBorders>
          </w:tcPr>
          <w:p>
            <w:pPr>
              <w:pStyle w:val="TableParagraph"/>
              <w:spacing w:before="14"/>
              <w:ind w:right="60"/>
              <w:rPr>
                <w:sz w:val="14"/>
              </w:rPr>
            </w:pPr>
            <w:r>
              <w:rPr>
                <w:sz w:val="14"/>
              </w:rPr>
              <w:t>397</w:t>
            </w:r>
          </w:p>
        </w:tc>
        <w:tc>
          <w:tcPr>
            <w:tcW w:w="699" w:type="dxa"/>
            <w:vMerge/>
          </w:tcPr>
          <w:p>
            <w:pPr/>
          </w:p>
        </w:tc>
        <w:tc>
          <w:tcPr>
            <w:tcW w:w="858" w:type="dxa"/>
            <w:tcBorders>
              <w:top w:val="nil"/>
              <w:bottom w:val="nil"/>
            </w:tcBorders>
          </w:tcPr>
          <w:p>
            <w:pPr>
              <w:pStyle w:val="TableParagraph"/>
              <w:spacing w:before="14"/>
              <w:ind w:right="60"/>
              <w:rPr>
                <w:sz w:val="14"/>
              </w:rPr>
            </w:pPr>
            <w:r>
              <w:rPr>
                <w:sz w:val="14"/>
              </w:rPr>
              <w:t>397</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397</w:t>
            </w:r>
          </w:p>
        </w:tc>
      </w:tr>
      <w:tr>
        <w:trPr>
          <w:trHeight w:val="186" w:hRule="exact"/>
        </w:trPr>
        <w:tc>
          <w:tcPr>
            <w:tcW w:w="788" w:type="dxa"/>
            <w:tcBorders>
              <w:top w:val="nil"/>
              <w:bottom w:val="nil"/>
            </w:tcBorders>
          </w:tcPr>
          <w:p>
            <w:pPr>
              <w:pStyle w:val="TableParagraph"/>
              <w:spacing w:before="14"/>
              <w:ind w:right="140"/>
              <w:rPr>
                <w:sz w:val="14"/>
              </w:rPr>
            </w:pPr>
            <w:r>
              <w:rPr>
                <w:sz w:val="14"/>
              </w:rPr>
              <w:t>2258032</w:t>
            </w:r>
          </w:p>
        </w:tc>
        <w:tc>
          <w:tcPr>
            <w:tcW w:w="3681" w:type="dxa"/>
            <w:tcBorders>
              <w:top w:val="nil"/>
              <w:bottom w:val="nil"/>
            </w:tcBorders>
          </w:tcPr>
          <w:p>
            <w:pPr>
              <w:pStyle w:val="TableParagraph"/>
              <w:spacing w:before="14"/>
              <w:ind w:left="17"/>
              <w:jc w:val="left"/>
              <w:rPr>
                <w:sz w:val="14"/>
              </w:rPr>
            </w:pPr>
            <w:r>
              <w:rPr>
                <w:sz w:val="14"/>
              </w:rPr>
              <w:t>Cassa Dollari USA 2</w:t>
            </w:r>
          </w:p>
        </w:tc>
        <w:tc>
          <w:tcPr>
            <w:tcW w:w="903" w:type="dxa"/>
            <w:tcBorders>
              <w:top w:val="nil"/>
              <w:bottom w:val="nil"/>
            </w:tcBorders>
          </w:tcPr>
          <w:p>
            <w:pPr>
              <w:pStyle w:val="TableParagraph"/>
              <w:spacing w:before="14"/>
              <w:ind w:right="60"/>
              <w:rPr>
                <w:sz w:val="14"/>
              </w:rPr>
            </w:pPr>
            <w:r>
              <w:rPr>
                <w:sz w:val="14"/>
              </w:rPr>
              <w:t>599</w:t>
            </w:r>
          </w:p>
        </w:tc>
        <w:tc>
          <w:tcPr>
            <w:tcW w:w="699" w:type="dxa"/>
            <w:vMerge/>
          </w:tcPr>
          <w:p>
            <w:pPr/>
          </w:p>
        </w:tc>
        <w:tc>
          <w:tcPr>
            <w:tcW w:w="858" w:type="dxa"/>
            <w:tcBorders>
              <w:top w:val="nil"/>
              <w:bottom w:val="nil"/>
            </w:tcBorders>
          </w:tcPr>
          <w:p>
            <w:pPr>
              <w:pStyle w:val="TableParagraph"/>
              <w:spacing w:before="14"/>
              <w:ind w:right="60"/>
              <w:rPr>
                <w:sz w:val="14"/>
              </w:rPr>
            </w:pPr>
            <w:r>
              <w:rPr>
                <w:sz w:val="14"/>
              </w:rPr>
              <w:t>599</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599</w:t>
            </w:r>
          </w:p>
        </w:tc>
      </w:tr>
      <w:tr>
        <w:trPr>
          <w:trHeight w:val="186" w:hRule="exact"/>
        </w:trPr>
        <w:tc>
          <w:tcPr>
            <w:tcW w:w="788" w:type="dxa"/>
            <w:tcBorders>
              <w:top w:val="nil"/>
              <w:bottom w:val="nil"/>
            </w:tcBorders>
          </w:tcPr>
          <w:p>
            <w:pPr>
              <w:pStyle w:val="TableParagraph"/>
              <w:spacing w:before="14"/>
              <w:ind w:right="140"/>
              <w:rPr>
                <w:sz w:val="14"/>
              </w:rPr>
            </w:pPr>
            <w:r>
              <w:rPr>
                <w:sz w:val="14"/>
              </w:rPr>
              <w:t>2258050</w:t>
            </w:r>
          </w:p>
        </w:tc>
        <w:tc>
          <w:tcPr>
            <w:tcW w:w="3681" w:type="dxa"/>
            <w:tcBorders>
              <w:top w:val="nil"/>
              <w:bottom w:val="nil"/>
            </w:tcBorders>
          </w:tcPr>
          <w:p>
            <w:pPr>
              <w:pStyle w:val="TableParagraph"/>
              <w:spacing w:before="14"/>
              <w:ind w:left="17"/>
              <w:jc w:val="left"/>
              <w:rPr>
                <w:sz w:val="14"/>
              </w:rPr>
            </w:pPr>
            <w:r>
              <w:rPr>
                <w:sz w:val="14"/>
              </w:rPr>
              <w:t>Cassa Sterline Inglesi</w:t>
            </w:r>
          </w:p>
        </w:tc>
        <w:tc>
          <w:tcPr>
            <w:tcW w:w="903" w:type="dxa"/>
            <w:tcBorders>
              <w:top w:val="nil"/>
              <w:bottom w:val="nil"/>
            </w:tcBorders>
          </w:tcPr>
          <w:p>
            <w:pPr>
              <w:pStyle w:val="TableParagraph"/>
              <w:spacing w:before="14"/>
              <w:ind w:right="60"/>
              <w:rPr>
                <w:sz w:val="14"/>
              </w:rPr>
            </w:pPr>
            <w:r>
              <w:rPr>
                <w:sz w:val="14"/>
              </w:rPr>
              <w:t>79</w:t>
            </w:r>
          </w:p>
        </w:tc>
        <w:tc>
          <w:tcPr>
            <w:tcW w:w="699" w:type="dxa"/>
            <w:vMerge/>
          </w:tcPr>
          <w:p>
            <w:pPr/>
          </w:p>
        </w:tc>
        <w:tc>
          <w:tcPr>
            <w:tcW w:w="858" w:type="dxa"/>
            <w:tcBorders>
              <w:top w:val="nil"/>
              <w:bottom w:val="nil"/>
            </w:tcBorders>
          </w:tcPr>
          <w:p>
            <w:pPr>
              <w:pStyle w:val="TableParagraph"/>
              <w:spacing w:before="14"/>
              <w:ind w:right="59"/>
              <w:rPr>
                <w:sz w:val="14"/>
              </w:rPr>
            </w:pPr>
            <w:r>
              <w:rPr>
                <w:sz w:val="14"/>
              </w:rPr>
              <w:t>79</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79</w:t>
            </w:r>
          </w:p>
        </w:tc>
      </w:tr>
      <w:tr>
        <w:trPr>
          <w:trHeight w:val="186" w:hRule="exact"/>
        </w:trPr>
        <w:tc>
          <w:tcPr>
            <w:tcW w:w="788" w:type="dxa"/>
            <w:tcBorders>
              <w:top w:val="nil"/>
              <w:bottom w:val="nil"/>
            </w:tcBorders>
          </w:tcPr>
          <w:p>
            <w:pPr>
              <w:pStyle w:val="TableParagraph"/>
              <w:spacing w:before="14"/>
              <w:ind w:right="140"/>
              <w:rPr>
                <w:sz w:val="14"/>
              </w:rPr>
            </w:pPr>
            <w:r>
              <w:rPr>
                <w:sz w:val="14"/>
              </w:rPr>
              <w:t>2258070</w:t>
            </w:r>
          </w:p>
        </w:tc>
        <w:tc>
          <w:tcPr>
            <w:tcW w:w="3681" w:type="dxa"/>
            <w:tcBorders>
              <w:top w:val="nil"/>
              <w:bottom w:val="nil"/>
            </w:tcBorders>
          </w:tcPr>
          <w:p>
            <w:pPr>
              <w:pStyle w:val="TableParagraph"/>
              <w:spacing w:before="14"/>
              <w:ind w:left="17"/>
              <w:jc w:val="left"/>
              <w:rPr>
                <w:sz w:val="14"/>
              </w:rPr>
            </w:pPr>
            <w:r>
              <w:rPr>
                <w:sz w:val="14"/>
              </w:rPr>
              <w:t>Cassa  Real Brasiliani</w:t>
            </w:r>
          </w:p>
        </w:tc>
        <w:tc>
          <w:tcPr>
            <w:tcW w:w="903" w:type="dxa"/>
            <w:tcBorders>
              <w:top w:val="nil"/>
              <w:bottom w:val="nil"/>
            </w:tcBorders>
          </w:tcPr>
          <w:p>
            <w:pPr>
              <w:pStyle w:val="TableParagraph"/>
              <w:spacing w:before="14"/>
              <w:ind w:right="60"/>
              <w:rPr>
                <w:sz w:val="14"/>
              </w:rPr>
            </w:pPr>
            <w:r>
              <w:rPr>
                <w:sz w:val="14"/>
              </w:rPr>
              <w:t>139</w:t>
            </w:r>
          </w:p>
        </w:tc>
        <w:tc>
          <w:tcPr>
            <w:tcW w:w="699" w:type="dxa"/>
            <w:vMerge/>
          </w:tcPr>
          <w:p>
            <w:pPr/>
          </w:p>
        </w:tc>
        <w:tc>
          <w:tcPr>
            <w:tcW w:w="858" w:type="dxa"/>
            <w:tcBorders>
              <w:top w:val="nil"/>
              <w:bottom w:val="nil"/>
            </w:tcBorders>
          </w:tcPr>
          <w:p>
            <w:pPr>
              <w:pStyle w:val="TableParagraph"/>
              <w:spacing w:before="14"/>
              <w:ind w:right="60"/>
              <w:rPr>
                <w:sz w:val="14"/>
              </w:rPr>
            </w:pPr>
            <w:r>
              <w:rPr>
                <w:sz w:val="14"/>
              </w:rPr>
              <w:t>139</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139</w:t>
            </w:r>
          </w:p>
        </w:tc>
      </w:tr>
      <w:tr>
        <w:trPr>
          <w:trHeight w:val="186" w:hRule="exact"/>
        </w:trPr>
        <w:tc>
          <w:tcPr>
            <w:tcW w:w="788" w:type="dxa"/>
            <w:tcBorders>
              <w:top w:val="nil"/>
              <w:bottom w:val="nil"/>
            </w:tcBorders>
          </w:tcPr>
          <w:p>
            <w:pPr>
              <w:pStyle w:val="TableParagraph"/>
              <w:spacing w:before="14"/>
              <w:ind w:right="140"/>
              <w:rPr>
                <w:sz w:val="14"/>
              </w:rPr>
            </w:pPr>
            <w:r>
              <w:rPr>
                <w:sz w:val="14"/>
              </w:rPr>
              <w:t>2258120</w:t>
            </w:r>
          </w:p>
        </w:tc>
        <w:tc>
          <w:tcPr>
            <w:tcW w:w="3681" w:type="dxa"/>
            <w:tcBorders>
              <w:top w:val="nil"/>
              <w:bottom w:val="nil"/>
            </w:tcBorders>
          </w:tcPr>
          <w:p>
            <w:pPr>
              <w:pStyle w:val="TableParagraph"/>
              <w:spacing w:before="14"/>
              <w:ind w:left="17"/>
              <w:jc w:val="left"/>
              <w:rPr>
                <w:sz w:val="14"/>
              </w:rPr>
            </w:pPr>
            <w:r>
              <w:rPr>
                <w:sz w:val="14"/>
              </w:rPr>
              <w:t>Cassa Peso Cubano</w:t>
            </w:r>
          </w:p>
        </w:tc>
        <w:tc>
          <w:tcPr>
            <w:tcW w:w="903" w:type="dxa"/>
            <w:tcBorders>
              <w:top w:val="nil"/>
              <w:bottom w:val="nil"/>
            </w:tcBorders>
          </w:tcPr>
          <w:p>
            <w:pPr>
              <w:pStyle w:val="TableParagraph"/>
              <w:spacing w:before="14"/>
              <w:ind w:right="60"/>
              <w:rPr>
                <w:sz w:val="14"/>
              </w:rPr>
            </w:pPr>
            <w:r>
              <w:rPr>
                <w:sz w:val="14"/>
              </w:rPr>
              <w:t>23</w:t>
            </w:r>
          </w:p>
        </w:tc>
        <w:tc>
          <w:tcPr>
            <w:tcW w:w="699" w:type="dxa"/>
            <w:vMerge/>
          </w:tcPr>
          <w:p>
            <w:pPr/>
          </w:p>
        </w:tc>
        <w:tc>
          <w:tcPr>
            <w:tcW w:w="858" w:type="dxa"/>
            <w:tcBorders>
              <w:top w:val="nil"/>
              <w:bottom w:val="nil"/>
            </w:tcBorders>
          </w:tcPr>
          <w:p>
            <w:pPr>
              <w:pStyle w:val="TableParagraph"/>
              <w:spacing w:before="14"/>
              <w:ind w:right="59"/>
              <w:rPr>
                <w:b/>
                <w:sz w:val="14"/>
              </w:rPr>
            </w:pPr>
            <w:r>
              <w:rPr>
                <w:b/>
                <w:sz w:val="14"/>
              </w:rPr>
              <w:t>23</w:t>
            </w:r>
          </w:p>
        </w:tc>
        <w:tc>
          <w:tcPr>
            <w:tcW w:w="956" w:type="dxa"/>
            <w:vMerge/>
          </w:tcPr>
          <w:p>
            <w:pPr/>
          </w:p>
        </w:tc>
        <w:tc>
          <w:tcPr>
            <w:tcW w:w="1168" w:type="dxa"/>
            <w:tcBorders>
              <w:top w:val="nil"/>
              <w:bottom w:val="nil"/>
            </w:tcBorders>
          </w:tcPr>
          <w:p>
            <w:pPr>
              <w:pStyle w:val="TableParagraph"/>
              <w:spacing w:before="14"/>
              <w:ind w:right="59"/>
              <w:rPr>
                <w:b/>
                <w:sz w:val="14"/>
              </w:rPr>
            </w:pPr>
            <w:r>
              <w:rPr>
                <w:b/>
                <w:sz w:val="14"/>
              </w:rPr>
              <w:t>23</w:t>
            </w:r>
          </w:p>
        </w:tc>
      </w:tr>
      <w:tr>
        <w:trPr>
          <w:trHeight w:val="186" w:hRule="exact"/>
        </w:trPr>
        <w:tc>
          <w:tcPr>
            <w:tcW w:w="788" w:type="dxa"/>
            <w:tcBorders>
              <w:top w:val="nil"/>
              <w:bottom w:val="nil"/>
            </w:tcBorders>
          </w:tcPr>
          <w:p>
            <w:pPr>
              <w:pStyle w:val="TableParagraph"/>
              <w:spacing w:before="14"/>
              <w:ind w:right="140"/>
              <w:rPr>
                <w:sz w:val="14"/>
              </w:rPr>
            </w:pPr>
            <w:r>
              <w:rPr>
                <w:sz w:val="14"/>
              </w:rPr>
              <w:t>2260000</w:t>
            </w:r>
          </w:p>
        </w:tc>
        <w:tc>
          <w:tcPr>
            <w:tcW w:w="3681" w:type="dxa"/>
            <w:tcBorders>
              <w:top w:val="nil"/>
              <w:bottom w:val="nil"/>
            </w:tcBorders>
          </w:tcPr>
          <w:p>
            <w:pPr>
              <w:pStyle w:val="TableParagraph"/>
              <w:spacing w:before="14"/>
              <w:ind w:left="17"/>
              <w:jc w:val="left"/>
              <w:rPr>
                <w:sz w:val="14"/>
              </w:rPr>
            </w:pPr>
            <w:r>
              <w:rPr>
                <w:sz w:val="14"/>
              </w:rPr>
              <w:t>Banca IFIS (Mestre)  - Ordinario  EURO</w:t>
            </w:r>
          </w:p>
        </w:tc>
        <w:tc>
          <w:tcPr>
            <w:tcW w:w="903" w:type="dxa"/>
            <w:tcBorders>
              <w:top w:val="nil"/>
              <w:bottom w:val="nil"/>
            </w:tcBorders>
          </w:tcPr>
          <w:p>
            <w:pPr>
              <w:pStyle w:val="TableParagraph"/>
              <w:spacing w:before="14"/>
              <w:ind w:right="60"/>
              <w:rPr>
                <w:sz w:val="14"/>
              </w:rPr>
            </w:pPr>
            <w:r>
              <w:rPr>
                <w:sz w:val="14"/>
              </w:rPr>
              <w:t>884</w:t>
            </w:r>
          </w:p>
        </w:tc>
        <w:tc>
          <w:tcPr>
            <w:tcW w:w="699" w:type="dxa"/>
            <w:vMerge/>
          </w:tcPr>
          <w:p>
            <w:pPr/>
          </w:p>
        </w:tc>
        <w:tc>
          <w:tcPr>
            <w:tcW w:w="858" w:type="dxa"/>
            <w:tcBorders>
              <w:top w:val="nil"/>
              <w:bottom w:val="nil"/>
            </w:tcBorders>
          </w:tcPr>
          <w:p>
            <w:pPr>
              <w:pStyle w:val="TableParagraph"/>
              <w:spacing w:before="14"/>
              <w:ind w:right="60"/>
              <w:rPr>
                <w:sz w:val="14"/>
              </w:rPr>
            </w:pPr>
            <w:r>
              <w:rPr>
                <w:sz w:val="14"/>
              </w:rPr>
              <w:t>884</w:t>
            </w:r>
          </w:p>
        </w:tc>
        <w:tc>
          <w:tcPr>
            <w:tcW w:w="956" w:type="dxa"/>
            <w:vMerge/>
          </w:tcPr>
          <w:p>
            <w:pPr/>
          </w:p>
        </w:tc>
        <w:tc>
          <w:tcPr>
            <w:tcW w:w="1168" w:type="dxa"/>
            <w:tcBorders>
              <w:top w:val="nil"/>
              <w:bottom w:val="nil"/>
            </w:tcBorders>
          </w:tcPr>
          <w:p>
            <w:pPr>
              <w:pStyle w:val="TableParagraph"/>
              <w:spacing w:before="14"/>
              <w:ind w:right="59"/>
              <w:rPr>
                <w:sz w:val="14"/>
              </w:rPr>
            </w:pPr>
            <w:r>
              <w:rPr>
                <w:sz w:val="14"/>
              </w:rPr>
              <w:t>884</w:t>
            </w:r>
          </w:p>
        </w:tc>
      </w:tr>
      <w:tr>
        <w:trPr>
          <w:trHeight w:val="171" w:hRule="exact"/>
        </w:trPr>
        <w:tc>
          <w:tcPr>
            <w:tcW w:w="788" w:type="dxa"/>
            <w:tcBorders>
              <w:top w:val="nil"/>
            </w:tcBorders>
          </w:tcPr>
          <w:p>
            <w:pPr>
              <w:pStyle w:val="TableParagraph"/>
              <w:spacing w:before="14"/>
              <w:ind w:right="140"/>
              <w:rPr>
                <w:sz w:val="14"/>
              </w:rPr>
            </w:pPr>
            <w:r>
              <w:rPr>
                <w:sz w:val="14"/>
              </w:rPr>
              <w:t>2260600</w:t>
            </w:r>
          </w:p>
        </w:tc>
        <w:tc>
          <w:tcPr>
            <w:tcW w:w="3681" w:type="dxa"/>
            <w:tcBorders>
              <w:top w:val="nil"/>
            </w:tcBorders>
          </w:tcPr>
          <w:p>
            <w:pPr>
              <w:pStyle w:val="TableParagraph"/>
              <w:spacing w:before="14"/>
              <w:ind w:left="17"/>
              <w:jc w:val="left"/>
              <w:rPr>
                <w:sz w:val="14"/>
              </w:rPr>
            </w:pPr>
            <w:r>
              <w:rPr>
                <w:sz w:val="14"/>
              </w:rPr>
              <w:t>Banco Desio (Tortona)  - Ordinario EURO</w:t>
            </w:r>
          </w:p>
        </w:tc>
        <w:tc>
          <w:tcPr>
            <w:tcW w:w="903" w:type="dxa"/>
            <w:tcBorders>
              <w:top w:val="nil"/>
            </w:tcBorders>
          </w:tcPr>
          <w:p>
            <w:pPr>
              <w:pStyle w:val="TableParagraph"/>
              <w:spacing w:before="14"/>
              <w:ind w:right="60"/>
              <w:rPr>
                <w:sz w:val="14"/>
              </w:rPr>
            </w:pPr>
            <w:r>
              <w:rPr>
                <w:sz w:val="14"/>
              </w:rPr>
              <w:t>339.005</w:t>
            </w:r>
          </w:p>
        </w:tc>
        <w:tc>
          <w:tcPr>
            <w:tcW w:w="699" w:type="dxa"/>
            <w:vMerge/>
            <w:tcBorders>
              <w:bottom w:val="nil"/>
            </w:tcBorders>
          </w:tcPr>
          <w:p>
            <w:pPr/>
          </w:p>
        </w:tc>
        <w:tc>
          <w:tcPr>
            <w:tcW w:w="858" w:type="dxa"/>
            <w:tcBorders>
              <w:top w:val="nil"/>
              <w:bottom w:val="nil"/>
            </w:tcBorders>
          </w:tcPr>
          <w:p>
            <w:pPr>
              <w:pStyle w:val="TableParagraph"/>
              <w:spacing w:before="14"/>
              <w:ind w:right="60"/>
              <w:rPr>
                <w:sz w:val="14"/>
              </w:rPr>
            </w:pPr>
            <w:r>
              <w:rPr>
                <w:sz w:val="14"/>
              </w:rPr>
              <w:t>339.005</w:t>
            </w:r>
          </w:p>
        </w:tc>
        <w:tc>
          <w:tcPr>
            <w:tcW w:w="956" w:type="dxa"/>
            <w:vMerge/>
            <w:tcBorders>
              <w:bottom w:val="nil"/>
            </w:tcBorders>
          </w:tcPr>
          <w:p>
            <w:pPr/>
          </w:p>
        </w:tc>
        <w:tc>
          <w:tcPr>
            <w:tcW w:w="1168" w:type="dxa"/>
            <w:tcBorders>
              <w:top w:val="nil"/>
              <w:bottom w:val="nil"/>
            </w:tcBorders>
          </w:tcPr>
          <w:p>
            <w:pPr>
              <w:pStyle w:val="TableParagraph"/>
              <w:spacing w:before="14"/>
              <w:ind w:right="60"/>
              <w:rPr>
                <w:sz w:val="14"/>
              </w:rPr>
            </w:pPr>
            <w:r>
              <w:rPr>
                <w:sz w:val="14"/>
              </w:rPr>
              <w:t>339.005</w:t>
            </w:r>
          </w:p>
        </w:tc>
      </w:tr>
      <w:tr>
        <w:trPr>
          <w:trHeight w:val="190" w:hRule="exact"/>
        </w:trPr>
        <w:tc>
          <w:tcPr>
            <w:tcW w:w="4469" w:type="dxa"/>
            <w:gridSpan w:val="2"/>
            <w:shd w:val="clear" w:color="auto" w:fill="BEBEBE"/>
          </w:tcPr>
          <w:p>
            <w:pPr>
              <w:pStyle w:val="TableParagraph"/>
              <w:spacing w:before="16"/>
              <w:ind w:left="17"/>
              <w:jc w:val="left"/>
              <w:rPr>
                <w:b/>
                <w:sz w:val="14"/>
              </w:rPr>
            </w:pPr>
            <w:r>
              <w:rPr>
                <w:b/>
                <w:sz w:val="14"/>
              </w:rPr>
              <w:t>Totale disponibilità liquide</w:t>
            </w:r>
          </w:p>
        </w:tc>
        <w:tc>
          <w:tcPr>
            <w:tcW w:w="903" w:type="dxa"/>
            <w:shd w:val="clear" w:color="auto" w:fill="BEBEBE"/>
          </w:tcPr>
          <w:p>
            <w:pPr>
              <w:pStyle w:val="TableParagraph"/>
              <w:spacing w:before="25"/>
              <w:ind w:right="65"/>
              <w:rPr>
                <w:b/>
                <w:sz w:val="14"/>
              </w:rPr>
            </w:pPr>
            <w:r>
              <w:rPr>
                <w:b/>
                <w:sz w:val="14"/>
              </w:rPr>
              <w:t>1.125.467</w:t>
            </w:r>
          </w:p>
        </w:tc>
        <w:tc>
          <w:tcPr>
            <w:tcW w:w="699" w:type="dxa"/>
            <w:tcBorders>
              <w:top w:val="nil"/>
            </w:tcBorders>
            <w:shd w:val="clear" w:color="auto" w:fill="BEBEBE"/>
          </w:tcPr>
          <w:p>
            <w:pPr>
              <w:pStyle w:val="TableParagraph"/>
              <w:spacing w:before="29"/>
              <w:ind w:left="442"/>
              <w:jc w:val="left"/>
              <w:rPr>
                <w:b/>
                <w:sz w:val="14"/>
              </w:rPr>
            </w:pPr>
            <w:r>
              <w:rPr>
                <w:b/>
                <w:w w:val="101"/>
                <w:sz w:val="14"/>
              </w:rPr>
              <w:t>-</w:t>
            </w:r>
          </w:p>
        </w:tc>
        <w:tc>
          <w:tcPr>
            <w:tcW w:w="858" w:type="dxa"/>
            <w:tcBorders>
              <w:top w:val="nil"/>
            </w:tcBorders>
            <w:shd w:val="clear" w:color="auto" w:fill="BEBEBE"/>
          </w:tcPr>
          <w:p>
            <w:pPr>
              <w:pStyle w:val="TableParagraph"/>
              <w:spacing w:before="29"/>
              <w:ind w:right="65"/>
              <w:rPr>
                <w:b/>
                <w:sz w:val="14"/>
              </w:rPr>
            </w:pPr>
            <w:r>
              <w:rPr>
                <w:b/>
                <w:sz w:val="14"/>
              </w:rPr>
              <w:t>1.125.467</w:t>
            </w:r>
          </w:p>
        </w:tc>
        <w:tc>
          <w:tcPr>
            <w:tcW w:w="956" w:type="dxa"/>
            <w:tcBorders>
              <w:top w:val="nil"/>
            </w:tcBorders>
            <w:shd w:val="clear" w:color="auto" w:fill="BEBEBE"/>
          </w:tcPr>
          <w:p>
            <w:pPr>
              <w:pStyle w:val="TableParagraph"/>
              <w:spacing w:before="29"/>
              <w:ind w:right="198"/>
              <w:rPr>
                <w:b/>
                <w:sz w:val="14"/>
              </w:rPr>
            </w:pPr>
            <w:r>
              <w:rPr>
                <w:b/>
                <w:w w:val="101"/>
                <w:sz w:val="14"/>
              </w:rPr>
              <w:t>-</w:t>
            </w:r>
          </w:p>
        </w:tc>
        <w:tc>
          <w:tcPr>
            <w:tcW w:w="1168" w:type="dxa"/>
            <w:tcBorders>
              <w:top w:val="nil"/>
            </w:tcBorders>
            <w:shd w:val="clear" w:color="auto" w:fill="BEBEBE"/>
          </w:tcPr>
          <w:p>
            <w:pPr>
              <w:pStyle w:val="TableParagraph"/>
              <w:spacing w:before="29"/>
              <w:ind w:right="65"/>
              <w:rPr>
                <w:b/>
                <w:sz w:val="14"/>
              </w:rPr>
            </w:pPr>
            <w:r>
              <w:rPr>
                <w:b/>
                <w:sz w:val="14"/>
              </w:rPr>
              <w:t>1.125.467</w:t>
            </w:r>
          </w:p>
        </w:tc>
      </w:tr>
    </w:tbl>
    <w:p>
      <w:pPr>
        <w:pStyle w:val="BodyText"/>
        <w:rPr>
          <w:sz w:val="20"/>
        </w:rPr>
      </w:pPr>
    </w:p>
    <w:p>
      <w:pPr>
        <w:pStyle w:val="BodyText"/>
        <w:spacing w:before="10"/>
        <w:rPr>
          <w:sz w:val="20"/>
        </w:rPr>
      </w:pPr>
    </w:p>
    <w:p>
      <w:pPr>
        <w:pStyle w:val="BodyText"/>
        <w:ind w:left="1418"/>
      </w:pPr>
      <w:r>
        <w:rPr/>
        <w:t>Per l’analisi dei flussi di cassa si rimanda al capitolo 5 “La Fattiblità del Piano”.</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Attività svolta</w:t>
      </w:r>
    </w:p>
    <w:p>
      <w:pPr>
        <w:pStyle w:val="BodyText"/>
        <w:spacing w:before="11"/>
        <w:rPr>
          <w:sz w:val="23"/>
        </w:rPr>
      </w:pPr>
    </w:p>
    <w:p>
      <w:pPr>
        <w:pStyle w:val="BodyText"/>
        <w:spacing w:line="480" w:lineRule="auto"/>
        <w:ind w:left="1418" w:right="1412"/>
        <w:jc w:val="both"/>
      </w:pPr>
      <w:r>
        <w:rPr/>
        <w:t>La Società ha provveduto ad inviare le lettere di circolarizzazione agli istituti bancari, e gli scriventi hanno preso visione degli estratti conto bancari, della Centrale rischi e delle riconciliazioni effettuate dalla Società con il supporto di Deloitte. Gli scriventi hanno altresì preso atto degli esiti delle attività svolte da Deloitte circa la verifica delle riconciliazioni bancarie e la verifica delle risposte alle circolarizzazioni consegnateci dalla società</w:t>
      </w:r>
      <w:r>
        <w:rPr>
          <w:spacing w:val="-40"/>
        </w:rPr>
        <w:t> </w:t>
      </w:r>
      <w:r>
        <w:rPr/>
        <w:t>Biochemtex.</w:t>
      </w:r>
    </w:p>
    <w:p>
      <w:pPr>
        <w:pStyle w:val="BodyText"/>
        <w:ind w:left="1418"/>
        <w:jc w:val="both"/>
      </w:pPr>
      <w:r>
        <w:rPr/>
        <w:t>Di seguito si riporta la tabella di riepilogo:</w:t>
      </w:r>
    </w:p>
    <w:p>
      <w:pPr>
        <w:pStyle w:val="BodyText"/>
        <w:rPr>
          <w:sz w:val="20"/>
        </w:rPr>
      </w:pPr>
    </w:p>
    <w:p>
      <w:pPr>
        <w:pStyle w:val="BodyText"/>
        <w:spacing w:before="10"/>
        <w:rPr>
          <w:sz w:val="19"/>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85"/>
        <w:gridCol w:w="3582"/>
        <w:gridCol w:w="1136"/>
        <w:gridCol w:w="568"/>
        <w:gridCol w:w="1257"/>
        <w:gridCol w:w="827"/>
        <w:gridCol w:w="1154"/>
      </w:tblGrid>
      <w:tr>
        <w:trPr>
          <w:trHeight w:val="388" w:hRule="exact"/>
        </w:trPr>
        <w:tc>
          <w:tcPr>
            <w:tcW w:w="585" w:type="dxa"/>
            <w:tcBorders>
              <w:left w:val="single" w:sz="3" w:space="0" w:color="000000"/>
              <w:bottom w:val="single" w:sz="3" w:space="0" w:color="000000"/>
              <w:right w:val="single" w:sz="3" w:space="0" w:color="000000"/>
            </w:tcBorders>
            <w:shd w:val="clear" w:color="auto" w:fill="85BB24"/>
          </w:tcPr>
          <w:p>
            <w:pPr>
              <w:pStyle w:val="TableParagraph"/>
              <w:spacing w:before="8"/>
              <w:jc w:val="left"/>
              <w:rPr>
                <w:sz w:val="11"/>
              </w:rPr>
            </w:pPr>
          </w:p>
          <w:p>
            <w:pPr>
              <w:pStyle w:val="TableParagraph"/>
              <w:spacing w:before="0"/>
              <w:ind w:left="25"/>
              <w:jc w:val="left"/>
              <w:rPr>
                <w:rFonts w:ascii="Verdana"/>
                <w:b/>
                <w:sz w:val="10"/>
              </w:rPr>
            </w:pPr>
            <w:r>
              <w:rPr>
                <w:rFonts w:ascii="Verdana"/>
                <w:b/>
                <w:color w:val="FFFFFF"/>
                <w:w w:val="105"/>
                <w:sz w:val="10"/>
              </w:rPr>
              <w:t>Co.ge</w:t>
            </w:r>
          </w:p>
        </w:tc>
        <w:tc>
          <w:tcPr>
            <w:tcW w:w="3582" w:type="dxa"/>
            <w:tcBorders>
              <w:left w:val="single" w:sz="3" w:space="0" w:color="000000"/>
              <w:bottom w:val="single" w:sz="3" w:space="0" w:color="000000"/>
              <w:right w:val="single" w:sz="3" w:space="0" w:color="000000"/>
            </w:tcBorders>
            <w:shd w:val="clear" w:color="auto" w:fill="85BB24"/>
          </w:tcPr>
          <w:p>
            <w:pPr>
              <w:pStyle w:val="TableParagraph"/>
              <w:spacing w:before="8"/>
              <w:jc w:val="left"/>
              <w:rPr>
                <w:sz w:val="11"/>
              </w:rPr>
            </w:pPr>
          </w:p>
          <w:p>
            <w:pPr>
              <w:pStyle w:val="TableParagraph"/>
              <w:spacing w:before="0"/>
              <w:ind w:left="1554" w:right="1546"/>
              <w:jc w:val="center"/>
              <w:rPr>
                <w:rFonts w:ascii="Verdana"/>
                <w:b/>
                <w:sz w:val="10"/>
              </w:rPr>
            </w:pPr>
            <w:r>
              <w:rPr>
                <w:rFonts w:ascii="Verdana"/>
                <w:b/>
                <w:color w:val="FFFFFF"/>
                <w:w w:val="105"/>
                <w:sz w:val="10"/>
              </w:rPr>
              <w:t>Banche</w:t>
            </w:r>
          </w:p>
        </w:tc>
        <w:tc>
          <w:tcPr>
            <w:tcW w:w="1136" w:type="dxa"/>
            <w:tcBorders>
              <w:left w:val="single" w:sz="3" w:space="0" w:color="000000"/>
              <w:bottom w:val="single" w:sz="3" w:space="0" w:color="000000"/>
              <w:right w:val="single" w:sz="3" w:space="0" w:color="000000"/>
            </w:tcBorders>
            <w:shd w:val="clear" w:color="auto" w:fill="85BB24"/>
          </w:tcPr>
          <w:p>
            <w:pPr>
              <w:pStyle w:val="TableParagraph"/>
              <w:spacing w:before="63"/>
              <w:ind w:left="223"/>
              <w:jc w:val="left"/>
              <w:rPr>
                <w:rFonts w:ascii="Verdana"/>
                <w:b/>
                <w:sz w:val="10"/>
              </w:rPr>
            </w:pPr>
            <w:r>
              <w:rPr>
                <w:rFonts w:ascii="Verdana"/>
                <w:b/>
                <w:color w:val="FFFFFF"/>
                <w:w w:val="105"/>
                <w:sz w:val="10"/>
              </w:rPr>
              <w:t>'Saldo al 15</w:t>
            </w:r>
          </w:p>
          <w:p>
            <w:pPr>
              <w:pStyle w:val="TableParagraph"/>
              <w:spacing w:before="7"/>
              <w:ind w:left="180"/>
              <w:jc w:val="left"/>
              <w:rPr>
                <w:rFonts w:ascii="Verdana"/>
                <w:b/>
                <w:sz w:val="10"/>
              </w:rPr>
            </w:pPr>
            <w:r>
              <w:rPr>
                <w:rFonts w:ascii="Verdana"/>
                <w:b/>
                <w:color w:val="FFFFFF"/>
                <w:w w:val="105"/>
                <w:sz w:val="10"/>
              </w:rPr>
              <w:t>ottobre 2017</w:t>
            </w:r>
          </w:p>
        </w:tc>
        <w:tc>
          <w:tcPr>
            <w:tcW w:w="568" w:type="dxa"/>
            <w:tcBorders>
              <w:left w:val="single" w:sz="3" w:space="0" w:color="000000"/>
              <w:bottom w:val="single" w:sz="3" w:space="0" w:color="000000"/>
              <w:right w:val="single" w:sz="3" w:space="0" w:color="000000"/>
            </w:tcBorders>
            <w:shd w:val="clear" w:color="auto" w:fill="85BB24"/>
          </w:tcPr>
          <w:p>
            <w:pPr>
              <w:pStyle w:val="TableParagraph"/>
              <w:spacing w:before="8"/>
              <w:jc w:val="left"/>
              <w:rPr>
                <w:sz w:val="11"/>
              </w:rPr>
            </w:pPr>
          </w:p>
          <w:p>
            <w:pPr>
              <w:pStyle w:val="TableParagraph"/>
              <w:spacing w:before="0"/>
              <w:ind w:left="3" w:right="9"/>
              <w:jc w:val="center"/>
              <w:rPr>
                <w:rFonts w:ascii="Verdana"/>
                <w:b/>
                <w:sz w:val="10"/>
              </w:rPr>
            </w:pPr>
            <w:r>
              <w:rPr>
                <w:rFonts w:ascii="Verdana"/>
                <w:b/>
                <w:color w:val="FFFFFF"/>
                <w:w w:val="105"/>
                <w:sz w:val="10"/>
              </w:rPr>
              <w:t>Risposta</w:t>
            </w:r>
          </w:p>
        </w:tc>
        <w:tc>
          <w:tcPr>
            <w:tcW w:w="1257" w:type="dxa"/>
            <w:tcBorders>
              <w:left w:val="single" w:sz="3" w:space="0" w:color="000000"/>
              <w:bottom w:val="single" w:sz="3" w:space="0" w:color="000000"/>
              <w:right w:val="single" w:sz="3" w:space="0" w:color="000000"/>
            </w:tcBorders>
            <w:shd w:val="clear" w:color="auto" w:fill="85BB24"/>
          </w:tcPr>
          <w:p>
            <w:pPr>
              <w:pStyle w:val="TableParagraph"/>
              <w:spacing w:before="8"/>
              <w:jc w:val="left"/>
              <w:rPr>
                <w:sz w:val="11"/>
              </w:rPr>
            </w:pPr>
          </w:p>
          <w:p>
            <w:pPr>
              <w:pStyle w:val="TableParagraph"/>
              <w:spacing w:before="0"/>
              <w:ind w:left="457" w:right="461"/>
              <w:jc w:val="center"/>
              <w:rPr>
                <w:rFonts w:ascii="Verdana"/>
                <w:b/>
                <w:sz w:val="10"/>
              </w:rPr>
            </w:pPr>
            <w:r>
              <w:rPr>
                <w:rFonts w:ascii="Verdana"/>
                <w:b/>
                <w:color w:val="FFFFFF"/>
                <w:w w:val="105"/>
                <w:sz w:val="10"/>
              </w:rPr>
              <w:t>Esito</w:t>
            </w:r>
          </w:p>
        </w:tc>
        <w:tc>
          <w:tcPr>
            <w:tcW w:w="827" w:type="dxa"/>
            <w:tcBorders>
              <w:left w:val="single" w:sz="3" w:space="0" w:color="000000"/>
              <w:bottom w:val="single" w:sz="3" w:space="0" w:color="000000"/>
              <w:right w:val="single" w:sz="3" w:space="0" w:color="000000"/>
            </w:tcBorders>
            <w:shd w:val="clear" w:color="auto" w:fill="85BB24"/>
          </w:tcPr>
          <w:p>
            <w:pPr>
              <w:pStyle w:val="TableParagraph"/>
              <w:spacing w:before="8"/>
              <w:jc w:val="left"/>
              <w:rPr>
                <w:sz w:val="11"/>
              </w:rPr>
            </w:pPr>
          </w:p>
          <w:p>
            <w:pPr>
              <w:pStyle w:val="TableParagraph"/>
              <w:spacing w:before="0"/>
              <w:ind w:left="295" w:right="296"/>
              <w:jc w:val="center"/>
              <w:rPr>
                <w:rFonts w:ascii="Verdana"/>
                <w:b/>
                <w:sz w:val="10"/>
              </w:rPr>
            </w:pPr>
            <w:r>
              <w:rPr>
                <w:rFonts w:ascii="Verdana"/>
                <w:b/>
                <w:color w:val="FFFFFF"/>
                <w:w w:val="105"/>
                <w:sz w:val="10"/>
              </w:rPr>
              <w:t>adj</w:t>
            </w:r>
          </w:p>
        </w:tc>
        <w:tc>
          <w:tcPr>
            <w:tcW w:w="1154" w:type="dxa"/>
            <w:tcBorders>
              <w:left w:val="single" w:sz="3" w:space="0" w:color="000000"/>
              <w:bottom w:val="single" w:sz="3" w:space="0" w:color="000000"/>
              <w:right w:val="single" w:sz="3" w:space="0" w:color="000000"/>
            </w:tcBorders>
            <w:shd w:val="clear" w:color="auto" w:fill="85BB24"/>
          </w:tcPr>
          <w:p>
            <w:pPr>
              <w:pStyle w:val="TableParagraph"/>
              <w:spacing w:before="8"/>
              <w:jc w:val="left"/>
              <w:rPr>
                <w:sz w:val="11"/>
              </w:rPr>
            </w:pPr>
          </w:p>
          <w:p>
            <w:pPr>
              <w:pStyle w:val="TableParagraph"/>
              <w:spacing w:before="0"/>
              <w:ind w:right="112"/>
              <w:rPr>
                <w:rFonts w:ascii="Verdana"/>
                <w:b/>
                <w:sz w:val="10"/>
              </w:rPr>
            </w:pPr>
            <w:r>
              <w:rPr>
                <w:rFonts w:ascii="Verdana"/>
                <w:b/>
                <w:color w:val="FFFFFF"/>
                <w:w w:val="105"/>
                <w:sz w:val="10"/>
              </w:rPr>
              <w:t>importo post adj</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2250600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Unicredit (Milano) Current Account C/C N.40857</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14.292,88</w:t>
            </w:r>
          </w:p>
        </w:tc>
        <w:tc>
          <w:tcPr>
            <w:tcW w:w="568" w:type="dxa"/>
            <w:tcBorders>
              <w:top w:val="single" w:sz="3" w:space="0" w:color="000000"/>
              <w:left w:val="single" w:sz="3" w:space="0" w:color="000000"/>
              <w:bottom w:val="single" w:sz="3" w:space="0" w:color="000000"/>
              <w:right w:val="single" w:sz="3" w:space="0" w:color="000000"/>
            </w:tcBorders>
          </w:tcPr>
          <w:p>
            <w:pP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 con E/C</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46"/>
              <w:rPr>
                <w:rFonts w:ascii="Verdana"/>
                <w:sz w:val="10"/>
              </w:rPr>
            </w:pPr>
            <w:r>
              <w:rPr>
                <w:rFonts w:ascii="Verdana"/>
                <w:sz w:val="10"/>
              </w:rPr>
              <w:t>(14.292,88)</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2250651</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Unicredit (Milano) Bank Account USD C/C N. 4198</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744.164,86</w:t>
            </w:r>
          </w:p>
        </w:tc>
        <w:tc>
          <w:tcPr>
            <w:tcW w:w="568" w:type="dxa"/>
            <w:tcBorders>
              <w:top w:val="single" w:sz="3" w:space="0" w:color="000000"/>
              <w:left w:val="single" w:sz="3" w:space="0" w:color="000000"/>
              <w:bottom w:val="single" w:sz="3" w:space="0" w:color="000000"/>
              <w:right w:val="single" w:sz="3" w:space="0" w:color="000000"/>
            </w:tcBorders>
          </w:tcPr>
          <w:p>
            <w:pP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 con E/C</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744.164,86</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2250690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Unicredit (Milano) EUR 2 C/C N. 472</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1"/>
              <w:rPr>
                <w:rFonts w:ascii="Verdana"/>
                <w:sz w:val="10"/>
              </w:rPr>
            </w:pPr>
            <w:r>
              <w:rPr>
                <w:rFonts w:ascii="Verdana"/>
                <w:sz w:val="10"/>
              </w:rPr>
              <w:t>454,67</w:t>
            </w:r>
          </w:p>
        </w:tc>
        <w:tc>
          <w:tcPr>
            <w:tcW w:w="568" w:type="dxa"/>
            <w:tcBorders>
              <w:top w:val="single" w:sz="3" w:space="0" w:color="000000"/>
              <w:left w:val="single" w:sz="3" w:space="0" w:color="000000"/>
              <w:bottom w:val="single" w:sz="3" w:space="0" w:color="000000"/>
              <w:right w:val="single" w:sz="3" w:space="0" w:color="000000"/>
            </w:tcBorders>
          </w:tcPr>
          <w:p>
            <w:pP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 con E/C</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454,67</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2251800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BNL (Corsico) Ordinario C/C N. 212</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4.653,07</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29"/>
              <w:ind w:left="60"/>
              <w:jc w:val="left"/>
              <w:rPr>
                <w:rFonts w:ascii="Verdana"/>
                <w:sz w:val="10"/>
              </w:rPr>
            </w:pPr>
            <w:r>
              <w:rPr>
                <w:rFonts w:ascii="Verdana"/>
                <w:w w:val="105"/>
                <w:sz w:val="10"/>
              </w:rPr>
              <w:t>In accordo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4.653,07</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2252100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Banca Popolare di Milano (Tortona) Current Account C/C N. 417</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1.493,05</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29"/>
              <w:ind w:left="60"/>
              <w:jc w:val="left"/>
              <w:rPr>
                <w:rFonts w:ascii="Verdana"/>
                <w:sz w:val="10"/>
              </w:rPr>
            </w:pPr>
            <w:r>
              <w:rPr>
                <w:rFonts w:ascii="Verdana"/>
                <w:w w:val="105"/>
                <w:sz w:val="10"/>
              </w:rPr>
              <w:t>In accordo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1.493,05</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2253691</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Intesa San Paolo (Alessandria) USD2 C/C N. 8942</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1"/>
              <w:rPr>
                <w:rFonts w:ascii="Verdana"/>
                <w:sz w:val="10"/>
              </w:rPr>
            </w:pPr>
            <w:r>
              <w:rPr>
                <w:rFonts w:ascii="Verdana"/>
                <w:sz w:val="10"/>
              </w:rPr>
              <w:t>147,74</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29"/>
              <w:ind w:left="60"/>
              <w:jc w:val="left"/>
              <w:rPr>
                <w:rFonts w:ascii="Verdana"/>
                <w:sz w:val="10"/>
              </w:rPr>
            </w:pPr>
            <w:r>
              <w:rPr>
                <w:rFonts w:ascii="Verdana"/>
                <w:w w:val="105"/>
                <w:sz w:val="10"/>
              </w:rPr>
              <w:t>In accordo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147,74</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3"/>
              <w:ind w:left="17"/>
              <w:jc w:val="left"/>
              <w:rPr>
                <w:rFonts w:ascii="Verdana"/>
                <w:sz w:val="10"/>
              </w:rPr>
            </w:pPr>
            <w:r>
              <w:rPr>
                <w:rFonts w:ascii="Verdana"/>
                <w:w w:val="105"/>
                <w:sz w:val="10"/>
              </w:rPr>
              <w:t>2254100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3"/>
              <w:ind w:left="17"/>
              <w:jc w:val="left"/>
              <w:rPr>
                <w:rFonts w:ascii="Verdana"/>
                <w:sz w:val="10"/>
              </w:rPr>
            </w:pPr>
            <w:r>
              <w:rPr>
                <w:rFonts w:ascii="Verdana"/>
                <w:w w:val="105"/>
                <w:sz w:val="10"/>
              </w:rPr>
              <w:t>Credito Valtellinese (Tortona) Current Account C/C. 9965</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3"/>
              <w:ind w:right="61"/>
              <w:rPr>
                <w:rFonts w:ascii="Verdana"/>
                <w:sz w:val="10"/>
              </w:rPr>
            </w:pPr>
            <w:r>
              <w:rPr>
                <w:rFonts w:ascii="Verdana"/>
                <w:w w:val="105"/>
                <w:sz w:val="10"/>
              </w:rPr>
              <w:t>7,77</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Riconciliato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3"/>
              <w:ind w:right="46"/>
              <w:rPr>
                <w:rFonts w:ascii="Verdana"/>
                <w:sz w:val="10"/>
              </w:rPr>
            </w:pPr>
            <w:r>
              <w:rPr>
                <w:rFonts w:ascii="Verdana"/>
                <w:sz w:val="10"/>
              </w:rPr>
              <w:t>(1,20)</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3"/>
              <w:ind w:right="61"/>
              <w:rPr>
                <w:rFonts w:ascii="Verdana"/>
                <w:sz w:val="10"/>
              </w:rPr>
            </w:pPr>
            <w:r>
              <w:rPr>
                <w:rFonts w:ascii="Verdana"/>
                <w:w w:val="105"/>
                <w:sz w:val="10"/>
              </w:rPr>
              <w:t>6,57</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2254160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Credito Valtellinese (Tortona) Deposit</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1"/>
              <w:rPr>
                <w:rFonts w:ascii="Verdana"/>
                <w:sz w:val="10"/>
              </w:rPr>
            </w:pPr>
            <w:r>
              <w:rPr>
                <w:rFonts w:ascii="Verdana"/>
                <w:w w:val="105"/>
                <w:sz w:val="10"/>
              </w:rPr>
              <w:t>1,20</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29"/>
              <w:ind w:left="60"/>
              <w:jc w:val="left"/>
              <w:rPr>
                <w:rFonts w:ascii="Verdana"/>
                <w:sz w:val="10"/>
              </w:rPr>
            </w:pPr>
            <w:r>
              <w:rPr>
                <w:rFonts w:ascii="Verdana"/>
                <w:w w:val="105"/>
                <w:sz w:val="10"/>
              </w:rPr>
              <w:t>Riconciliato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46"/>
              <w:rPr>
                <w:rFonts w:ascii="Verdana"/>
                <w:sz w:val="10"/>
              </w:rPr>
            </w:pPr>
            <w:r>
              <w:rPr>
                <w:rFonts w:ascii="Verdana"/>
                <w:sz w:val="10"/>
              </w:rPr>
              <w:t>(1,20)</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2256851</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Banca nazionale del lavoro (Milano) USD C/C N. 7820</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2.404,12</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29"/>
              <w:ind w:left="60"/>
              <w:jc w:val="left"/>
              <w:rPr>
                <w:rFonts w:ascii="Verdana"/>
                <w:sz w:val="10"/>
              </w:rPr>
            </w:pPr>
            <w:r>
              <w:rPr>
                <w:rFonts w:ascii="Verdana"/>
                <w:w w:val="105"/>
                <w:sz w:val="10"/>
              </w:rPr>
              <w:t>In accordo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8"/>
              <w:rPr>
                <w:rFonts w:ascii="Verdana" w:hAnsi="Verdana"/>
                <w:sz w:val="10"/>
              </w:rPr>
            </w:pPr>
            <w:r>
              <w:rPr>
                <w:rFonts w:ascii="Verdana" w:hAnsi="Verdana"/>
                <w:w w:val="105"/>
                <w:sz w:val="10"/>
              </w:rPr>
              <w:t>0,00 €</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2.404,12</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2257000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ICBC Europe S.A. Current Account EUR C/C n. 0062</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21.846,94</w:t>
            </w:r>
          </w:p>
        </w:tc>
        <w:tc>
          <w:tcPr>
            <w:tcW w:w="568" w:type="dxa"/>
            <w:tcBorders>
              <w:top w:val="single" w:sz="3" w:space="0" w:color="000000"/>
              <w:left w:val="single" w:sz="3" w:space="0" w:color="000000"/>
              <w:bottom w:val="single" w:sz="3" w:space="0" w:color="000000"/>
              <w:right w:val="single" w:sz="3" w:space="0" w:color="000000"/>
            </w:tcBorders>
          </w:tcPr>
          <w:p>
            <w:pP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 con E/C</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21.846,94</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2257001</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ICBC Europe S.A. Current Account USD</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6.096,92</w:t>
            </w:r>
          </w:p>
        </w:tc>
        <w:tc>
          <w:tcPr>
            <w:tcW w:w="568" w:type="dxa"/>
            <w:tcBorders>
              <w:top w:val="single" w:sz="3" w:space="0" w:color="000000"/>
              <w:left w:val="single" w:sz="3" w:space="0" w:color="000000"/>
              <w:bottom w:val="single" w:sz="3" w:space="0" w:color="000000"/>
              <w:right w:val="single" w:sz="3" w:space="0" w:color="000000"/>
            </w:tcBorders>
          </w:tcPr>
          <w:p>
            <w:pP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 con E/C</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6.096,92</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2257600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Banca Carime (Modugno) Current Account EUR  C/C N. 2429</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1"/>
              <w:rPr>
                <w:rFonts w:ascii="Verdana"/>
                <w:sz w:val="10"/>
              </w:rPr>
            </w:pPr>
            <w:r>
              <w:rPr>
                <w:rFonts w:ascii="Verdana"/>
                <w:sz w:val="10"/>
              </w:rPr>
              <w:t>937,54</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 con E/C</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937,54</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3"/>
              <w:ind w:left="17"/>
              <w:jc w:val="left"/>
              <w:rPr>
                <w:rFonts w:ascii="Verdana"/>
                <w:sz w:val="10"/>
              </w:rPr>
            </w:pPr>
            <w:r>
              <w:rPr>
                <w:rFonts w:ascii="Verdana"/>
                <w:w w:val="105"/>
                <w:sz w:val="10"/>
              </w:rPr>
              <w:t>2260000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3"/>
              <w:ind w:left="17"/>
              <w:jc w:val="left"/>
              <w:rPr>
                <w:rFonts w:ascii="Verdana"/>
                <w:sz w:val="10"/>
              </w:rPr>
            </w:pPr>
            <w:r>
              <w:rPr>
                <w:rFonts w:ascii="Verdana"/>
                <w:w w:val="105"/>
                <w:sz w:val="10"/>
              </w:rPr>
              <w:t>Banca IFIS (Mestre) Current Account EUR C/C N. 6656</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3"/>
              <w:ind w:right="61"/>
              <w:rPr>
                <w:rFonts w:ascii="Verdana"/>
                <w:sz w:val="10"/>
              </w:rPr>
            </w:pPr>
            <w:r>
              <w:rPr>
                <w:rFonts w:ascii="Verdana"/>
                <w:sz w:val="10"/>
              </w:rPr>
              <w:t>884,20</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3"/>
              <w:ind w:left="60"/>
              <w:jc w:val="left"/>
              <w:rPr>
                <w:rFonts w:ascii="Verdana"/>
                <w:sz w:val="10"/>
              </w:rPr>
            </w:pPr>
            <w:r>
              <w:rPr>
                <w:rFonts w:ascii="Verdana"/>
                <w:w w:val="105"/>
                <w:sz w:val="10"/>
              </w:rPr>
              <w:t>Riconciliato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884,20</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3"/>
              <w:ind w:left="17"/>
              <w:jc w:val="left"/>
              <w:rPr>
                <w:rFonts w:ascii="Verdana"/>
                <w:sz w:val="10"/>
              </w:rPr>
            </w:pPr>
            <w:r>
              <w:rPr>
                <w:rFonts w:ascii="Verdana"/>
                <w:w w:val="105"/>
                <w:sz w:val="10"/>
              </w:rPr>
              <w:t>2258000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3"/>
              <w:ind w:left="17"/>
              <w:jc w:val="left"/>
              <w:rPr>
                <w:rFonts w:ascii="Verdana"/>
                <w:sz w:val="10"/>
              </w:rPr>
            </w:pPr>
            <w:r>
              <w:rPr>
                <w:rFonts w:ascii="Verdana"/>
                <w:w w:val="105"/>
                <w:sz w:val="10"/>
              </w:rPr>
              <w:t>Luncheon Vouchers Cash</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3"/>
              <w:ind w:right="61"/>
              <w:rPr>
                <w:rFonts w:ascii="Verdana"/>
                <w:sz w:val="10"/>
              </w:rPr>
            </w:pPr>
            <w:r>
              <w:rPr>
                <w:rFonts w:ascii="Verdana"/>
                <w:sz w:val="10"/>
              </w:rPr>
              <w:t>433,41</w:t>
            </w:r>
          </w:p>
        </w:tc>
        <w:tc>
          <w:tcPr>
            <w:tcW w:w="568" w:type="dxa"/>
            <w:tcBorders>
              <w:top w:val="single" w:sz="3" w:space="0" w:color="000000"/>
              <w:left w:val="single" w:sz="3" w:space="0" w:color="000000"/>
              <w:bottom w:val="single" w:sz="3" w:space="0" w:color="000000"/>
              <w:right w:val="single" w:sz="3" w:space="0" w:color="000000"/>
            </w:tcBorders>
          </w:tcPr>
          <w:p>
            <w:pPr/>
          </w:p>
        </w:tc>
        <w:tc>
          <w:tcPr>
            <w:tcW w:w="1257" w:type="dxa"/>
            <w:tcBorders>
              <w:top w:val="single" w:sz="3" w:space="0" w:color="000000"/>
              <w:left w:val="single" w:sz="3" w:space="0" w:color="000000"/>
              <w:bottom w:val="single" w:sz="3" w:space="0" w:color="000000"/>
              <w:right w:val="single" w:sz="3" w:space="0" w:color="000000"/>
            </w:tcBorders>
          </w:tcPr>
          <w:p>
            <w:pP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433,41</w:t>
            </w:r>
          </w:p>
        </w:tc>
      </w:tr>
      <w:tr>
        <w:trPr>
          <w:trHeight w:val="181" w:hRule="exact"/>
        </w:trPr>
        <w:tc>
          <w:tcPr>
            <w:tcW w:w="585"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2260600</w:t>
            </w:r>
          </w:p>
        </w:tc>
        <w:tc>
          <w:tcPr>
            <w:tcW w:w="3582" w:type="dxa"/>
            <w:tcBorders>
              <w:top w:val="single" w:sz="3" w:space="0" w:color="000000"/>
              <w:left w:val="single" w:sz="3" w:space="0" w:color="000000"/>
              <w:bottom w:val="single" w:sz="3" w:space="0" w:color="000000"/>
              <w:right w:val="single" w:sz="3" w:space="0" w:color="000000"/>
            </w:tcBorders>
          </w:tcPr>
          <w:p>
            <w:pPr>
              <w:pStyle w:val="TableParagraph"/>
              <w:spacing w:before="29"/>
              <w:ind w:left="17"/>
              <w:jc w:val="left"/>
              <w:rPr>
                <w:rFonts w:ascii="Verdana"/>
                <w:sz w:val="10"/>
              </w:rPr>
            </w:pPr>
            <w:r>
              <w:rPr>
                <w:rFonts w:ascii="Verdana"/>
                <w:w w:val="105"/>
                <w:sz w:val="10"/>
              </w:rPr>
              <w:t>Banco Desio (Tortona) Current Account EUR C/C N. 53000</w:t>
            </w:r>
          </w:p>
        </w:tc>
        <w:tc>
          <w:tcPr>
            <w:tcW w:w="1136"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339.005,01</w:t>
            </w:r>
          </w:p>
        </w:tc>
        <w:tc>
          <w:tcPr>
            <w:tcW w:w="568" w:type="dxa"/>
            <w:tcBorders>
              <w:top w:val="single" w:sz="3" w:space="0" w:color="000000"/>
              <w:left w:val="single" w:sz="3" w:space="0" w:color="000000"/>
              <w:bottom w:val="single" w:sz="3" w:space="0" w:color="000000"/>
              <w:right w:val="single" w:sz="3" w:space="0" w:color="000000"/>
            </w:tcBorders>
          </w:tcPr>
          <w:p>
            <w:pPr>
              <w:pStyle w:val="TableParagraph"/>
              <w:spacing w:before="40"/>
              <w:jc w:val="center"/>
              <w:rPr>
                <w:rFonts w:ascii="Webdings" w:hAnsi="Webdings"/>
                <w:sz w:val="9"/>
              </w:rPr>
            </w:pPr>
            <w:r>
              <w:rPr>
                <w:rFonts w:ascii="Webdings" w:hAnsi="Webdings"/>
                <w:w w:val="105"/>
                <w:sz w:val="9"/>
              </w:rPr>
              <w:t></w:t>
            </w:r>
          </w:p>
        </w:tc>
        <w:tc>
          <w:tcPr>
            <w:tcW w:w="1257" w:type="dxa"/>
            <w:tcBorders>
              <w:top w:val="single" w:sz="3" w:space="0" w:color="000000"/>
              <w:left w:val="single" w:sz="3" w:space="0" w:color="000000"/>
              <w:bottom w:val="single" w:sz="3" w:space="0" w:color="000000"/>
              <w:right w:val="single" w:sz="3" w:space="0" w:color="000000"/>
            </w:tcBorders>
          </w:tcPr>
          <w:p>
            <w:pPr>
              <w:pStyle w:val="TableParagraph"/>
              <w:spacing w:before="29"/>
              <w:ind w:left="60"/>
              <w:jc w:val="left"/>
              <w:rPr>
                <w:rFonts w:ascii="Verdana"/>
                <w:sz w:val="10"/>
              </w:rPr>
            </w:pPr>
            <w:r>
              <w:rPr>
                <w:rFonts w:ascii="Verdana"/>
                <w:w w:val="105"/>
                <w:sz w:val="10"/>
              </w:rPr>
              <w:t>Riconciliato</w:t>
            </w:r>
          </w:p>
        </w:tc>
        <w:tc>
          <w:tcPr>
            <w:tcW w:w="827" w:type="dxa"/>
            <w:tcBorders>
              <w:top w:val="single" w:sz="3" w:space="0" w:color="000000"/>
              <w:left w:val="single" w:sz="3" w:space="0" w:color="000000"/>
              <w:bottom w:val="single" w:sz="3" w:space="0" w:color="000000"/>
              <w:right w:val="single" w:sz="3" w:space="0" w:color="000000"/>
            </w:tcBorders>
          </w:tcPr>
          <w:p>
            <w:pPr>
              <w:pStyle w:val="TableParagraph"/>
              <w:spacing w:before="29"/>
              <w:ind w:right="192"/>
              <w:rPr>
                <w:rFonts w:ascii="Verdana"/>
                <w:sz w:val="10"/>
              </w:rPr>
            </w:pPr>
            <w:r>
              <w:rPr>
                <w:rFonts w:ascii="Verdana"/>
                <w:w w:val="103"/>
                <w:sz w:val="10"/>
              </w:rPr>
              <w:t>-</w:t>
            </w:r>
          </w:p>
        </w:tc>
        <w:tc>
          <w:tcPr>
            <w:tcW w:w="1154" w:type="dxa"/>
            <w:tcBorders>
              <w:top w:val="single" w:sz="3" w:space="0" w:color="000000"/>
              <w:left w:val="single" w:sz="3" w:space="0" w:color="000000"/>
              <w:bottom w:val="single" w:sz="3" w:space="0" w:color="000000"/>
              <w:right w:val="single" w:sz="3" w:space="0" w:color="000000"/>
            </w:tcBorders>
          </w:tcPr>
          <w:p>
            <w:pPr>
              <w:pStyle w:val="TableParagraph"/>
              <w:spacing w:before="29"/>
              <w:ind w:right="62"/>
              <w:rPr>
                <w:rFonts w:ascii="Verdana"/>
                <w:sz w:val="10"/>
              </w:rPr>
            </w:pPr>
            <w:r>
              <w:rPr>
                <w:rFonts w:ascii="Verdana"/>
                <w:sz w:val="10"/>
              </w:rPr>
              <w:t>339.005,01</w:t>
            </w:r>
          </w:p>
        </w:tc>
      </w:tr>
      <w:tr>
        <w:trPr>
          <w:trHeight w:val="181" w:hRule="exact"/>
        </w:trPr>
        <w:tc>
          <w:tcPr>
            <w:tcW w:w="9109" w:type="dxa"/>
            <w:gridSpan w:val="7"/>
            <w:tcBorders>
              <w:top w:val="single" w:sz="3" w:space="0" w:color="000000"/>
              <w:left w:val="nil"/>
              <w:bottom w:val="single" w:sz="3" w:space="0" w:color="000000"/>
              <w:right w:val="nil"/>
            </w:tcBorders>
            <w:shd w:val="clear" w:color="auto" w:fill="85BB24"/>
          </w:tcPr>
          <w:p>
            <w:pPr>
              <w:pStyle w:val="TableParagraph"/>
              <w:tabs>
                <w:tab w:pos="4309" w:val="left" w:leader="none"/>
                <w:tab w:pos="7176" w:val="left" w:leader="none"/>
                <w:tab w:pos="8105" w:val="left" w:leader="none"/>
              </w:tabs>
              <w:spacing w:before="19"/>
              <w:ind w:left="30"/>
              <w:jc w:val="left"/>
              <w:rPr>
                <w:rFonts w:ascii="Verdana"/>
                <w:b/>
                <w:sz w:val="10"/>
              </w:rPr>
            </w:pPr>
            <w:r>
              <w:rPr>
                <w:rFonts w:ascii="Verdana"/>
                <w:b/>
                <w:color w:val="FFFFFF"/>
                <w:w w:val="105"/>
                <w:position w:val="1"/>
                <w:sz w:val="10"/>
              </w:rPr>
              <w:t>Totale</w:t>
              <w:tab/>
            </w:r>
            <w:r>
              <w:rPr>
                <w:rFonts w:ascii="Verdana"/>
                <w:b/>
                <w:color w:val="FFFFFF"/>
                <w:w w:val="105"/>
                <w:sz w:val="10"/>
              </w:rPr>
              <w:t>1.136.823,38</w:t>
              <w:tab/>
              <w:t>(14.295,28)</w:t>
              <w:tab/>
              <w:t>1.122.528,10</w:t>
            </w:r>
          </w:p>
        </w:tc>
      </w:tr>
    </w:tbl>
    <w:p>
      <w:pPr>
        <w:pStyle w:val="BodyText"/>
        <w:rPr>
          <w:sz w:val="20"/>
        </w:rPr>
      </w:pPr>
    </w:p>
    <w:p>
      <w:pPr>
        <w:pStyle w:val="BodyText"/>
        <w:spacing w:before="229"/>
        <w:ind w:left="1418"/>
        <w:jc w:val="both"/>
      </w:pPr>
      <w:r>
        <w:rPr>
          <w:u w:val="single"/>
        </w:rPr>
        <w:t>Valorizzazione Concordataria</w:t>
      </w:r>
    </w:p>
    <w:p>
      <w:pPr>
        <w:pStyle w:val="BodyText"/>
      </w:pPr>
    </w:p>
    <w:p>
      <w:pPr>
        <w:pStyle w:val="BodyText"/>
        <w:spacing w:line="480" w:lineRule="auto"/>
        <w:ind w:left="1418" w:right="1411"/>
        <w:jc w:val="both"/>
      </w:pPr>
      <w:r>
        <w:rPr/>
        <w:t>All’esito delle analisi svolte, alla data del 15 ottobre 2017 gli scriventi segnalano che non sono emerse anomalie. L’importo delle disponibilità liquide sarà disponibile come attivo realizzabile del concordato.</w:t>
      </w:r>
    </w:p>
    <w:p>
      <w:pPr>
        <w:pStyle w:val="BodyText"/>
        <w:spacing w:before="4"/>
        <w:rPr>
          <w:sz w:val="21"/>
        </w:rPr>
      </w:pPr>
    </w:p>
    <w:p>
      <w:pPr>
        <w:pStyle w:val="Heading2"/>
        <w:jc w:val="both"/>
      </w:pPr>
      <w:r>
        <w:rPr>
          <w:u w:val="single"/>
        </w:rPr>
        <w:t>RISCONTI ATTIVI</w:t>
      </w:r>
    </w:p>
    <w:p>
      <w:pPr>
        <w:pStyle w:val="BodyText"/>
        <w:spacing w:before="10"/>
        <w:rPr>
          <w:b/>
          <w:sz w:val="23"/>
        </w:rPr>
      </w:pPr>
    </w:p>
    <w:p>
      <w:pPr>
        <w:pStyle w:val="BodyText"/>
        <w:spacing w:line="480" w:lineRule="auto" w:before="1"/>
        <w:ind w:left="1418" w:right="1420"/>
        <w:jc w:val="both"/>
      </w:pPr>
      <w:r>
        <w:rPr/>
        <w:t>Al 15 ottobre 2017 nella situazione contabile i risconti attivi ammontano a Euro 132.952 e risultano così suddivisi: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7"/>
        <w:rPr>
          <w:sz w:val="10"/>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2842"/>
        <w:gridCol w:w="874"/>
        <w:gridCol w:w="912"/>
        <w:gridCol w:w="816"/>
        <w:gridCol w:w="634"/>
        <w:gridCol w:w="1066"/>
        <w:gridCol w:w="1037"/>
      </w:tblGrid>
      <w:tr>
        <w:trPr>
          <w:trHeight w:val="605" w:hRule="exact"/>
        </w:trPr>
        <w:tc>
          <w:tcPr>
            <w:tcW w:w="874" w:type="dxa"/>
            <w:shd w:val="clear" w:color="auto" w:fill="BEBEBE"/>
          </w:tcPr>
          <w:p>
            <w:pPr>
              <w:pStyle w:val="TableParagraph"/>
              <w:spacing w:before="1"/>
              <w:jc w:val="left"/>
              <w:rPr>
                <w:sz w:val="20"/>
              </w:rPr>
            </w:pPr>
          </w:p>
          <w:p>
            <w:pPr>
              <w:pStyle w:val="TableParagraph"/>
              <w:spacing w:before="0"/>
              <w:ind w:left="240"/>
              <w:jc w:val="left"/>
              <w:rPr>
                <w:b/>
                <w:sz w:val="15"/>
              </w:rPr>
            </w:pPr>
            <w:r>
              <w:rPr>
                <w:b/>
                <w:w w:val="105"/>
                <w:sz w:val="15"/>
              </w:rPr>
              <w:t>Conto</w:t>
            </w:r>
          </w:p>
        </w:tc>
        <w:tc>
          <w:tcPr>
            <w:tcW w:w="2842" w:type="dxa"/>
            <w:shd w:val="clear" w:color="auto" w:fill="BEBEBE"/>
          </w:tcPr>
          <w:p>
            <w:pPr>
              <w:pStyle w:val="TableParagraph"/>
              <w:spacing w:before="1"/>
              <w:jc w:val="left"/>
              <w:rPr>
                <w:sz w:val="20"/>
              </w:rPr>
            </w:pPr>
          </w:p>
          <w:p>
            <w:pPr>
              <w:pStyle w:val="TableParagraph"/>
              <w:spacing w:before="0"/>
              <w:ind w:left="996" w:right="1000"/>
              <w:jc w:val="center"/>
              <w:rPr>
                <w:b/>
                <w:sz w:val="15"/>
              </w:rPr>
            </w:pPr>
            <w:r>
              <w:rPr>
                <w:b/>
                <w:w w:val="105"/>
                <w:sz w:val="15"/>
              </w:rPr>
              <w:t>Descrizione</w:t>
            </w:r>
          </w:p>
        </w:tc>
        <w:tc>
          <w:tcPr>
            <w:tcW w:w="874" w:type="dxa"/>
            <w:shd w:val="clear" w:color="auto" w:fill="BEBEBE"/>
          </w:tcPr>
          <w:p>
            <w:pPr>
              <w:pStyle w:val="TableParagraph"/>
              <w:spacing w:line="288" w:lineRule="auto" w:before="120"/>
              <w:ind w:left="115" w:firstLine="95"/>
              <w:jc w:val="left"/>
              <w:rPr>
                <w:b/>
                <w:sz w:val="15"/>
              </w:rPr>
            </w:pPr>
            <w:r>
              <w:rPr>
                <w:b/>
                <w:w w:val="105"/>
                <w:sz w:val="15"/>
              </w:rPr>
              <w:t>BdV al </w:t>
            </w:r>
            <w:r>
              <w:rPr>
                <w:b/>
                <w:sz w:val="15"/>
              </w:rPr>
              <w:t>15.10.2017</w:t>
            </w:r>
          </w:p>
        </w:tc>
        <w:tc>
          <w:tcPr>
            <w:tcW w:w="912" w:type="dxa"/>
            <w:shd w:val="clear" w:color="auto" w:fill="BEBEBE"/>
          </w:tcPr>
          <w:p>
            <w:pPr>
              <w:pStyle w:val="TableParagraph"/>
              <w:spacing w:line="288" w:lineRule="auto" w:before="120"/>
              <w:ind w:left="182" w:hanging="116"/>
              <w:jc w:val="left"/>
              <w:rPr>
                <w:b/>
                <w:sz w:val="15"/>
              </w:rPr>
            </w:pPr>
            <w:r>
              <w:rPr>
                <w:b/>
                <w:w w:val="105"/>
                <w:sz w:val="15"/>
              </w:rPr>
              <w:t>Trasferito a Versalis</w:t>
            </w:r>
          </w:p>
        </w:tc>
        <w:tc>
          <w:tcPr>
            <w:tcW w:w="816" w:type="dxa"/>
            <w:shd w:val="clear" w:color="auto" w:fill="BEBEBE"/>
          </w:tcPr>
          <w:p>
            <w:pPr>
              <w:pStyle w:val="TableParagraph"/>
              <w:spacing w:line="288" w:lineRule="auto" w:before="120"/>
              <w:ind w:left="105" w:firstLine="144"/>
              <w:jc w:val="left"/>
              <w:rPr>
                <w:b/>
                <w:sz w:val="15"/>
              </w:rPr>
            </w:pPr>
            <w:r>
              <w:rPr>
                <w:b/>
                <w:w w:val="105"/>
                <w:sz w:val="15"/>
              </w:rPr>
              <w:t>Non </w:t>
            </w:r>
            <w:r>
              <w:rPr>
                <w:b/>
                <w:sz w:val="15"/>
              </w:rPr>
              <w:t>trasferito</w:t>
            </w:r>
          </w:p>
        </w:tc>
        <w:tc>
          <w:tcPr>
            <w:tcW w:w="634" w:type="dxa"/>
            <w:shd w:val="clear" w:color="auto" w:fill="BEBEBE"/>
          </w:tcPr>
          <w:p>
            <w:pPr>
              <w:pStyle w:val="TableParagraph"/>
              <w:spacing w:before="1"/>
              <w:jc w:val="left"/>
              <w:rPr>
                <w:sz w:val="20"/>
              </w:rPr>
            </w:pPr>
          </w:p>
          <w:p>
            <w:pPr>
              <w:pStyle w:val="TableParagraph"/>
              <w:spacing w:before="0"/>
              <w:ind w:left="96"/>
              <w:jc w:val="left"/>
              <w:rPr>
                <w:b/>
                <w:sz w:val="15"/>
              </w:rPr>
            </w:pPr>
            <w:r>
              <w:rPr>
                <w:b/>
                <w:w w:val="105"/>
                <w:sz w:val="15"/>
              </w:rPr>
              <w:t>Totale</w:t>
            </w:r>
          </w:p>
        </w:tc>
        <w:tc>
          <w:tcPr>
            <w:tcW w:w="1066" w:type="dxa"/>
            <w:shd w:val="clear" w:color="auto" w:fill="BEBEBE"/>
          </w:tcPr>
          <w:p>
            <w:pPr>
              <w:pStyle w:val="TableParagraph"/>
              <w:spacing w:line="288" w:lineRule="auto" w:before="120"/>
              <w:ind w:left="67" w:firstLine="144"/>
              <w:jc w:val="left"/>
              <w:rPr>
                <w:b/>
                <w:sz w:val="15"/>
              </w:rPr>
            </w:pPr>
            <w:r>
              <w:rPr>
                <w:b/>
                <w:w w:val="105"/>
                <w:sz w:val="15"/>
              </w:rPr>
              <w:t>Rettifiche </w:t>
            </w:r>
            <w:r>
              <w:rPr>
                <w:b/>
                <w:sz w:val="15"/>
              </w:rPr>
              <w:t>concordatarie</w:t>
            </w:r>
          </w:p>
        </w:tc>
        <w:tc>
          <w:tcPr>
            <w:tcW w:w="1037" w:type="dxa"/>
            <w:shd w:val="clear" w:color="auto" w:fill="BEBEBE"/>
          </w:tcPr>
          <w:p>
            <w:pPr>
              <w:pStyle w:val="TableParagraph"/>
              <w:spacing w:line="288" w:lineRule="auto" w:before="24"/>
              <w:ind w:left="57" w:right="10" w:firstLine="182"/>
              <w:jc w:val="left"/>
              <w:rPr>
                <w:b/>
                <w:sz w:val="15"/>
              </w:rPr>
            </w:pPr>
            <w:r>
              <w:rPr>
                <w:b/>
                <w:w w:val="105"/>
                <w:sz w:val="15"/>
              </w:rPr>
              <w:t>valore di realizzo ai fini </w:t>
            </w:r>
            <w:r>
              <w:rPr>
                <w:b/>
                <w:sz w:val="15"/>
              </w:rPr>
              <w:t>concordatario</w:t>
            </w:r>
          </w:p>
        </w:tc>
      </w:tr>
      <w:tr>
        <w:trPr>
          <w:trHeight w:val="403" w:hRule="exact"/>
        </w:trPr>
        <w:tc>
          <w:tcPr>
            <w:tcW w:w="874" w:type="dxa"/>
          </w:tcPr>
          <w:p>
            <w:pPr>
              <w:pStyle w:val="TableParagraph"/>
              <w:spacing w:before="24"/>
              <w:ind w:left="163"/>
              <w:jc w:val="left"/>
              <w:rPr>
                <w:sz w:val="15"/>
              </w:rPr>
            </w:pPr>
            <w:r>
              <w:rPr>
                <w:w w:val="105"/>
                <w:sz w:val="15"/>
              </w:rPr>
              <w:t>2290040</w:t>
            </w:r>
          </w:p>
          <w:p>
            <w:pPr>
              <w:pStyle w:val="TableParagraph"/>
              <w:spacing w:before="32"/>
              <w:ind w:left="163"/>
              <w:jc w:val="left"/>
              <w:rPr>
                <w:sz w:val="15"/>
              </w:rPr>
            </w:pPr>
            <w:r>
              <w:rPr>
                <w:w w:val="105"/>
                <w:sz w:val="15"/>
              </w:rPr>
              <w:t>2290060</w:t>
            </w:r>
          </w:p>
        </w:tc>
        <w:tc>
          <w:tcPr>
            <w:tcW w:w="2842" w:type="dxa"/>
          </w:tcPr>
          <w:p>
            <w:pPr>
              <w:pStyle w:val="TableParagraph"/>
              <w:spacing w:line="288" w:lineRule="auto" w:before="24"/>
              <w:ind w:left="19" w:right="672"/>
              <w:jc w:val="left"/>
              <w:rPr>
                <w:sz w:val="15"/>
              </w:rPr>
            </w:pPr>
            <w:r>
              <w:rPr>
                <w:w w:val="105"/>
                <w:sz w:val="15"/>
              </w:rPr>
              <w:t>Risconti attivi Assicurazioni Risconti attivi su finanziamenti Bei</w:t>
            </w:r>
          </w:p>
        </w:tc>
        <w:tc>
          <w:tcPr>
            <w:tcW w:w="874" w:type="dxa"/>
          </w:tcPr>
          <w:p>
            <w:pPr>
              <w:pStyle w:val="TableParagraph"/>
              <w:spacing w:before="24"/>
              <w:ind w:left="422"/>
              <w:jc w:val="left"/>
              <w:rPr>
                <w:sz w:val="15"/>
              </w:rPr>
            </w:pPr>
            <w:r>
              <w:rPr>
                <w:w w:val="105"/>
                <w:sz w:val="15"/>
              </w:rPr>
              <w:t>43.191</w:t>
            </w:r>
          </w:p>
          <w:p>
            <w:pPr>
              <w:pStyle w:val="TableParagraph"/>
              <w:spacing w:before="32"/>
              <w:ind w:left="422"/>
              <w:jc w:val="left"/>
              <w:rPr>
                <w:sz w:val="15"/>
              </w:rPr>
            </w:pPr>
            <w:r>
              <w:rPr>
                <w:w w:val="105"/>
                <w:sz w:val="15"/>
              </w:rPr>
              <w:t>89.760</w:t>
            </w:r>
          </w:p>
        </w:tc>
        <w:tc>
          <w:tcPr>
            <w:tcW w:w="912" w:type="dxa"/>
          </w:tcPr>
          <w:p>
            <w:pPr/>
          </w:p>
        </w:tc>
        <w:tc>
          <w:tcPr>
            <w:tcW w:w="816" w:type="dxa"/>
          </w:tcPr>
          <w:p>
            <w:pPr>
              <w:pStyle w:val="TableParagraph"/>
              <w:spacing w:before="24"/>
              <w:ind w:left="364"/>
              <w:jc w:val="left"/>
              <w:rPr>
                <w:sz w:val="15"/>
              </w:rPr>
            </w:pPr>
            <w:r>
              <w:rPr>
                <w:w w:val="105"/>
                <w:sz w:val="15"/>
              </w:rPr>
              <w:t>43.191</w:t>
            </w:r>
          </w:p>
          <w:p>
            <w:pPr>
              <w:pStyle w:val="TableParagraph"/>
              <w:spacing w:before="32"/>
              <w:ind w:left="364"/>
              <w:jc w:val="left"/>
              <w:rPr>
                <w:sz w:val="15"/>
              </w:rPr>
            </w:pPr>
            <w:r>
              <w:rPr>
                <w:w w:val="105"/>
                <w:sz w:val="15"/>
              </w:rPr>
              <w:t>89.760</w:t>
            </w:r>
          </w:p>
        </w:tc>
        <w:tc>
          <w:tcPr>
            <w:tcW w:w="634" w:type="dxa"/>
          </w:tcPr>
          <w:p>
            <w:pPr/>
          </w:p>
        </w:tc>
        <w:tc>
          <w:tcPr>
            <w:tcW w:w="1066" w:type="dxa"/>
          </w:tcPr>
          <w:p>
            <w:pPr>
              <w:pStyle w:val="TableParagraph"/>
              <w:spacing w:before="24"/>
              <w:ind w:left="518"/>
              <w:jc w:val="left"/>
              <w:rPr>
                <w:sz w:val="15"/>
              </w:rPr>
            </w:pPr>
            <w:r>
              <w:rPr>
                <w:w w:val="105"/>
                <w:sz w:val="15"/>
              </w:rPr>
              <w:t>(43.191)</w:t>
            </w:r>
          </w:p>
          <w:p>
            <w:pPr>
              <w:pStyle w:val="TableParagraph"/>
              <w:spacing w:before="32"/>
              <w:ind w:left="518"/>
              <w:jc w:val="left"/>
              <w:rPr>
                <w:sz w:val="15"/>
              </w:rPr>
            </w:pPr>
            <w:r>
              <w:rPr>
                <w:w w:val="105"/>
                <w:sz w:val="15"/>
              </w:rPr>
              <w:t>(89.760)</w:t>
            </w:r>
          </w:p>
        </w:tc>
        <w:tc>
          <w:tcPr>
            <w:tcW w:w="1037" w:type="dxa"/>
          </w:tcPr>
          <w:p>
            <w:pPr/>
          </w:p>
        </w:tc>
      </w:tr>
      <w:tr>
        <w:trPr>
          <w:trHeight w:val="202" w:hRule="exact"/>
        </w:trPr>
        <w:tc>
          <w:tcPr>
            <w:tcW w:w="3715" w:type="dxa"/>
            <w:gridSpan w:val="2"/>
            <w:shd w:val="clear" w:color="auto" w:fill="BEBEBE"/>
          </w:tcPr>
          <w:p>
            <w:pPr>
              <w:pStyle w:val="TableParagraph"/>
              <w:spacing w:before="15"/>
              <w:ind w:left="19"/>
              <w:jc w:val="left"/>
              <w:rPr>
                <w:b/>
                <w:sz w:val="15"/>
              </w:rPr>
            </w:pPr>
            <w:r>
              <w:rPr>
                <w:b/>
                <w:w w:val="105"/>
                <w:sz w:val="15"/>
              </w:rPr>
              <w:t>Totale ratei e risconti attivi</w:t>
            </w:r>
          </w:p>
        </w:tc>
        <w:tc>
          <w:tcPr>
            <w:tcW w:w="874" w:type="dxa"/>
            <w:shd w:val="clear" w:color="auto" w:fill="BEBEBE"/>
          </w:tcPr>
          <w:p>
            <w:pPr>
              <w:pStyle w:val="TableParagraph"/>
              <w:spacing w:before="24"/>
              <w:ind w:left="364"/>
              <w:jc w:val="left"/>
              <w:rPr>
                <w:b/>
                <w:sz w:val="15"/>
              </w:rPr>
            </w:pPr>
            <w:r>
              <w:rPr>
                <w:b/>
                <w:w w:val="105"/>
                <w:sz w:val="15"/>
              </w:rPr>
              <w:t>132.952</w:t>
            </w:r>
          </w:p>
        </w:tc>
        <w:tc>
          <w:tcPr>
            <w:tcW w:w="912" w:type="dxa"/>
            <w:shd w:val="clear" w:color="auto" w:fill="BEBEBE"/>
          </w:tcPr>
          <w:p>
            <w:pPr>
              <w:pStyle w:val="TableParagraph"/>
              <w:spacing w:before="24"/>
              <w:ind w:right="13"/>
              <w:rPr>
                <w:b/>
                <w:sz w:val="15"/>
              </w:rPr>
            </w:pPr>
            <w:r>
              <w:rPr>
                <w:b/>
                <w:w w:val="102"/>
                <w:sz w:val="15"/>
              </w:rPr>
              <w:t>-</w:t>
            </w:r>
          </w:p>
        </w:tc>
        <w:tc>
          <w:tcPr>
            <w:tcW w:w="816" w:type="dxa"/>
            <w:shd w:val="clear" w:color="auto" w:fill="BEBEBE"/>
          </w:tcPr>
          <w:p>
            <w:pPr>
              <w:pStyle w:val="TableParagraph"/>
              <w:spacing w:before="24"/>
              <w:ind w:left="307"/>
              <w:jc w:val="left"/>
              <w:rPr>
                <w:b/>
                <w:sz w:val="15"/>
              </w:rPr>
            </w:pPr>
            <w:r>
              <w:rPr>
                <w:b/>
                <w:w w:val="105"/>
                <w:sz w:val="15"/>
              </w:rPr>
              <w:t>132.952</w:t>
            </w:r>
          </w:p>
        </w:tc>
        <w:tc>
          <w:tcPr>
            <w:tcW w:w="634" w:type="dxa"/>
            <w:shd w:val="clear" w:color="auto" w:fill="BEBEBE"/>
          </w:tcPr>
          <w:p>
            <w:pPr>
              <w:pStyle w:val="TableParagraph"/>
              <w:spacing w:before="24"/>
              <w:ind w:right="13"/>
              <w:rPr>
                <w:b/>
                <w:sz w:val="15"/>
              </w:rPr>
            </w:pPr>
            <w:r>
              <w:rPr>
                <w:b/>
                <w:w w:val="102"/>
                <w:sz w:val="15"/>
              </w:rPr>
              <w:t>-</w:t>
            </w:r>
          </w:p>
        </w:tc>
        <w:tc>
          <w:tcPr>
            <w:tcW w:w="1066" w:type="dxa"/>
            <w:shd w:val="clear" w:color="auto" w:fill="BEBEBE"/>
          </w:tcPr>
          <w:p>
            <w:pPr>
              <w:pStyle w:val="TableParagraph"/>
              <w:spacing w:before="24"/>
              <w:ind w:left="441"/>
              <w:jc w:val="left"/>
              <w:rPr>
                <w:b/>
                <w:sz w:val="15"/>
              </w:rPr>
            </w:pPr>
            <w:r>
              <w:rPr>
                <w:b/>
                <w:w w:val="105"/>
                <w:sz w:val="15"/>
              </w:rPr>
              <w:t>(132.952)</w:t>
            </w:r>
          </w:p>
        </w:tc>
        <w:tc>
          <w:tcPr>
            <w:tcW w:w="1037" w:type="dxa"/>
            <w:shd w:val="clear" w:color="auto" w:fill="BEBEBE"/>
          </w:tcPr>
          <w:p>
            <w:pPr>
              <w:pStyle w:val="TableParagraph"/>
              <w:spacing w:before="24"/>
              <w:ind w:right="13"/>
              <w:rPr>
                <w:b/>
                <w:sz w:val="15"/>
              </w:rPr>
            </w:pPr>
            <w:r>
              <w:rPr>
                <w:b/>
                <w:w w:val="102"/>
                <w:sz w:val="15"/>
              </w:rPr>
              <w:t>-</w:t>
            </w:r>
          </w:p>
        </w:tc>
      </w:tr>
    </w:tbl>
    <w:p>
      <w:pPr>
        <w:pStyle w:val="BodyText"/>
        <w:spacing w:before="6"/>
        <w:rPr>
          <w:sz w:val="29"/>
        </w:rPr>
      </w:pPr>
    </w:p>
    <w:p>
      <w:pPr>
        <w:pStyle w:val="BodyText"/>
        <w:spacing w:line="480" w:lineRule="auto" w:before="100"/>
        <w:ind w:left="1418" w:right="1518"/>
      </w:pPr>
      <w:r>
        <w:rPr/>
        <w:t>Per quanto riguarda il conto numero 2290060, pari ad Euro 89.760, si segnala che lo stesso è relativo allo stanziamento dei ratei degli interessi sui debiti per finanziamenti verso la banca Bei.</w:t>
      </w:r>
    </w:p>
    <w:p>
      <w:pPr>
        <w:pStyle w:val="BodyText"/>
        <w:spacing w:line="480" w:lineRule="auto"/>
        <w:ind w:left="1418" w:right="1518"/>
      </w:pPr>
      <w:r>
        <w:rPr/>
        <w:t>Di seguito si riporta una breve descrizione del conto numero 2290040 relativo alle polizze assicurative:</w:t>
      </w:r>
    </w:p>
    <w:p>
      <w:pPr>
        <w:pStyle w:val="BodyText"/>
        <w:rPr>
          <w:sz w:val="26"/>
        </w:rPr>
      </w:pPr>
    </w:p>
    <w:p>
      <w:pPr>
        <w:pStyle w:val="BodyText"/>
        <w:spacing w:before="10"/>
        <w:rPr>
          <w:sz w:val="21"/>
        </w:rPr>
      </w:pPr>
    </w:p>
    <w:p>
      <w:pPr>
        <w:pStyle w:val="Heading2"/>
        <w:numPr>
          <w:ilvl w:val="0"/>
          <w:numId w:val="64"/>
        </w:numPr>
        <w:tabs>
          <w:tab w:pos="2126" w:val="left" w:leader="none"/>
          <w:tab w:pos="2127" w:val="left" w:leader="none"/>
        </w:tabs>
        <w:spacing w:line="240" w:lineRule="auto" w:before="1" w:after="0"/>
        <w:ind w:left="2126" w:right="0" w:hanging="348"/>
        <w:jc w:val="left"/>
      </w:pPr>
      <w:r>
        <w:rPr>
          <w:u w:val="single"/>
        </w:rPr>
        <w:t>Risconto attivo Polizza Property Demage per Euro</w:t>
      </w:r>
      <w:r>
        <w:rPr>
          <w:spacing w:val="-19"/>
          <w:u w:val="single"/>
        </w:rPr>
        <w:t> </w:t>
      </w:r>
      <w:r>
        <w:rPr>
          <w:u w:val="single"/>
        </w:rPr>
        <w:t>7.262,39</w:t>
      </w:r>
    </w:p>
    <w:p>
      <w:pPr>
        <w:pStyle w:val="BodyText"/>
        <w:spacing w:before="3"/>
        <w:rPr>
          <w:b/>
          <w:sz w:val="15"/>
        </w:rPr>
      </w:pPr>
    </w:p>
    <w:p>
      <w:pPr>
        <w:pStyle w:val="BodyText"/>
        <w:spacing w:line="480" w:lineRule="auto" w:before="100"/>
        <w:ind w:left="1418" w:right="1418"/>
        <w:jc w:val="both"/>
      </w:pPr>
      <w:r>
        <w:rPr/>
        <w:t>Nella voce in esame trovano allocazione i risconti attivi relativi alla polizza All Risks (danni fisici improvvisi, danni dovuti alle rotture delle macchine, danni legati al business svolto) n. B0621EIUMG000217A sottoscritta dalle Società IBP Srl, Biochemtex S.p.A., Beta Renawables</w:t>
      </w:r>
    </w:p>
    <w:p>
      <w:pPr>
        <w:pStyle w:val="ListParagraph"/>
        <w:numPr>
          <w:ilvl w:val="2"/>
          <w:numId w:val="65"/>
        </w:numPr>
        <w:tabs>
          <w:tab w:pos="2045" w:val="left" w:leader="none"/>
        </w:tabs>
        <w:spacing w:line="480" w:lineRule="auto" w:before="0" w:after="0"/>
        <w:ind w:left="1418" w:right="1414" w:firstLine="0"/>
        <w:jc w:val="both"/>
        <w:rPr>
          <w:sz w:val="24"/>
        </w:rPr>
      </w:pPr>
      <w:r>
        <w:rPr>
          <w:sz w:val="24"/>
        </w:rPr>
        <w:t>con l’assicurazione Miller Insurance services LLP in data 02 giugno 2017 per il periodo 31 maggio 2017 – 31 maggio 2019 avente un premio complessivo di $ 211.665 (Euro 183.646). L’importo in esame coincide pertanto con la quota di competenza del periodo 16 ottobre 2017 – 31 maggio</w:t>
      </w:r>
      <w:r>
        <w:rPr>
          <w:spacing w:val="-4"/>
          <w:sz w:val="24"/>
        </w:rPr>
        <w:t> </w:t>
      </w:r>
      <w:r>
        <w:rPr>
          <w:sz w:val="24"/>
        </w:rPr>
        <w:t>2019.</w:t>
      </w:r>
    </w:p>
    <w:p>
      <w:pPr>
        <w:pStyle w:val="Heading2"/>
        <w:numPr>
          <w:ilvl w:val="3"/>
          <w:numId w:val="65"/>
        </w:numPr>
        <w:tabs>
          <w:tab w:pos="2126" w:val="left" w:leader="none"/>
          <w:tab w:pos="2127" w:val="left" w:leader="none"/>
        </w:tabs>
        <w:spacing w:line="240" w:lineRule="auto" w:before="0" w:after="0"/>
        <w:ind w:left="2126" w:right="0" w:hanging="348"/>
        <w:jc w:val="left"/>
        <w:rPr>
          <w:rFonts w:ascii="Symbol"/>
          <w:sz w:val="18"/>
        </w:rPr>
      </w:pPr>
      <w:r>
        <w:rPr>
          <w:u w:val="single"/>
        </w:rPr>
        <w:t>Risconto attivo Polizza trasporti per Euro</w:t>
      </w:r>
      <w:r>
        <w:rPr>
          <w:spacing w:val="-13"/>
          <w:u w:val="single"/>
        </w:rPr>
        <w:t> </w:t>
      </w:r>
      <w:r>
        <w:rPr>
          <w:u w:val="single"/>
        </w:rPr>
        <w:t>6.761,67</w:t>
      </w:r>
    </w:p>
    <w:p>
      <w:pPr>
        <w:pStyle w:val="BodyText"/>
        <w:spacing w:before="10"/>
        <w:rPr>
          <w:b/>
          <w:sz w:val="23"/>
        </w:rPr>
      </w:pPr>
    </w:p>
    <w:p>
      <w:pPr>
        <w:pStyle w:val="BodyText"/>
        <w:spacing w:line="480" w:lineRule="auto"/>
        <w:ind w:left="1418" w:right="1417"/>
        <w:jc w:val="both"/>
      </w:pPr>
      <w:r>
        <w:rPr/>
        <w:t>In data 3 luglio 2017 la Società ha stipulato la polizza n IMA00003120 con l’assicurazione AIG e prevede un premio complessivo di USD 11.288. L’importo iscritto in bilancio pari a Euro 6.761,67 corrisponde alla quota dei costi assicurativi non di competenza relativi al periodo 16 ottobre 2017-30 giugno 2018.</w:t>
      </w:r>
    </w:p>
    <w:p>
      <w:pPr>
        <w:pStyle w:val="Heading2"/>
        <w:numPr>
          <w:ilvl w:val="3"/>
          <w:numId w:val="65"/>
        </w:numPr>
        <w:tabs>
          <w:tab w:pos="2126" w:val="left" w:leader="none"/>
          <w:tab w:pos="2127" w:val="left" w:leader="none"/>
        </w:tabs>
        <w:spacing w:line="240" w:lineRule="auto" w:before="0" w:after="0"/>
        <w:ind w:left="2126" w:right="0" w:hanging="348"/>
        <w:jc w:val="left"/>
        <w:rPr>
          <w:rFonts w:ascii="Symbol"/>
          <w:sz w:val="18"/>
        </w:rPr>
      </w:pPr>
      <w:r>
        <w:rPr>
          <w:u w:val="single"/>
        </w:rPr>
        <w:t>Risconto attivo Polizza RC verso Terzi per Euro</w:t>
      </w:r>
      <w:r>
        <w:rPr>
          <w:spacing w:val="-20"/>
          <w:u w:val="single"/>
        </w:rPr>
        <w:t> </w:t>
      </w:r>
      <w:r>
        <w:rPr>
          <w:u w:val="single"/>
        </w:rPr>
        <w:t>7.640,63</w:t>
      </w:r>
    </w:p>
    <w:p>
      <w:pPr>
        <w:spacing w:after="0" w:line="240" w:lineRule="auto"/>
        <w:jc w:val="left"/>
        <w:rPr>
          <w:rFonts w:ascii="Symbol"/>
          <w:sz w:val="18"/>
        </w:rPr>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spacing w:before="4"/>
        <w:rPr>
          <w:b/>
          <w:sz w:val="27"/>
        </w:rPr>
      </w:pPr>
    </w:p>
    <w:p>
      <w:pPr>
        <w:pStyle w:val="BodyText"/>
        <w:spacing w:line="480" w:lineRule="auto" w:before="100"/>
        <w:ind w:left="1418" w:right="1419"/>
        <w:jc w:val="both"/>
      </w:pPr>
      <w:r>
        <w:rPr/>
        <w:t>In data 28 giugno 2017 la Società ha stipulato la polizza n IT0008951LI17A con l’assicurazione XL Insurance Company e prevede un premio annuale complessivo di Euro 12.225. L’importo iscritto in bilancio pari ad Euro 7.640 corrisponde alla quota dei costi assicurativi non di competenza relativi al periodo 16 ottobre 2017-31 maggio 2018.</w:t>
      </w:r>
    </w:p>
    <w:p>
      <w:pPr>
        <w:pStyle w:val="Heading2"/>
        <w:numPr>
          <w:ilvl w:val="3"/>
          <w:numId w:val="65"/>
        </w:numPr>
        <w:tabs>
          <w:tab w:pos="2126" w:val="left" w:leader="none"/>
          <w:tab w:pos="2127" w:val="left" w:leader="none"/>
        </w:tabs>
        <w:spacing w:line="240" w:lineRule="auto" w:before="0" w:after="0"/>
        <w:ind w:left="2126" w:right="0" w:hanging="348"/>
        <w:jc w:val="left"/>
        <w:rPr>
          <w:rFonts w:ascii="Symbol"/>
          <w:sz w:val="18"/>
        </w:rPr>
      </w:pPr>
      <w:r>
        <w:rPr>
          <w:u w:val="single"/>
        </w:rPr>
        <w:t>Risconto attivo Polizza RC Professionale per Euro</w:t>
      </w:r>
      <w:r>
        <w:rPr>
          <w:spacing w:val="-21"/>
          <w:u w:val="single"/>
        </w:rPr>
        <w:t> </w:t>
      </w:r>
      <w:r>
        <w:rPr>
          <w:u w:val="single"/>
        </w:rPr>
        <w:t>12.028,31</w:t>
      </w:r>
    </w:p>
    <w:p>
      <w:pPr>
        <w:pStyle w:val="BodyText"/>
        <w:spacing w:before="1"/>
        <w:rPr>
          <w:b/>
          <w:sz w:val="15"/>
        </w:rPr>
      </w:pPr>
    </w:p>
    <w:p>
      <w:pPr>
        <w:pStyle w:val="BodyText"/>
        <w:spacing w:line="480" w:lineRule="auto" w:before="101"/>
        <w:ind w:left="1418" w:right="1417"/>
        <w:jc w:val="both"/>
      </w:pPr>
      <w:r>
        <w:rPr/>
        <w:t>In data 30 novembre 2016 la Società ha stipulato la polizza n B0621PMGFI000116 con l’assicurazione Miller e prevede un premio complessivo di dollari 2.640.000 e riguarda tutte le società del gruppo italiane ed estere. Gli scriventi hanno preso visione del bonifico di pagamento del premio relativo alla società Biochemtex pari ad Euro 61.135,58 effettuato in data 27.02.2017. L’importo iscritto in bilancio pari a Euro 12.028,31 corrisponde alla quota dei costi assicurativi non di competenza relativo al periodo 16 ottobre 2017-31 dicembre 2017.</w:t>
      </w:r>
    </w:p>
    <w:p>
      <w:pPr>
        <w:pStyle w:val="Heading2"/>
        <w:numPr>
          <w:ilvl w:val="3"/>
          <w:numId w:val="65"/>
        </w:numPr>
        <w:tabs>
          <w:tab w:pos="2126" w:val="left" w:leader="none"/>
          <w:tab w:pos="2127" w:val="left" w:leader="none"/>
        </w:tabs>
        <w:spacing w:line="240" w:lineRule="auto" w:before="0" w:after="0"/>
        <w:ind w:left="2126" w:right="0" w:hanging="348"/>
        <w:jc w:val="left"/>
        <w:rPr>
          <w:rFonts w:ascii="Symbol"/>
          <w:sz w:val="18"/>
        </w:rPr>
      </w:pPr>
      <w:r>
        <w:rPr>
          <w:u w:val="single"/>
        </w:rPr>
        <w:t>Risconto attivo Polizza dipendenti per Euro</w:t>
      </w:r>
      <w:r>
        <w:rPr>
          <w:spacing w:val="-15"/>
          <w:u w:val="single"/>
        </w:rPr>
        <w:t> </w:t>
      </w:r>
      <w:r>
        <w:rPr>
          <w:u w:val="single"/>
        </w:rPr>
        <w:t>9.498,20</w:t>
      </w:r>
    </w:p>
    <w:p>
      <w:pPr>
        <w:pStyle w:val="BodyText"/>
        <w:spacing w:before="10"/>
        <w:rPr>
          <w:b/>
          <w:sz w:val="23"/>
        </w:rPr>
      </w:pPr>
    </w:p>
    <w:p>
      <w:pPr>
        <w:pStyle w:val="BodyText"/>
        <w:spacing w:line="480" w:lineRule="auto" w:before="1"/>
        <w:ind w:left="1418" w:right="1417"/>
        <w:jc w:val="both"/>
      </w:pPr>
      <w:r>
        <w:rPr/>
        <w:t>L’importo iscritto in bilancio pari a Euro 9.498,20 corrisponde alla quota dei costi assicurativi  non di competenza relativi al periodo 16 ottobre 2017-31 maggio 2018, legati alla polizza RC verso terzi n. IT0008951LI17A, stipulata con l’assicurazione XL Insurance Company, sopra descritta.</w:t>
      </w:r>
    </w:p>
    <w:p>
      <w:pPr>
        <w:pStyle w:val="BodyText"/>
        <w:ind w:left="1418"/>
        <w:jc w:val="both"/>
      </w:pPr>
      <w:r>
        <w:rPr>
          <w:u w:val="single"/>
        </w:rPr>
        <w:t>Attività svolta</w:t>
      </w:r>
    </w:p>
    <w:p>
      <w:pPr>
        <w:pStyle w:val="BodyText"/>
        <w:spacing w:before="11"/>
        <w:rPr>
          <w:sz w:val="23"/>
        </w:rPr>
      </w:pPr>
    </w:p>
    <w:p>
      <w:pPr>
        <w:pStyle w:val="BodyText"/>
        <w:spacing w:line="480" w:lineRule="auto"/>
        <w:ind w:left="1418" w:right="1420"/>
        <w:jc w:val="both"/>
      </w:pPr>
      <w:r>
        <w:rPr/>
        <w:t>Gli scriventi hanno esaminato le polizze assicurative suddette ed hanno verificato i calcoli dei risconti attivi iscritti in contabilità.</w:t>
      </w:r>
    </w:p>
    <w:p>
      <w:pPr>
        <w:pStyle w:val="BodyText"/>
        <w:ind w:left="1418"/>
        <w:jc w:val="both"/>
      </w:pPr>
      <w:r>
        <w:rPr>
          <w:u w:val="single"/>
        </w:rPr>
        <w:t>Valorizzazione concordataria</w:t>
      </w:r>
    </w:p>
    <w:p>
      <w:pPr>
        <w:pStyle w:val="BodyText"/>
      </w:pPr>
    </w:p>
    <w:p>
      <w:pPr>
        <w:pStyle w:val="BodyText"/>
        <w:spacing w:line="480" w:lineRule="auto"/>
        <w:ind w:left="1418" w:right="1419"/>
        <w:jc w:val="both"/>
      </w:pPr>
      <w:r>
        <w:rPr/>
        <w:t>Alla luce di quanto sopra premesso e delle analisi svolte, gli scriventi ritengono di confermare la svalutazione ai fini concordatari effettuata dalla società, non potendo recuperare negli esercizi futuri l’ammontare iscritto in bilancio.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pPr>
      <w:r>
        <w:rPr>
          <w:u w:val="single"/>
        </w:rPr>
        <w:t>PASSIVO CONCORDATARIO</w:t>
      </w:r>
    </w:p>
    <w:p>
      <w:pPr>
        <w:pStyle w:val="BodyText"/>
        <w:rPr>
          <w:b/>
          <w:sz w:val="20"/>
        </w:rPr>
      </w:pPr>
    </w:p>
    <w:p>
      <w:pPr>
        <w:pStyle w:val="BodyText"/>
        <w:spacing w:before="4"/>
        <w:rPr>
          <w:b/>
          <w:sz w:val="16"/>
        </w:rPr>
      </w:pPr>
    </w:p>
    <w:p>
      <w:pPr>
        <w:spacing w:before="101"/>
        <w:ind w:left="1418" w:right="0" w:firstLine="0"/>
        <w:jc w:val="left"/>
        <w:rPr>
          <w:b/>
          <w:sz w:val="24"/>
        </w:rPr>
      </w:pPr>
      <w:r>
        <w:rPr>
          <w:b/>
          <w:sz w:val="24"/>
          <w:u w:val="single"/>
        </w:rPr>
        <w:t>FONDO RISCHI E ONERI</w:t>
      </w:r>
    </w:p>
    <w:p>
      <w:pPr>
        <w:pStyle w:val="BodyText"/>
        <w:rPr>
          <w:b/>
        </w:rPr>
      </w:pPr>
    </w:p>
    <w:p>
      <w:pPr>
        <w:pStyle w:val="BodyText"/>
        <w:spacing w:line="480" w:lineRule="auto"/>
        <w:ind w:left="1418" w:right="1518"/>
      </w:pPr>
      <w:r>
        <w:rPr/>
        <w:t>Nella situazione contabile al 15 ottobre 2017 i fondi rischi e oneri risultano iscritti per Euro 22.003.741 e sono così composti:</w:t>
      </w:r>
    </w:p>
    <w:p>
      <w:pPr>
        <w:pStyle w:val="ListParagraph"/>
        <w:numPr>
          <w:ilvl w:val="0"/>
          <w:numId w:val="66"/>
        </w:numPr>
        <w:tabs>
          <w:tab w:pos="2126" w:val="left" w:leader="none"/>
          <w:tab w:pos="2127" w:val="left" w:leader="none"/>
        </w:tabs>
        <w:spacing w:line="240" w:lineRule="auto" w:before="0" w:after="0"/>
        <w:ind w:left="2126" w:right="0" w:hanging="348"/>
        <w:jc w:val="left"/>
        <w:rPr>
          <w:sz w:val="24"/>
        </w:rPr>
      </w:pPr>
      <w:r>
        <w:rPr>
          <w:sz w:val="24"/>
        </w:rPr>
        <w:t>fondo rischi e oneri per Euro</w:t>
      </w:r>
      <w:r>
        <w:rPr>
          <w:spacing w:val="-13"/>
          <w:sz w:val="24"/>
        </w:rPr>
        <w:t> </w:t>
      </w:r>
      <w:r>
        <w:rPr>
          <w:sz w:val="24"/>
        </w:rPr>
        <w:t>20.000.000;</w:t>
      </w:r>
    </w:p>
    <w:p>
      <w:pPr>
        <w:pStyle w:val="BodyText"/>
        <w:spacing w:before="9"/>
        <w:rPr>
          <w:sz w:val="23"/>
        </w:rPr>
      </w:pPr>
    </w:p>
    <w:p>
      <w:pPr>
        <w:pStyle w:val="ListParagraph"/>
        <w:numPr>
          <w:ilvl w:val="0"/>
          <w:numId w:val="66"/>
        </w:numPr>
        <w:tabs>
          <w:tab w:pos="2126" w:val="left" w:leader="none"/>
          <w:tab w:pos="2127" w:val="left" w:leader="none"/>
        </w:tabs>
        <w:spacing w:line="240" w:lineRule="auto" w:before="0" w:after="0"/>
        <w:ind w:left="2126" w:right="0" w:hanging="348"/>
        <w:jc w:val="left"/>
        <w:rPr>
          <w:sz w:val="24"/>
        </w:rPr>
      </w:pPr>
      <w:r>
        <w:rPr>
          <w:sz w:val="24"/>
        </w:rPr>
        <w:t>fondo imposte differite per Euro</w:t>
      </w:r>
      <w:r>
        <w:rPr>
          <w:spacing w:val="-8"/>
          <w:sz w:val="24"/>
        </w:rPr>
        <w:t> </w:t>
      </w:r>
      <w:r>
        <w:rPr>
          <w:sz w:val="24"/>
        </w:rPr>
        <w:t>2.003.741.</w:t>
      </w:r>
    </w:p>
    <w:p>
      <w:pPr>
        <w:pStyle w:val="BodyText"/>
        <w:spacing w:before="8"/>
        <w:rPr>
          <w:sz w:val="23"/>
        </w:rPr>
      </w:pPr>
    </w:p>
    <w:p>
      <w:pPr>
        <w:pStyle w:val="Heading2"/>
        <w:numPr>
          <w:ilvl w:val="3"/>
          <w:numId w:val="65"/>
        </w:numPr>
        <w:tabs>
          <w:tab w:pos="2126" w:val="left" w:leader="none"/>
          <w:tab w:pos="2127" w:val="left" w:leader="none"/>
        </w:tabs>
        <w:spacing w:line="240" w:lineRule="auto" w:before="0" w:after="0"/>
        <w:ind w:left="2126" w:right="0" w:hanging="348"/>
        <w:jc w:val="left"/>
        <w:rPr>
          <w:rFonts w:ascii="Symbol"/>
        </w:rPr>
      </w:pPr>
      <w:r>
        <w:rPr>
          <w:u w:val="single"/>
        </w:rPr>
        <w:t>Fondo</w:t>
      </w:r>
      <w:r>
        <w:rPr>
          <w:spacing w:val="-8"/>
          <w:u w:val="single"/>
        </w:rPr>
        <w:t> </w:t>
      </w:r>
      <w:r>
        <w:rPr>
          <w:u w:val="single"/>
        </w:rPr>
        <w:t>rischi</w:t>
      </w:r>
    </w:p>
    <w:p>
      <w:pPr>
        <w:pStyle w:val="BodyText"/>
        <w:spacing w:before="3"/>
        <w:rPr>
          <w:b/>
          <w:sz w:val="15"/>
        </w:rPr>
      </w:pPr>
    </w:p>
    <w:p>
      <w:pPr>
        <w:pStyle w:val="BodyText"/>
        <w:spacing w:line="480" w:lineRule="auto" w:before="100"/>
        <w:ind w:left="1418" w:right="1414"/>
        <w:jc w:val="both"/>
      </w:pPr>
      <w:r>
        <w:rPr/>
        <w:t>Alla data di riferimento, i fondi rischi ammontano ad Euro 20.000.000 e si riferiscono agli accordi stipulati negli esercizi 2012, 2015 e 2016 con Novozymes, già descritti nel paragrafo 2.3.5, a cui si rimanda per maggiori dettagli. Una approfondita disamina di tali contratti è contenuta altresì nei </w:t>
      </w:r>
      <w:r>
        <w:rPr>
          <w:i/>
        </w:rPr>
        <w:t>deliverables </w:t>
      </w:r>
      <w:r>
        <w:rPr/>
        <w:t>di Deloitte di cui gli scriventi hanno preso visione attraverso i colloqui con il management della società.</w:t>
      </w:r>
    </w:p>
    <w:p>
      <w:pPr>
        <w:pStyle w:val="BodyText"/>
        <w:spacing w:line="480" w:lineRule="auto"/>
        <w:ind w:left="1418" w:right="1409"/>
        <w:jc w:val="both"/>
      </w:pPr>
      <w:r>
        <w:rPr/>
        <w:t>In particolare, si segnala che a fronte del “</w:t>
      </w:r>
      <w:r>
        <w:rPr>
          <w:i/>
        </w:rPr>
        <w:t>performance test</w:t>
      </w:r>
      <w:r>
        <w:rPr/>
        <w:t>” previsto nell’ “</w:t>
      </w:r>
      <w:r>
        <w:rPr>
          <w:i/>
        </w:rPr>
        <w:t>amendment</w:t>
      </w:r>
      <w:r>
        <w:rPr/>
        <w:t>” del “</w:t>
      </w:r>
      <w:r>
        <w:rPr>
          <w:i/>
        </w:rPr>
        <w:t>settlement </w:t>
      </w:r>
      <w:r>
        <w:rPr>
          <w:i/>
        </w:rPr>
        <w:t>agreement</w:t>
      </w:r>
      <w:r>
        <w:rPr/>
        <w:t>” siglato il 23 dicembre 2016, in bilancio è stato rilevato un accantonamento a fondo rischi per Euro 20 milioni quale indennizzo che si dovrebbe corrispondere a Novozymes in caso di mancato superamento del performance test.</w:t>
      </w:r>
    </w:p>
    <w:p>
      <w:pPr>
        <w:pStyle w:val="Heading2"/>
        <w:numPr>
          <w:ilvl w:val="3"/>
          <w:numId w:val="65"/>
        </w:numPr>
        <w:tabs>
          <w:tab w:pos="2126" w:val="left" w:leader="none"/>
          <w:tab w:pos="2127" w:val="left" w:leader="none"/>
        </w:tabs>
        <w:spacing w:line="304" w:lineRule="exact" w:before="0" w:after="0"/>
        <w:ind w:left="2126" w:right="0" w:hanging="348"/>
        <w:jc w:val="left"/>
        <w:rPr>
          <w:rFonts w:ascii="Symbol"/>
        </w:rPr>
      </w:pPr>
      <w:r>
        <w:rPr>
          <w:u w:val="single"/>
        </w:rPr>
        <w:t>Fondo imposte</w:t>
      </w:r>
      <w:r>
        <w:rPr>
          <w:spacing w:val="-15"/>
          <w:u w:val="single"/>
        </w:rPr>
        <w:t> </w:t>
      </w:r>
      <w:r>
        <w:rPr>
          <w:u w:val="single"/>
        </w:rPr>
        <w:t>differite</w:t>
      </w:r>
    </w:p>
    <w:p>
      <w:pPr>
        <w:pStyle w:val="BodyText"/>
        <w:spacing w:before="1"/>
        <w:rPr>
          <w:b/>
          <w:sz w:val="15"/>
        </w:rPr>
      </w:pPr>
    </w:p>
    <w:p>
      <w:pPr>
        <w:pStyle w:val="BodyText"/>
        <w:spacing w:line="480" w:lineRule="auto" w:before="101"/>
        <w:ind w:left="1418" w:right="1418"/>
        <w:jc w:val="both"/>
      </w:pPr>
      <w:r>
        <w:rPr/>
        <w:t>La fiscalità differita viene stanziata quando si verifica una differenza tra reddito civilistico e reddito fiscale tale da determinare una differenza tra le imposte calcolate sull’utile civilistico e quelle determinate su quello fiscale. In generale le differenze possono essere permanenti o temporanee e le differenze temporanee determinano tassazione differita in quanto creano differenza</w:t>
      </w:r>
      <w:r>
        <w:rPr>
          <w:spacing w:val="22"/>
        </w:rPr>
        <w:t> </w:t>
      </w:r>
      <w:r>
        <w:rPr/>
        <w:t>tra</w:t>
      </w:r>
      <w:r>
        <w:rPr>
          <w:spacing w:val="22"/>
        </w:rPr>
        <w:t> </w:t>
      </w:r>
      <w:r>
        <w:rPr/>
        <w:t>le</w:t>
      </w:r>
      <w:r>
        <w:rPr>
          <w:spacing w:val="22"/>
        </w:rPr>
        <w:t> </w:t>
      </w:r>
      <w:r>
        <w:rPr/>
        <w:t>imposte</w:t>
      </w:r>
      <w:r>
        <w:rPr>
          <w:spacing w:val="24"/>
        </w:rPr>
        <w:t> </w:t>
      </w:r>
      <w:r>
        <w:rPr/>
        <w:t>dovute</w:t>
      </w:r>
      <w:r>
        <w:rPr>
          <w:spacing w:val="22"/>
        </w:rPr>
        <w:t> </w:t>
      </w:r>
      <w:r>
        <w:rPr/>
        <w:t>sul</w:t>
      </w:r>
      <w:r>
        <w:rPr>
          <w:spacing w:val="21"/>
        </w:rPr>
        <w:t> </w:t>
      </w:r>
      <w:r>
        <w:rPr/>
        <w:t>risultato</w:t>
      </w:r>
      <w:r>
        <w:rPr>
          <w:spacing w:val="23"/>
        </w:rPr>
        <w:t> </w:t>
      </w:r>
      <w:r>
        <w:rPr/>
        <w:t>civilistico</w:t>
      </w:r>
      <w:r>
        <w:rPr>
          <w:spacing w:val="21"/>
        </w:rPr>
        <w:t> </w:t>
      </w:r>
      <w:r>
        <w:rPr/>
        <w:t>e</w:t>
      </w:r>
      <w:r>
        <w:rPr>
          <w:spacing w:val="22"/>
        </w:rPr>
        <w:t> </w:t>
      </w:r>
      <w:r>
        <w:rPr/>
        <w:t>quelle</w:t>
      </w:r>
      <w:r>
        <w:rPr>
          <w:spacing w:val="22"/>
        </w:rPr>
        <w:t> </w:t>
      </w:r>
      <w:r>
        <w:rPr/>
        <w:t>dovute</w:t>
      </w:r>
      <w:r>
        <w:rPr>
          <w:spacing w:val="22"/>
        </w:rPr>
        <w:t> </w:t>
      </w:r>
      <w:r>
        <w:rPr/>
        <w:t>sul</w:t>
      </w:r>
      <w:r>
        <w:rPr>
          <w:spacing w:val="21"/>
        </w:rPr>
        <w:t> </w:t>
      </w:r>
      <w:r>
        <w:rPr/>
        <w:t>risultato</w:t>
      </w:r>
      <w:r>
        <w:rPr>
          <w:spacing w:val="21"/>
        </w:rPr>
        <w:t> </w:t>
      </w:r>
      <w:r>
        <w:rPr/>
        <w:t>fiscale.</w:t>
      </w:r>
      <w:r>
        <w:rPr>
          <w:spacing w:val="22"/>
        </w:rPr>
        <w:t> </w:t>
      </w:r>
      <w:r>
        <w:rPr/>
        <w:t>Tali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differenze sono destinate ad essere riassorbite nel calcolo del reddito imponibile degli esercizi futuri, da qui la necessità di stanziare la fiscalità differita, la cui contropartita sarà rappresentata da un fondo.</w:t>
      </w:r>
    </w:p>
    <w:p>
      <w:pPr>
        <w:pStyle w:val="BodyText"/>
        <w:spacing w:line="480" w:lineRule="auto"/>
        <w:ind w:left="1418" w:right="1417"/>
        <w:jc w:val="both"/>
      </w:pPr>
      <w:r>
        <w:rPr/>
        <w:t>Vengono pertanto rilevate ogni volta che un costo o un ricavo viene ammesso in deduzione ovvero viene tassato in un esercizio diverso da quello in cui viene iscritto nel conto economico (iscrizione civilistica). Per sua natura una differenza temporanea determina la variazione del reddito imponibile di un periodo e la corrispondente variazione di segno opposto nei redditi imponibili dei periodi successivi.</w:t>
      </w:r>
    </w:p>
    <w:p>
      <w:pPr>
        <w:pStyle w:val="BodyText"/>
        <w:spacing w:line="480" w:lineRule="auto"/>
        <w:ind w:left="1418" w:right="1412"/>
        <w:jc w:val="both"/>
      </w:pPr>
      <w:r>
        <w:rPr/>
        <w:t>Nella situazione contabile di riferimento il fondo per imposte differite ammonta ad Euro 2.003.741 ed è riferito alla plusvalenza sorta in sede di conferimento del Ramo PROESA. Dal punto di vista civilistico, la minore imposta corrente IRES derivante dalla rateizzazione delle plusvalenze, comporta la rilevazione di imposte differite per le quote di plusvalenza che saranno riprese a tassazione negli esercizi successivi al primo, durante i quali sarà stornata la corrispondente parte del fondo imposte differite precedentemente accantonato. In data 07  ottobre 2011 Biochemtex (già Chemtex Italia S.p.A.) ha conferito alla Beta Renewables (già M&amp;G Holding Italia S.p.A.) il ramo di azienda inerente alla tecnologia PROESA costituito da un  insieme di beni materiali e immateriali e di rapporti giuridici, suscettibili di consentire l’esercizio di attività di impresa in maniera autonoma e atto a produrre reddito. Tale ramo era costituito principalmente da costi di ricerca e sviluppo, </w:t>
      </w:r>
      <w:r>
        <w:rPr>
          <w:i/>
        </w:rPr>
        <w:t>Know How</w:t>
      </w:r>
      <w:r>
        <w:rPr/>
        <w:t>, marchio registrato PROESA, impianto pilota di Rivalta Scrivia per la parte attiva e da debiti verso dipendenti e fornitori per la parte passiva, oltre a una serie di contratti costituiti con parti terze. L’operazione di conferimento ha comportato l’emersione di un differenziale di Euro 49,006 milioni tra il prezzo di acquisizione e il valore del patrimonio netto della conferente. Gli amministratori, al fine di allocare tale</w:t>
      </w:r>
      <w:r>
        <w:rPr>
          <w:spacing w:val="57"/>
        </w:rPr>
        <w:t> </w:t>
      </w:r>
      <w:r>
        <w:rPr/>
        <w:t>plusvalore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1"/>
        <w:jc w:val="both"/>
      </w:pPr>
      <w:r>
        <w:rPr/>
        <w:t>originatosi dalla differenza tra il prezzo di acquisto rispetto al valore contabile del ramo, hanno incaricato la società Deloitte, quale esperto indipendente ex art. 2343 ter, comma 2 lett. B) cc per la rilevazione delle attività, passività e passività potenziali del ramo conferito ai rispettivi </w:t>
      </w:r>
      <w:r>
        <w:rPr>
          <w:i/>
        </w:rPr>
        <w:t>fair value</w:t>
      </w:r>
      <w:r>
        <w:rPr/>
        <w:t>. La perizia stimava un valore del ramo oggetto del conferimento pari ad Euro 63,5 milioni alla  data del 31 luglio 2011. La “</w:t>
      </w:r>
      <w:r>
        <w:rPr>
          <w:i/>
        </w:rPr>
        <w:t>Purchase price allocation</w:t>
      </w:r>
      <w:r>
        <w:rPr/>
        <w:t>” di Deloitte, di cui gli scriventi hanno preso visione, ha allocato ai costi di R&amp;S un valore pari ad 44,208 milioni, agli impianti un valore di 1,800 milioni, ha tenuto conto di una fiscalità differita di Euro 14,447</w:t>
      </w:r>
      <w:r>
        <w:rPr>
          <w:spacing w:val="-18"/>
        </w:rPr>
        <w:t> </w:t>
      </w:r>
      <w:r>
        <w:rPr/>
        <w:t>milioni.</w:t>
      </w:r>
    </w:p>
    <w:p>
      <w:pPr>
        <w:pStyle w:val="BodyText"/>
        <w:rPr>
          <w:sz w:val="26"/>
        </w:rPr>
      </w:pPr>
    </w:p>
    <w:p>
      <w:pPr>
        <w:pStyle w:val="BodyText"/>
        <w:spacing w:before="11"/>
        <w:rPr>
          <w:sz w:val="21"/>
        </w:rPr>
      </w:pPr>
    </w:p>
    <w:p>
      <w:pPr>
        <w:pStyle w:val="BodyText"/>
        <w:ind w:left="1418"/>
        <w:jc w:val="both"/>
      </w:pPr>
      <w:r>
        <w:rPr>
          <w:u w:val="single"/>
        </w:rPr>
        <w:t>Attività svolta</w:t>
      </w:r>
    </w:p>
    <w:p>
      <w:pPr>
        <w:pStyle w:val="BodyText"/>
        <w:spacing w:before="11"/>
        <w:rPr>
          <w:sz w:val="23"/>
        </w:rPr>
      </w:pPr>
    </w:p>
    <w:p>
      <w:pPr>
        <w:pStyle w:val="BodyText"/>
        <w:spacing w:line="480" w:lineRule="auto"/>
        <w:ind w:left="1418" w:right="1416"/>
        <w:jc w:val="both"/>
      </w:pPr>
      <w:r>
        <w:rPr/>
        <w:t>Gli scriventi hanno preso visione della perizia redatta nel 2011 dalla Società Deloitte, del calcolo delle imposte differite e delle sue movimentazioni dal 2011 ad oggi.</w:t>
      </w:r>
    </w:p>
    <w:p>
      <w:pPr>
        <w:pStyle w:val="BodyText"/>
        <w:ind w:left="1418"/>
        <w:jc w:val="both"/>
      </w:pPr>
      <w:r>
        <w:rPr>
          <w:u w:val="single"/>
        </w:rPr>
        <w:t>Valorizzazione concordataria</w:t>
      </w:r>
    </w:p>
    <w:p>
      <w:pPr>
        <w:pStyle w:val="BodyText"/>
        <w:spacing w:before="10"/>
        <w:rPr>
          <w:sz w:val="23"/>
        </w:rPr>
      </w:pPr>
    </w:p>
    <w:p>
      <w:pPr>
        <w:pStyle w:val="BodyText"/>
        <w:spacing w:line="480" w:lineRule="auto" w:before="1"/>
        <w:ind w:left="1418" w:right="1413"/>
        <w:jc w:val="both"/>
      </w:pPr>
      <w:r>
        <w:rPr/>
        <w:t>Alla luce di quanto sopra premesso, e alla luce delle analisi svolte, il fondo imposte differite accoglie le imposte, che per effetto della disciplina fiscale saranno dovute nei successivi esercizi, nonostante civilisticamente siano di competenza dell’esercizio. Anche in questo caso negli esercizi successivi tali imposte saranno stornate al fine di neutralizzare le maggiori imposte  dovute rispetto a quelle di competenza. Tale fondo è stato pertanto rettificato.</w:t>
      </w:r>
    </w:p>
    <w:p>
      <w:pPr>
        <w:pStyle w:val="BodyText"/>
        <w:spacing w:line="480" w:lineRule="auto"/>
        <w:ind w:left="1418" w:right="1416"/>
        <w:jc w:val="both"/>
      </w:pPr>
      <w:r>
        <w:rPr/>
        <w:t>Per quanto riguarda il fondo rischi pari ad Euro 20.000.000 relativo a Novozymes è stato classificato in via chirografaria postergato come da lettera datata 19 aprile 2018, con il quale i soci di Novozymes (Peder Holk Nielsen e Thomas Viedebaek) comunicano il loro impegno a postergare il proprio credito.</w:t>
      </w:r>
    </w:p>
    <w:p>
      <w:pPr>
        <w:pStyle w:val="BodyText"/>
        <w:spacing w:before="3"/>
        <w:rPr>
          <w:sz w:val="21"/>
        </w:rPr>
      </w:pPr>
    </w:p>
    <w:p>
      <w:pPr>
        <w:pStyle w:val="Heading2"/>
        <w:jc w:val="both"/>
      </w:pPr>
      <w:r>
        <w:rPr>
          <w:u w:val="single"/>
        </w:rPr>
        <w:t>TFR</w:t>
      </w:r>
    </w:p>
    <w:p>
      <w:pPr>
        <w:spacing w:after="0"/>
        <w:jc w:val="both"/>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spacing w:before="4"/>
        <w:rPr>
          <w:b/>
          <w:sz w:val="27"/>
        </w:rPr>
      </w:pPr>
    </w:p>
    <w:p>
      <w:pPr>
        <w:pStyle w:val="BodyText"/>
        <w:spacing w:before="100"/>
        <w:ind w:left="1418"/>
        <w:jc w:val="both"/>
      </w:pPr>
      <w:r>
        <w:rPr/>
        <w:t>Alla data del 15 ottobre 2017 il saldo del TFR ammonta ad Euro 723.169,93.</w:t>
      </w:r>
    </w:p>
    <w:p>
      <w:pPr>
        <w:pStyle w:val="BodyText"/>
        <w:spacing w:before="11"/>
        <w:rPr>
          <w:sz w:val="23"/>
        </w:rPr>
      </w:pPr>
    </w:p>
    <w:p>
      <w:pPr>
        <w:pStyle w:val="BodyText"/>
        <w:spacing w:line="480" w:lineRule="auto"/>
        <w:ind w:left="1418" w:right="1413"/>
        <w:jc w:val="both"/>
      </w:pPr>
      <w:r>
        <w:rPr/>
        <w:t>La voce in esame è riferibile al debito effettivo maturato alla data di riferimento per le indennità spettanti al personale dipendente al momento di cessazione del rapporto di lavoro, calcolate in conformità alla legislazione ed al contratto di lavoro e in base alle retribuzioni corrisposte ed all'anzianità di lavoro alla data di riferimento.</w:t>
      </w:r>
    </w:p>
    <w:p>
      <w:pPr>
        <w:pStyle w:val="BodyText"/>
        <w:ind w:left="1418"/>
        <w:jc w:val="both"/>
      </w:pPr>
      <w:r>
        <w:rPr/>
        <w:t>Si riporta di seguito la tabella riepilogativa del debito per TFR suddivisa per dipendente:</w:t>
      </w:r>
    </w:p>
    <w:p>
      <w:pPr>
        <w:spacing w:after="0"/>
        <w:jc w:val="both"/>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1"/>
        <w:rPr>
          <w:rFonts w:ascii="Times New Roman"/>
          <w:sz w:val="26"/>
        </w:rPr>
      </w:pPr>
    </w:p>
    <w:tbl>
      <w:tblPr>
        <w:tblW w:w="0" w:type="auto"/>
        <w:jc w:val="left"/>
        <w:tblInd w:w="240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0"/>
        <w:gridCol w:w="792"/>
        <w:gridCol w:w="777"/>
        <w:gridCol w:w="94"/>
        <w:gridCol w:w="749"/>
        <w:gridCol w:w="123"/>
        <w:gridCol w:w="617"/>
        <w:gridCol w:w="110"/>
        <w:gridCol w:w="718"/>
        <w:gridCol w:w="683"/>
        <w:gridCol w:w="791"/>
      </w:tblGrid>
      <w:tr>
        <w:trPr>
          <w:trHeight w:val="410" w:hRule="exact"/>
        </w:trPr>
        <w:tc>
          <w:tcPr>
            <w:tcW w:w="1630" w:type="dxa"/>
            <w:tcBorders>
              <w:top w:val="single" w:sz="3" w:space="0" w:color="000000"/>
              <w:left w:val="single" w:sz="3" w:space="0" w:color="000000"/>
              <w:bottom w:val="single" w:sz="3" w:space="0" w:color="000000"/>
            </w:tcBorders>
            <w:shd w:val="clear" w:color="auto" w:fill="BEBEBE"/>
          </w:tcPr>
          <w:p>
            <w:pPr>
              <w:pStyle w:val="TableParagraph"/>
              <w:spacing w:before="5"/>
              <w:jc w:val="left"/>
              <w:rPr>
                <w:rFonts w:ascii="Times New Roman"/>
                <w:sz w:val="13"/>
              </w:rPr>
            </w:pPr>
          </w:p>
          <w:p>
            <w:pPr>
              <w:pStyle w:val="TableParagraph"/>
              <w:spacing w:before="0"/>
              <w:ind w:left="425"/>
              <w:jc w:val="left"/>
              <w:rPr>
                <w:sz w:val="10"/>
              </w:rPr>
            </w:pPr>
            <w:r>
              <w:rPr>
                <w:w w:val="115"/>
                <w:sz w:val="10"/>
              </w:rPr>
              <w:t>DIPENDENTE</w:t>
            </w:r>
          </w:p>
        </w:tc>
        <w:tc>
          <w:tcPr>
            <w:tcW w:w="1569" w:type="dxa"/>
            <w:gridSpan w:val="2"/>
            <w:tcBorders>
              <w:top w:val="single" w:sz="3" w:space="0" w:color="000000"/>
              <w:bottom w:val="single" w:sz="3" w:space="0" w:color="000000"/>
            </w:tcBorders>
            <w:shd w:val="clear" w:color="auto" w:fill="BEBEBE"/>
          </w:tcPr>
          <w:p>
            <w:pPr>
              <w:pStyle w:val="TableParagraph"/>
              <w:tabs>
                <w:tab w:pos="1021" w:val="left" w:leader="none"/>
              </w:tabs>
              <w:spacing w:line="290" w:lineRule="auto" w:before="83"/>
              <w:ind w:left="24" w:right="22" w:firstLine="212"/>
              <w:jc w:val="left"/>
              <w:rPr>
                <w:sz w:val="10"/>
              </w:rPr>
            </w:pPr>
            <w:r>
              <w:rPr>
                <w:w w:val="115"/>
                <w:sz w:val="10"/>
              </w:rPr>
              <w:t>DATA</w:t>
              <w:tab/>
              <w:t>DATA ASSUNZIONE </w:t>
            </w:r>
            <w:r>
              <w:rPr>
                <w:spacing w:val="20"/>
                <w:w w:val="115"/>
                <w:sz w:val="10"/>
              </w:rPr>
              <w:t> </w:t>
            </w:r>
            <w:r>
              <w:rPr>
                <w:w w:val="115"/>
                <w:sz w:val="10"/>
              </w:rPr>
              <w:t>CESSAZIONE</w:t>
            </w:r>
          </w:p>
        </w:tc>
        <w:tc>
          <w:tcPr>
            <w:tcW w:w="94" w:type="dxa"/>
            <w:tcBorders>
              <w:top w:val="single" w:sz="3" w:space="0" w:color="000000"/>
              <w:bottom w:val="single" w:sz="3" w:space="0" w:color="000000"/>
            </w:tcBorders>
            <w:shd w:val="clear" w:color="auto" w:fill="BEBEBE"/>
          </w:tcPr>
          <w:p>
            <w:pPr/>
          </w:p>
        </w:tc>
        <w:tc>
          <w:tcPr>
            <w:tcW w:w="749" w:type="dxa"/>
            <w:tcBorders>
              <w:top w:val="single" w:sz="3" w:space="0" w:color="000000"/>
              <w:bottom w:val="single" w:sz="3" w:space="0" w:color="000000"/>
            </w:tcBorders>
            <w:shd w:val="clear" w:color="auto" w:fill="BEBEBE"/>
          </w:tcPr>
          <w:p>
            <w:pPr>
              <w:pStyle w:val="TableParagraph"/>
              <w:spacing w:before="5"/>
              <w:jc w:val="left"/>
              <w:rPr>
                <w:rFonts w:ascii="Times New Roman"/>
                <w:sz w:val="13"/>
              </w:rPr>
            </w:pPr>
          </w:p>
          <w:p>
            <w:pPr>
              <w:pStyle w:val="TableParagraph"/>
              <w:spacing w:before="0"/>
              <w:ind w:right="66"/>
              <w:rPr>
                <w:sz w:val="10"/>
              </w:rPr>
            </w:pPr>
            <w:r>
              <w:rPr>
                <w:w w:val="115"/>
                <w:sz w:val="10"/>
              </w:rPr>
              <w:t>TFR NETTO</w:t>
            </w:r>
          </w:p>
        </w:tc>
        <w:tc>
          <w:tcPr>
            <w:tcW w:w="741" w:type="dxa"/>
            <w:gridSpan w:val="2"/>
            <w:tcBorders>
              <w:top w:val="single" w:sz="3" w:space="0" w:color="000000"/>
              <w:bottom w:val="single" w:sz="3" w:space="0" w:color="000000"/>
            </w:tcBorders>
            <w:shd w:val="clear" w:color="auto" w:fill="BEBEBE"/>
          </w:tcPr>
          <w:p>
            <w:pPr>
              <w:pStyle w:val="TableParagraph"/>
              <w:spacing w:line="290" w:lineRule="auto" w:before="83"/>
              <w:ind w:left="68" w:right="8" w:firstLine="220"/>
              <w:jc w:val="left"/>
              <w:rPr>
                <w:sz w:val="10"/>
              </w:rPr>
            </w:pPr>
            <w:r>
              <w:rPr>
                <w:w w:val="115"/>
                <w:sz w:val="10"/>
              </w:rPr>
              <w:t>TFR LIQUIDATO</w:t>
            </w:r>
          </w:p>
        </w:tc>
        <w:tc>
          <w:tcPr>
            <w:tcW w:w="828" w:type="dxa"/>
            <w:gridSpan w:val="2"/>
            <w:tcBorders>
              <w:top w:val="single" w:sz="3" w:space="0" w:color="000000"/>
              <w:bottom w:val="single" w:sz="3" w:space="0" w:color="000000"/>
            </w:tcBorders>
            <w:shd w:val="clear" w:color="auto" w:fill="BEBEBE"/>
          </w:tcPr>
          <w:p>
            <w:pPr>
              <w:pStyle w:val="TableParagraph"/>
              <w:spacing w:line="290" w:lineRule="auto" w:before="83"/>
              <w:ind w:left="119" w:hanging="52"/>
              <w:jc w:val="left"/>
              <w:rPr>
                <w:b/>
                <w:sz w:val="10"/>
              </w:rPr>
            </w:pPr>
            <w:r>
              <w:rPr>
                <w:b/>
                <w:w w:val="115"/>
                <w:sz w:val="10"/>
              </w:rPr>
              <w:t>SALDO TFR AL 10/2017</w:t>
            </w:r>
          </w:p>
        </w:tc>
        <w:tc>
          <w:tcPr>
            <w:tcW w:w="683" w:type="dxa"/>
            <w:tcBorders>
              <w:top w:val="single" w:sz="3" w:space="0" w:color="000000"/>
              <w:bottom w:val="single" w:sz="3" w:space="0" w:color="000000"/>
            </w:tcBorders>
            <w:shd w:val="clear" w:color="auto" w:fill="BEBEBE"/>
          </w:tcPr>
          <w:p>
            <w:pPr>
              <w:pStyle w:val="TableParagraph"/>
              <w:spacing w:before="5"/>
              <w:jc w:val="left"/>
              <w:rPr>
                <w:rFonts w:ascii="Times New Roman"/>
                <w:sz w:val="13"/>
              </w:rPr>
            </w:pPr>
          </w:p>
          <w:p>
            <w:pPr>
              <w:pStyle w:val="TableParagraph"/>
              <w:spacing w:before="0"/>
              <w:ind w:right="132"/>
              <w:rPr>
                <w:b/>
                <w:sz w:val="10"/>
              </w:rPr>
            </w:pPr>
            <w:r>
              <w:rPr>
                <w:b/>
                <w:w w:val="115"/>
                <w:sz w:val="10"/>
              </w:rPr>
              <w:t>TFR 13A</w:t>
            </w:r>
          </w:p>
        </w:tc>
        <w:tc>
          <w:tcPr>
            <w:tcW w:w="791" w:type="dxa"/>
            <w:tcBorders>
              <w:top w:val="single" w:sz="3" w:space="0" w:color="000000"/>
              <w:bottom w:val="single" w:sz="3" w:space="0" w:color="000000"/>
              <w:right w:val="single" w:sz="3" w:space="0" w:color="000000"/>
            </w:tcBorders>
            <w:shd w:val="clear" w:color="auto" w:fill="BEBEBE"/>
          </w:tcPr>
          <w:p>
            <w:pPr>
              <w:pStyle w:val="TableParagraph"/>
              <w:spacing w:line="290" w:lineRule="auto" w:before="83"/>
              <w:ind w:left="148" w:right="139" w:firstLine="132"/>
              <w:jc w:val="left"/>
              <w:rPr>
                <w:b/>
                <w:sz w:val="10"/>
              </w:rPr>
            </w:pPr>
            <w:r>
              <w:rPr>
                <w:b/>
                <w:w w:val="115"/>
                <w:sz w:val="10"/>
              </w:rPr>
              <w:t>TFR TOTALE</w:t>
            </w:r>
          </w:p>
        </w:tc>
      </w:tr>
      <w:tr>
        <w:trPr>
          <w:trHeight w:val="145" w:hRule="exact"/>
        </w:trPr>
        <w:tc>
          <w:tcPr>
            <w:tcW w:w="1630" w:type="dxa"/>
            <w:tcBorders>
              <w:top w:val="single" w:sz="3" w:space="0" w:color="000000"/>
              <w:left w:val="single" w:sz="3" w:space="0" w:color="000000"/>
            </w:tcBorders>
          </w:tcPr>
          <w:p>
            <w:pPr>
              <w:pStyle w:val="TableParagraph"/>
              <w:spacing w:before="18"/>
              <w:ind w:left="14"/>
              <w:jc w:val="left"/>
              <w:rPr>
                <w:sz w:val="10"/>
              </w:rPr>
            </w:pPr>
            <w:r>
              <w:rPr>
                <w:w w:val="115"/>
                <w:sz w:val="10"/>
              </w:rPr>
              <w:t>MARGUTTI PATRIZIA LAURA</w:t>
            </w:r>
          </w:p>
        </w:tc>
        <w:tc>
          <w:tcPr>
            <w:tcW w:w="792" w:type="dxa"/>
            <w:tcBorders>
              <w:top w:val="single" w:sz="3" w:space="0" w:color="000000"/>
            </w:tcBorders>
          </w:tcPr>
          <w:p>
            <w:pPr>
              <w:pStyle w:val="TableParagraph"/>
              <w:spacing w:before="18"/>
              <w:ind w:left="102" w:right="102"/>
              <w:jc w:val="center"/>
              <w:rPr>
                <w:sz w:val="10"/>
              </w:rPr>
            </w:pPr>
            <w:r>
              <w:rPr>
                <w:w w:val="115"/>
                <w:sz w:val="10"/>
              </w:rPr>
              <w:t>01/09/2005</w:t>
            </w:r>
          </w:p>
        </w:tc>
        <w:tc>
          <w:tcPr>
            <w:tcW w:w="777" w:type="dxa"/>
            <w:tcBorders>
              <w:top w:val="single" w:sz="3" w:space="0" w:color="000000"/>
            </w:tcBorders>
          </w:tcPr>
          <w:p>
            <w:pPr/>
          </w:p>
        </w:tc>
        <w:tc>
          <w:tcPr>
            <w:tcW w:w="94" w:type="dxa"/>
            <w:tcBorders>
              <w:top w:val="single" w:sz="3" w:space="0" w:color="000000"/>
            </w:tcBorders>
          </w:tcPr>
          <w:p>
            <w:pPr/>
          </w:p>
        </w:tc>
        <w:tc>
          <w:tcPr>
            <w:tcW w:w="749" w:type="dxa"/>
            <w:tcBorders>
              <w:top w:val="single" w:sz="3" w:space="0" w:color="000000"/>
            </w:tcBorders>
          </w:tcPr>
          <w:p>
            <w:pPr>
              <w:pStyle w:val="TableParagraph"/>
              <w:spacing w:before="18"/>
              <w:ind w:right="105"/>
              <w:rPr>
                <w:sz w:val="10"/>
              </w:rPr>
            </w:pPr>
            <w:r>
              <w:rPr>
                <w:w w:val="115"/>
                <w:sz w:val="10"/>
              </w:rPr>
              <w:t>9.102,25</w:t>
            </w:r>
          </w:p>
        </w:tc>
        <w:tc>
          <w:tcPr>
            <w:tcW w:w="123" w:type="dxa"/>
            <w:tcBorders>
              <w:top w:val="single" w:sz="3" w:space="0" w:color="000000"/>
            </w:tcBorders>
          </w:tcPr>
          <w:p>
            <w:pPr/>
          </w:p>
        </w:tc>
        <w:tc>
          <w:tcPr>
            <w:tcW w:w="617" w:type="dxa"/>
            <w:tcBorders>
              <w:top w:val="single" w:sz="3" w:space="0" w:color="000000"/>
            </w:tcBorders>
          </w:tcPr>
          <w:p>
            <w:pPr>
              <w:pStyle w:val="TableParagraph"/>
              <w:spacing w:before="18"/>
              <w:ind w:left="86"/>
              <w:jc w:val="center"/>
              <w:rPr>
                <w:sz w:val="10"/>
              </w:rPr>
            </w:pPr>
            <w:r>
              <w:rPr>
                <w:w w:val="117"/>
                <w:sz w:val="10"/>
              </w:rPr>
              <w:t>-</w:t>
            </w:r>
          </w:p>
        </w:tc>
        <w:tc>
          <w:tcPr>
            <w:tcW w:w="110" w:type="dxa"/>
            <w:tcBorders>
              <w:top w:val="single" w:sz="3" w:space="0" w:color="000000"/>
            </w:tcBorders>
          </w:tcPr>
          <w:p>
            <w:pPr/>
          </w:p>
        </w:tc>
        <w:tc>
          <w:tcPr>
            <w:tcW w:w="718" w:type="dxa"/>
            <w:tcBorders>
              <w:top w:val="single" w:sz="3" w:space="0" w:color="000000"/>
            </w:tcBorders>
          </w:tcPr>
          <w:p>
            <w:pPr>
              <w:pStyle w:val="TableParagraph"/>
              <w:spacing w:before="18"/>
              <w:ind w:right="174"/>
              <w:rPr>
                <w:b/>
                <w:sz w:val="10"/>
              </w:rPr>
            </w:pPr>
            <w:r>
              <w:rPr>
                <w:b/>
                <w:w w:val="115"/>
                <w:sz w:val="10"/>
              </w:rPr>
              <w:t>9.102,25</w:t>
            </w:r>
          </w:p>
        </w:tc>
        <w:tc>
          <w:tcPr>
            <w:tcW w:w="683" w:type="dxa"/>
            <w:tcBorders>
              <w:top w:val="single" w:sz="3" w:space="0" w:color="000000"/>
            </w:tcBorders>
          </w:tcPr>
          <w:p>
            <w:pPr>
              <w:pStyle w:val="TableParagraph"/>
              <w:spacing w:before="18"/>
              <w:ind w:right="139"/>
              <w:rPr>
                <w:b/>
                <w:sz w:val="10"/>
              </w:rPr>
            </w:pPr>
            <w:r>
              <w:rPr>
                <w:b/>
                <w:w w:val="115"/>
                <w:sz w:val="10"/>
              </w:rPr>
              <w:t>153,56</w:t>
            </w:r>
          </w:p>
        </w:tc>
        <w:tc>
          <w:tcPr>
            <w:tcW w:w="791" w:type="dxa"/>
            <w:tcBorders>
              <w:top w:val="single" w:sz="3" w:space="0" w:color="000000"/>
              <w:right w:val="single" w:sz="3" w:space="0" w:color="000000"/>
            </w:tcBorders>
          </w:tcPr>
          <w:p>
            <w:pPr>
              <w:pStyle w:val="TableParagraph"/>
              <w:spacing w:before="18"/>
              <w:ind w:right="55"/>
              <w:rPr>
                <w:b/>
                <w:sz w:val="10"/>
              </w:rPr>
            </w:pPr>
            <w:r>
              <w:rPr>
                <w:b/>
                <w:w w:val="115"/>
                <w:sz w:val="10"/>
              </w:rPr>
              <w:t>9.255,81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ZANETTE FEDERICO</w:t>
            </w:r>
          </w:p>
        </w:tc>
        <w:tc>
          <w:tcPr>
            <w:tcW w:w="792" w:type="dxa"/>
          </w:tcPr>
          <w:p>
            <w:pPr>
              <w:pStyle w:val="TableParagraph"/>
              <w:ind w:left="102" w:right="102"/>
              <w:jc w:val="center"/>
              <w:rPr>
                <w:sz w:val="10"/>
              </w:rPr>
            </w:pPr>
            <w:r>
              <w:rPr>
                <w:w w:val="115"/>
                <w:sz w:val="10"/>
              </w:rPr>
              <w:t>02/11/2004</w:t>
            </w:r>
          </w:p>
        </w:tc>
        <w:tc>
          <w:tcPr>
            <w:tcW w:w="777" w:type="dxa"/>
          </w:tcPr>
          <w:p>
            <w:pPr/>
          </w:p>
        </w:tc>
        <w:tc>
          <w:tcPr>
            <w:tcW w:w="94" w:type="dxa"/>
          </w:tcPr>
          <w:p>
            <w:pPr/>
          </w:p>
        </w:tc>
        <w:tc>
          <w:tcPr>
            <w:tcW w:w="749" w:type="dxa"/>
          </w:tcPr>
          <w:p>
            <w:pPr>
              <w:pStyle w:val="TableParagraph"/>
              <w:ind w:right="105"/>
              <w:rPr>
                <w:sz w:val="10"/>
              </w:rPr>
            </w:pPr>
            <w:r>
              <w:rPr>
                <w:w w:val="115"/>
                <w:sz w:val="10"/>
              </w:rPr>
              <w:t>8.647,62</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8.647,62</w:t>
            </w:r>
          </w:p>
        </w:tc>
        <w:tc>
          <w:tcPr>
            <w:tcW w:w="683" w:type="dxa"/>
          </w:tcPr>
          <w:p>
            <w:pPr>
              <w:pStyle w:val="TableParagraph"/>
              <w:ind w:right="139"/>
              <w:rPr>
                <w:b/>
                <w:sz w:val="10"/>
              </w:rPr>
            </w:pPr>
            <w:r>
              <w:rPr>
                <w:b/>
                <w:w w:val="115"/>
                <w:sz w:val="10"/>
              </w:rPr>
              <w:t>324,08</w:t>
            </w:r>
          </w:p>
        </w:tc>
        <w:tc>
          <w:tcPr>
            <w:tcW w:w="791" w:type="dxa"/>
            <w:tcBorders>
              <w:right w:val="single" w:sz="3" w:space="0" w:color="000000"/>
            </w:tcBorders>
          </w:tcPr>
          <w:p>
            <w:pPr>
              <w:pStyle w:val="TableParagraph"/>
              <w:ind w:right="61"/>
              <w:rPr>
                <w:b/>
                <w:sz w:val="10"/>
              </w:rPr>
            </w:pPr>
            <w:r>
              <w:rPr>
                <w:b/>
                <w:w w:val="115"/>
                <w:sz w:val="10"/>
              </w:rPr>
              <w:t>8.971,70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RAITERI PAOLA</w:t>
            </w:r>
          </w:p>
        </w:tc>
        <w:tc>
          <w:tcPr>
            <w:tcW w:w="792" w:type="dxa"/>
          </w:tcPr>
          <w:p>
            <w:pPr>
              <w:pStyle w:val="TableParagraph"/>
              <w:ind w:left="102" w:right="102"/>
              <w:jc w:val="center"/>
              <w:rPr>
                <w:sz w:val="10"/>
              </w:rPr>
            </w:pPr>
            <w:r>
              <w:rPr>
                <w:w w:val="115"/>
                <w:sz w:val="10"/>
              </w:rPr>
              <w:t>01/11/2005</w:t>
            </w:r>
          </w:p>
        </w:tc>
        <w:tc>
          <w:tcPr>
            <w:tcW w:w="777" w:type="dxa"/>
          </w:tcPr>
          <w:p>
            <w:pPr/>
          </w:p>
        </w:tc>
        <w:tc>
          <w:tcPr>
            <w:tcW w:w="94" w:type="dxa"/>
          </w:tcPr>
          <w:p>
            <w:pPr/>
          </w:p>
        </w:tc>
        <w:tc>
          <w:tcPr>
            <w:tcW w:w="749" w:type="dxa"/>
          </w:tcPr>
          <w:p>
            <w:pPr>
              <w:pStyle w:val="TableParagraph"/>
              <w:ind w:right="105"/>
              <w:rPr>
                <w:sz w:val="10"/>
              </w:rPr>
            </w:pPr>
            <w:r>
              <w:rPr>
                <w:w w:val="115"/>
                <w:sz w:val="10"/>
              </w:rPr>
              <w:t>26.920,43</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26.920,43</w:t>
            </w:r>
          </w:p>
        </w:tc>
        <w:tc>
          <w:tcPr>
            <w:tcW w:w="683" w:type="dxa"/>
          </w:tcPr>
          <w:p>
            <w:pPr>
              <w:pStyle w:val="TableParagraph"/>
              <w:ind w:right="133"/>
              <w:rPr>
                <w:b/>
                <w:sz w:val="10"/>
              </w:rPr>
            </w:pPr>
            <w:r>
              <w:rPr>
                <w:b/>
                <w:w w:val="115"/>
                <w:sz w:val="10"/>
              </w:rPr>
              <w:t>137,51</w:t>
            </w:r>
          </w:p>
        </w:tc>
        <w:tc>
          <w:tcPr>
            <w:tcW w:w="791" w:type="dxa"/>
            <w:tcBorders>
              <w:right w:val="single" w:sz="3" w:space="0" w:color="000000"/>
            </w:tcBorders>
          </w:tcPr>
          <w:p>
            <w:pPr>
              <w:pStyle w:val="TableParagraph"/>
              <w:ind w:right="61"/>
              <w:rPr>
                <w:b/>
                <w:sz w:val="10"/>
              </w:rPr>
            </w:pPr>
            <w:r>
              <w:rPr>
                <w:b/>
                <w:w w:val="115"/>
                <w:sz w:val="10"/>
              </w:rPr>
              <w:t>27.057,94</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BOVERI GIUSEPPINA</w:t>
            </w:r>
          </w:p>
        </w:tc>
        <w:tc>
          <w:tcPr>
            <w:tcW w:w="792" w:type="dxa"/>
          </w:tcPr>
          <w:p>
            <w:pPr>
              <w:pStyle w:val="TableParagraph"/>
              <w:ind w:left="102" w:right="102"/>
              <w:jc w:val="center"/>
              <w:rPr>
                <w:sz w:val="10"/>
              </w:rPr>
            </w:pPr>
            <w:r>
              <w:rPr>
                <w:w w:val="115"/>
                <w:sz w:val="10"/>
              </w:rPr>
              <w:t>01/11/2005</w:t>
            </w:r>
          </w:p>
        </w:tc>
        <w:tc>
          <w:tcPr>
            <w:tcW w:w="777" w:type="dxa"/>
          </w:tcPr>
          <w:p>
            <w:pPr/>
          </w:p>
        </w:tc>
        <w:tc>
          <w:tcPr>
            <w:tcW w:w="94" w:type="dxa"/>
          </w:tcPr>
          <w:p>
            <w:pPr/>
          </w:p>
        </w:tc>
        <w:tc>
          <w:tcPr>
            <w:tcW w:w="749" w:type="dxa"/>
          </w:tcPr>
          <w:p>
            <w:pPr>
              <w:pStyle w:val="TableParagraph"/>
              <w:ind w:right="105"/>
              <w:rPr>
                <w:sz w:val="10"/>
              </w:rPr>
            </w:pPr>
            <w:r>
              <w:rPr>
                <w:w w:val="115"/>
                <w:sz w:val="10"/>
              </w:rPr>
              <w:t>44.684,09</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44.684,09</w:t>
            </w:r>
          </w:p>
        </w:tc>
        <w:tc>
          <w:tcPr>
            <w:tcW w:w="683" w:type="dxa"/>
          </w:tcPr>
          <w:p>
            <w:pPr>
              <w:pStyle w:val="TableParagraph"/>
              <w:ind w:right="139"/>
              <w:rPr>
                <w:b/>
                <w:sz w:val="10"/>
              </w:rPr>
            </w:pPr>
            <w:r>
              <w:rPr>
                <w:b/>
                <w:w w:val="115"/>
                <w:sz w:val="10"/>
              </w:rPr>
              <w:t>547,43</w:t>
            </w:r>
          </w:p>
        </w:tc>
        <w:tc>
          <w:tcPr>
            <w:tcW w:w="791" w:type="dxa"/>
            <w:tcBorders>
              <w:right w:val="single" w:sz="3" w:space="0" w:color="000000"/>
            </w:tcBorders>
          </w:tcPr>
          <w:p>
            <w:pPr>
              <w:pStyle w:val="TableParagraph"/>
              <w:ind w:right="61"/>
              <w:rPr>
                <w:b/>
                <w:sz w:val="10"/>
              </w:rPr>
            </w:pPr>
            <w:r>
              <w:rPr>
                <w:b/>
                <w:w w:val="115"/>
                <w:sz w:val="10"/>
              </w:rPr>
              <w:t>45.231,52</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BALDI ANDREA</w:t>
            </w:r>
          </w:p>
        </w:tc>
        <w:tc>
          <w:tcPr>
            <w:tcW w:w="792" w:type="dxa"/>
          </w:tcPr>
          <w:p>
            <w:pPr>
              <w:pStyle w:val="TableParagraph"/>
              <w:ind w:left="102" w:right="102"/>
              <w:jc w:val="center"/>
              <w:rPr>
                <w:sz w:val="10"/>
              </w:rPr>
            </w:pPr>
            <w:r>
              <w:rPr>
                <w:w w:val="115"/>
                <w:sz w:val="10"/>
              </w:rPr>
              <w:t>01/01/2007</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18,06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left="7"/>
              <w:jc w:val="center"/>
              <w:rPr>
                <w:b/>
                <w:sz w:val="10"/>
              </w:rPr>
            </w:pPr>
            <w:r>
              <w:rPr>
                <w:b/>
                <w:w w:val="117"/>
                <w:sz w:val="10"/>
              </w:rPr>
              <w:t>-</w:t>
            </w:r>
          </w:p>
        </w:tc>
        <w:tc>
          <w:tcPr>
            <w:tcW w:w="718" w:type="dxa"/>
          </w:tcPr>
          <w:p>
            <w:pPr>
              <w:pStyle w:val="TableParagraph"/>
              <w:ind w:right="174"/>
              <w:rPr>
                <w:b/>
                <w:sz w:val="10"/>
              </w:rPr>
            </w:pPr>
            <w:r>
              <w:rPr>
                <w:b/>
                <w:w w:val="115"/>
                <w:sz w:val="10"/>
              </w:rPr>
              <w:t>18,06</w:t>
            </w:r>
          </w:p>
        </w:tc>
        <w:tc>
          <w:tcPr>
            <w:tcW w:w="683" w:type="dxa"/>
          </w:tcPr>
          <w:p>
            <w:pPr>
              <w:pStyle w:val="TableParagraph"/>
              <w:ind w:right="139"/>
              <w:rPr>
                <w:b/>
                <w:sz w:val="10"/>
              </w:rPr>
            </w:pPr>
            <w:r>
              <w:rPr>
                <w:b/>
                <w:w w:val="115"/>
                <w:sz w:val="10"/>
              </w:rPr>
              <w:t>235,36</w:t>
            </w:r>
          </w:p>
        </w:tc>
        <w:tc>
          <w:tcPr>
            <w:tcW w:w="791" w:type="dxa"/>
            <w:tcBorders>
              <w:right w:val="single" w:sz="3" w:space="0" w:color="000000"/>
            </w:tcBorders>
          </w:tcPr>
          <w:p>
            <w:pPr>
              <w:pStyle w:val="TableParagraph"/>
              <w:ind w:right="61"/>
              <w:rPr>
                <w:b/>
                <w:sz w:val="10"/>
              </w:rPr>
            </w:pPr>
            <w:r>
              <w:rPr>
                <w:b/>
                <w:w w:val="115"/>
                <w:sz w:val="10"/>
              </w:rPr>
              <w:t>217,30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SCACHERI PAOLO</w:t>
            </w:r>
          </w:p>
        </w:tc>
        <w:tc>
          <w:tcPr>
            <w:tcW w:w="792" w:type="dxa"/>
          </w:tcPr>
          <w:p>
            <w:pPr>
              <w:pStyle w:val="TableParagraph"/>
              <w:ind w:left="102" w:right="102"/>
              <w:jc w:val="center"/>
              <w:rPr>
                <w:sz w:val="10"/>
              </w:rPr>
            </w:pPr>
            <w:r>
              <w:rPr>
                <w:w w:val="115"/>
                <w:sz w:val="10"/>
              </w:rPr>
              <w:t>06/03/2007</w:t>
            </w:r>
          </w:p>
        </w:tc>
        <w:tc>
          <w:tcPr>
            <w:tcW w:w="777" w:type="dxa"/>
          </w:tcPr>
          <w:p>
            <w:pPr>
              <w:pStyle w:val="TableParagraph"/>
              <w:ind w:right="88"/>
              <w:rPr>
                <w:sz w:val="10"/>
              </w:rPr>
            </w:pPr>
            <w:r>
              <w:rPr>
                <w:w w:val="115"/>
                <w:sz w:val="10"/>
              </w:rPr>
              <w:t>28/02/2017</w:t>
            </w:r>
          </w:p>
        </w:tc>
        <w:tc>
          <w:tcPr>
            <w:tcW w:w="94" w:type="dxa"/>
          </w:tcPr>
          <w:p>
            <w:pPr/>
          </w:p>
        </w:tc>
        <w:tc>
          <w:tcPr>
            <w:tcW w:w="749" w:type="dxa"/>
          </w:tcPr>
          <w:p>
            <w:pPr>
              <w:pStyle w:val="TableParagraph"/>
              <w:ind w:right="105"/>
              <w:rPr>
                <w:sz w:val="10"/>
              </w:rPr>
            </w:pPr>
            <w:r>
              <w:rPr>
                <w:w w:val="115"/>
                <w:sz w:val="10"/>
              </w:rPr>
              <w:t>990,47</w:t>
            </w:r>
          </w:p>
        </w:tc>
        <w:tc>
          <w:tcPr>
            <w:tcW w:w="123" w:type="dxa"/>
          </w:tcPr>
          <w:p>
            <w:pPr/>
          </w:p>
        </w:tc>
        <w:tc>
          <w:tcPr>
            <w:tcW w:w="617" w:type="dxa"/>
          </w:tcPr>
          <w:p>
            <w:pPr>
              <w:pStyle w:val="TableParagraph"/>
              <w:ind w:right="127"/>
              <w:rPr>
                <w:sz w:val="10"/>
              </w:rPr>
            </w:pPr>
            <w:r>
              <w:rPr>
                <w:w w:val="115"/>
                <w:sz w:val="10"/>
              </w:rPr>
              <w:t>990,47</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KULICH ISABELLA</w:t>
            </w:r>
          </w:p>
        </w:tc>
        <w:tc>
          <w:tcPr>
            <w:tcW w:w="792" w:type="dxa"/>
          </w:tcPr>
          <w:p>
            <w:pPr>
              <w:pStyle w:val="TableParagraph"/>
              <w:ind w:left="102" w:right="102"/>
              <w:jc w:val="center"/>
              <w:rPr>
                <w:sz w:val="10"/>
              </w:rPr>
            </w:pPr>
            <w:r>
              <w:rPr>
                <w:w w:val="115"/>
                <w:sz w:val="10"/>
              </w:rPr>
              <w:t>18/06/2007</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13,71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right="5"/>
              <w:jc w:val="center"/>
              <w:rPr>
                <w:b/>
                <w:sz w:val="10"/>
              </w:rPr>
            </w:pPr>
            <w:r>
              <w:rPr>
                <w:b/>
                <w:w w:val="117"/>
                <w:sz w:val="10"/>
              </w:rPr>
              <w:t>-</w:t>
            </w:r>
          </w:p>
        </w:tc>
        <w:tc>
          <w:tcPr>
            <w:tcW w:w="718" w:type="dxa"/>
          </w:tcPr>
          <w:p>
            <w:pPr>
              <w:pStyle w:val="TableParagraph"/>
              <w:ind w:right="168"/>
              <w:rPr>
                <w:b/>
                <w:sz w:val="10"/>
              </w:rPr>
            </w:pPr>
            <w:r>
              <w:rPr>
                <w:b/>
                <w:w w:val="115"/>
                <w:sz w:val="10"/>
              </w:rPr>
              <w:t>13,71</w:t>
            </w:r>
          </w:p>
        </w:tc>
        <w:tc>
          <w:tcPr>
            <w:tcW w:w="683" w:type="dxa"/>
          </w:tcPr>
          <w:p>
            <w:pPr>
              <w:pStyle w:val="TableParagraph"/>
              <w:ind w:right="139"/>
              <w:rPr>
                <w:b/>
                <w:sz w:val="10"/>
              </w:rPr>
            </w:pPr>
            <w:r>
              <w:rPr>
                <w:b/>
                <w:w w:val="115"/>
                <w:sz w:val="10"/>
              </w:rPr>
              <w:t>162,60</w:t>
            </w:r>
          </w:p>
        </w:tc>
        <w:tc>
          <w:tcPr>
            <w:tcW w:w="791" w:type="dxa"/>
            <w:tcBorders>
              <w:right w:val="single" w:sz="3" w:space="0" w:color="000000"/>
            </w:tcBorders>
          </w:tcPr>
          <w:p>
            <w:pPr>
              <w:pStyle w:val="TableParagraph"/>
              <w:ind w:right="61"/>
              <w:rPr>
                <w:b/>
                <w:sz w:val="10"/>
              </w:rPr>
            </w:pPr>
            <w:r>
              <w:rPr>
                <w:b/>
                <w:w w:val="115"/>
                <w:sz w:val="10"/>
              </w:rPr>
              <w:t>148,89</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CORBELLANI PAOLO</w:t>
            </w:r>
          </w:p>
        </w:tc>
        <w:tc>
          <w:tcPr>
            <w:tcW w:w="792" w:type="dxa"/>
          </w:tcPr>
          <w:p>
            <w:pPr>
              <w:pStyle w:val="TableParagraph"/>
              <w:ind w:left="102" w:right="102"/>
              <w:jc w:val="center"/>
              <w:rPr>
                <w:sz w:val="10"/>
              </w:rPr>
            </w:pPr>
            <w:r>
              <w:rPr>
                <w:w w:val="115"/>
                <w:sz w:val="10"/>
              </w:rPr>
              <w:t>19/09/2007</w:t>
            </w:r>
          </w:p>
        </w:tc>
        <w:tc>
          <w:tcPr>
            <w:tcW w:w="777" w:type="dxa"/>
          </w:tcPr>
          <w:p>
            <w:pPr/>
          </w:p>
        </w:tc>
        <w:tc>
          <w:tcPr>
            <w:tcW w:w="94" w:type="dxa"/>
          </w:tcPr>
          <w:p>
            <w:pPr/>
          </w:p>
        </w:tc>
        <w:tc>
          <w:tcPr>
            <w:tcW w:w="749" w:type="dxa"/>
          </w:tcPr>
          <w:p>
            <w:pPr>
              <w:pStyle w:val="TableParagraph"/>
              <w:ind w:right="105"/>
              <w:rPr>
                <w:sz w:val="10"/>
              </w:rPr>
            </w:pPr>
            <w:r>
              <w:rPr>
                <w:w w:val="115"/>
                <w:sz w:val="10"/>
              </w:rPr>
              <w:t>20.164,66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20.164,66</w:t>
            </w:r>
          </w:p>
        </w:tc>
        <w:tc>
          <w:tcPr>
            <w:tcW w:w="683" w:type="dxa"/>
          </w:tcPr>
          <w:p>
            <w:pPr>
              <w:pStyle w:val="TableParagraph"/>
              <w:ind w:right="139"/>
              <w:rPr>
                <w:b/>
                <w:sz w:val="10"/>
              </w:rPr>
            </w:pPr>
            <w:r>
              <w:rPr>
                <w:b/>
                <w:w w:val="115"/>
                <w:sz w:val="10"/>
              </w:rPr>
              <w:t>302,07</w:t>
            </w:r>
          </w:p>
        </w:tc>
        <w:tc>
          <w:tcPr>
            <w:tcW w:w="791" w:type="dxa"/>
            <w:tcBorders>
              <w:right w:val="single" w:sz="3" w:space="0" w:color="000000"/>
            </w:tcBorders>
          </w:tcPr>
          <w:p>
            <w:pPr>
              <w:pStyle w:val="TableParagraph"/>
              <w:ind w:right="61"/>
              <w:rPr>
                <w:b/>
                <w:sz w:val="10"/>
              </w:rPr>
            </w:pPr>
            <w:r>
              <w:rPr>
                <w:b/>
                <w:w w:val="115"/>
                <w:sz w:val="10"/>
              </w:rPr>
              <w:t>20.466,73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BOZZINI LARA</w:t>
            </w:r>
          </w:p>
        </w:tc>
        <w:tc>
          <w:tcPr>
            <w:tcW w:w="792" w:type="dxa"/>
          </w:tcPr>
          <w:p>
            <w:pPr>
              <w:pStyle w:val="TableParagraph"/>
              <w:ind w:left="102" w:right="102"/>
              <w:jc w:val="center"/>
              <w:rPr>
                <w:sz w:val="10"/>
              </w:rPr>
            </w:pPr>
            <w:r>
              <w:rPr>
                <w:w w:val="115"/>
                <w:sz w:val="10"/>
              </w:rPr>
              <w:t>09/07/2001</w:t>
            </w:r>
          </w:p>
        </w:tc>
        <w:tc>
          <w:tcPr>
            <w:tcW w:w="777" w:type="dxa"/>
          </w:tcPr>
          <w:p>
            <w:pPr/>
          </w:p>
        </w:tc>
        <w:tc>
          <w:tcPr>
            <w:tcW w:w="94" w:type="dxa"/>
          </w:tcPr>
          <w:p>
            <w:pPr/>
          </w:p>
        </w:tc>
        <w:tc>
          <w:tcPr>
            <w:tcW w:w="749" w:type="dxa"/>
          </w:tcPr>
          <w:p>
            <w:pPr>
              <w:pStyle w:val="TableParagraph"/>
              <w:ind w:right="105"/>
              <w:rPr>
                <w:sz w:val="10"/>
              </w:rPr>
            </w:pPr>
            <w:r>
              <w:rPr>
                <w:w w:val="115"/>
                <w:sz w:val="10"/>
              </w:rPr>
              <w:t>3.325,34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3.325,34</w:t>
            </w:r>
          </w:p>
        </w:tc>
        <w:tc>
          <w:tcPr>
            <w:tcW w:w="683" w:type="dxa"/>
          </w:tcPr>
          <w:p>
            <w:pPr>
              <w:pStyle w:val="TableParagraph"/>
              <w:ind w:right="133"/>
              <w:rPr>
                <w:b/>
                <w:sz w:val="10"/>
              </w:rPr>
            </w:pPr>
            <w:r>
              <w:rPr>
                <w:b/>
                <w:w w:val="115"/>
                <w:sz w:val="10"/>
              </w:rPr>
              <w:t>151,91</w:t>
            </w:r>
          </w:p>
        </w:tc>
        <w:tc>
          <w:tcPr>
            <w:tcW w:w="791" w:type="dxa"/>
            <w:tcBorders>
              <w:right w:val="single" w:sz="3" w:space="0" w:color="000000"/>
            </w:tcBorders>
          </w:tcPr>
          <w:p>
            <w:pPr>
              <w:pStyle w:val="TableParagraph"/>
              <w:ind w:right="61"/>
              <w:rPr>
                <w:b/>
                <w:sz w:val="10"/>
              </w:rPr>
            </w:pPr>
            <w:r>
              <w:rPr>
                <w:b/>
                <w:w w:val="115"/>
                <w:sz w:val="10"/>
              </w:rPr>
              <w:t>3.477,25</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CASTELLANO DANIELA</w:t>
            </w:r>
          </w:p>
        </w:tc>
        <w:tc>
          <w:tcPr>
            <w:tcW w:w="792" w:type="dxa"/>
          </w:tcPr>
          <w:p>
            <w:pPr>
              <w:pStyle w:val="TableParagraph"/>
              <w:ind w:left="102" w:right="102"/>
              <w:jc w:val="center"/>
              <w:rPr>
                <w:sz w:val="10"/>
              </w:rPr>
            </w:pPr>
            <w:r>
              <w:rPr>
                <w:w w:val="115"/>
                <w:sz w:val="10"/>
              </w:rPr>
              <w:t>08/07/2002</w:t>
            </w:r>
          </w:p>
        </w:tc>
        <w:tc>
          <w:tcPr>
            <w:tcW w:w="777" w:type="dxa"/>
          </w:tcPr>
          <w:p>
            <w:pPr/>
          </w:p>
        </w:tc>
        <w:tc>
          <w:tcPr>
            <w:tcW w:w="94" w:type="dxa"/>
          </w:tcPr>
          <w:p>
            <w:pPr/>
          </w:p>
        </w:tc>
        <w:tc>
          <w:tcPr>
            <w:tcW w:w="749" w:type="dxa"/>
          </w:tcPr>
          <w:p>
            <w:pPr>
              <w:pStyle w:val="TableParagraph"/>
              <w:ind w:right="105"/>
              <w:rPr>
                <w:sz w:val="10"/>
              </w:rPr>
            </w:pPr>
            <w:r>
              <w:rPr>
                <w:w w:val="115"/>
                <w:sz w:val="10"/>
              </w:rPr>
              <w:t>7.298,73</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7.298,73</w:t>
            </w:r>
          </w:p>
        </w:tc>
        <w:tc>
          <w:tcPr>
            <w:tcW w:w="683" w:type="dxa"/>
          </w:tcPr>
          <w:p>
            <w:pPr>
              <w:pStyle w:val="TableParagraph"/>
              <w:ind w:right="139"/>
              <w:rPr>
                <w:b/>
                <w:sz w:val="10"/>
              </w:rPr>
            </w:pPr>
            <w:r>
              <w:rPr>
                <w:b/>
                <w:w w:val="115"/>
                <w:sz w:val="10"/>
              </w:rPr>
              <w:t>147,76</w:t>
            </w:r>
          </w:p>
        </w:tc>
        <w:tc>
          <w:tcPr>
            <w:tcW w:w="791" w:type="dxa"/>
            <w:tcBorders>
              <w:right w:val="single" w:sz="3" w:space="0" w:color="000000"/>
            </w:tcBorders>
          </w:tcPr>
          <w:p>
            <w:pPr>
              <w:pStyle w:val="TableParagraph"/>
              <w:ind w:right="61"/>
              <w:rPr>
                <w:b/>
                <w:sz w:val="10"/>
              </w:rPr>
            </w:pPr>
            <w:r>
              <w:rPr>
                <w:b/>
                <w:w w:val="115"/>
                <w:sz w:val="10"/>
              </w:rPr>
              <w:t>7.446,49</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FERRERO SIMONE</w:t>
            </w:r>
          </w:p>
        </w:tc>
        <w:tc>
          <w:tcPr>
            <w:tcW w:w="792" w:type="dxa"/>
          </w:tcPr>
          <w:p>
            <w:pPr>
              <w:pStyle w:val="TableParagraph"/>
              <w:ind w:left="102" w:right="102"/>
              <w:jc w:val="center"/>
              <w:rPr>
                <w:sz w:val="10"/>
              </w:rPr>
            </w:pPr>
            <w:r>
              <w:rPr>
                <w:w w:val="115"/>
                <w:sz w:val="10"/>
              </w:rPr>
              <w:t>01/01/2003</w:t>
            </w:r>
          </w:p>
        </w:tc>
        <w:tc>
          <w:tcPr>
            <w:tcW w:w="777" w:type="dxa"/>
          </w:tcPr>
          <w:p>
            <w:pPr/>
          </w:p>
        </w:tc>
        <w:tc>
          <w:tcPr>
            <w:tcW w:w="94" w:type="dxa"/>
          </w:tcPr>
          <w:p>
            <w:pPr/>
          </w:p>
        </w:tc>
        <w:tc>
          <w:tcPr>
            <w:tcW w:w="749" w:type="dxa"/>
          </w:tcPr>
          <w:p>
            <w:pPr>
              <w:pStyle w:val="TableParagraph"/>
              <w:ind w:right="105"/>
              <w:rPr>
                <w:sz w:val="10"/>
              </w:rPr>
            </w:pPr>
            <w:r>
              <w:rPr>
                <w:w w:val="115"/>
                <w:sz w:val="10"/>
              </w:rPr>
              <w:t>10.086,84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10.086,84</w:t>
            </w:r>
          </w:p>
        </w:tc>
        <w:tc>
          <w:tcPr>
            <w:tcW w:w="683" w:type="dxa"/>
          </w:tcPr>
          <w:p>
            <w:pPr>
              <w:pStyle w:val="TableParagraph"/>
              <w:ind w:right="139"/>
              <w:rPr>
                <w:b/>
                <w:sz w:val="10"/>
              </w:rPr>
            </w:pPr>
            <w:r>
              <w:rPr>
                <w:b/>
                <w:w w:val="115"/>
                <w:sz w:val="10"/>
              </w:rPr>
              <w:t>319,66</w:t>
            </w:r>
          </w:p>
        </w:tc>
        <w:tc>
          <w:tcPr>
            <w:tcW w:w="791" w:type="dxa"/>
            <w:tcBorders>
              <w:right w:val="single" w:sz="3" w:space="0" w:color="000000"/>
            </w:tcBorders>
          </w:tcPr>
          <w:p>
            <w:pPr>
              <w:pStyle w:val="TableParagraph"/>
              <w:ind w:right="61"/>
              <w:rPr>
                <w:b/>
                <w:sz w:val="10"/>
              </w:rPr>
            </w:pPr>
            <w:r>
              <w:rPr>
                <w:b/>
                <w:w w:val="115"/>
                <w:sz w:val="10"/>
              </w:rPr>
              <w:t>10.406,50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QUIRICO  ERIKA CINZIA</w:t>
            </w:r>
          </w:p>
        </w:tc>
        <w:tc>
          <w:tcPr>
            <w:tcW w:w="792" w:type="dxa"/>
          </w:tcPr>
          <w:p>
            <w:pPr>
              <w:pStyle w:val="TableParagraph"/>
              <w:ind w:left="102" w:right="102"/>
              <w:jc w:val="center"/>
              <w:rPr>
                <w:sz w:val="10"/>
              </w:rPr>
            </w:pPr>
            <w:r>
              <w:rPr>
                <w:w w:val="115"/>
                <w:sz w:val="10"/>
              </w:rPr>
              <w:t>01/10/2003</w:t>
            </w:r>
          </w:p>
        </w:tc>
        <w:tc>
          <w:tcPr>
            <w:tcW w:w="777" w:type="dxa"/>
          </w:tcPr>
          <w:p>
            <w:pPr/>
          </w:p>
        </w:tc>
        <w:tc>
          <w:tcPr>
            <w:tcW w:w="94" w:type="dxa"/>
          </w:tcPr>
          <w:p>
            <w:pPr/>
          </w:p>
        </w:tc>
        <w:tc>
          <w:tcPr>
            <w:tcW w:w="749" w:type="dxa"/>
          </w:tcPr>
          <w:p>
            <w:pPr>
              <w:pStyle w:val="TableParagraph"/>
              <w:ind w:right="105"/>
              <w:rPr>
                <w:sz w:val="10"/>
              </w:rPr>
            </w:pPr>
            <w:r>
              <w:rPr>
                <w:w w:val="115"/>
                <w:sz w:val="10"/>
              </w:rPr>
              <w:t>4.047,92</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4.047,92</w:t>
            </w:r>
          </w:p>
        </w:tc>
        <w:tc>
          <w:tcPr>
            <w:tcW w:w="683" w:type="dxa"/>
          </w:tcPr>
          <w:p>
            <w:pPr>
              <w:pStyle w:val="TableParagraph"/>
              <w:ind w:right="139"/>
              <w:rPr>
                <w:b/>
                <w:sz w:val="10"/>
              </w:rPr>
            </w:pPr>
            <w:r>
              <w:rPr>
                <w:b/>
                <w:w w:val="115"/>
                <w:sz w:val="10"/>
              </w:rPr>
              <w:t>146,76</w:t>
            </w:r>
          </w:p>
        </w:tc>
        <w:tc>
          <w:tcPr>
            <w:tcW w:w="791" w:type="dxa"/>
            <w:tcBorders>
              <w:right w:val="single" w:sz="3" w:space="0" w:color="000000"/>
            </w:tcBorders>
          </w:tcPr>
          <w:p>
            <w:pPr>
              <w:pStyle w:val="TableParagraph"/>
              <w:ind w:right="61"/>
              <w:rPr>
                <w:b/>
                <w:sz w:val="10"/>
              </w:rPr>
            </w:pPr>
            <w:r>
              <w:rPr>
                <w:b/>
                <w:w w:val="115"/>
                <w:sz w:val="10"/>
              </w:rPr>
              <w:t>4.194,68</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FERRARI GIANLUCA</w:t>
            </w:r>
          </w:p>
        </w:tc>
        <w:tc>
          <w:tcPr>
            <w:tcW w:w="792" w:type="dxa"/>
          </w:tcPr>
          <w:p>
            <w:pPr>
              <w:pStyle w:val="TableParagraph"/>
              <w:ind w:left="102" w:right="102"/>
              <w:jc w:val="center"/>
              <w:rPr>
                <w:sz w:val="10"/>
              </w:rPr>
            </w:pPr>
            <w:r>
              <w:rPr>
                <w:w w:val="115"/>
                <w:sz w:val="10"/>
              </w:rPr>
              <w:t>08/11/2003</w:t>
            </w:r>
          </w:p>
        </w:tc>
        <w:tc>
          <w:tcPr>
            <w:tcW w:w="777" w:type="dxa"/>
          </w:tcPr>
          <w:p>
            <w:pPr/>
          </w:p>
        </w:tc>
        <w:tc>
          <w:tcPr>
            <w:tcW w:w="94" w:type="dxa"/>
          </w:tcPr>
          <w:p>
            <w:pPr/>
          </w:p>
        </w:tc>
        <w:tc>
          <w:tcPr>
            <w:tcW w:w="749" w:type="dxa"/>
          </w:tcPr>
          <w:p>
            <w:pPr>
              <w:pStyle w:val="TableParagraph"/>
              <w:ind w:right="105"/>
              <w:rPr>
                <w:sz w:val="10"/>
              </w:rPr>
            </w:pPr>
            <w:r>
              <w:rPr>
                <w:w w:val="115"/>
                <w:sz w:val="10"/>
              </w:rPr>
              <w:t>56.458,80</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56.458,80</w:t>
            </w:r>
          </w:p>
        </w:tc>
        <w:tc>
          <w:tcPr>
            <w:tcW w:w="683" w:type="dxa"/>
          </w:tcPr>
          <w:p>
            <w:pPr>
              <w:pStyle w:val="TableParagraph"/>
              <w:ind w:right="139"/>
              <w:rPr>
                <w:b/>
                <w:sz w:val="10"/>
              </w:rPr>
            </w:pPr>
            <w:r>
              <w:rPr>
                <w:b/>
                <w:w w:val="115"/>
                <w:sz w:val="10"/>
              </w:rPr>
              <w:t>554,00</w:t>
            </w:r>
          </w:p>
        </w:tc>
        <w:tc>
          <w:tcPr>
            <w:tcW w:w="791" w:type="dxa"/>
            <w:tcBorders>
              <w:right w:val="single" w:sz="3" w:space="0" w:color="000000"/>
            </w:tcBorders>
          </w:tcPr>
          <w:p>
            <w:pPr>
              <w:pStyle w:val="TableParagraph"/>
              <w:ind w:right="61"/>
              <w:rPr>
                <w:b/>
                <w:sz w:val="10"/>
              </w:rPr>
            </w:pPr>
            <w:r>
              <w:rPr>
                <w:b/>
                <w:w w:val="115"/>
                <w:sz w:val="10"/>
              </w:rPr>
              <w:t>57.012,80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CAMINADA GIANLUCA</w:t>
            </w:r>
          </w:p>
        </w:tc>
        <w:tc>
          <w:tcPr>
            <w:tcW w:w="792" w:type="dxa"/>
          </w:tcPr>
          <w:p>
            <w:pPr>
              <w:pStyle w:val="TableParagraph"/>
              <w:ind w:left="102" w:right="102"/>
              <w:jc w:val="center"/>
              <w:rPr>
                <w:sz w:val="10"/>
              </w:rPr>
            </w:pPr>
            <w:r>
              <w:rPr>
                <w:w w:val="115"/>
                <w:sz w:val="10"/>
              </w:rPr>
              <w:t>22/03/2004</w:t>
            </w:r>
          </w:p>
        </w:tc>
        <w:tc>
          <w:tcPr>
            <w:tcW w:w="777" w:type="dxa"/>
          </w:tcPr>
          <w:p>
            <w:pPr/>
          </w:p>
        </w:tc>
        <w:tc>
          <w:tcPr>
            <w:tcW w:w="94" w:type="dxa"/>
          </w:tcPr>
          <w:p>
            <w:pPr/>
          </w:p>
        </w:tc>
        <w:tc>
          <w:tcPr>
            <w:tcW w:w="749" w:type="dxa"/>
          </w:tcPr>
          <w:p>
            <w:pPr>
              <w:pStyle w:val="TableParagraph"/>
              <w:ind w:right="105"/>
              <w:rPr>
                <w:sz w:val="10"/>
              </w:rPr>
            </w:pPr>
            <w:r>
              <w:rPr>
                <w:w w:val="115"/>
                <w:sz w:val="10"/>
              </w:rPr>
              <w:t>6.171,62</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6.171,62</w:t>
            </w:r>
          </w:p>
        </w:tc>
        <w:tc>
          <w:tcPr>
            <w:tcW w:w="683" w:type="dxa"/>
          </w:tcPr>
          <w:p>
            <w:pPr>
              <w:pStyle w:val="TableParagraph"/>
              <w:ind w:right="139"/>
              <w:rPr>
                <w:b/>
                <w:sz w:val="10"/>
              </w:rPr>
            </w:pPr>
            <w:r>
              <w:rPr>
                <w:b/>
                <w:w w:val="115"/>
                <w:sz w:val="10"/>
              </w:rPr>
              <w:t>124,48</w:t>
            </w:r>
          </w:p>
        </w:tc>
        <w:tc>
          <w:tcPr>
            <w:tcW w:w="791" w:type="dxa"/>
            <w:tcBorders>
              <w:right w:val="single" w:sz="3" w:space="0" w:color="000000"/>
            </w:tcBorders>
          </w:tcPr>
          <w:p>
            <w:pPr>
              <w:pStyle w:val="TableParagraph"/>
              <w:ind w:right="61"/>
              <w:rPr>
                <w:b/>
                <w:sz w:val="10"/>
              </w:rPr>
            </w:pPr>
            <w:r>
              <w:rPr>
                <w:b/>
                <w:w w:val="115"/>
                <w:sz w:val="10"/>
              </w:rPr>
              <w:t>6.296,10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STRACCAMORE  FRANCESCO</w:t>
            </w:r>
          </w:p>
        </w:tc>
        <w:tc>
          <w:tcPr>
            <w:tcW w:w="792" w:type="dxa"/>
          </w:tcPr>
          <w:p>
            <w:pPr>
              <w:pStyle w:val="TableParagraph"/>
              <w:ind w:left="102" w:right="102"/>
              <w:jc w:val="center"/>
              <w:rPr>
                <w:sz w:val="10"/>
              </w:rPr>
            </w:pPr>
            <w:r>
              <w:rPr>
                <w:w w:val="115"/>
                <w:sz w:val="10"/>
              </w:rPr>
              <w:t>01/01/2008</w:t>
            </w:r>
          </w:p>
        </w:tc>
        <w:tc>
          <w:tcPr>
            <w:tcW w:w="777" w:type="dxa"/>
          </w:tcPr>
          <w:p>
            <w:pPr/>
          </w:p>
        </w:tc>
        <w:tc>
          <w:tcPr>
            <w:tcW w:w="94" w:type="dxa"/>
          </w:tcPr>
          <w:p>
            <w:pPr/>
          </w:p>
        </w:tc>
        <w:tc>
          <w:tcPr>
            <w:tcW w:w="749" w:type="dxa"/>
          </w:tcPr>
          <w:p>
            <w:pPr>
              <w:pStyle w:val="TableParagraph"/>
              <w:ind w:right="105"/>
              <w:rPr>
                <w:sz w:val="10"/>
              </w:rPr>
            </w:pPr>
            <w:r>
              <w:rPr>
                <w:w w:val="115"/>
                <w:sz w:val="10"/>
              </w:rPr>
              <w:t>2.382,17</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2.382,17</w:t>
            </w:r>
          </w:p>
        </w:tc>
        <w:tc>
          <w:tcPr>
            <w:tcW w:w="683" w:type="dxa"/>
          </w:tcPr>
          <w:p>
            <w:pPr>
              <w:pStyle w:val="TableParagraph"/>
              <w:ind w:right="139"/>
              <w:rPr>
                <w:b/>
                <w:sz w:val="10"/>
              </w:rPr>
            </w:pPr>
            <w:r>
              <w:rPr>
                <w:b/>
                <w:w w:val="115"/>
                <w:sz w:val="10"/>
              </w:rPr>
              <w:t>456,19</w:t>
            </w:r>
          </w:p>
        </w:tc>
        <w:tc>
          <w:tcPr>
            <w:tcW w:w="791" w:type="dxa"/>
            <w:tcBorders>
              <w:right w:val="single" w:sz="3" w:space="0" w:color="000000"/>
            </w:tcBorders>
          </w:tcPr>
          <w:p>
            <w:pPr>
              <w:pStyle w:val="TableParagraph"/>
              <w:ind w:right="61"/>
              <w:rPr>
                <w:b/>
                <w:sz w:val="10"/>
              </w:rPr>
            </w:pPr>
            <w:r>
              <w:rPr>
                <w:b/>
                <w:w w:val="115"/>
                <w:sz w:val="10"/>
              </w:rPr>
              <w:t>2.838,36</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FRANCHINI ELENA</w:t>
            </w:r>
          </w:p>
        </w:tc>
        <w:tc>
          <w:tcPr>
            <w:tcW w:w="792" w:type="dxa"/>
          </w:tcPr>
          <w:p>
            <w:pPr>
              <w:pStyle w:val="TableParagraph"/>
              <w:ind w:left="102" w:right="102"/>
              <w:jc w:val="center"/>
              <w:rPr>
                <w:sz w:val="10"/>
              </w:rPr>
            </w:pPr>
            <w:r>
              <w:rPr>
                <w:w w:val="115"/>
                <w:sz w:val="10"/>
              </w:rPr>
              <w:t>07/01/2008</w:t>
            </w:r>
          </w:p>
        </w:tc>
        <w:tc>
          <w:tcPr>
            <w:tcW w:w="777" w:type="dxa"/>
          </w:tcPr>
          <w:p>
            <w:pPr/>
          </w:p>
        </w:tc>
        <w:tc>
          <w:tcPr>
            <w:tcW w:w="94" w:type="dxa"/>
          </w:tcPr>
          <w:p>
            <w:pPr/>
          </w:p>
        </w:tc>
        <w:tc>
          <w:tcPr>
            <w:tcW w:w="749" w:type="dxa"/>
          </w:tcPr>
          <w:p>
            <w:pPr>
              <w:pStyle w:val="TableParagraph"/>
              <w:ind w:right="105"/>
              <w:rPr>
                <w:sz w:val="10"/>
              </w:rPr>
            </w:pPr>
            <w:r>
              <w:rPr>
                <w:w w:val="115"/>
                <w:sz w:val="10"/>
              </w:rPr>
              <w:t>1.988,21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1.988,21</w:t>
            </w:r>
          </w:p>
        </w:tc>
        <w:tc>
          <w:tcPr>
            <w:tcW w:w="683" w:type="dxa"/>
          </w:tcPr>
          <w:p>
            <w:pPr>
              <w:pStyle w:val="TableParagraph"/>
              <w:ind w:right="139"/>
              <w:rPr>
                <w:b/>
                <w:sz w:val="10"/>
              </w:rPr>
            </w:pPr>
            <w:r>
              <w:rPr>
                <w:b/>
                <w:w w:val="115"/>
                <w:sz w:val="10"/>
              </w:rPr>
              <w:t>126,98</w:t>
            </w:r>
          </w:p>
        </w:tc>
        <w:tc>
          <w:tcPr>
            <w:tcW w:w="791" w:type="dxa"/>
            <w:tcBorders>
              <w:right w:val="single" w:sz="3" w:space="0" w:color="000000"/>
            </w:tcBorders>
          </w:tcPr>
          <w:p>
            <w:pPr>
              <w:pStyle w:val="TableParagraph"/>
              <w:ind w:right="61"/>
              <w:rPr>
                <w:b/>
                <w:sz w:val="10"/>
              </w:rPr>
            </w:pPr>
            <w:r>
              <w:rPr>
                <w:b/>
                <w:w w:val="115"/>
                <w:sz w:val="10"/>
              </w:rPr>
              <w:t>2.115,19</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TORRE PAOLO</w:t>
            </w:r>
          </w:p>
        </w:tc>
        <w:tc>
          <w:tcPr>
            <w:tcW w:w="792" w:type="dxa"/>
          </w:tcPr>
          <w:p>
            <w:pPr>
              <w:pStyle w:val="TableParagraph"/>
              <w:ind w:left="102" w:right="102"/>
              <w:jc w:val="center"/>
              <w:rPr>
                <w:sz w:val="10"/>
              </w:rPr>
            </w:pPr>
            <w:r>
              <w:rPr>
                <w:w w:val="115"/>
                <w:sz w:val="10"/>
              </w:rPr>
              <w:t>07/01/2008</w:t>
            </w:r>
          </w:p>
        </w:tc>
        <w:tc>
          <w:tcPr>
            <w:tcW w:w="777" w:type="dxa"/>
          </w:tcPr>
          <w:p>
            <w:pPr/>
          </w:p>
        </w:tc>
        <w:tc>
          <w:tcPr>
            <w:tcW w:w="94" w:type="dxa"/>
          </w:tcPr>
          <w:p>
            <w:pPr/>
          </w:p>
        </w:tc>
        <w:tc>
          <w:tcPr>
            <w:tcW w:w="749" w:type="dxa"/>
          </w:tcPr>
          <w:p>
            <w:pPr>
              <w:pStyle w:val="TableParagraph"/>
              <w:ind w:right="105"/>
              <w:rPr>
                <w:sz w:val="10"/>
              </w:rPr>
            </w:pPr>
            <w:r>
              <w:rPr>
                <w:w w:val="115"/>
                <w:sz w:val="10"/>
              </w:rPr>
              <w:t>907,61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907,61</w:t>
            </w:r>
          </w:p>
        </w:tc>
        <w:tc>
          <w:tcPr>
            <w:tcW w:w="683" w:type="dxa"/>
          </w:tcPr>
          <w:p>
            <w:pPr>
              <w:pStyle w:val="TableParagraph"/>
              <w:ind w:right="139"/>
              <w:rPr>
                <w:b/>
                <w:sz w:val="10"/>
              </w:rPr>
            </w:pPr>
            <w:r>
              <w:rPr>
                <w:b/>
                <w:w w:val="115"/>
                <w:sz w:val="10"/>
              </w:rPr>
              <w:t>246,59</w:t>
            </w:r>
          </w:p>
        </w:tc>
        <w:tc>
          <w:tcPr>
            <w:tcW w:w="791" w:type="dxa"/>
            <w:tcBorders>
              <w:right w:val="single" w:sz="3" w:space="0" w:color="000000"/>
            </w:tcBorders>
          </w:tcPr>
          <w:p>
            <w:pPr>
              <w:pStyle w:val="TableParagraph"/>
              <w:ind w:right="61"/>
              <w:rPr>
                <w:b/>
                <w:sz w:val="10"/>
              </w:rPr>
            </w:pPr>
            <w:r>
              <w:rPr>
                <w:b/>
                <w:w w:val="115"/>
                <w:sz w:val="10"/>
              </w:rPr>
              <w:t>1.154,20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SARCHI PAOLO</w:t>
            </w:r>
          </w:p>
        </w:tc>
        <w:tc>
          <w:tcPr>
            <w:tcW w:w="792" w:type="dxa"/>
          </w:tcPr>
          <w:p>
            <w:pPr>
              <w:pStyle w:val="TableParagraph"/>
              <w:ind w:left="102" w:right="102"/>
              <w:jc w:val="center"/>
              <w:rPr>
                <w:sz w:val="10"/>
              </w:rPr>
            </w:pPr>
            <w:r>
              <w:rPr>
                <w:w w:val="115"/>
                <w:sz w:val="10"/>
              </w:rPr>
              <w:t>04/02/2008</w:t>
            </w:r>
          </w:p>
        </w:tc>
        <w:tc>
          <w:tcPr>
            <w:tcW w:w="777" w:type="dxa"/>
          </w:tcPr>
          <w:p>
            <w:pPr/>
          </w:p>
        </w:tc>
        <w:tc>
          <w:tcPr>
            <w:tcW w:w="94" w:type="dxa"/>
          </w:tcPr>
          <w:p>
            <w:pPr/>
          </w:p>
        </w:tc>
        <w:tc>
          <w:tcPr>
            <w:tcW w:w="749" w:type="dxa"/>
          </w:tcPr>
          <w:p>
            <w:pPr>
              <w:pStyle w:val="TableParagraph"/>
              <w:ind w:right="105"/>
              <w:rPr>
                <w:sz w:val="10"/>
              </w:rPr>
            </w:pPr>
            <w:r>
              <w:rPr>
                <w:w w:val="115"/>
                <w:sz w:val="10"/>
              </w:rPr>
              <w:t>51.559,94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51.559,94</w:t>
            </w:r>
          </w:p>
        </w:tc>
        <w:tc>
          <w:tcPr>
            <w:tcW w:w="683" w:type="dxa"/>
          </w:tcPr>
          <w:p>
            <w:pPr>
              <w:pStyle w:val="TableParagraph"/>
              <w:ind w:right="139"/>
              <w:rPr>
                <w:b/>
                <w:sz w:val="10"/>
              </w:rPr>
            </w:pPr>
            <w:r>
              <w:rPr>
                <w:b/>
                <w:w w:val="115"/>
                <w:sz w:val="10"/>
              </w:rPr>
              <w:t>325,22</w:t>
            </w:r>
          </w:p>
        </w:tc>
        <w:tc>
          <w:tcPr>
            <w:tcW w:w="791" w:type="dxa"/>
            <w:tcBorders>
              <w:right w:val="single" w:sz="3" w:space="0" w:color="000000"/>
            </w:tcBorders>
          </w:tcPr>
          <w:p>
            <w:pPr>
              <w:pStyle w:val="TableParagraph"/>
              <w:ind w:right="61"/>
              <w:rPr>
                <w:b/>
                <w:sz w:val="10"/>
              </w:rPr>
            </w:pPr>
            <w:r>
              <w:rPr>
                <w:b/>
                <w:w w:val="115"/>
                <w:sz w:val="10"/>
              </w:rPr>
              <w:t>51.885,16</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DE FAVERI DANILO</w:t>
            </w:r>
          </w:p>
        </w:tc>
        <w:tc>
          <w:tcPr>
            <w:tcW w:w="792" w:type="dxa"/>
          </w:tcPr>
          <w:p>
            <w:pPr>
              <w:pStyle w:val="TableParagraph"/>
              <w:ind w:left="102" w:right="102"/>
              <w:jc w:val="center"/>
              <w:rPr>
                <w:sz w:val="10"/>
              </w:rPr>
            </w:pPr>
            <w:r>
              <w:rPr>
                <w:w w:val="115"/>
                <w:sz w:val="10"/>
              </w:rPr>
              <w:t>01/04/2008</w:t>
            </w:r>
          </w:p>
        </w:tc>
        <w:tc>
          <w:tcPr>
            <w:tcW w:w="777" w:type="dxa"/>
          </w:tcPr>
          <w:p>
            <w:pPr/>
          </w:p>
        </w:tc>
        <w:tc>
          <w:tcPr>
            <w:tcW w:w="94" w:type="dxa"/>
          </w:tcPr>
          <w:p>
            <w:pPr/>
          </w:p>
        </w:tc>
        <w:tc>
          <w:tcPr>
            <w:tcW w:w="749" w:type="dxa"/>
          </w:tcPr>
          <w:p>
            <w:pPr>
              <w:pStyle w:val="TableParagraph"/>
              <w:ind w:right="105"/>
              <w:rPr>
                <w:sz w:val="10"/>
              </w:rPr>
            </w:pPr>
            <w:r>
              <w:rPr>
                <w:w w:val="115"/>
                <w:sz w:val="10"/>
              </w:rPr>
              <w:t>34.659,82</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34.659,82</w:t>
            </w:r>
          </w:p>
        </w:tc>
        <w:tc>
          <w:tcPr>
            <w:tcW w:w="683" w:type="dxa"/>
          </w:tcPr>
          <w:p>
            <w:pPr>
              <w:pStyle w:val="TableParagraph"/>
              <w:ind w:right="139"/>
              <w:rPr>
                <w:b/>
                <w:sz w:val="10"/>
              </w:rPr>
            </w:pPr>
            <w:r>
              <w:rPr>
                <w:b/>
                <w:w w:val="115"/>
                <w:sz w:val="10"/>
              </w:rPr>
              <w:t>263,68</w:t>
            </w:r>
          </w:p>
        </w:tc>
        <w:tc>
          <w:tcPr>
            <w:tcW w:w="791" w:type="dxa"/>
            <w:tcBorders>
              <w:right w:val="single" w:sz="3" w:space="0" w:color="000000"/>
            </w:tcBorders>
          </w:tcPr>
          <w:p>
            <w:pPr>
              <w:pStyle w:val="TableParagraph"/>
              <w:ind w:right="61"/>
              <w:rPr>
                <w:b/>
                <w:sz w:val="10"/>
              </w:rPr>
            </w:pPr>
            <w:r>
              <w:rPr>
                <w:b/>
                <w:w w:val="115"/>
                <w:sz w:val="10"/>
              </w:rPr>
              <w:t>34.923,50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CHERCHI FRANCESCO</w:t>
            </w:r>
          </w:p>
        </w:tc>
        <w:tc>
          <w:tcPr>
            <w:tcW w:w="792" w:type="dxa"/>
          </w:tcPr>
          <w:p>
            <w:pPr>
              <w:pStyle w:val="TableParagraph"/>
              <w:ind w:left="102" w:right="102"/>
              <w:jc w:val="center"/>
              <w:rPr>
                <w:sz w:val="10"/>
              </w:rPr>
            </w:pPr>
            <w:r>
              <w:rPr>
                <w:w w:val="115"/>
                <w:sz w:val="10"/>
              </w:rPr>
              <w:t>01/07/2008</w:t>
            </w:r>
          </w:p>
        </w:tc>
        <w:tc>
          <w:tcPr>
            <w:tcW w:w="777" w:type="dxa"/>
          </w:tcPr>
          <w:p>
            <w:pPr>
              <w:pStyle w:val="TableParagraph"/>
              <w:ind w:right="88"/>
              <w:rPr>
                <w:sz w:val="10"/>
              </w:rPr>
            </w:pPr>
            <w:r>
              <w:rPr>
                <w:w w:val="115"/>
                <w:sz w:val="10"/>
              </w:rPr>
              <w:t>11/10/2016</w:t>
            </w:r>
          </w:p>
        </w:tc>
        <w:tc>
          <w:tcPr>
            <w:tcW w:w="94" w:type="dxa"/>
          </w:tcPr>
          <w:p>
            <w:pPr/>
          </w:p>
        </w:tc>
        <w:tc>
          <w:tcPr>
            <w:tcW w:w="749" w:type="dxa"/>
          </w:tcPr>
          <w:p>
            <w:pPr>
              <w:pStyle w:val="TableParagraph"/>
              <w:ind w:right="105"/>
              <w:rPr>
                <w:sz w:val="10"/>
              </w:rPr>
            </w:pPr>
            <w:r>
              <w:rPr>
                <w:w w:val="115"/>
                <w:sz w:val="10"/>
              </w:rPr>
              <w:t>594,94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594,94</w:t>
            </w:r>
          </w:p>
        </w:tc>
        <w:tc>
          <w:tcPr>
            <w:tcW w:w="683" w:type="dxa"/>
          </w:tcPr>
          <w:p>
            <w:pPr/>
          </w:p>
        </w:tc>
        <w:tc>
          <w:tcPr>
            <w:tcW w:w="791" w:type="dxa"/>
            <w:tcBorders>
              <w:right w:val="single" w:sz="3" w:space="0" w:color="000000"/>
            </w:tcBorders>
          </w:tcPr>
          <w:p>
            <w:pPr>
              <w:pStyle w:val="TableParagraph"/>
              <w:ind w:right="61"/>
              <w:rPr>
                <w:b/>
                <w:sz w:val="10"/>
              </w:rPr>
            </w:pPr>
            <w:r>
              <w:rPr>
                <w:b/>
                <w:w w:val="115"/>
                <w:sz w:val="10"/>
              </w:rPr>
              <w:t>594,94</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PESCAROLO  STEFANIA</w:t>
            </w:r>
          </w:p>
        </w:tc>
        <w:tc>
          <w:tcPr>
            <w:tcW w:w="792" w:type="dxa"/>
          </w:tcPr>
          <w:p>
            <w:pPr>
              <w:pStyle w:val="TableParagraph"/>
              <w:ind w:left="102" w:right="102"/>
              <w:jc w:val="center"/>
              <w:rPr>
                <w:sz w:val="10"/>
              </w:rPr>
            </w:pPr>
            <w:r>
              <w:rPr>
                <w:w w:val="115"/>
                <w:sz w:val="10"/>
              </w:rPr>
              <w:t>01/01/2009</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23,35</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right="5"/>
              <w:jc w:val="center"/>
              <w:rPr>
                <w:b/>
                <w:sz w:val="10"/>
              </w:rPr>
            </w:pPr>
            <w:r>
              <w:rPr>
                <w:b/>
                <w:w w:val="117"/>
                <w:sz w:val="10"/>
              </w:rPr>
              <w:t>-</w:t>
            </w:r>
          </w:p>
        </w:tc>
        <w:tc>
          <w:tcPr>
            <w:tcW w:w="718" w:type="dxa"/>
          </w:tcPr>
          <w:p>
            <w:pPr>
              <w:pStyle w:val="TableParagraph"/>
              <w:ind w:right="174"/>
              <w:rPr>
                <w:b/>
                <w:sz w:val="10"/>
              </w:rPr>
            </w:pPr>
            <w:r>
              <w:rPr>
                <w:b/>
                <w:w w:val="115"/>
                <w:sz w:val="10"/>
              </w:rPr>
              <w:t>23,35</w:t>
            </w:r>
          </w:p>
        </w:tc>
        <w:tc>
          <w:tcPr>
            <w:tcW w:w="683" w:type="dxa"/>
          </w:tcPr>
          <w:p>
            <w:pPr>
              <w:pStyle w:val="TableParagraph"/>
              <w:ind w:right="139"/>
              <w:rPr>
                <w:b/>
                <w:sz w:val="10"/>
              </w:rPr>
            </w:pPr>
            <w:r>
              <w:rPr>
                <w:b/>
                <w:w w:val="115"/>
                <w:sz w:val="10"/>
              </w:rPr>
              <w:t>241,45</w:t>
            </w:r>
          </w:p>
        </w:tc>
        <w:tc>
          <w:tcPr>
            <w:tcW w:w="791" w:type="dxa"/>
            <w:tcBorders>
              <w:right w:val="single" w:sz="3" w:space="0" w:color="000000"/>
            </w:tcBorders>
          </w:tcPr>
          <w:p>
            <w:pPr>
              <w:pStyle w:val="TableParagraph"/>
              <w:ind w:right="61"/>
              <w:rPr>
                <w:b/>
                <w:sz w:val="10"/>
              </w:rPr>
            </w:pPr>
            <w:r>
              <w:rPr>
                <w:b/>
                <w:w w:val="115"/>
                <w:sz w:val="10"/>
              </w:rPr>
              <w:t>218,10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MULE' MARIELLA</w:t>
            </w:r>
          </w:p>
        </w:tc>
        <w:tc>
          <w:tcPr>
            <w:tcW w:w="792" w:type="dxa"/>
          </w:tcPr>
          <w:p>
            <w:pPr>
              <w:pStyle w:val="TableParagraph"/>
              <w:ind w:left="102" w:right="102"/>
              <w:jc w:val="center"/>
              <w:rPr>
                <w:sz w:val="10"/>
              </w:rPr>
            </w:pPr>
            <w:r>
              <w:rPr>
                <w:w w:val="115"/>
                <w:sz w:val="10"/>
              </w:rPr>
              <w:t>01/11/2009</w:t>
            </w:r>
          </w:p>
        </w:tc>
        <w:tc>
          <w:tcPr>
            <w:tcW w:w="777" w:type="dxa"/>
          </w:tcPr>
          <w:p>
            <w:pPr/>
          </w:p>
        </w:tc>
        <w:tc>
          <w:tcPr>
            <w:tcW w:w="94" w:type="dxa"/>
          </w:tcPr>
          <w:p>
            <w:pPr/>
          </w:p>
        </w:tc>
        <w:tc>
          <w:tcPr>
            <w:tcW w:w="749" w:type="dxa"/>
          </w:tcPr>
          <w:p>
            <w:pPr>
              <w:pStyle w:val="TableParagraph"/>
              <w:ind w:right="105"/>
              <w:rPr>
                <w:sz w:val="10"/>
              </w:rPr>
            </w:pPr>
            <w:r>
              <w:rPr>
                <w:w w:val="115"/>
                <w:sz w:val="10"/>
              </w:rPr>
              <w:t>13.618,24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13.618,24</w:t>
            </w:r>
          </w:p>
        </w:tc>
        <w:tc>
          <w:tcPr>
            <w:tcW w:w="683" w:type="dxa"/>
          </w:tcPr>
          <w:p>
            <w:pPr>
              <w:pStyle w:val="TableParagraph"/>
              <w:ind w:right="139"/>
              <w:rPr>
                <w:b/>
                <w:sz w:val="10"/>
              </w:rPr>
            </w:pPr>
            <w:r>
              <w:rPr>
                <w:b/>
                <w:w w:val="115"/>
                <w:sz w:val="10"/>
              </w:rPr>
              <w:t>143,44</w:t>
            </w:r>
          </w:p>
        </w:tc>
        <w:tc>
          <w:tcPr>
            <w:tcW w:w="791" w:type="dxa"/>
            <w:tcBorders>
              <w:right w:val="single" w:sz="3" w:space="0" w:color="000000"/>
            </w:tcBorders>
          </w:tcPr>
          <w:p>
            <w:pPr>
              <w:pStyle w:val="TableParagraph"/>
              <w:ind w:right="61"/>
              <w:rPr>
                <w:b/>
                <w:sz w:val="10"/>
              </w:rPr>
            </w:pPr>
            <w:r>
              <w:rPr>
                <w:b/>
                <w:w w:val="115"/>
                <w:sz w:val="10"/>
              </w:rPr>
              <w:t>13.761,68</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BARSALI TOMMASO</w:t>
            </w:r>
          </w:p>
        </w:tc>
        <w:tc>
          <w:tcPr>
            <w:tcW w:w="792" w:type="dxa"/>
          </w:tcPr>
          <w:p>
            <w:pPr>
              <w:pStyle w:val="TableParagraph"/>
              <w:ind w:left="102" w:right="102"/>
              <w:jc w:val="center"/>
              <w:rPr>
                <w:sz w:val="10"/>
              </w:rPr>
            </w:pPr>
            <w:r>
              <w:rPr>
                <w:w w:val="115"/>
                <w:sz w:val="10"/>
              </w:rPr>
              <w:t>14/06/2010</w:t>
            </w:r>
          </w:p>
        </w:tc>
        <w:tc>
          <w:tcPr>
            <w:tcW w:w="777" w:type="dxa"/>
          </w:tcPr>
          <w:p>
            <w:pPr>
              <w:pStyle w:val="TableParagraph"/>
              <w:ind w:right="88"/>
              <w:rPr>
                <w:sz w:val="10"/>
              </w:rPr>
            </w:pPr>
            <w:r>
              <w:rPr>
                <w:w w:val="115"/>
                <w:sz w:val="10"/>
              </w:rPr>
              <w:t>03/03/2017</w:t>
            </w:r>
          </w:p>
        </w:tc>
        <w:tc>
          <w:tcPr>
            <w:tcW w:w="94" w:type="dxa"/>
          </w:tcPr>
          <w:p>
            <w:pPr/>
          </w:p>
        </w:tc>
        <w:tc>
          <w:tcPr>
            <w:tcW w:w="749" w:type="dxa"/>
          </w:tcPr>
          <w:p>
            <w:pPr>
              <w:pStyle w:val="TableParagraph"/>
              <w:ind w:right="105"/>
              <w:rPr>
                <w:sz w:val="10"/>
              </w:rPr>
            </w:pPr>
            <w:r>
              <w:rPr>
                <w:w w:val="115"/>
                <w:sz w:val="10"/>
              </w:rPr>
              <w:t>15.127,22</w:t>
            </w:r>
          </w:p>
        </w:tc>
        <w:tc>
          <w:tcPr>
            <w:tcW w:w="123" w:type="dxa"/>
          </w:tcPr>
          <w:p>
            <w:pPr/>
          </w:p>
        </w:tc>
        <w:tc>
          <w:tcPr>
            <w:tcW w:w="617" w:type="dxa"/>
          </w:tcPr>
          <w:p>
            <w:pPr>
              <w:pStyle w:val="TableParagraph"/>
              <w:ind w:right="127"/>
              <w:rPr>
                <w:sz w:val="10"/>
              </w:rPr>
            </w:pPr>
            <w:r>
              <w:rPr>
                <w:w w:val="115"/>
                <w:sz w:val="10"/>
              </w:rPr>
              <w:t>15.127,22</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VISCARDI KATIA</w:t>
            </w:r>
          </w:p>
        </w:tc>
        <w:tc>
          <w:tcPr>
            <w:tcW w:w="792" w:type="dxa"/>
          </w:tcPr>
          <w:p>
            <w:pPr>
              <w:pStyle w:val="TableParagraph"/>
              <w:ind w:left="102" w:right="102"/>
              <w:jc w:val="center"/>
              <w:rPr>
                <w:sz w:val="10"/>
              </w:rPr>
            </w:pPr>
            <w:r>
              <w:rPr>
                <w:w w:val="115"/>
                <w:sz w:val="10"/>
              </w:rPr>
              <w:t>01/09/2010</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19,89</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left="7"/>
              <w:jc w:val="center"/>
              <w:rPr>
                <w:b/>
                <w:sz w:val="10"/>
              </w:rPr>
            </w:pPr>
            <w:r>
              <w:rPr>
                <w:b/>
                <w:w w:val="117"/>
                <w:sz w:val="10"/>
              </w:rPr>
              <w:t>-</w:t>
            </w:r>
          </w:p>
        </w:tc>
        <w:tc>
          <w:tcPr>
            <w:tcW w:w="718" w:type="dxa"/>
          </w:tcPr>
          <w:p>
            <w:pPr>
              <w:pStyle w:val="TableParagraph"/>
              <w:ind w:right="174"/>
              <w:rPr>
                <w:b/>
                <w:sz w:val="10"/>
              </w:rPr>
            </w:pPr>
            <w:r>
              <w:rPr>
                <w:b/>
                <w:w w:val="115"/>
                <w:sz w:val="10"/>
              </w:rPr>
              <w:t>19,89</w:t>
            </w:r>
          </w:p>
        </w:tc>
        <w:tc>
          <w:tcPr>
            <w:tcW w:w="683" w:type="dxa"/>
          </w:tcPr>
          <w:p>
            <w:pPr>
              <w:pStyle w:val="TableParagraph"/>
              <w:ind w:right="139"/>
              <w:rPr>
                <w:b/>
                <w:sz w:val="10"/>
              </w:rPr>
            </w:pPr>
            <w:r>
              <w:rPr>
                <w:b/>
                <w:w w:val="115"/>
                <w:sz w:val="10"/>
              </w:rPr>
              <w:t>232,98</w:t>
            </w:r>
          </w:p>
        </w:tc>
        <w:tc>
          <w:tcPr>
            <w:tcW w:w="791" w:type="dxa"/>
            <w:tcBorders>
              <w:right w:val="single" w:sz="3" w:space="0" w:color="000000"/>
            </w:tcBorders>
          </w:tcPr>
          <w:p>
            <w:pPr>
              <w:pStyle w:val="TableParagraph"/>
              <w:ind w:right="61"/>
              <w:rPr>
                <w:b/>
                <w:sz w:val="10"/>
              </w:rPr>
            </w:pPr>
            <w:r>
              <w:rPr>
                <w:b/>
                <w:w w:val="115"/>
                <w:sz w:val="10"/>
              </w:rPr>
              <w:t>213,09</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CROCI CLAUDIO GIUSEPPE</w:t>
            </w:r>
          </w:p>
        </w:tc>
        <w:tc>
          <w:tcPr>
            <w:tcW w:w="792" w:type="dxa"/>
          </w:tcPr>
          <w:p>
            <w:pPr>
              <w:pStyle w:val="TableParagraph"/>
              <w:ind w:left="102" w:right="102"/>
              <w:jc w:val="center"/>
              <w:rPr>
                <w:sz w:val="10"/>
              </w:rPr>
            </w:pPr>
            <w:r>
              <w:rPr>
                <w:w w:val="115"/>
                <w:sz w:val="10"/>
              </w:rPr>
              <w:t>13/09/2010</w:t>
            </w:r>
          </w:p>
        </w:tc>
        <w:tc>
          <w:tcPr>
            <w:tcW w:w="777" w:type="dxa"/>
          </w:tcPr>
          <w:p>
            <w:pPr>
              <w:pStyle w:val="TableParagraph"/>
              <w:ind w:right="88"/>
              <w:rPr>
                <w:sz w:val="10"/>
              </w:rPr>
            </w:pPr>
            <w:r>
              <w:rPr>
                <w:w w:val="115"/>
                <w:sz w:val="10"/>
              </w:rPr>
              <w:t>31/12/2016</w:t>
            </w:r>
          </w:p>
        </w:tc>
        <w:tc>
          <w:tcPr>
            <w:tcW w:w="94" w:type="dxa"/>
          </w:tcPr>
          <w:p>
            <w:pPr/>
          </w:p>
        </w:tc>
        <w:tc>
          <w:tcPr>
            <w:tcW w:w="749" w:type="dxa"/>
          </w:tcPr>
          <w:p>
            <w:pPr>
              <w:pStyle w:val="TableParagraph"/>
              <w:ind w:left="487"/>
              <w:jc w:val="left"/>
              <w:rPr>
                <w:sz w:val="10"/>
              </w:rPr>
            </w:pPr>
            <w:r>
              <w:rPr>
                <w:w w:val="117"/>
                <w:sz w:val="10"/>
              </w:rPr>
              <w:t>-</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PARACHINI MARCO</w:t>
            </w:r>
          </w:p>
        </w:tc>
        <w:tc>
          <w:tcPr>
            <w:tcW w:w="792" w:type="dxa"/>
          </w:tcPr>
          <w:p>
            <w:pPr>
              <w:pStyle w:val="TableParagraph"/>
              <w:ind w:left="102" w:right="102"/>
              <w:jc w:val="center"/>
              <w:rPr>
                <w:sz w:val="10"/>
              </w:rPr>
            </w:pPr>
            <w:r>
              <w:rPr>
                <w:w w:val="115"/>
                <w:sz w:val="10"/>
              </w:rPr>
              <w:t>01/01/2011</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45,57</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right="5"/>
              <w:jc w:val="center"/>
              <w:rPr>
                <w:b/>
                <w:sz w:val="10"/>
              </w:rPr>
            </w:pPr>
            <w:r>
              <w:rPr>
                <w:b/>
                <w:w w:val="117"/>
                <w:sz w:val="10"/>
              </w:rPr>
              <w:t>-</w:t>
            </w:r>
          </w:p>
        </w:tc>
        <w:tc>
          <w:tcPr>
            <w:tcW w:w="718" w:type="dxa"/>
          </w:tcPr>
          <w:p>
            <w:pPr>
              <w:pStyle w:val="TableParagraph"/>
              <w:ind w:right="174"/>
              <w:rPr>
                <w:b/>
                <w:sz w:val="10"/>
              </w:rPr>
            </w:pPr>
            <w:r>
              <w:rPr>
                <w:b/>
                <w:w w:val="115"/>
                <w:sz w:val="10"/>
              </w:rPr>
              <w:t>45,57</w:t>
            </w:r>
          </w:p>
        </w:tc>
        <w:tc>
          <w:tcPr>
            <w:tcW w:w="683" w:type="dxa"/>
          </w:tcPr>
          <w:p>
            <w:pPr>
              <w:pStyle w:val="TableParagraph"/>
              <w:ind w:right="139"/>
              <w:rPr>
                <w:b/>
                <w:sz w:val="10"/>
              </w:rPr>
            </w:pPr>
            <w:r>
              <w:rPr>
                <w:b/>
                <w:w w:val="115"/>
                <w:sz w:val="10"/>
              </w:rPr>
              <w:t>524,78</w:t>
            </w:r>
          </w:p>
        </w:tc>
        <w:tc>
          <w:tcPr>
            <w:tcW w:w="791" w:type="dxa"/>
            <w:tcBorders>
              <w:right w:val="single" w:sz="3" w:space="0" w:color="000000"/>
            </w:tcBorders>
          </w:tcPr>
          <w:p>
            <w:pPr>
              <w:pStyle w:val="TableParagraph"/>
              <w:ind w:right="55"/>
              <w:rPr>
                <w:b/>
                <w:sz w:val="10"/>
              </w:rPr>
            </w:pPr>
            <w:r>
              <w:rPr>
                <w:b/>
                <w:w w:val="115"/>
                <w:sz w:val="10"/>
              </w:rPr>
              <w:t>479,21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STAFIE VASILE</w:t>
            </w:r>
          </w:p>
        </w:tc>
        <w:tc>
          <w:tcPr>
            <w:tcW w:w="792" w:type="dxa"/>
          </w:tcPr>
          <w:p>
            <w:pPr>
              <w:pStyle w:val="TableParagraph"/>
              <w:ind w:left="102" w:right="102"/>
              <w:jc w:val="center"/>
              <w:rPr>
                <w:sz w:val="10"/>
              </w:rPr>
            </w:pPr>
            <w:r>
              <w:rPr>
                <w:w w:val="115"/>
                <w:sz w:val="10"/>
              </w:rPr>
              <w:t>01/02/2011</w:t>
            </w:r>
          </w:p>
        </w:tc>
        <w:tc>
          <w:tcPr>
            <w:tcW w:w="777" w:type="dxa"/>
          </w:tcPr>
          <w:p>
            <w:pPr/>
          </w:p>
        </w:tc>
        <w:tc>
          <w:tcPr>
            <w:tcW w:w="94" w:type="dxa"/>
          </w:tcPr>
          <w:p>
            <w:pPr/>
          </w:p>
        </w:tc>
        <w:tc>
          <w:tcPr>
            <w:tcW w:w="749" w:type="dxa"/>
          </w:tcPr>
          <w:p>
            <w:pPr>
              <w:pStyle w:val="TableParagraph"/>
              <w:ind w:right="105"/>
              <w:rPr>
                <w:sz w:val="10"/>
              </w:rPr>
            </w:pPr>
            <w:r>
              <w:rPr>
                <w:w w:val="115"/>
                <w:sz w:val="10"/>
              </w:rPr>
              <w:t>3.659,19</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3.659,19</w:t>
            </w:r>
          </w:p>
        </w:tc>
        <w:tc>
          <w:tcPr>
            <w:tcW w:w="683" w:type="dxa"/>
          </w:tcPr>
          <w:p>
            <w:pPr>
              <w:pStyle w:val="TableParagraph"/>
              <w:ind w:right="139"/>
              <w:rPr>
                <w:b/>
                <w:sz w:val="10"/>
              </w:rPr>
            </w:pPr>
            <w:r>
              <w:rPr>
                <w:b/>
                <w:w w:val="115"/>
                <w:sz w:val="10"/>
              </w:rPr>
              <w:t>120,04</w:t>
            </w:r>
          </w:p>
        </w:tc>
        <w:tc>
          <w:tcPr>
            <w:tcW w:w="791" w:type="dxa"/>
            <w:tcBorders>
              <w:right w:val="single" w:sz="3" w:space="0" w:color="000000"/>
            </w:tcBorders>
          </w:tcPr>
          <w:p>
            <w:pPr>
              <w:pStyle w:val="TableParagraph"/>
              <w:ind w:right="61"/>
              <w:rPr>
                <w:b/>
                <w:sz w:val="10"/>
              </w:rPr>
            </w:pPr>
            <w:r>
              <w:rPr>
                <w:b/>
                <w:w w:val="115"/>
                <w:sz w:val="10"/>
              </w:rPr>
              <w:t>3.779,23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RIVA DANIELE</w:t>
            </w:r>
          </w:p>
        </w:tc>
        <w:tc>
          <w:tcPr>
            <w:tcW w:w="792" w:type="dxa"/>
          </w:tcPr>
          <w:p>
            <w:pPr>
              <w:pStyle w:val="TableParagraph"/>
              <w:ind w:left="102" w:right="102"/>
              <w:jc w:val="center"/>
              <w:rPr>
                <w:sz w:val="10"/>
              </w:rPr>
            </w:pPr>
            <w:r>
              <w:rPr>
                <w:w w:val="115"/>
                <w:sz w:val="10"/>
              </w:rPr>
              <w:t>11/04/2011</w:t>
            </w:r>
          </w:p>
        </w:tc>
        <w:tc>
          <w:tcPr>
            <w:tcW w:w="777" w:type="dxa"/>
          </w:tcPr>
          <w:p>
            <w:pPr/>
          </w:p>
        </w:tc>
        <w:tc>
          <w:tcPr>
            <w:tcW w:w="94" w:type="dxa"/>
          </w:tcPr>
          <w:p>
            <w:pPr/>
          </w:p>
        </w:tc>
        <w:tc>
          <w:tcPr>
            <w:tcW w:w="749" w:type="dxa"/>
          </w:tcPr>
          <w:p>
            <w:pPr>
              <w:pStyle w:val="TableParagraph"/>
              <w:ind w:right="105"/>
              <w:rPr>
                <w:sz w:val="10"/>
              </w:rPr>
            </w:pPr>
            <w:r>
              <w:rPr>
                <w:w w:val="115"/>
                <w:sz w:val="10"/>
              </w:rPr>
              <w:t>17.291,36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17.291,36</w:t>
            </w:r>
          </w:p>
        </w:tc>
        <w:tc>
          <w:tcPr>
            <w:tcW w:w="683" w:type="dxa"/>
          </w:tcPr>
          <w:p>
            <w:pPr>
              <w:pStyle w:val="TableParagraph"/>
              <w:ind w:right="139"/>
              <w:rPr>
                <w:b/>
                <w:sz w:val="10"/>
              </w:rPr>
            </w:pPr>
            <w:r>
              <w:rPr>
                <w:b/>
                <w:w w:val="115"/>
                <w:sz w:val="10"/>
              </w:rPr>
              <w:t>192,28</w:t>
            </w:r>
          </w:p>
        </w:tc>
        <w:tc>
          <w:tcPr>
            <w:tcW w:w="791" w:type="dxa"/>
            <w:tcBorders>
              <w:right w:val="single" w:sz="3" w:space="0" w:color="000000"/>
            </w:tcBorders>
          </w:tcPr>
          <w:p>
            <w:pPr>
              <w:pStyle w:val="TableParagraph"/>
              <w:ind w:right="61"/>
              <w:rPr>
                <w:b/>
                <w:sz w:val="10"/>
              </w:rPr>
            </w:pPr>
            <w:r>
              <w:rPr>
                <w:b/>
                <w:w w:val="115"/>
                <w:sz w:val="10"/>
              </w:rPr>
              <w:t>17.483,64</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BERNARDI MARCO</w:t>
            </w:r>
          </w:p>
        </w:tc>
        <w:tc>
          <w:tcPr>
            <w:tcW w:w="792" w:type="dxa"/>
          </w:tcPr>
          <w:p>
            <w:pPr>
              <w:pStyle w:val="TableParagraph"/>
              <w:ind w:left="102" w:right="102"/>
              <w:jc w:val="center"/>
              <w:rPr>
                <w:sz w:val="10"/>
              </w:rPr>
            </w:pPr>
            <w:r>
              <w:rPr>
                <w:w w:val="115"/>
                <w:sz w:val="10"/>
              </w:rPr>
              <w:t>02/05/2011</w:t>
            </w:r>
          </w:p>
        </w:tc>
        <w:tc>
          <w:tcPr>
            <w:tcW w:w="777" w:type="dxa"/>
          </w:tcPr>
          <w:p>
            <w:pPr/>
          </w:p>
        </w:tc>
        <w:tc>
          <w:tcPr>
            <w:tcW w:w="94" w:type="dxa"/>
          </w:tcPr>
          <w:p>
            <w:pPr/>
          </w:p>
        </w:tc>
        <w:tc>
          <w:tcPr>
            <w:tcW w:w="749" w:type="dxa"/>
          </w:tcPr>
          <w:p>
            <w:pPr>
              <w:pStyle w:val="TableParagraph"/>
              <w:ind w:right="105"/>
              <w:rPr>
                <w:sz w:val="10"/>
              </w:rPr>
            </w:pPr>
            <w:r>
              <w:rPr>
                <w:w w:val="115"/>
                <w:sz w:val="10"/>
              </w:rPr>
              <w:t>1.280,89</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1.280,89</w:t>
            </w:r>
          </w:p>
        </w:tc>
        <w:tc>
          <w:tcPr>
            <w:tcW w:w="683" w:type="dxa"/>
          </w:tcPr>
          <w:p>
            <w:pPr>
              <w:pStyle w:val="TableParagraph"/>
              <w:ind w:right="139"/>
              <w:rPr>
                <w:b/>
                <w:sz w:val="10"/>
              </w:rPr>
            </w:pPr>
            <w:r>
              <w:rPr>
                <w:b/>
                <w:w w:val="115"/>
                <w:sz w:val="10"/>
              </w:rPr>
              <w:t>180,64</w:t>
            </w:r>
          </w:p>
        </w:tc>
        <w:tc>
          <w:tcPr>
            <w:tcW w:w="791" w:type="dxa"/>
            <w:tcBorders>
              <w:right w:val="single" w:sz="3" w:space="0" w:color="000000"/>
            </w:tcBorders>
          </w:tcPr>
          <w:p>
            <w:pPr>
              <w:pStyle w:val="TableParagraph"/>
              <w:ind w:right="61"/>
              <w:rPr>
                <w:b/>
                <w:sz w:val="10"/>
              </w:rPr>
            </w:pPr>
            <w:r>
              <w:rPr>
                <w:b/>
                <w:w w:val="115"/>
                <w:sz w:val="10"/>
              </w:rPr>
              <w:t>1.461,53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CERETI ALESSANDRA</w:t>
            </w:r>
          </w:p>
        </w:tc>
        <w:tc>
          <w:tcPr>
            <w:tcW w:w="792" w:type="dxa"/>
          </w:tcPr>
          <w:p>
            <w:pPr>
              <w:pStyle w:val="TableParagraph"/>
              <w:ind w:left="102" w:right="102"/>
              <w:jc w:val="center"/>
              <w:rPr>
                <w:sz w:val="10"/>
              </w:rPr>
            </w:pPr>
            <w:r>
              <w:rPr>
                <w:w w:val="115"/>
                <w:sz w:val="10"/>
              </w:rPr>
              <w:t>02/05/2011</w:t>
            </w:r>
          </w:p>
        </w:tc>
        <w:tc>
          <w:tcPr>
            <w:tcW w:w="777" w:type="dxa"/>
          </w:tcPr>
          <w:p>
            <w:pPr/>
          </w:p>
        </w:tc>
        <w:tc>
          <w:tcPr>
            <w:tcW w:w="94" w:type="dxa"/>
          </w:tcPr>
          <w:p>
            <w:pPr/>
          </w:p>
        </w:tc>
        <w:tc>
          <w:tcPr>
            <w:tcW w:w="749" w:type="dxa"/>
          </w:tcPr>
          <w:p>
            <w:pPr>
              <w:pStyle w:val="TableParagraph"/>
              <w:ind w:right="105"/>
              <w:rPr>
                <w:sz w:val="10"/>
              </w:rPr>
            </w:pPr>
            <w:r>
              <w:rPr>
                <w:w w:val="115"/>
                <w:sz w:val="10"/>
              </w:rPr>
              <w:t>12.916,51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12.916,51</w:t>
            </w:r>
          </w:p>
        </w:tc>
        <w:tc>
          <w:tcPr>
            <w:tcW w:w="683" w:type="dxa"/>
          </w:tcPr>
          <w:p>
            <w:pPr>
              <w:pStyle w:val="TableParagraph"/>
              <w:ind w:right="139"/>
              <w:rPr>
                <w:b/>
                <w:sz w:val="10"/>
              </w:rPr>
            </w:pPr>
            <w:r>
              <w:rPr>
                <w:b/>
                <w:w w:val="115"/>
                <w:sz w:val="10"/>
              </w:rPr>
              <w:t>124,20</w:t>
            </w:r>
          </w:p>
        </w:tc>
        <w:tc>
          <w:tcPr>
            <w:tcW w:w="791" w:type="dxa"/>
            <w:tcBorders>
              <w:right w:val="single" w:sz="3" w:space="0" w:color="000000"/>
            </w:tcBorders>
          </w:tcPr>
          <w:p>
            <w:pPr>
              <w:pStyle w:val="TableParagraph"/>
              <w:ind w:right="55"/>
              <w:rPr>
                <w:b/>
                <w:sz w:val="10"/>
              </w:rPr>
            </w:pPr>
            <w:r>
              <w:rPr>
                <w:b/>
                <w:w w:val="115"/>
                <w:sz w:val="10"/>
              </w:rPr>
              <w:t>13.040,71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PREFUMO CHIARA</w:t>
            </w:r>
          </w:p>
        </w:tc>
        <w:tc>
          <w:tcPr>
            <w:tcW w:w="792" w:type="dxa"/>
          </w:tcPr>
          <w:p>
            <w:pPr>
              <w:pStyle w:val="TableParagraph"/>
              <w:ind w:left="102" w:right="102"/>
              <w:jc w:val="center"/>
              <w:rPr>
                <w:sz w:val="10"/>
              </w:rPr>
            </w:pPr>
            <w:r>
              <w:rPr>
                <w:w w:val="115"/>
                <w:sz w:val="10"/>
              </w:rPr>
              <w:t>18/05/2011</w:t>
            </w:r>
          </w:p>
        </w:tc>
        <w:tc>
          <w:tcPr>
            <w:tcW w:w="777" w:type="dxa"/>
          </w:tcPr>
          <w:p>
            <w:pPr>
              <w:pStyle w:val="TableParagraph"/>
              <w:ind w:right="88"/>
              <w:rPr>
                <w:sz w:val="10"/>
              </w:rPr>
            </w:pPr>
            <w:r>
              <w:rPr>
                <w:w w:val="115"/>
                <w:sz w:val="10"/>
              </w:rPr>
              <w:t>30/09/2016</w:t>
            </w:r>
          </w:p>
        </w:tc>
        <w:tc>
          <w:tcPr>
            <w:tcW w:w="94" w:type="dxa"/>
          </w:tcPr>
          <w:p>
            <w:pPr/>
          </w:p>
        </w:tc>
        <w:tc>
          <w:tcPr>
            <w:tcW w:w="749" w:type="dxa"/>
          </w:tcPr>
          <w:p>
            <w:pPr>
              <w:pStyle w:val="TableParagraph"/>
              <w:ind w:right="105"/>
              <w:rPr>
                <w:sz w:val="10"/>
              </w:rPr>
            </w:pPr>
            <w:r>
              <w:rPr>
                <w:w w:val="115"/>
                <w:sz w:val="10"/>
              </w:rPr>
              <w:t>11.812,90</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11.812,90</w:t>
            </w:r>
          </w:p>
        </w:tc>
        <w:tc>
          <w:tcPr>
            <w:tcW w:w="683" w:type="dxa"/>
          </w:tcPr>
          <w:p>
            <w:pPr/>
          </w:p>
        </w:tc>
        <w:tc>
          <w:tcPr>
            <w:tcW w:w="791" w:type="dxa"/>
            <w:tcBorders>
              <w:right w:val="single" w:sz="3" w:space="0" w:color="000000"/>
            </w:tcBorders>
          </w:tcPr>
          <w:p>
            <w:pPr>
              <w:pStyle w:val="TableParagraph"/>
              <w:ind w:right="61"/>
              <w:rPr>
                <w:b/>
                <w:sz w:val="10"/>
              </w:rPr>
            </w:pPr>
            <w:r>
              <w:rPr>
                <w:b/>
                <w:w w:val="115"/>
                <w:sz w:val="10"/>
              </w:rPr>
              <w:t>11.812,90</w:t>
            </w:r>
          </w:p>
        </w:tc>
      </w:tr>
      <w:tr>
        <w:trPr>
          <w:trHeight w:val="140" w:hRule="exact"/>
        </w:trPr>
        <w:tc>
          <w:tcPr>
            <w:tcW w:w="1630" w:type="dxa"/>
            <w:tcBorders>
              <w:left w:val="single" w:sz="3" w:space="0" w:color="000000"/>
            </w:tcBorders>
          </w:tcPr>
          <w:p>
            <w:pPr>
              <w:pStyle w:val="TableParagraph"/>
              <w:ind w:left="14"/>
              <w:jc w:val="left"/>
              <w:rPr>
                <w:sz w:val="10"/>
              </w:rPr>
            </w:pPr>
            <w:r>
              <w:rPr>
                <w:w w:val="115"/>
                <w:sz w:val="10"/>
              </w:rPr>
              <w:t>GELMI GIUSEPPE</w:t>
            </w:r>
          </w:p>
        </w:tc>
        <w:tc>
          <w:tcPr>
            <w:tcW w:w="792" w:type="dxa"/>
          </w:tcPr>
          <w:p>
            <w:pPr>
              <w:pStyle w:val="TableParagraph"/>
              <w:ind w:left="102" w:right="102"/>
              <w:jc w:val="center"/>
              <w:rPr>
                <w:sz w:val="10"/>
              </w:rPr>
            </w:pPr>
            <w:r>
              <w:rPr>
                <w:w w:val="115"/>
                <w:sz w:val="10"/>
              </w:rPr>
              <w:t>01/06/2011</w:t>
            </w:r>
          </w:p>
        </w:tc>
        <w:tc>
          <w:tcPr>
            <w:tcW w:w="777" w:type="dxa"/>
          </w:tcPr>
          <w:p>
            <w:pPr/>
          </w:p>
        </w:tc>
        <w:tc>
          <w:tcPr>
            <w:tcW w:w="94" w:type="dxa"/>
          </w:tcPr>
          <w:p>
            <w:pPr/>
          </w:p>
        </w:tc>
        <w:tc>
          <w:tcPr>
            <w:tcW w:w="749" w:type="dxa"/>
          </w:tcPr>
          <w:p>
            <w:pPr>
              <w:pStyle w:val="TableParagraph"/>
              <w:ind w:right="105"/>
              <w:rPr>
                <w:sz w:val="10"/>
              </w:rPr>
            </w:pPr>
            <w:r>
              <w:rPr>
                <w:w w:val="115"/>
                <w:sz w:val="10"/>
              </w:rPr>
              <w:t>26.888,04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26.888,04</w:t>
            </w:r>
          </w:p>
        </w:tc>
        <w:tc>
          <w:tcPr>
            <w:tcW w:w="683" w:type="dxa"/>
          </w:tcPr>
          <w:p>
            <w:pPr>
              <w:pStyle w:val="TableParagraph"/>
              <w:ind w:right="139"/>
              <w:rPr>
                <w:b/>
                <w:sz w:val="10"/>
              </w:rPr>
            </w:pPr>
            <w:r>
              <w:rPr>
                <w:b/>
                <w:w w:val="115"/>
                <w:sz w:val="10"/>
              </w:rPr>
              <w:t>278,37</w:t>
            </w:r>
          </w:p>
        </w:tc>
        <w:tc>
          <w:tcPr>
            <w:tcW w:w="791" w:type="dxa"/>
            <w:tcBorders>
              <w:right w:val="single" w:sz="3" w:space="0" w:color="000000"/>
            </w:tcBorders>
          </w:tcPr>
          <w:p>
            <w:pPr>
              <w:pStyle w:val="TableParagraph"/>
              <w:ind w:right="55"/>
              <w:rPr>
                <w:b/>
                <w:sz w:val="10"/>
              </w:rPr>
            </w:pPr>
            <w:r>
              <w:rPr>
                <w:b/>
                <w:w w:val="115"/>
                <w:sz w:val="10"/>
              </w:rPr>
              <w:t>27.166,41</w:t>
            </w:r>
          </w:p>
        </w:tc>
      </w:tr>
      <w:tr>
        <w:trPr>
          <w:trHeight w:val="153" w:hRule="exact"/>
        </w:trPr>
        <w:tc>
          <w:tcPr>
            <w:tcW w:w="1630" w:type="dxa"/>
            <w:tcBorders>
              <w:left w:val="single" w:sz="3" w:space="0" w:color="000000"/>
            </w:tcBorders>
          </w:tcPr>
          <w:p>
            <w:pPr>
              <w:pStyle w:val="TableParagraph"/>
              <w:spacing w:before="16"/>
              <w:ind w:left="14"/>
              <w:jc w:val="left"/>
              <w:rPr>
                <w:sz w:val="10"/>
              </w:rPr>
            </w:pPr>
            <w:r>
              <w:rPr>
                <w:w w:val="115"/>
                <w:sz w:val="10"/>
              </w:rPr>
              <w:t>FICALBI ALESSIA</w:t>
            </w:r>
          </w:p>
        </w:tc>
        <w:tc>
          <w:tcPr>
            <w:tcW w:w="792" w:type="dxa"/>
          </w:tcPr>
          <w:p>
            <w:pPr>
              <w:pStyle w:val="TableParagraph"/>
              <w:spacing w:before="16"/>
              <w:ind w:left="102" w:right="102"/>
              <w:jc w:val="center"/>
              <w:rPr>
                <w:sz w:val="10"/>
              </w:rPr>
            </w:pPr>
            <w:r>
              <w:rPr>
                <w:w w:val="115"/>
                <w:sz w:val="10"/>
              </w:rPr>
              <w:t>13/06/2011</w:t>
            </w:r>
          </w:p>
        </w:tc>
        <w:tc>
          <w:tcPr>
            <w:tcW w:w="777" w:type="dxa"/>
          </w:tcPr>
          <w:p>
            <w:pPr>
              <w:pStyle w:val="TableParagraph"/>
              <w:spacing w:before="16"/>
              <w:ind w:right="88"/>
              <w:rPr>
                <w:sz w:val="10"/>
              </w:rPr>
            </w:pPr>
            <w:r>
              <w:rPr>
                <w:w w:val="115"/>
                <w:sz w:val="10"/>
              </w:rPr>
              <w:t>31/03/2017</w:t>
            </w:r>
          </w:p>
        </w:tc>
        <w:tc>
          <w:tcPr>
            <w:tcW w:w="94" w:type="dxa"/>
          </w:tcPr>
          <w:p>
            <w:pPr/>
          </w:p>
        </w:tc>
        <w:tc>
          <w:tcPr>
            <w:tcW w:w="749" w:type="dxa"/>
          </w:tcPr>
          <w:p>
            <w:pPr>
              <w:pStyle w:val="TableParagraph"/>
              <w:spacing w:before="16"/>
              <w:ind w:right="105"/>
              <w:rPr>
                <w:sz w:val="10"/>
              </w:rPr>
            </w:pPr>
            <w:r>
              <w:rPr>
                <w:w w:val="115"/>
                <w:sz w:val="10"/>
              </w:rPr>
              <w:t>1.058,15</w:t>
            </w:r>
          </w:p>
        </w:tc>
        <w:tc>
          <w:tcPr>
            <w:tcW w:w="123" w:type="dxa"/>
          </w:tcPr>
          <w:p>
            <w:pPr/>
          </w:p>
        </w:tc>
        <w:tc>
          <w:tcPr>
            <w:tcW w:w="617" w:type="dxa"/>
          </w:tcPr>
          <w:p>
            <w:pPr>
              <w:pStyle w:val="TableParagraph"/>
              <w:spacing w:before="16"/>
              <w:ind w:right="127"/>
              <w:rPr>
                <w:sz w:val="10"/>
              </w:rPr>
            </w:pPr>
            <w:r>
              <w:rPr>
                <w:w w:val="115"/>
                <w:sz w:val="10"/>
              </w:rPr>
              <w:t>1.058,15</w:t>
            </w:r>
          </w:p>
        </w:tc>
        <w:tc>
          <w:tcPr>
            <w:tcW w:w="110" w:type="dxa"/>
          </w:tcPr>
          <w:p>
            <w:pPr/>
          </w:p>
        </w:tc>
        <w:tc>
          <w:tcPr>
            <w:tcW w:w="718" w:type="dxa"/>
          </w:tcPr>
          <w:p>
            <w:pPr>
              <w:pStyle w:val="TableParagraph"/>
              <w:spacing w:before="16"/>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spacing w:before="29"/>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AMBROSIN DIEGO</w:t>
            </w:r>
          </w:p>
        </w:tc>
        <w:tc>
          <w:tcPr>
            <w:tcW w:w="792" w:type="dxa"/>
          </w:tcPr>
          <w:p>
            <w:pPr>
              <w:pStyle w:val="TableParagraph"/>
              <w:ind w:left="102" w:right="102"/>
              <w:jc w:val="center"/>
              <w:rPr>
                <w:sz w:val="10"/>
              </w:rPr>
            </w:pPr>
            <w:r>
              <w:rPr>
                <w:w w:val="115"/>
                <w:sz w:val="10"/>
              </w:rPr>
              <w:t>01/08/2011</w:t>
            </w:r>
          </w:p>
        </w:tc>
        <w:tc>
          <w:tcPr>
            <w:tcW w:w="777" w:type="dxa"/>
          </w:tcPr>
          <w:p>
            <w:pPr>
              <w:pStyle w:val="TableParagraph"/>
              <w:ind w:right="88"/>
              <w:rPr>
                <w:sz w:val="10"/>
              </w:rPr>
            </w:pPr>
            <w:r>
              <w:rPr>
                <w:w w:val="115"/>
                <w:sz w:val="10"/>
              </w:rPr>
              <w:t>31/12/2016</w:t>
            </w:r>
          </w:p>
        </w:tc>
        <w:tc>
          <w:tcPr>
            <w:tcW w:w="94" w:type="dxa"/>
          </w:tcPr>
          <w:p>
            <w:pPr/>
          </w:p>
        </w:tc>
        <w:tc>
          <w:tcPr>
            <w:tcW w:w="749" w:type="dxa"/>
          </w:tcPr>
          <w:p>
            <w:pPr>
              <w:pStyle w:val="TableParagraph"/>
              <w:ind w:right="105"/>
              <w:rPr>
                <w:sz w:val="10"/>
              </w:rPr>
            </w:pPr>
            <w:r>
              <w:rPr>
                <w:w w:val="115"/>
                <w:sz w:val="10"/>
              </w:rPr>
              <w:t>10.068,71</w:t>
            </w:r>
          </w:p>
        </w:tc>
        <w:tc>
          <w:tcPr>
            <w:tcW w:w="123" w:type="dxa"/>
          </w:tcPr>
          <w:p>
            <w:pPr/>
          </w:p>
        </w:tc>
        <w:tc>
          <w:tcPr>
            <w:tcW w:w="617" w:type="dxa"/>
          </w:tcPr>
          <w:p>
            <w:pPr>
              <w:pStyle w:val="TableParagraph"/>
              <w:ind w:right="127"/>
              <w:rPr>
                <w:sz w:val="10"/>
              </w:rPr>
            </w:pPr>
            <w:r>
              <w:rPr>
                <w:w w:val="115"/>
                <w:sz w:val="10"/>
              </w:rPr>
              <w:t>10.068,71</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TODARO DANIELA</w:t>
            </w:r>
          </w:p>
        </w:tc>
        <w:tc>
          <w:tcPr>
            <w:tcW w:w="792" w:type="dxa"/>
          </w:tcPr>
          <w:p>
            <w:pPr>
              <w:pStyle w:val="TableParagraph"/>
              <w:ind w:left="102" w:right="102"/>
              <w:jc w:val="center"/>
              <w:rPr>
                <w:sz w:val="10"/>
              </w:rPr>
            </w:pPr>
            <w:r>
              <w:rPr>
                <w:w w:val="115"/>
                <w:sz w:val="10"/>
              </w:rPr>
              <w:t>22/08/2011</w:t>
            </w:r>
          </w:p>
        </w:tc>
        <w:tc>
          <w:tcPr>
            <w:tcW w:w="777" w:type="dxa"/>
          </w:tcPr>
          <w:p>
            <w:pPr>
              <w:pStyle w:val="TableParagraph"/>
              <w:ind w:right="88"/>
              <w:rPr>
                <w:sz w:val="10"/>
              </w:rPr>
            </w:pPr>
            <w:r>
              <w:rPr>
                <w:w w:val="115"/>
                <w:sz w:val="10"/>
              </w:rPr>
              <w:t>30/09/2017</w:t>
            </w:r>
          </w:p>
        </w:tc>
        <w:tc>
          <w:tcPr>
            <w:tcW w:w="94" w:type="dxa"/>
          </w:tcPr>
          <w:p>
            <w:pPr/>
          </w:p>
        </w:tc>
        <w:tc>
          <w:tcPr>
            <w:tcW w:w="749" w:type="dxa"/>
          </w:tcPr>
          <w:p>
            <w:pPr>
              <w:pStyle w:val="TableParagraph"/>
              <w:ind w:right="105"/>
              <w:rPr>
                <w:sz w:val="10"/>
              </w:rPr>
            </w:pPr>
            <w:r>
              <w:rPr>
                <w:w w:val="115"/>
                <w:sz w:val="10"/>
              </w:rPr>
              <w:t>15.302,45</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15.302,45</w:t>
            </w:r>
          </w:p>
        </w:tc>
        <w:tc>
          <w:tcPr>
            <w:tcW w:w="683" w:type="dxa"/>
          </w:tcPr>
          <w:p>
            <w:pPr>
              <w:pStyle w:val="TableParagraph"/>
              <w:ind w:right="139"/>
              <w:rPr>
                <w:b/>
                <w:sz w:val="10"/>
              </w:rPr>
            </w:pPr>
            <w:r>
              <w:rPr>
                <w:b/>
                <w:w w:val="115"/>
                <w:sz w:val="10"/>
              </w:rPr>
              <w:t>167,46</w:t>
            </w:r>
          </w:p>
        </w:tc>
        <w:tc>
          <w:tcPr>
            <w:tcW w:w="791" w:type="dxa"/>
            <w:tcBorders>
              <w:right w:val="single" w:sz="3" w:space="0" w:color="000000"/>
            </w:tcBorders>
          </w:tcPr>
          <w:p>
            <w:pPr>
              <w:pStyle w:val="TableParagraph"/>
              <w:ind w:right="55"/>
              <w:rPr>
                <w:b/>
                <w:sz w:val="10"/>
              </w:rPr>
            </w:pPr>
            <w:r>
              <w:rPr>
                <w:b/>
                <w:w w:val="115"/>
                <w:sz w:val="10"/>
              </w:rPr>
              <w:t>15.469,91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COLLA MICHELE</w:t>
            </w:r>
          </w:p>
        </w:tc>
        <w:tc>
          <w:tcPr>
            <w:tcW w:w="792" w:type="dxa"/>
          </w:tcPr>
          <w:p>
            <w:pPr>
              <w:pStyle w:val="TableParagraph"/>
              <w:ind w:left="102" w:right="102"/>
              <w:jc w:val="center"/>
              <w:rPr>
                <w:sz w:val="10"/>
              </w:rPr>
            </w:pPr>
            <w:r>
              <w:rPr>
                <w:w w:val="115"/>
                <w:sz w:val="10"/>
              </w:rPr>
              <w:t>03/10/2011</w:t>
            </w:r>
          </w:p>
        </w:tc>
        <w:tc>
          <w:tcPr>
            <w:tcW w:w="777" w:type="dxa"/>
          </w:tcPr>
          <w:p>
            <w:pPr/>
          </w:p>
        </w:tc>
        <w:tc>
          <w:tcPr>
            <w:tcW w:w="94" w:type="dxa"/>
          </w:tcPr>
          <w:p>
            <w:pPr/>
          </w:p>
        </w:tc>
        <w:tc>
          <w:tcPr>
            <w:tcW w:w="749" w:type="dxa"/>
          </w:tcPr>
          <w:p>
            <w:pPr>
              <w:pStyle w:val="TableParagraph"/>
              <w:ind w:right="105"/>
              <w:rPr>
                <w:sz w:val="10"/>
              </w:rPr>
            </w:pPr>
            <w:r>
              <w:rPr>
                <w:w w:val="115"/>
                <w:sz w:val="10"/>
              </w:rPr>
              <w:t>10.921,16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10.921,16</w:t>
            </w:r>
          </w:p>
        </w:tc>
        <w:tc>
          <w:tcPr>
            <w:tcW w:w="683" w:type="dxa"/>
          </w:tcPr>
          <w:p>
            <w:pPr>
              <w:pStyle w:val="TableParagraph"/>
              <w:ind w:right="139"/>
              <w:rPr>
                <w:b/>
                <w:sz w:val="10"/>
              </w:rPr>
            </w:pPr>
            <w:r>
              <w:rPr>
                <w:b/>
                <w:w w:val="115"/>
                <w:sz w:val="10"/>
              </w:rPr>
              <w:t>112,42</w:t>
            </w:r>
          </w:p>
        </w:tc>
        <w:tc>
          <w:tcPr>
            <w:tcW w:w="791" w:type="dxa"/>
            <w:tcBorders>
              <w:right w:val="single" w:sz="3" w:space="0" w:color="000000"/>
            </w:tcBorders>
          </w:tcPr>
          <w:p>
            <w:pPr>
              <w:pStyle w:val="TableParagraph"/>
              <w:ind w:right="61"/>
              <w:rPr>
                <w:b/>
                <w:sz w:val="10"/>
              </w:rPr>
            </w:pPr>
            <w:r>
              <w:rPr>
                <w:b/>
                <w:w w:val="115"/>
                <w:sz w:val="10"/>
              </w:rPr>
              <w:t>11.033,58</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GRASSANO GIUSEPPE</w:t>
            </w:r>
          </w:p>
        </w:tc>
        <w:tc>
          <w:tcPr>
            <w:tcW w:w="792" w:type="dxa"/>
          </w:tcPr>
          <w:p>
            <w:pPr>
              <w:pStyle w:val="TableParagraph"/>
              <w:ind w:left="102" w:right="102"/>
              <w:jc w:val="center"/>
              <w:rPr>
                <w:sz w:val="10"/>
              </w:rPr>
            </w:pPr>
            <w:r>
              <w:rPr>
                <w:w w:val="115"/>
                <w:sz w:val="10"/>
              </w:rPr>
              <w:t>04/10/2011</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26,91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left="7"/>
              <w:jc w:val="center"/>
              <w:rPr>
                <w:b/>
                <w:sz w:val="10"/>
              </w:rPr>
            </w:pPr>
            <w:r>
              <w:rPr>
                <w:b/>
                <w:w w:val="117"/>
                <w:sz w:val="10"/>
              </w:rPr>
              <w:t>-</w:t>
            </w:r>
          </w:p>
        </w:tc>
        <w:tc>
          <w:tcPr>
            <w:tcW w:w="718" w:type="dxa"/>
          </w:tcPr>
          <w:p>
            <w:pPr>
              <w:pStyle w:val="TableParagraph"/>
              <w:ind w:right="168"/>
              <w:rPr>
                <w:b/>
                <w:sz w:val="10"/>
              </w:rPr>
            </w:pPr>
            <w:r>
              <w:rPr>
                <w:b/>
                <w:w w:val="115"/>
                <w:sz w:val="10"/>
              </w:rPr>
              <w:t>26,91</w:t>
            </w:r>
          </w:p>
        </w:tc>
        <w:tc>
          <w:tcPr>
            <w:tcW w:w="683" w:type="dxa"/>
          </w:tcPr>
          <w:p>
            <w:pPr>
              <w:pStyle w:val="TableParagraph"/>
              <w:ind w:right="133"/>
              <w:rPr>
                <w:b/>
                <w:sz w:val="10"/>
              </w:rPr>
            </w:pPr>
            <w:r>
              <w:rPr>
                <w:b/>
                <w:w w:val="115"/>
                <w:sz w:val="10"/>
              </w:rPr>
              <w:t>319,21</w:t>
            </w:r>
          </w:p>
        </w:tc>
        <w:tc>
          <w:tcPr>
            <w:tcW w:w="791" w:type="dxa"/>
            <w:tcBorders>
              <w:right w:val="single" w:sz="3" w:space="0" w:color="000000"/>
            </w:tcBorders>
          </w:tcPr>
          <w:p>
            <w:pPr>
              <w:pStyle w:val="TableParagraph"/>
              <w:ind w:right="61"/>
              <w:rPr>
                <w:b/>
                <w:sz w:val="10"/>
              </w:rPr>
            </w:pPr>
            <w:r>
              <w:rPr>
                <w:b/>
                <w:w w:val="115"/>
                <w:sz w:val="10"/>
              </w:rPr>
              <w:t>292,30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PASSERINI GAIA</w:t>
            </w:r>
          </w:p>
        </w:tc>
        <w:tc>
          <w:tcPr>
            <w:tcW w:w="792" w:type="dxa"/>
          </w:tcPr>
          <w:p>
            <w:pPr>
              <w:pStyle w:val="TableParagraph"/>
              <w:ind w:left="102" w:right="102"/>
              <w:jc w:val="center"/>
              <w:rPr>
                <w:sz w:val="10"/>
              </w:rPr>
            </w:pPr>
            <w:r>
              <w:rPr>
                <w:w w:val="115"/>
                <w:sz w:val="10"/>
              </w:rPr>
              <w:t>10/10/2011</w:t>
            </w:r>
          </w:p>
        </w:tc>
        <w:tc>
          <w:tcPr>
            <w:tcW w:w="777" w:type="dxa"/>
          </w:tcPr>
          <w:p>
            <w:pPr>
              <w:pStyle w:val="TableParagraph"/>
              <w:ind w:right="88"/>
              <w:rPr>
                <w:sz w:val="10"/>
              </w:rPr>
            </w:pPr>
            <w:r>
              <w:rPr>
                <w:w w:val="115"/>
                <w:sz w:val="10"/>
              </w:rPr>
              <w:t>11/10/2016</w:t>
            </w:r>
          </w:p>
        </w:tc>
        <w:tc>
          <w:tcPr>
            <w:tcW w:w="94" w:type="dxa"/>
          </w:tcPr>
          <w:p>
            <w:pPr/>
          </w:p>
        </w:tc>
        <w:tc>
          <w:tcPr>
            <w:tcW w:w="749" w:type="dxa"/>
          </w:tcPr>
          <w:p>
            <w:pPr>
              <w:pStyle w:val="TableParagraph"/>
              <w:ind w:right="105"/>
              <w:rPr>
                <w:sz w:val="10"/>
              </w:rPr>
            </w:pPr>
            <w:r>
              <w:rPr>
                <w:w w:val="115"/>
                <w:sz w:val="10"/>
              </w:rPr>
              <w:t>13.248,95</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13.248,95</w:t>
            </w:r>
          </w:p>
        </w:tc>
        <w:tc>
          <w:tcPr>
            <w:tcW w:w="683" w:type="dxa"/>
          </w:tcPr>
          <w:p>
            <w:pPr/>
          </w:p>
        </w:tc>
        <w:tc>
          <w:tcPr>
            <w:tcW w:w="791" w:type="dxa"/>
            <w:tcBorders>
              <w:right w:val="single" w:sz="3" w:space="0" w:color="000000"/>
            </w:tcBorders>
          </w:tcPr>
          <w:p>
            <w:pPr>
              <w:pStyle w:val="TableParagraph"/>
              <w:ind w:right="61"/>
              <w:rPr>
                <w:b/>
                <w:sz w:val="10"/>
              </w:rPr>
            </w:pPr>
            <w:r>
              <w:rPr>
                <w:b/>
                <w:w w:val="115"/>
                <w:sz w:val="10"/>
              </w:rPr>
              <w:t>13.248,95</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LINCE FEDERICA</w:t>
            </w:r>
          </w:p>
        </w:tc>
        <w:tc>
          <w:tcPr>
            <w:tcW w:w="792" w:type="dxa"/>
          </w:tcPr>
          <w:p>
            <w:pPr>
              <w:pStyle w:val="TableParagraph"/>
              <w:ind w:left="102" w:right="102"/>
              <w:jc w:val="center"/>
              <w:rPr>
                <w:sz w:val="10"/>
              </w:rPr>
            </w:pPr>
            <w:r>
              <w:rPr>
                <w:w w:val="115"/>
                <w:sz w:val="10"/>
              </w:rPr>
              <w:t>17/10/2011</w:t>
            </w:r>
          </w:p>
        </w:tc>
        <w:tc>
          <w:tcPr>
            <w:tcW w:w="777" w:type="dxa"/>
          </w:tcPr>
          <w:p>
            <w:pPr/>
          </w:p>
        </w:tc>
        <w:tc>
          <w:tcPr>
            <w:tcW w:w="94" w:type="dxa"/>
          </w:tcPr>
          <w:p>
            <w:pPr/>
          </w:p>
        </w:tc>
        <w:tc>
          <w:tcPr>
            <w:tcW w:w="749" w:type="dxa"/>
          </w:tcPr>
          <w:p>
            <w:pPr>
              <w:pStyle w:val="TableParagraph"/>
              <w:ind w:right="105"/>
              <w:rPr>
                <w:sz w:val="10"/>
              </w:rPr>
            </w:pPr>
            <w:r>
              <w:rPr>
                <w:w w:val="115"/>
                <w:sz w:val="10"/>
              </w:rPr>
              <w:t>2.369,83</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2.369,83</w:t>
            </w:r>
          </w:p>
        </w:tc>
        <w:tc>
          <w:tcPr>
            <w:tcW w:w="683" w:type="dxa"/>
          </w:tcPr>
          <w:p>
            <w:pPr>
              <w:pStyle w:val="TableParagraph"/>
              <w:ind w:right="139"/>
              <w:rPr>
                <w:b/>
                <w:sz w:val="10"/>
              </w:rPr>
            </w:pPr>
            <w:r>
              <w:rPr>
                <w:b/>
                <w:w w:val="115"/>
                <w:sz w:val="10"/>
              </w:rPr>
              <w:t>174,07</w:t>
            </w:r>
          </w:p>
        </w:tc>
        <w:tc>
          <w:tcPr>
            <w:tcW w:w="791" w:type="dxa"/>
            <w:tcBorders>
              <w:right w:val="single" w:sz="3" w:space="0" w:color="000000"/>
            </w:tcBorders>
          </w:tcPr>
          <w:p>
            <w:pPr>
              <w:pStyle w:val="TableParagraph"/>
              <w:ind w:right="61"/>
              <w:rPr>
                <w:b/>
                <w:sz w:val="10"/>
              </w:rPr>
            </w:pPr>
            <w:r>
              <w:rPr>
                <w:b/>
                <w:w w:val="115"/>
                <w:sz w:val="10"/>
              </w:rPr>
              <w:t>2.543,90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BIANCO FRANCESCO</w:t>
            </w:r>
          </w:p>
        </w:tc>
        <w:tc>
          <w:tcPr>
            <w:tcW w:w="792" w:type="dxa"/>
          </w:tcPr>
          <w:p>
            <w:pPr>
              <w:pStyle w:val="TableParagraph"/>
              <w:ind w:left="102" w:right="102"/>
              <w:jc w:val="center"/>
              <w:rPr>
                <w:sz w:val="10"/>
              </w:rPr>
            </w:pPr>
            <w:r>
              <w:rPr>
                <w:w w:val="115"/>
                <w:sz w:val="10"/>
              </w:rPr>
              <w:t>24/10/2011</w:t>
            </w:r>
          </w:p>
        </w:tc>
        <w:tc>
          <w:tcPr>
            <w:tcW w:w="777" w:type="dxa"/>
          </w:tcPr>
          <w:p>
            <w:pPr/>
          </w:p>
        </w:tc>
        <w:tc>
          <w:tcPr>
            <w:tcW w:w="94" w:type="dxa"/>
          </w:tcPr>
          <w:p>
            <w:pPr/>
          </w:p>
        </w:tc>
        <w:tc>
          <w:tcPr>
            <w:tcW w:w="749" w:type="dxa"/>
          </w:tcPr>
          <w:p>
            <w:pPr>
              <w:pStyle w:val="TableParagraph"/>
              <w:ind w:right="105"/>
              <w:rPr>
                <w:sz w:val="10"/>
              </w:rPr>
            </w:pPr>
            <w:r>
              <w:rPr>
                <w:w w:val="115"/>
                <w:sz w:val="10"/>
              </w:rPr>
              <w:t>13.566,27</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13.566,27</w:t>
            </w:r>
          </w:p>
        </w:tc>
        <w:tc>
          <w:tcPr>
            <w:tcW w:w="683" w:type="dxa"/>
          </w:tcPr>
          <w:p>
            <w:pPr>
              <w:pStyle w:val="TableParagraph"/>
              <w:ind w:right="139"/>
              <w:rPr>
                <w:b/>
                <w:sz w:val="10"/>
              </w:rPr>
            </w:pPr>
            <w:r>
              <w:rPr>
                <w:b/>
                <w:w w:val="115"/>
                <w:sz w:val="10"/>
              </w:rPr>
              <w:t>143,44</w:t>
            </w:r>
          </w:p>
        </w:tc>
        <w:tc>
          <w:tcPr>
            <w:tcW w:w="791" w:type="dxa"/>
            <w:tcBorders>
              <w:right w:val="single" w:sz="3" w:space="0" w:color="000000"/>
            </w:tcBorders>
          </w:tcPr>
          <w:p>
            <w:pPr>
              <w:pStyle w:val="TableParagraph"/>
              <w:ind w:right="55"/>
              <w:rPr>
                <w:b/>
                <w:sz w:val="10"/>
              </w:rPr>
            </w:pPr>
            <w:r>
              <w:rPr>
                <w:b/>
                <w:w w:val="115"/>
                <w:sz w:val="10"/>
              </w:rPr>
              <w:t>13.709,71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NICORA ILARIA</w:t>
            </w:r>
          </w:p>
        </w:tc>
        <w:tc>
          <w:tcPr>
            <w:tcW w:w="792" w:type="dxa"/>
          </w:tcPr>
          <w:p>
            <w:pPr>
              <w:pStyle w:val="TableParagraph"/>
              <w:ind w:left="102" w:right="102"/>
              <w:jc w:val="center"/>
              <w:rPr>
                <w:sz w:val="10"/>
              </w:rPr>
            </w:pPr>
            <w:r>
              <w:rPr>
                <w:w w:val="115"/>
                <w:sz w:val="10"/>
              </w:rPr>
              <w:t>01/11/2011</w:t>
            </w:r>
          </w:p>
        </w:tc>
        <w:tc>
          <w:tcPr>
            <w:tcW w:w="777" w:type="dxa"/>
          </w:tcPr>
          <w:p>
            <w:pPr/>
          </w:p>
        </w:tc>
        <w:tc>
          <w:tcPr>
            <w:tcW w:w="94" w:type="dxa"/>
          </w:tcPr>
          <w:p>
            <w:pPr/>
          </w:p>
        </w:tc>
        <w:tc>
          <w:tcPr>
            <w:tcW w:w="749" w:type="dxa"/>
          </w:tcPr>
          <w:p>
            <w:pPr>
              <w:pStyle w:val="TableParagraph"/>
              <w:ind w:right="105"/>
              <w:rPr>
                <w:sz w:val="10"/>
              </w:rPr>
            </w:pPr>
            <w:r>
              <w:rPr>
                <w:w w:val="115"/>
                <w:sz w:val="10"/>
              </w:rPr>
              <w:t>9.952,23</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9.952,23</w:t>
            </w:r>
          </w:p>
        </w:tc>
        <w:tc>
          <w:tcPr>
            <w:tcW w:w="683" w:type="dxa"/>
          </w:tcPr>
          <w:p>
            <w:pPr>
              <w:pStyle w:val="TableParagraph"/>
              <w:ind w:right="139"/>
              <w:rPr>
                <w:b/>
                <w:sz w:val="10"/>
              </w:rPr>
            </w:pPr>
            <w:r>
              <w:rPr>
                <w:b/>
                <w:w w:val="115"/>
                <w:sz w:val="10"/>
              </w:rPr>
              <w:t>101,26</w:t>
            </w:r>
          </w:p>
        </w:tc>
        <w:tc>
          <w:tcPr>
            <w:tcW w:w="791" w:type="dxa"/>
            <w:tcBorders>
              <w:right w:val="single" w:sz="3" w:space="0" w:color="000000"/>
            </w:tcBorders>
          </w:tcPr>
          <w:p>
            <w:pPr>
              <w:pStyle w:val="TableParagraph"/>
              <w:ind w:right="61"/>
              <w:rPr>
                <w:b/>
                <w:sz w:val="10"/>
              </w:rPr>
            </w:pPr>
            <w:r>
              <w:rPr>
                <w:b/>
                <w:w w:val="115"/>
                <w:sz w:val="10"/>
              </w:rPr>
              <w:t>10.053,49</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PAGELLA LUCA</w:t>
            </w:r>
          </w:p>
        </w:tc>
        <w:tc>
          <w:tcPr>
            <w:tcW w:w="792" w:type="dxa"/>
          </w:tcPr>
          <w:p>
            <w:pPr>
              <w:pStyle w:val="TableParagraph"/>
              <w:ind w:left="102" w:right="102"/>
              <w:jc w:val="center"/>
              <w:rPr>
                <w:sz w:val="10"/>
              </w:rPr>
            </w:pPr>
            <w:r>
              <w:rPr>
                <w:w w:val="115"/>
                <w:sz w:val="10"/>
              </w:rPr>
              <w:t>01/01/2012</w:t>
            </w:r>
          </w:p>
        </w:tc>
        <w:tc>
          <w:tcPr>
            <w:tcW w:w="777" w:type="dxa"/>
          </w:tcPr>
          <w:p>
            <w:pPr>
              <w:pStyle w:val="TableParagraph"/>
              <w:ind w:right="88"/>
              <w:rPr>
                <w:sz w:val="10"/>
              </w:rPr>
            </w:pPr>
            <w:r>
              <w:rPr>
                <w:w w:val="115"/>
                <w:sz w:val="10"/>
              </w:rPr>
              <w:t>31/10/2016</w:t>
            </w:r>
          </w:p>
        </w:tc>
        <w:tc>
          <w:tcPr>
            <w:tcW w:w="94" w:type="dxa"/>
          </w:tcPr>
          <w:p>
            <w:pPr/>
          </w:p>
        </w:tc>
        <w:tc>
          <w:tcPr>
            <w:tcW w:w="749" w:type="dxa"/>
          </w:tcPr>
          <w:p>
            <w:pPr>
              <w:pStyle w:val="TableParagraph"/>
              <w:ind w:right="105"/>
              <w:rPr>
                <w:sz w:val="10"/>
              </w:rPr>
            </w:pPr>
            <w:r>
              <w:rPr>
                <w:w w:val="115"/>
                <w:sz w:val="10"/>
              </w:rPr>
              <w:t>8.910,75</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8.910,75</w:t>
            </w:r>
          </w:p>
        </w:tc>
        <w:tc>
          <w:tcPr>
            <w:tcW w:w="683" w:type="dxa"/>
          </w:tcPr>
          <w:p>
            <w:pPr/>
          </w:p>
        </w:tc>
        <w:tc>
          <w:tcPr>
            <w:tcW w:w="791" w:type="dxa"/>
            <w:tcBorders>
              <w:right w:val="single" w:sz="3" w:space="0" w:color="000000"/>
            </w:tcBorders>
          </w:tcPr>
          <w:p>
            <w:pPr>
              <w:pStyle w:val="TableParagraph"/>
              <w:ind w:right="61"/>
              <w:rPr>
                <w:b/>
                <w:sz w:val="10"/>
              </w:rPr>
            </w:pPr>
            <w:r>
              <w:rPr>
                <w:b/>
                <w:w w:val="115"/>
                <w:sz w:val="10"/>
              </w:rPr>
              <w:t>8.910,75</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PIRTAC VLAD IONUT</w:t>
            </w:r>
          </w:p>
        </w:tc>
        <w:tc>
          <w:tcPr>
            <w:tcW w:w="792" w:type="dxa"/>
          </w:tcPr>
          <w:p>
            <w:pPr>
              <w:pStyle w:val="TableParagraph"/>
              <w:ind w:left="102" w:right="102"/>
              <w:jc w:val="center"/>
              <w:rPr>
                <w:sz w:val="10"/>
              </w:rPr>
            </w:pPr>
            <w:r>
              <w:rPr>
                <w:w w:val="115"/>
                <w:sz w:val="10"/>
              </w:rPr>
              <w:t>01/01/2012</w:t>
            </w:r>
          </w:p>
        </w:tc>
        <w:tc>
          <w:tcPr>
            <w:tcW w:w="777" w:type="dxa"/>
          </w:tcPr>
          <w:p>
            <w:pPr/>
          </w:p>
        </w:tc>
        <w:tc>
          <w:tcPr>
            <w:tcW w:w="94" w:type="dxa"/>
          </w:tcPr>
          <w:p>
            <w:pPr/>
          </w:p>
        </w:tc>
        <w:tc>
          <w:tcPr>
            <w:tcW w:w="749" w:type="dxa"/>
          </w:tcPr>
          <w:p>
            <w:pPr>
              <w:pStyle w:val="TableParagraph"/>
              <w:ind w:right="105"/>
              <w:rPr>
                <w:sz w:val="10"/>
              </w:rPr>
            </w:pPr>
            <w:r>
              <w:rPr>
                <w:w w:val="115"/>
                <w:sz w:val="10"/>
              </w:rPr>
              <w:t>12.533,22</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12.533,22</w:t>
            </w:r>
          </w:p>
        </w:tc>
        <w:tc>
          <w:tcPr>
            <w:tcW w:w="683" w:type="dxa"/>
          </w:tcPr>
          <w:p>
            <w:pPr>
              <w:pStyle w:val="TableParagraph"/>
              <w:ind w:right="133"/>
              <w:rPr>
                <w:b/>
                <w:sz w:val="10"/>
              </w:rPr>
            </w:pPr>
            <w:r>
              <w:rPr>
                <w:b/>
                <w:w w:val="115"/>
                <w:sz w:val="10"/>
              </w:rPr>
              <w:t>117,91</w:t>
            </w:r>
          </w:p>
        </w:tc>
        <w:tc>
          <w:tcPr>
            <w:tcW w:w="791" w:type="dxa"/>
            <w:tcBorders>
              <w:right w:val="single" w:sz="3" w:space="0" w:color="000000"/>
            </w:tcBorders>
          </w:tcPr>
          <w:p>
            <w:pPr>
              <w:pStyle w:val="TableParagraph"/>
              <w:ind w:right="61"/>
              <w:rPr>
                <w:b/>
                <w:sz w:val="10"/>
              </w:rPr>
            </w:pPr>
            <w:r>
              <w:rPr>
                <w:b/>
                <w:w w:val="115"/>
                <w:sz w:val="10"/>
              </w:rPr>
              <w:t>12.651,13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SIMONELLI ALICE</w:t>
            </w:r>
          </w:p>
        </w:tc>
        <w:tc>
          <w:tcPr>
            <w:tcW w:w="792" w:type="dxa"/>
          </w:tcPr>
          <w:p>
            <w:pPr>
              <w:pStyle w:val="TableParagraph"/>
              <w:ind w:left="102" w:right="102"/>
              <w:jc w:val="center"/>
              <w:rPr>
                <w:sz w:val="10"/>
              </w:rPr>
            </w:pPr>
            <w:r>
              <w:rPr>
                <w:w w:val="115"/>
                <w:sz w:val="10"/>
              </w:rPr>
              <w:t>01/01/2012</w:t>
            </w:r>
          </w:p>
        </w:tc>
        <w:tc>
          <w:tcPr>
            <w:tcW w:w="777" w:type="dxa"/>
          </w:tcPr>
          <w:p>
            <w:pPr>
              <w:pStyle w:val="TableParagraph"/>
              <w:ind w:right="88"/>
              <w:rPr>
                <w:sz w:val="10"/>
              </w:rPr>
            </w:pPr>
            <w:r>
              <w:rPr>
                <w:w w:val="115"/>
                <w:sz w:val="10"/>
              </w:rPr>
              <w:t>31/10/2016</w:t>
            </w:r>
          </w:p>
        </w:tc>
        <w:tc>
          <w:tcPr>
            <w:tcW w:w="94" w:type="dxa"/>
          </w:tcPr>
          <w:p>
            <w:pPr/>
          </w:p>
        </w:tc>
        <w:tc>
          <w:tcPr>
            <w:tcW w:w="749" w:type="dxa"/>
          </w:tcPr>
          <w:p>
            <w:pPr>
              <w:pStyle w:val="TableParagraph"/>
              <w:ind w:right="105"/>
              <w:rPr>
                <w:sz w:val="10"/>
              </w:rPr>
            </w:pPr>
            <w:r>
              <w:rPr>
                <w:w w:val="115"/>
                <w:sz w:val="10"/>
              </w:rPr>
              <w:t>3.867,42</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3.867,42</w:t>
            </w:r>
          </w:p>
        </w:tc>
        <w:tc>
          <w:tcPr>
            <w:tcW w:w="683" w:type="dxa"/>
          </w:tcPr>
          <w:p>
            <w:pPr/>
          </w:p>
        </w:tc>
        <w:tc>
          <w:tcPr>
            <w:tcW w:w="791" w:type="dxa"/>
            <w:tcBorders>
              <w:right w:val="single" w:sz="3" w:space="0" w:color="000000"/>
            </w:tcBorders>
          </w:tcPr>
          <w:p>
            <w:pPr>
              <w:pStyle w:val="TableParagraph"/>
              <w:ind w:right="61"/>
              <w:rPr>
                <w:b/>
                <w:sz w:val="10"/>
              </w:rPr>
            </w:pPr>
            <w:r>
              <w:rPr>
                <w:b/>
                <w:w w:val="115"/>
                <w:sz w:val="10"/>
              </w:rPr>
              <w:t>3.867,42</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BOGLIANO ALESSANDRA</w:t>
            </w:r>
          </w:p>
        </w:tc>
        <w:tc>
          <w:tcPr>
            <w:tcW w:w="792" w:type="dxa"/>
          </w:tcPr>
          <w:p>
            <w:pPr>
              <w:pStyle w:val="TableParagraph"/>
              <w:ind w:left="102" w:right="102"/>
              <w:jc w:val="center"/>
              <w:rPr>
                <w:sz w:val="10"/>
              </w:rPr>
            </w:pPr>
            <w:r>
              <w:rPr>
                <w:w w:val="115"/>
                <w:sz w:val="10"/>
              </w:rPr>
              <w:t>16/01/2012</w:t>
            </w:r>
          </w:p>
        </w:tc>
        <w:tc>
          <w:tcPr>
            <w:tcW w:w="777" w:type="dxa"/>
          </w:tcPr>
          <w:p>
            <w:pPr>
              <w:pStyle w:val="TableParagraph"/>
              <w:ind w:right="88"/>
              <w:rPr>
                <w:sz w:val="10"/>
              </w:rPr>
            </w:pPr>
            <w:r>
              <w:rPr>
                <w:w w:val="115"/>
                <w:sz w:val="10"/>
              </w:rPr>
              <w:t>30/04/2017</w:t>
            </w:r>
          </w:p>
        </w:tc>
        <w:tc>
          <w:tcPr>
            <w:tcW w:w="94" w:type="dxa"/>
          </w:tcPr>
          <w:p>
            <w:pPr/>
          </w:p>
        </w:tc>
        <w:tc>
          <w:tcPr>
            <w:tcW w:w="749" w:type="dxa"/>
          </w:tcPr>
          <w:p>
            <w:pPr>
              <w:pStyle w:val="TableParagraph"/>
              <w:ind w:right="105"/>
              <w:rPr>
                <w:sz w:val="10"/>
              </w:rPr>
            </w:pPr>
            <w:r>
              <w:rPr>
                <w:w w:val="115"/>
                <w:sz w:val="10"/>
              </w:rPr>
              <w:t>26.026,71</w:t>
            </w:r>
          </w:p>
        </w:tc>
        <w:tc>
          <w:tcPr>
            <w:tcW w:w="123" w:type="dxa"/>
          </w:tcPr>
          <w:p>
            <w:pPr/>
          </w:p>
        </w:tc>
        <w:tc>
          <w:tcPr>
            <w:tcW w:w="617" w:type="dxa"/>
          </w:tcPr>
          <w:p>
            <w:pPr>
              <w:pStyle w:val="TableParagraph"/>
              <w:ind w:right="127"/>
              <w:rPr>
                <w:sz w:val="10"/>
              </w:rPr>
            </w:pPr>
            <w:r>
              <w:rPr>
                <w:w w:val="115"/>
                <w:sz w:val="10"/>
              </w:rPr>
              <w:t>26.026,71</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OLIVA DESDEMONA</w:t>
            </w:r>
          </w:p>
        </w:tc>
        <w:tc>
          <w:tcPr>
            <w:tcW w:w="792" w:type="dxa"/>
          </w:tcPr>
          <w:p>
            <w:pPr>
              <w:pStyle w:val="TableParagraph"/>
              <w:ind w:left="102" w:right="102"/>
              <w:jc w:val="center"/>
              <w:rPr>
                <w:sz w:val="10"/>
              </w:rPr>
            </w:pPr>
            <w:r>
              <w:rPr>
                <w:w w:val="115"/>
                <w:sz w:val="10"/>
              </w:rPr>
              <w:t>19/03/2012</w:t>
            </w:r>
          </w:p>
        </w:tc>
        <w:tc>
          <w:tcPr>
            <w:tcW w:w="777" w:type="dxa"/>
          </w:tcPr>
          <w:p>
            <w:pPr/>
          </w:p>
        </w:tc>
        <w:tc>
          <w:tcPr>
            <w:tcW w:w="94" w:type="dxa"/>
          </w:tcPr>
          <w:p>
            <w:pPr/>
          </w:p>
        </w:tc>
        <w:tc>
          <w:tcPr>
            <w:tcW w:w="749" w:type="dxa"/>
          </w:tcPr>
          <w:p>
            <w:pPr>
              <w:pStyle w:val="TableParagraph"/>
              <w:ind w:right="105"/>
              <w:rPr>
                <w:sz w:val="10"/>
              </w:rPr>
            </w:pPr>
            <w:r>
              <w:rPr>
                <w:w w:val="115"/>
                <w:sz w:val="10"/>
              </w:rPr>
              <w:t>28.754,34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28.754,34</w:t>
            </w:r>
          </w:p>
        </w:tc>
        <w:tc>
          <w:tcPr>
            <w:tcW w:w="683" w:type="dxa"/>
          </w:tcPr>
          <w:p>
            <w:pPr>
              <w:pStyle w:val="TableParagraph"/>
              <w:ind w:right="133"/>
              <w:rPr>
                <w:b/>
                <w:sz w:val="10"/>
              </w:rPr>
            </w:pPr>
            <w:r>
              <w:rPr>
                <w:b/>
                <w:w w:val="115"/>
                <w:sz w:val="10"/>
              </w:rPr>
              <w:t>311,71</w:t>
            </w:r>
          </w:p>
        </w:tc>
        <w:tc>
          <w:tcPr>
            <w:tcW w:w="791" w:type="dxa"/>
            <w:tcBorders>
              <w:right w:val="single" w:sz="3" w:space="0" w:color="000000"/>
            </w:tcBorders>
          </w:tcPr>
          <w:p>
            <w:pPr>
              <w:pStyle w:val="TableParagraph"/>
              <w:ind w:right="61"/>
              <w:rPr>
                <w:b/>
                <w:sz w:val="10"/>
              </w:rPr>
            </w:pPr>
            <w:r>
              <w:rPr>
                <w:b/>
                <w:w w:val="115"/>
                <w:sz w:val="10"/>
              </w:rPr>
              <w:t>29.066,05</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MORANDO MATTEO</w:t>
            </w:r>
          </w:p>
        </w:tc>
        <w:tc>
          <w:tcPr>
            <w:tcW w:w="792" w:type="dxa"/>
          </w:tcPr>
          <w:p>
            <w:pPr>
              <w:pStyle w:val="TableParagraph"/>
              <w:ind w:left="102" w:right="102"/>
              <w:jc w:val="center"/>
              <w:rPr>
                <w:sz w:val="10"/>
              </w:rPr>
            </w:pPr>
            <w:r>
              <w:rPr>
                <w:w w:val="115"/>
                <w:sz w:val="10"/>
              </w:rPr>
              <w:t>01/04/2012</w:t>
            </w:r>
          </w:p>
        </w:tc>
        <w:tc>
          <w:tcPr>
            <w:tcW w:w="777" w:type="dxa"/>
          </w:tcPr>
          <w:p>
            <w:pPr/>
          </w:p>
        </w:tc>
        <w:tc>
          <w:tcPr>
            <w:tcW w:w="94" w:type="dxa"/>
          </w:tcPr>
          <w:p>
            <w:pPr/>
          </w:p>
        </w:tc>
        <w:tc>
          <w:tcPr>
            <w:tcW w:w="749" w:type="dxa"/>
          </w:tcPr>
          <w:p>
            <w:pPr>
              <w:pStyle w:val="TableParagraph"/>
              <w:ind w:right="105"/>
              <w:rPr>
                <w:sz w:val="10"/>
              </w:rPr>
            </w:pPr>
            <w:r>
              <w:rPr>
                <w:w w:val="115"/>
                <w:sz w:val="10"/>
              </w:rPr>
              <w:t>11.847,55</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11.847,55</w:t>
            </w:r>
          </w:p>
        </w:tc>
        <w:tc>
          <w:tcPr>
            <w:tcW w:w="683" w:type="dxa"/>
          </w:tcPr>
          <w:p>
            <w:pPr>
              <w:pStyle w:val="TableParagraph"/>
              <w:ind w:right="133"/>
              <w:rPr>
                <w:b/>
                <w:sz w:val="10"/>
              </w:rPr>
            </w:pPr>
            <w:r>
              <w:rPr>
                <w:b/>
                <w:w w:val="115"/>
                <w:sz w:val="10"/>
              </w:rPr>
              <w:t>129,81</w:t>
            </w:r>
          </w:p>
        </w:tc>
        <w:tc>
          <w:tcPr>
            <w:tcW w:w="791" w:type="dxa"/>
            <w:tcBorders>
              <w:right w:val="single" w:sz="3" w:space="0" w:color="000000"/>
            </w:tcBorders>
          </w:tcPr>
          <w:p>
            <w:pPr>
              <w:pStyle w:val="TableParagraph"/>
              <w:ind w:right="61"/>
              <w:rPr>
                <w:b/>
                <w:sz w:val="10"/>
              </w:rPr>
            </w:pPr>
            <w:r>
              <w:rPr>
                <w:b/>
                <w:w w:val="115"/>
                <w:sz w:val="10"/>
              </w:rPr>
              <w:t>11.977,36</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RIVA ALBERTO</w:t>
            </w:r>
          </w:p>
        </w:tc>
        <w:tc>
          <w:tcPr>
            <w:tcW w:w="792" w:type="dxa"/>
          </w:tcPr>
          <w:p>
            <w:pPr>
              <w:pStyle w:val="TableParagraph"/>
              <w:ind w:left="102" w:right="102"/>
              <w:jc w:val="center"/>
              <w:rPr>
                <w:sz w:val="10"/>
              </w:rPr>
            </w:pPr>
            <w:r>
              <w:rPr>
                <w:w w:val="115"/>
                <w:sz w:val="10"/>
              </w:rPr>
              <w:t>01/04/2012</w:t>
            </w:r>
          </w:p>
        </w:tc>
        <w:tc>
          <w:tcPr>
            <w:tcW w:w="777" w:type="dxa"/>
          </w:tcPr>
          <w:p>
            <w:pPr>
              <w:pStyle w:val="TableParagraph"/>
              <w:ind w:right="88"/>
              <w:rPr>
                <w:sz w:val="10"/>
              </w:rPr>
            </w:pPr>
            <w:r>
              <w:rPr>
                <w:w w:val="115"/>
                <w:sz w:val="10"/>
              </w:rPr>
              <w:t>31/12/2016</w:t>
            </w:r>
          </w:p>
        </w:tc>
        <w:tc>
          <w:tcPr>
            <w:tcW w:w="94" w:type="dxa"/>
          </w:tcPr>
          <w:p>
            <w:pPr/>
          </w:p>
        </w:tc>
        <w:tc>
          <w:tcPr>
            <w:tcW w:w="749" w:type="dxa"/>
          </w:tcPr>
          <w:p>
            <w:pPr>
              <w:pStyle w:val="TableParagraph"/>
              <w:ind w:left="487"/>
              <w:jc w:val="left"/>
              <w:rPr>
                <w:sz w:val="10"/>
              </w:rPr>
            </w:pPr>
            <w:r>
              <w:rPr>
                <w:w w:val="117"/>
                <w:sz w:val="10"/>
              </w:rPr>
              <w:t>-</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TONET  RENSI LILIANE</w:t>
            </w:r>
          </w:p>
        </w:tc>
        <w:tc>
          <w:tcPr>
            <w:tcW w:w="792" w:type="dxa"/>
          </w:tcPr>
          <w:p>
            <w:pPr>
              <w:pStyle w:val="TableParagraph"/>
              <w:ind w:left="102" w:right="102"/>
              <w:jc w:val="center"/>
              <w:rPr>
                <w:sz w:val="10"/>
              </w:rPr>
            </w:pPr>
            <w:r>
              <w:rPr>
                <w:w w:val="115"/>
                <w:sz w:val="10"/>
              </w:rPr>
              <w:t>01/04/2012</w:t>
            </w:r>
          </w:p>
        </w:tc>
        <w:tc>
          <w:tcPr>
            <w:tcW w:w="777" w:type="dxa"/>
          </w:tcPr>
          <w:p>
            <w:pPr>
              <w:pStyle w:val="TableParagraph"/>
              <w:ind w:right="88"/>
              <w:rPr>
                <w:sz w:val="10"/>
              </w:rPr>
            </w:pPr>
            <w:r>
              <w:rPr>
                <w:w w:val="115"/>
                <w:sz w:val="10"/>
              </w:rPr>
              <w:t>31/05/2017</w:t>
            </w:r>
          </w:p>
        </w:tc>
        <w:tc>
          <w:tcPr>
            <w:tcW w:w="94" w:type="dxa"/>
          </w:tcPr>
          <w:p>
            <w:pPr/>
          </w:p>
        </w:tc>
        <w:tc>
          <w:tcPr>
            <w:tcW w:w="749" w:type="dxa"/>
          </w:tcPr>
          <w:p>
            <w:pPr>
              <w:pStyle w:val="TableParagraph"/>
              <w:ind w:left="487"/>
              <w:jc w:val="left"/>
              <w:rPr>
                <w:sz w:val="10"/>
              </w:rPr>
            </w:pPr>
            <w:r>
              <w:rPr>
                <w:w w:val="117"/>
                <w:sz w:val="10"/>
              </w:rPr>
              <w:t>-</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FERRANDO PATRIZIA</w:t>
            </w:r>
          </w:p>
        </w:tc>
        <w:tc>
          <w:tcPr>
            <w:tcW w:w="792" w:type="dxa"/>
          </w:tcPr>
          <w:p>
            <w:pPr>
              <w:pStyle w:val="TableParagraph"/>
              <w:ind w:left="102" w:right="102"/>
              <w:jc w:val="center"/>
              <w:rPr>
                <w:sz w:val="10"/>
              </w:rPr>
            </w:pPr>
            <w:r>
              <w:rPr>
                <w:w w:val="115"/>
                <w:sz w:val="10"/>
              </w:rPr>
              <w:t>01/04/2012</w:t>
            </w:r>
          </w:p>
        </w:tc>
        <w:tc>
          <w:tcPr>
            <w:tcW w:w="777" w:type="dxa"/>
          </w:tcPr>
          <w:p>
            <w:pPr>
              <w:pStyle w:val="TableParagraph"/>
              <w:ind w:right="88"/>
              <w:rPr>
                <w:sz w:val="10"/>
              </w:rPr>
            </w:pPr>
            <w:r>
              <w:rPr>
                <w:w w:val="115"/>
                <w:sz w:val="10"/>
              </w:rPr>
              <w:t>28/02/2017</w:t>
            </w:r>
          </w:p>
        </w:tc>
        <w:tc>
          <w:tcPr>
            <w:tcW w:w="94" w:type="dxa"/>
          </w:tcPr>
          <w:p>
            <w:pPr/>
          </w:p>
        </w:tc>
        <w:tc>
          <w:tcPr>
            <w:tcW w:w="749" w:type="dxa"/>
          </w:tcPr>
          <w:p>
            <w:pPr>
              <w:pStyle w:val="TableParagraph"/>
              <w:ind w:right="105"/>
              <w:rPr>
                <w:sz w:val="10"/>
              </w:rPr>
            </w:pPr>
            <w:r>
              <w:rPr>
                <w:w w:val="115"/>
                <w:sz w:val="10"/>
              </w:rPr>
              <w:t>8.473,41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8.473,41</w:t>
            </w:r>
          </w:p>
        </w:tc>
        <w:tc>
          <w:tcPr>
            <w:tcW w:w="683" w:type="dxa"/>
          </w:tcPr>
          <w:p>
            <w:pPr/>
          </w:p>
        </w:tc>
        <w:tc>
          <w:tcPr>
            <w:tcW w:w="791" w:type="dxa"/>
            <w:tcBorders>
              <w:right w:val="single" w:sz="3" w:space="0" w:color="000000"/>
            </w:tcBorders>
          </w:tcPr>
          <w:p>
            <w:pPr>
              <w:pStyle w:val="TableParagraph"/>
              <w:ind w:right="55"/>
              <w:rPr>
                <w:b/>
                <w:sz w:val="10"/>
              </w:rPr>
            </w:pPr>
            <w:r>
              <w:rPr>
                <w:b/>
                <w:w w:val="115"/>
                <w:sz w:val="10"/>
              </w:rPr>
              <w:t>8.473,41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CASTELLI CLAUDIA</w:t>
            </w:r>
          </w:p>
        </w:tc>
        <w:tc>
          <w:tcPr>
            <w:tcW w:w="792" w:type="dxa"/>
          </w:tcPr>
          <w:p>
            <w:pPr>
              <w:pStyle w:val="TableParagraph"/>
              <w:ind w:left="102" w:right="102"/>
              <w:jc w:val="center"/>
              <w:rPr>
                <w:sz w:val="10"/>
              </w:rPr>
            </w:pPr>
            <w:r>
              <w:rPr>
                <w:w w:val="115"/>
                <w:sz w:val="10"/>
              </w:rPr>
              <w:t>01/04/2012</w:t>
            </w:r>
          </w:p>
        </w:tc>
        <w:tc>
          <w:tcPr>
            <w:tcW w:w="777" w:type="dxa"/>
          </w:tcPr>
          <w:p>
            <w:pPr/>
          </w:p>
        </w:tc>
        <w:tc>
          <w:tcPr>
            <w:tcW w:w="94" w:type="dxa"/>
          </w:tcPr>
          <w:p>
            <w:pPr/>
          </w:p>
        </w:tc>
        <w:tc>
          <w:tcPr>
            <w:tcW w:w="749" w:type="dxa"/>
          </w:tcPr>
          <w:p>
            <w:pPr>
              <w:pStyle w:val="TableParagraph"/>
              <w:ind w:right="105"/>
              <w:rPr>
                <w:sz w:val="10"/>
              </w:rPr>
            </w:pPr>
            <w:r>
              <w:rPr>
                <w:w w:val="115"/>
                <w:sz w:val="10"/>
              </w:rPr>
              <w:t>12.790,26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12.790,26</w:t>
            </w:r>
          </w:p>
        </w:tc>
        <w:tc>
          <w:tcPr>
            <w:tcW w:w="683" w:type="dxa"/>
          </w:tcPr>
          <w:p>
            <w:pPr>
              <w:pStyle w:val="TableParagraph"/>
              <w:ind w:right="139"/>
              <w:rPr>
                <w:b/>
                <w:sz w:val="10"/>
              </w:rPr>
            </w:pPr>
            <w:r>
              <w:rPr>
                <w:b/>
                <w:w w:val="115"/>
                <w:sz w:val="10"/>
              </w:rPr>
              <w:t>143,44</w:t>
            </w:r>
          </w:p>
        </w:tc>
        <w:tc>
          <w:tcPr>
            <w:tcW w:w="791" w:type="dxa"/>
            <w:tcBorders>
              <w:right w:val="single" w:sz="3" w:space="0" w:color="000000"/>
            </w:tcBorders>
          </w:tcPr>
          <w:p>
            <w:pPr>
              <w:pStyle w:val="TableParagraph"/>
              <w:ind w:right="61"/>
              <w:rPr>
                <w:b/>
                <w:sz w:val="10"/>
              </w:rPr>
            </w:pPr>
            <w:r>
              <w:rPr>
                <w:b/>
                <w:w w:val="115"/>
                <w:sz w:val="10"/>
              </w:rPr>
              <w:t>12.933,70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RIVAS  TORRES BEATRIZ</w:t>
            </w:r>
          </w:p>
        </w:tc>
        <w:tc>
          <w:tcPr>
            <w:tcW w:w="792" w:type="dxa"/>
          </w:tcPr>
          <w:p>
            <w:pPr>
              <w:pStyle w:val="TableParagraph"/>
              <w:ind w:left="102" w:right="102"/>
              <w:jc w:val="center"/>
              <w:rPr>
                <w:sz w:val="10"/>
              </w:rPr>
            </w:pPr>
            <w:r>
              <w:rPr>
                <w:w w:val="115"/>
                <w:sz w:val="10"/>
              </w:rPr>
              <w:t>01/04/2012</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12,87</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left="7"/>
              <w:jc w:val="center"/>
              <w:rPr>
                <w:b/>
                <w:sz w:val="10"/>
              </w:rPr>
            </w:pPr>
            <w:r>
              <w:rPr>
                <w:b/>
                <w:w w:val="117"/>
                <w:sz w:val="10"/>
              </w:rPr>
              <w:t>-</w:t>
            </w:r>
          </w:p>
        </w:tc>
        <w:tc>
          <w:tcPr>
            <w:tcW w:w="718" w:type="dxa"/>
          </w:tcPr>
          <w:p>
            <w:pPr>
              <w:pStyle w:val="TableParagraph"/>
              <w:ind w:right="174"/>
              <w:rPr>
                <w:b/>
                <w:sz w:val="10"/>
              </w:rPr>
            </w:pPr>
            <w:r>
              <w:rPr>
                <w:b/>
                <w:w w:val="115"/>
                <w:sz w:val="10"/>
              </w:rPr>
              <w:t>12,87</w:t>
            </w:r>
          </w:p>
        </w:tc>
        <w:tc>
          <w:tcPr>
            <w:tcW w:w="683" w:type="dxa"/>
          </w:tcPr>
          <w:p>
            <w:pPr>
              <w:pStyle w:val="TableParagraph"/>
              <w:ind w:right="139"/>
              <w:rPr>
                <w:b/>
                <w:sz w:val="10"/>
              </w:rPr>
            </w:pPr>
            <w:r>
              <w:rPr>
                <w:b/>
                <w:w w:val="115"/>
                <w:sz w:val="10"/>
              </w:rPr>
              <w:t>152,45</w:t>
            </w:r>
          </w:p>
        </w:tc>
        <w:tc>
          <w:tcPr>
            <w:tcW w:w="791" w:type="dxa"/>
            <w:tcBorders>
              <w:right w:val="single" w:sz="3" w:space="0" w:color="000000"/>
            </w:tcBorders>
          </w:tcPr>
          <w:p>
            <w:pPr>
              <w:pStyle w:val="TableParagraph"/>
              <w:ind w:right="61"/>
              <w:rPr>
                <w:b/>
                <w:sz w:val="10"/>
              </w:rPr>
            </w:pPr>
            <w:r>
              <w:rPr>
                <w:b/>
                <w:w w:val="115"/>
                <w:sz w:val="10"/>
              </w:rPr>
              <w:t>139,58</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CALCANTE MARICA</w:t>
            </w:r>
          </w:p>
        </w:tc>
        <w:tc>
          <w:tcPr>
            <w:tcW w:w="792" w:type="dxa"/>
          </w:tcPr>
          <w:p>
            <w:pPr>
              <w:pStyle w:val="TableParagraph"/>
              <w:ind w:left="102" w:right="102"/>
              <w:jc w:val="center"/>
              <w:rPr>
                <w:sz w:val="10"/>
              </w:rPr>
            </w:pPr>
            <w:r>
              <w:rPr>
                <w:w w:val="115"/>
                <w:sz w:val="10"/>
              </w:rPr>
              <w:t>01/04/2012</w:t>
            </w:r>
          </w:p>
        </w:tc>
        <w:tc>
          <w:tcPr>
            <w:tcW w:w="777" w:type="dxa"/>
          </w:tcPr>
          <w:p>
            <w:pPr>
              <w:pStyle w:val="TableParagraph"/>
              <w:ind w:right="88"/>
              <w:rPr>
                <w:sz w:val="10"/>
              </w:rPr>
            </w:pPr>
            <w:r>
              <w:rPr>
                <w:w w:val="115"/>
                <w:sz w:val="10"/>
              </w:rPr>
              <w:t>31/05/2017</w:t>
            </w:r>
          </w:p>
        </w:tc>
        <w:tc>
          <w:tcPr>
            <w:tcW w:w="94" w:type="dxa"/>
          </w:tcPr>
          <w:p>
            <w:pPr/>
          </w:p>
        </w:tc>
        <w:tc>
          <w:tcPr>
            <w:tcW w:w="749" w:type="dxa"/>
          </w:tcPr>
          <w:p>
            <w:pPr>
              <w:pStyle w:val="TableParagraph"/>
              <w:ind w:left="487"/>
              <w:jc w:val="left"/>
              <w:rPr>
                <w:sz w:val="10"/>
              </w:rPr>
            </w:pPr>
            <w:r>
              <w:rPr>
                <w:w w:val="117"/>
                <w:sz w:val="10"/>
              </w:rPr>
              <w:t>-</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CARPINO SABRINA</w:t>
            </w:r>
          </w:p>
        </w:tc>
        <w:tc>
          <w:tcPr>
            <w:tcW w:w="792" w:type="dxa"/>
          </w:tcPr>
          <w:p>
            <w:pPr>
              <w:pStyle w:val="TableParagraph"/>
              <w:ind w:left="102" w:right="102"/>
              <w:jc w:val="center"/>
              <w:rPr>
                <w:sz w:val="10"/>
              </w:rPr>
            </w:pPr>
            <w:r>
              <w:rPr>
                <w:w w:val="115"/>
                <w:sz w:val="10"/>
              </w:rPr>
              <w:t>01/05/2012</w:t>
            </w:r>
          </w:p>
        </w:tc>
        <w:tc>
          <w:tcPr>
            <w:tcW w:w="777" w:type="dxa"/>
          </w:tcPr>
          <w:p>
            <w:pPr/>
          </w:p>
        </w:tc>
        <w:tc>
          <w:tcPr>
            <w:tcW w:w="94" w:type="dxa"/>
          </w:tcPr>
          <w:p>
            <w:pPr/>
          </w:p>
        </w:tc>
        <w:tc>
          <w:tcPr>
            <w:tcW w:w="749" w:type="dxa"/>
          </w:tcPr>
          <w:p>
            <w:pPr>
              <w:pStyle w:val="TableParagraph"/>
              <w:ind w:left="487"/>
              <w:jc w:val="left"/>
              <w:rPr>
                <w:sz w:val="10"/>
              </w:rPr>
            </w:pPr>
            <w:r>
              <w:rPr>
                <w:w w:val="117"/>
                <w:sz w:val="10"/>
              </w:rPr>
              <w:t>-</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Style w:val="TableParagraph"/>
              <w:ind w:right="139"/>
              <w:rPr>
                <w:b/>
                <w:sz w:val="10"/>
              </w:rPr>
            </w:pPr>
            <w:r>
              <w:rPr>
                <w:b/>
                <w:w w:val="115"/>
                <w:sz w:val="10"/>
              </w:rPr>
              <w:t>137,52</w:t>
            </w:r>
          </w:p>
        </w:tc>
        <w:tc>
          <w:tcPr>
            <w:tcW w:w="791" w:type="dxa"/>
            <w:tcBorders>
              <w:right w:val="single" w:sz="3" w:space="0" w:color="000000"/>
            </w:tcBorders>
          </w:tcPr>
          <w:p>
            <w:pPr>
              <w:pStyle w:val="TableParagraph"/>
              <w:ind w:right="61"/>
              <w:rPr>
                <w:b/>
                <w:sz w:val="10"/>
              </w:rPr>
            </w:pPr>
            <w:r>
              <w:rPr>
                <w:b/>
                <w:w w:val="115"/>
                <w:sz w:val="10"/>
              </w:rPr>
              <w:t>137,52</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TITO ALINA CARMEN</w:t>
            </w:r>
          </w:p>
        </w:tc>
        <w:tc>
          <w:tcPr>
            <w:tcW w:w="792" w:type="dxa"/>
          </w:tcPr>
          <w:p>
            <w:pPr>
              <w:pStyle w:val="TableParagraph"/>
              <w:ind w:left="102" w:right="102"/>
              <w:jc w:val="center"/>
              <w:rPr>
                <w:sz w:val="10"/>
              </w:rPr>
            </w:pPr>
            <w:r>
              <w:rPr>
                <w:w w:val="115"/>
                <w:sz w:val="10"/>
              </w:rPr>
              <w:t>15/05/2012</w:t>
            </w:r>
          </w:p>
        </w:tc>
        <w:tc>
          <w:tcPr>
            <w:tcW w:w="777" w:type="dxa"/>
          </w:tcPr>
          <w:p>
            <w:pPr>
              <w:pStyle w:val="TableParagraph"/>
              <w:ind w:right="88"/>
              <w:rPr>
                <w:sz w:val="10"/>
              </w:rPr>
            </w:pPr>
            <w:r>
              <w:rPr>
                <w:w w:val="115"/>
                <w:sz w:val="10"/>
              </w:rPr>
              <w:t>31/12/2016</w:t>
            </w:r>
          </w:p>
        </w:tc>
        <w:tc>
          <w:tcPr>
            <w:tcW w:w="94" w:type="dxa"/>
          </w:tcPr>
          <w:p>
            <w:pPr/>
          </w:p>
        </w:tc>
        <w:tc>
          <w:tcPr>
            <w:tcW w:w="749" w:type="dxa"/>
          </w:tcPr>
          <w:p>
            <w:pPr>
              <w:pStyle w:val="TableParagraph"/>
              <w:ind w:right="105"/>
              <w:rPr>
                <w:sz w:val="10"/>
              </w:rPr>
            </w:pPr>
            <w:r>
              <w:rPr>
                <w:w w:val="115"/>
                <w:sz w:val="10"/>
              </w:rPr>
              <w:t>13.910,21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13.910,21</w:t>
            </w:r>
          </w:p>
        </w:tc>
        <w:tc>
          <w:tcPr>
            <w:tcW w:w="683" w:type="dxa"/>
          </w:tcPr>
          <w:p>
            <w:pPr/>
          </w:p>
        </w:tc>
        <w:tc>
          <w:tcPr>
            <w:tcW w:w="791" w:type="dxa"/>
            <w:tcBorders>
              <w:right w:val="single" w:sz="3" w:space="0" w:color="000000"/>
            </w:tcBorders>
          </w:tcPr>
          <w:p>
            <w:pPr>
              <w:pStyle w:val="TableParagraph"/>
              <w:ind w:right="55"/>
              <w:rPr>
                <w:b/>
                <w:sz w:val="10"/>
              </w:rPr>
            </w:pPr>
            <w:r>
              <w:rPr>
                <w:b/>
                <w:w w:val="115"/>
                <w:sz w:val="10"/>
              </w:rPr>
              <w:t>13.910,21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PALMISANO PIETRO</w:t>
            </w:r>
          </w:p>
        </w:tc>
        <w:tc>
          <w:tcPr>
            <w:tcW w:w="792" w:type="dxa"/>
          </w:tcPr>
          <w:p>
            <w:pPr>
              <w:pStyle w:val="TableParagraph"/>
              <w:ind w:left="102" w:right="102"/>
              <w:jc w:val="center"/>
              <w:rPr>
                <w:sz w:val="10"/>
              </w:rPr>
            </w:pPr>
            <w:r>
              <w:rPr>
                <w:w w:val="115"/>
                <w:sz w:val="10"/>
              </w:rPr>
              <w:t>01/07/2012</w:t>
            </w:r>
          </w:p>
        </w:tc>
        <w:tc>
          <w:tcPr>
            <w:tcW w:w="777" w:type="dxa"/>
          </w:tcPr>
          <w:p>
            <w:pPr>
              <w:pStyle w:val="TableParagraph"/>
              <w:ind w:right="88"/>
              <w:rPr>
                <w:sz w:val="10"/>
              </w:rPr>
            </w:pPr>
            <w:r>
              <w:rPr>
                <w:w w:val="115"/>
                <w:sz w:val="10"/>
              </w:rPr>
              <w:t>14/04/2017</w:t>
            </w:r>
          </w:p>
        </w:tc>
        <w:tc>
          <w:tcPr>
            <w:tcW w:w="94" w:type="dxa"/>
          </w:tcPr>
          <w:p>
            <w:pPr/>
          </w:p>
        </w:tc>
        <w:tc>
          <w:tcPr>
            <w:tcW w:w="749" w:type="dxa"/>
          </w:tcPr>
          <w:p>
            <w:pPr>
              <w:pStyle w:val="TableParagraph"/>
              <w:ind w:right="105"/>
              <w:rPr>
                <w:sz w:val="10"/>
              </w:rPr>
            </w:pPr>
            <w:r>
              <w:rPr>
                <w:w w:val="115"/>
                <w:sz w:val="10"/>
              </w:rPr>
              <w:t>2.317,76</w:t>
            </w:r>
          </w:p>
        </w:tc>
        <w:tc>
          <w:tcPr>
            <w:tcW w:w="123" w:type="dxa"/>
          </w:tcPr>
          <w:p>
            <w:pPr/>
          </w:p>
        </w:tc>
        <w:tc>
          <w:tcPr>
            <w:tcW w:w="617" w:type="dxa"/>
          </w:tcPr>
          <w:p>
            <w:pPr>
              <w:pStyle w:val="TableParagraph"/>
              <w:ind w:right="127"/>
              <w:rPr>
                <w:sz w:val="10"/>
              </w:rPr>
            </w:pPr>
            <w:r>
              <w:rPr>
                <w:w w:val="115"/>
                <w:sz w:val="10"/>
              </w:rPr>
              <w:t>2.317,76</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MARCON STEFANO</w:t>
            </w:r>
          </w:p>
        </w:tc>
        <w:tc>
          <w:tcPr>
            <w:tcW w:w="792" w:type="dxa"/>
          </w:tcPr>
          <w:p>
            <w:pPr>
              <w:pStyle w:val="TableParagraph"/>
              <w:ind w:left="102" w:right="102"/>
              <w:jc w:val="center"/>
              <w:rPr>
                <w:sz w:val="10"/>
              </w:rPr>
            </w:pPr>
            <w:r>
              <w:rPr>
                <w:w w:val="115"/>
                <w:sz w:val="10"/>
              </w:rPr>
              <w:t>01/10/2012</w:t>
            </w:r>
          </w:p>
        </w:tc>
        <w:tc>
          <w:tcPr>
            <w:tcW w:w="777" w:type="dxa"/>
          </w:tcPr>
          <w:p>
            <w:pPr/>
          </w:p>
        </w:tc>
        <w:tc>
          <w:tcPr>
            <w:tcW w:w="94" w:type="dxa"/>
          </w:tcPr>
          <w:p>
            <w:pPr/>
          </w:p>
        </w:tc>
        <w:tc>
          <w:tcPr>
            <w:tcW w:w="749" w:type="dxa"/>
          </w:tcPr>
          <w:p>
            <w:pPr>
              <w:pStyle w:val="TableParagraph"/>
              <w:ind w:right="105"/>
              <w:rPr>
                <w:sz w:val="10"/>
              </w:rPr>
            </w:pPr>
            <w:r>
              <w:rPr>
                <w:w w:val="115"/>
                <w:sz w:val="10"/>
              </w:rPr>
              <w:t>19.276,08</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19.276,08</w:t>
            </w:r>
          </w:p>
        </w:tc>
        <w:tc>
          <w:tcPr>
            <w:tcW w:w="683" w:type="dxa"/>
          </w:tcPr>
          <w:p>
            <w:pPr>
              <w:pStyle w:val="TableParagraph"/>
              <w:ind w:right="139"/>
              <w:rPr>
                <w:b/>
                <w:sz w:val="10"/>
              </w:rPr>
            </w:pPr>
            <w:r>
              <w:rPr>
                <w:b/>
                <w:w w:val="115"/>
                <w:sz w:val="10"/>
              </w:rPr>
              <w:t>233,32</w:t>
            </w:r>
          </w:p>
        </w:tc>
        <w:tc>
          <w:tcPr>
            <w:tcW w:w="791" w:type="dxa"/>
            <w:tcBorders>
              <w:right w:val="single" w:sz="3" w:space="0" w:color="000000"/>
            </w:tcBorders>
          </w:tcPr>
          <w:p>
            <w:pPr>
              <w:pStyle w:val="TableParagraph"/>
              <w:ind w:right="61"/>
              <w:rPr>
                <w:b/>
                <w:sz w:val="10"/>
              </w:rPr>
            </w:pPr>
            <w:r>
              <w:rPr>
                <w:b/>
                <w:w w:val="115"/>
                <w:sz w:val="10"/>
              </w:rPr>
              <w:t>19.509,40</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BORELLA FABIO</w:t>
            </w:r>
          </w:p>
        </w:tc>
        <w:tc>
          <w:tcPr>
            <w:tcW w:w="792" w:type="dxa"/>
          </w:tcPr>
          <w:p>
            <w:pPr>
              <w:pStyle w:val="TableParagraph"/>
              <w:ind w:left="102" w:right="102"/>
              <w:jc w:val="center"/>
              <w:rPr>
                <w:sz w:val="10"/>
              </w:rPr>
            </w:pPr>
            <w:r>
              <w:rPr>
                <w:w w:val="115"/>
                <w:sz w:val="10"/>
              </w:rPr>
              <w:t>01/10/2012</w:t>
            </w:r>
          </w:p>
        </w:tc>
        <w:tc>
          <w:tcPr>
            <w:tcW w:w="777" w:type="dxa"/>
          </w:tcPr>
          <w:p>
            <w:pPr>
              <w:pStyle w:val="TableParagraph"/>
              <w:ind w:right="88"/>
              <w:rPr>
                <w:sz w:val="10"/>
              </w:rPr>
            </w:pPr>
            <w:r>
              <w:rPr>
                <w:w w:val="115"/>
                <w:sz w:val="10"/>
              </w:rPr>
              <w:t>30/11/2016</w:t>
            </w:r>
          </w:p>
        </w:tc>
        <w:tc>
          <w:tcPr>
            <w:tcW w:w="94" w:type="dxa"/>
          </w:tcPr>
          <w:p>
            <w:pPr/>
          </w:p>
        </w:tc>
        <w:tc>
          <w:tcPr>
            <w:tcW w:w="749" w:type="dxa"/>
          </w:tcPr>
          <w:p>
            <w:pPr>
              <w:pStyle w:val="TableParagraph"/>
              <w:ind w:left="487"/>
              <w:jc w:val="left"/>
              <w:rPr>
                <w:sz w:val="10"/>
              </w:rPr>
            </w:pPr>
            <w:r>
              <w:rPr>
                <w:w w:val="117"/>
                <w:sz w:val="10"/>
              </w:rPr>
              <w:t>-</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RASETTO VALERIA</w:t>
            </w:r>
          </w:p>
        </w:tc>
        <w:tc>
          <w:tcPr>
            <w:tcW w:w="792" w:type="dxa"/>
          </w:tcPr>
          <w:p>
            <w:pPr>
              <w:pStyle w:val="TableParagraph"/>
              <w:ind w:left="102" w:right="102"/>
              <w:jc w:val="center"/>
              <w:rPr>
                <w:sz w:val="10"/>
              </w:rPr>
            </w:pPr>
            <w:r>
              <w:rPr>
                <w:w w:val="115"/>
                <w:sz w:val="10"/>
              </w:rPr>
              <w:t>04/10/2012</w:t>
            </w:r>
          </w:p>
        </w:tc>
        <w:tc>
          <w:tcPr>
            <w:tcW w:w="777" w:type="dxa"/>
          </w:tcPr>
          <w:p>
            <w:pPr>
              <w:pStyle w:val="TableParagraph"/>
              <w:ind w:right="88"/>
              <w:rPr>
                <w:sz w:val="10"/>
              </w:rPr>
            </w:pPr>
            <w:r>
              <w:rPr>
                <w:w w:val="115"/>
                <w:sz w:val="10"/>
              </w:rPr>
              <w:t>28/02/2017</w:t>
            </w: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0,26</w:t>
            </w:r>
          </w:p>
        </w:tc>
        <w:tc>
          <w:tcPr>
            <w:tcW w:w="123" w:type="dxa"/>
          </w:tcPr>
          <w:p>
            <w:pPr>
              <w:pStyle w:val="TableParagraph"/>
              <w:ind w:left="68"/>
              <w:jc w:val="left"/>
              <w:rPr>
                <w:sz w:val="10"/>
              </w:rPr>
            </w:pPr>
            <w:r>
              <w:rPr>
                <w:w w:val="117"/>
                <w:sz w:val="10"/>
              </w:rPr>
              <w:t>-</w:t>
            </w:r>
          </w:p>
        </w:tc>
        <w:tc>
          <w:tcPr>
            <w:tcW w:w="617" w:type="dxa"/>
          </w:tcPr>
          <w:p>
            <w:pPr>
              <w:pStyle w:val="TableParagraph"/>
              <w:ind w:right="127"/>
              <w:rPr>
                <w:sz w:val="10"/>
              </w:rPr>
            </w:pPr>
            <w:r>
              <w:rPr>
                <w:w w:val="115"/>
                <w:sz w:val="10"/>
              </w:rPr>
              <w:t>0,26</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TRIMBOLI ROBERTA</w:t>
            </w:r>
          </w:p>
        </w:tc>
        <w:tc>
          <w:tcPr>
            <w:tcW w:w="792" w:type="dxa"/>
          </w:tcPr>
          <w:p>
            <w:pPr>
              <w:pStyle w:val="TableParagraph"/>
              <w:ind w:left="102" w:right="102"/>
              <w:jc w:val="center"/>
              <w:rPr>
                <w:sz w:val="10"/>
              </w:rPr>
            </w:pPr>
            <w:r>
              <w:rPr>
                <w:w w:val="115"/>
                <w:sz w:val="10"/>
              </w:rPr>
              <w:t>05/11/2012</w:t>
            </w:r>
          </w:p>
        </w:tc>
        <w:tc>
          <w:tcPr>
            <w:tcW w:w="777" w:type="dxa"/>
          </w:tcPr>
          <w:p>
            <w:pPr>
              <w:pStyle w:val="TableParagraph"/>
              <w:ind w:right="88"/>
              <w:rPr>
                <w:sz w:val="10"/>
              </w:rPr>
            </w:pPr>
            <w:r>
              <w:rPr>
                <w:w w:val="115"/>
                <w:sz w:val="10"/>
              </w:rPr>
              <w:t>31/12/2016</w:t>
            </w:r>
          </w:p>
        </w:tc>
        <w:tc>
          <w:tcPr>
            <w:tcW w:w="94" w:type="dxa"/>
          </w:tcPr>
          <w:p>
            <w:pPr/>
          </w:p>
        </w:tc>
        <w:tc>
          <w:tcPr>
            <w:tcW w:w="749" w:type="dxa"/>
          </w:tcPr>
          <w:p>
            <w:pPr>
              <w:pStyle w:val="TableParagraph"/>
              <w:ind w:left="487"/>
              <w:jc w:val="left"/>
              <w:rPr>
                <w:sz w:val="10"/>
              </w:rPr>
            </w:pPr>
            <w:r>
              <w:rPr>
                <w:w w:val="117"/>
                <w:sz w:val="10"/>
              </w:rPr>
              <w:t>-</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MORINI FEDERICA</w:t>
            </w:r>
          </w:p>
        </w:tc>
        <w:tc>
          <w:tcPr>
            <w:tcW w:w="792" w:type="dxa"/>
          </w:tcPr>
          <w:p>
            <w:pPr>
              <w:pStyle w:val="TableParagraph"/>
              <w:ind w:left="102" w:right="102"/>
              <w:jc w:val="center"/>
              <w:rPr>
                <w:sz w:val="10"/>
              </w:rPr>
            </w:pPr>
            <w:r>
              <w:rPr>
                <w:w w:val="115"/>
                <w:sz w:val="10"/>
              </w:rPr>
              <w:t>03/12/2012</w:t>
            </w:r>
          </w:p>
        </w:tc>
        <w:tc>
          <w:tcPr>
            <w:tcW w:w="777" w:type="dxa"/>
          </w:tcPr>
          <w:p>
            <w:pPr/>
          </w:p>
        </w:tc>
        <w:tc>
          <w:tcPr>
            <w:tcW w:w="94" w:type="dxa"/>
          </w:tcPr>
          <w:p>
            <w:pPr/>
          </w:p>
        </w:tc>
        <w:tc>
          <w:tcPr>
            <w:tcW w:w="749" w:type="dxa"/>
          </w:tcPr>
          <w:p>
            <w:pPr>
              <w:pStyle w:val="TableParagraph"/>
              <w:ind w:right="105"/>
              <w:rPr>
                <w:sz w:val="10"/>
              </w:rPr>
            </w:pPr>
            <w:r>
              <w:rPr>
                <w:w w:val="115"/>
                <w:sz w:val="10"/>
              </w:rPr>
              <w:t>9.026,19</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9.026,19</w:t>
            </w:r>
          </w:p>
        </w:tc>
        <w:tc>
          <w:tcPr>
            <w:tcW w:w="683" w:type="dxa"/>
          </w:tcPr>
          <w:p>
            <w:pPr>
              <w:pStyle w:val="TableParagraph"/>
              <w:ind w:right="139"/>
              <w:rPr>
                <w:b/>
                <w:sz w:val="10"/>
              </w:rPr>
            </w:pPr>
            <w:r>
              <w:rPr>
                <w:b/>
                <w:w w:val="115"/>
                <w:sz w:val="10"/>
              </w:rPr>
              <w:t>110,44</w:t>
            </w:r>
          </w:p>
        </w:tc>
        <w:tc>
          <w:tcPr>
            <w:tcW w:w="791" w:type="dxa"/>
            <w:tcBorders>
              <w:right w:val="single" w:sz="3" w:space="0" w:color="000000"/>
            </w:tcBorders>
          </w:tcPr>
          <w:p>
            <w:pPr>
              <w:pStyle w:val="TableParagraph"/>
              <w:ind w:right="61"/>
              <w:rPr>
                <w:b/>
                <w:sz w:val="10"/>
              </w:rPr>
            </w:pPr>
            <w:r>
              <w:rPr>
                <w:b/>
                <w:w w:val="115"/>
                <w:sz w:val="10"/>
              </w:rPr>
              <w:t>9.136,63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BISSACCO ALBERTO</w:t>
            </w:r>
          </w:p>
        </w:tc>
        <w:tc>
          <w:tcPr>
            <w:tcW w:w="792" w:type="dxa"/>
          </w:tcPr>
          <w:p>
            <w:pPr>
              <w:pStyle w:val="TableParagraph"/>
              <w:ind w:left="102" w:right="102"/>
              <w:jc w:val="center"/>
              <w:rPr>
                <w:sz w:val="10"/>
              </w:rPr>
            </w:pPr>
            <w:r>
              <w:rPr>
                <w:w w:val="115"/>
                <w:sz w:val="10"/>
              </w:rPr>
              <w:t>17/12/2012</w:t>
            </w:r>
          </w:p>
        </w:tc>
        <w:tc>
          <w:tcPr>
            <w:tcW w:w="777" w:type="dxa"/>
          </w:tcPr>
          <w:p>
            <w:pPr>
              <w:pStyle w:val="TableParagraph"/>
              <w:ind w:right="88"/>
              <w:rPr>
                <w:sz w:val="10"/>
              </w:rPr>
            </w:pPr>
            <w:r>
              <w:rPr>
                <w:w w:val="115"/>
                <w:sz w:val="10"/>
              </w:rPr>
              <w:t>30/09/2016</w:t>
            </w:r>
          </w:p>
        </w:tc>
        <w:tc>
          <w:tcPr>
            <w:tcW w:w="94" w:type="dxa"/>
          </w:tcPr>
          <w:p>
            <w:pPr/>
          </w:p>
        </w:tc>
        <w:tc>
          <w:tcPr>
            <w:tcW w:w="749" w:type="dxa"/>
          </w:tcPr>
          <w:p>
            <w:pPr>
              <w:pStyle w:val="TableParagraph"/>
              <w:ind w:right="105"/>
              <w:rPr>
                <w:sz w:val="10"/>
              </w:rPr>
            </w:pPr>
            <w:r>
              <w:rPr>
                <w:w w:val="115"/>
                <w:sz w:val="10"/>
              </w:rPr>
              <w:t>9.008,91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9.008,91</w:t>
            </w:r>
          </w:p>
        </w:tc>
        <w:tc>
          <w:tcPr>
            <w:tcW w:w="683" w:type="dxa"/>
          </w:tcPr>
          <w:p>
            <w:pPr/>
          </w:p>
        </w:tc>
        <w:tc>
          <w:tcPr>
            <w:tcW w:w="791" w:type="dxa"/>
            <w:tcBorders>
              <w:right w:val="single" w:sz="3" w:space="0" w:color="000000"/>
            </w:tcBorders>
          </w:tcPr>
          <w:p>
            <w:pPr>
              <w:pStyle w:val="TableParagraph"/>
              <w:ind w:right="55"/>
              <w:rPr>
                <w:b/>
                <w:sz w:val="10"/>
              </w:rPr>
            </w:pPr>
            <w:r>
              <w:rPr>
                <w:b/>
                <w:w w:val="115"/>
                <w:sz w:val="10"/>
              </w:rPr>
              <w:t>9.008,91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SABBATINI FABIO</w:t>
            </w:r>
          </w:p>
        </w:tc>
        <w:tc>
          <w:tcPr>
            <w:tcW w:w="792" w:type="dxa"/>
          </w:tcPr>
          <w:p>
            <w:pPr>
              <w:pStyle w:val="TableParagraph"/>
              <w:ind w:left="102" w:right="102"/>
              <w:jc w:val="center"/>
              <w:rPr>
                <w:sz w:val="10"/>
              </w:rPr>
            </w:pPr>
            <w:r>
              <w:rPr>
                <w:w w:val="115"/>
                <w:sz w:val="10"/>
              </w:rPr>
              <w:t>21/01/2013</w:t>
            </w:r>
          </w:p>
        </w:tc>
        <w:tc>
          <w:tcPr>
            <w:tcW w:w="777" w:type="dxa"/>
          </w:tcPr>
          <w:p>
            <w:pPr>
              <w:pStyle w:val="TableParagraph"/>
              <w:ind w:right="88"/>
              <w:rPr>
                <w:sz w:val="10"/>
              </w:rPr>
            </w:pPr>
            <w:r>
              <w:rPr>
                <w:w w:val="115"/>
                <w:sz w:val="10"/>
              </w:rPr>
              <w:t>31/03/2017</w:t>
            </w:r>
          </w:p>
        </w:tc>
        <w:tc>
          <w:tcPr>
            <w:tcW w:w="94" w:type="dxa"/>
          </w:tcPr>
          <w:p>
            <w:pPr/>
          </w:p>
        </w:tc>
        <w:tc>
          <w:tcPr>
            <w:tcW w:w="749" w:type="dxa"/>
          </w:tcPr>
          <w:p>
            <w:pPr>
              <w:pStyle w:val="TableParagraph"/>
              <w:ind w:right="105"/>
              <w:rPr>
                <w:sz w:val="10"/>
              </w:rPr>
            </w:pPr>
            <w:r>
              <w:rPr>
                <w:w w:val="115"/>
                <w:sz w:val="10"/>
              </w:rPr>
              <w:t>1.038,77</w:t>
            </w:r>
          </w:p>
        </w:tc>
        <w:tc>
          <w:tcPr>
            <w:tcW w:w="123" w:type="dxa"/>
          </w:tcPr>
          <w:p>
            <w:pPr/>
          </w:p>
        </w:tc>
        <w:tc>
          <w:tcPr>
            <w:tcW w:w="617" w:type="dxa"/>
          </w:tcPr>
          <w:p>
            <w:pPr>
              <w:pStyle w:val="TableParagraph"/>
              <w:ind w:right="127"/>
              <w:rPr>
                <w:sz w:val="10"/>
              </w:rPr>
            </w:pPr>
            <w:r>
              <w:rPr>
                <w:w w:val="115"/>
                <w:sz w:val="10"/>
              </w:rPr>
              <w:t>1.038,77</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SIMONE MARCO</w:t>
            </w:r>
          </w:p>
        </w:tc>
        <w:tc>
          <w:tcPr>
            <w:tcW w:w="792" w:type="dxa"/>
          </w:tcPr>
          <w:p>
            <w:pPr>
              <w:pStyle w:val="TableParagraph"/>
              <w:ind w:left="102" w:right="102"/>
              <w:jc w:val="center"/>
              <w:rPr>
                <w:sz w:val="10"/>
              </w:rPr>
            </w:pPr>
            <w:r>
              <w:rPr>
                <w:w w:val="115"/>
                <w:sz w:val="10"/>
              </w:rPr>
              <w:t>21/01/2013</w:t>
            </w:r>
          </w:p>
        </w:tc>
        <w:tc>
          <w:tcPr>
            <w:tcW w:w="777" w:type="dxa"/>
          </w:tcPr>
          <w:p>
            <w:pPr/>
          </w:p>
        </w:tc>
        <w:tc>
          <w:tcPr>
            <w:tcW w:w="94" w:type="dxa"/>
          </w:tcPr>
          <w:p>
            <w:pPr/>
          </w:p>
        </w:tc>
        <w:tc>
          <w:tcPr>
            <w:tcW w:w="749" w:type="dxa"/>
          </w:tcPr>
          <w:p>
            <w:pPr>
              <w:pStyle w:val="TableParagraph"/>
              <w:ind w:right="105"/>
              <w:rPr>
                <w:sz w:val="10"/>
              </w:rPr>
            </w:pPr>
            <w:r>
              <w:rPr>
                <w:w w:val="115"/>
                <w:sz w:val="10"/>
              </w:rPr>
              <w:t>975,74</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975,74</w:t>
            </w:r>
          </w:p>
        </w:tc>
        <w:tc>
          <w:tcPr>
            <w:tcW w:w="683" w:type="dxa"/>
          </w:tcPr>
          <w:p>
            <w:pPr>
              <w:pStyle w:val="TableParagraph"/>
              <w:ind w:right="139"/>
              <w:rPr>
                <w:b/>
                <w:sz w:val="10"/>
              </w:rPr>
            </w:pPr>
            <w:r>
              <w:rPr>
                <w:b/>
                <w:w w:val="115"/>
                <w:sz w:val="10"/>
              </w:rPr>
              <w:t>163,58</w:t>
            </w:r>
          </w:p>
        </w:tc>
        <w:tc>
          <w:tcPr>
            <w:tcW w:w="791" w:type="dxa"/>
            <w:tcBorders>
              <w:right w:val="single" w:sz="3" w:space="0" w:color="000000"/>
            </w:tcBorders>
          </w:tcPr>
          <w:p>
            <w:pPr>
              <w:pStyle w:val="TableParagraph"/>
              <w:ind w:right="61"/>
              <w:rPr>
                <w:b/>
                <w:sz w:val="10"/>
              </w:rPr>
            </w:pPr>
            <w:r>
              <w:rPr>
                <w:b/>
                <w:w w:val="115"/>
                <w:sz w:val="10"/>
              </w:rPr>
              <w:t>1.139,32</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REDAELLI SILVIA</w:t>
            </w:r>
          </w:p>
        </w:tc>
        <w:tc>
          <w:tcPr>
            <w:tcW w:w="792" w:type="dxa"/>
          </w:tcPr>
          <w:p>
            <w:pPr>
              <w:pStyle w:val="TableParagraph"/>
              <w:ind w:left="102" w:right="102"/>
              <w:jc w:val="center"/>
              <w:rPr>
                <w:sz w:val="10"/>
              </w:rPr>
            </w:pPr>
            <w:r>
              <w:rPr>
                <w:w w:val="115"/>
                <w:sz w:val="10"/>
              </w:rPr>
              <w:t>18/03/2013</w:t>
            </w:r>
          </w:p>
        </w:tc>
        <w:tc>
          <w:tcPr>
            <w:tcW w:w="777" w:type="dxa"/>
          </w:tcPr>
          <w:p>
            <w:pPr/>
          </w:p>
        </w:tc>
        <w:tc>
          <w:tcPr>
            <w:tcW w:w="94" w:type="dxa"/>
          </w:tcPr>
          <w:p>
            <w:pPr/>
          </w:p>
        </w:tc>
        <w:tc>
          <w:tcPr>
            <w:tcW w:w="749" w:type="dxa"/>
          </w:tcPr>
          <w:p>
            <w:pPr>
              <w:pStyle w:val="TableParagraph"/>
              <w:ind w:right="105"/>
              <w:rPr>
                <w:sz w:val="10"/>
              </w:rPr>
            </w:pPr>
            <w:r>
              <w:rPr>
                <w:w w:val="115"/>
                <w:sz w:val="10"/>
              </w:rPr>
              <w:t>10.752,26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10.752,26</w:t>
            </w:r>
          </w:p>
        </w:tc>
        <w:tc>
          <w:tcPr>
            <w:tcW w:w="683" w:type="dxa"/>
          </w:tcPr>
          <w:p>
            <w:pPr>
              <w:pStyle w:val="TableParagraph"/>
              <w:ind w:right="139"/>
              <w:rPr>
                <w:b/>
                <w:sz w:val="10"/>
              </w:rPr>
            </w:pPr>
            <w:r>
              <w:rPr>
                <w:b/>
                <w:w w:val="115"/>
                <w:sz w:val="10"/>
              </w:rPr>
              <w:t>153,37</w:t>
            </w:r>
          </w:p>
        </w:tc>
        <w:tc>
          <w:tcPr>
            <w:tcW w:w="791" w:type="dxa"/>
            <w:tcBorders>
              <w:right w:val="single" w:sz="3" w:space="0" w:color="000000"/>
            </w:tcBorders>
          </w:tcPr>
          <w:p>
            <w:pPr>
              <w:pStyle w:val="TableParagraph"/>
              <w:ind w:right="61"/>
              <w:rPr>
                <w:b/>
                <w:sz w:val="10"/>
              </w:rPr>
            </w:pPr>
            <w:r>
              <w:rPr>
                <w:b/>
                <w:w w:val="115"/>
                <w:sz w:val="10"/>
              </w:rPr>
              <w:t>10.905,63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ABBATESCIANNI GIACOMO</w:t>
            </w:r>
          </w:p>
        </w:tc>
        <w:tc>
          <w:tcPr>
            <w:tcW w:w="792" w:type="dxa"/>
          </w:tcPr>
          <w:p>
            <w:pPr>
              <w:pStyle w:val="TableParagraph"/>
              <w:ind w:left="102" w:right="102"/>
              <w:jc w:val="center"/>
              <w:rPr>
                <w:sz w:val="10"/>
              </w:rPr>
            </w:pPr>
            <w:r>
              <w:rPr>
                <w:w w:val="115"/>
                <w:sz w:val="10"/>
              </w:rPr>
              <w:t>08/04/2013</w:t>
            </w:r>
          </w:p>
        </w:tc>
        <w:tc>
          <w:tcPr>
            <w:tcW w:w="777" w:type="dxa"/>
          </w:tcPr>
          <w:p>
            <w:pPr>
              <w:pStyle w:val="TableParagraph"/>
              <w:ind w:right="88"/>
              <w:rPr>
                <w:sz w:val="10"/>
              </w:rPr>
            </w:pPr>
            <w:r>
              <w:rPr>
                <w:w w:val="115"/>
                <w:sz w:val="10"/>
              </w:rPr>
              <w:t>31/12/2016</w:t>
            </w:r>
          </w:p>
        </w:tc>
        <w:tc>
          <w:tcPr>
            <w:tcW w:w="94" w:type="dxa"/>
          </w:tcPr>
          <w:p>
            <w:pPr/>
          </w:p>
        </w:tc>
        <w:tc>
          <w:tcPr>
            <w:tcW w:w="749" w:type="dxa"/>
          </w:tcPr>
          <w:p>
            <w:pPr>
              <w:pStyle w:val="TableParagraph"/>
              <w:ind w:right="105"/>
              <w:rPr>
                <w:sz w:val="10"/>
              </w:rPr>
            </w:pPr>
            <w:r>
              <w:rPr>
                <w:w w:val="115"/>
                <w:sz w:val="10"/>
              </w:rPr>
              <w:t>6.324,84</w:t>
            </w:r>
          </w:p>
        </w:tc>
        <w:tc>
          <w:tcPr>
            <w:tcW w:w="123" w:type="dxa"/>
          </w:tcPr>
          <w:p>
            <w:pPr/>
          </w:p>
        </w:tc>
        <w:tc>
          <w:tcPr>
            <w:tcW w:w="617" w:type="dxa"/>
          </w:tcPr>
          <w:p>
            <w:pPr>
              <w:pStyle w:val="TableParagraph"/>
              <w:ind w:right="127"/>
              <w:rPr>
                <w:sz w:val="10"/>
              </w:rPr>
            </w:pPr>
            <w:r>
              <w:rPr>
                <w:w w:val="115"/>
                <w:sz w:val="10"/>
              </w:rPr>
              <w:t>6.324,84</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PUTIGNANO LUCA</w:t>
            </w:r>
          </w:p>
        </w:tc>
        <w:tc>
          <w:tcPr>
            <w:tcW w:w="792" w:type="dxa"/>
          </w:tcPr>
          <w:p>
            <w:pPr>
              <w:pStyle w:val="TableParagraph"/>
              <w:ind w:left="102" w:right="102"/>
              <w:jc w:val="center"/>
              <w:rPr>
                <w:sz w:val="10"/>
              </w:rPr>
            </w:pPr>
            <w:r>
              <w:rPr>
                <w:w w:val="115"/>
                <w:sz w:val="10"/>
              </w:rPr>
              <w:t>07/05/2013</w:t>
            </w:r>
          </w:p>
        </w:tc>
        <w:tc>
          <w:tcPr>
            <w:tcW w:w="777" w:type="dxa"/>
          </w:tcPr>
          <w:p>
            <w:pPr/>
          </w:p>
        </w:tc>
        <w:tc>
          <w:tcPr>
            <w:tcW w:w="94" w:type="dxa"/>
          </w:tcPr>
          <w:p>
            <w:pPr/>
          </w:p>
        </w:tc>
        <w:tc>
          <w:tcPr>
            <w:tcW w:w="749" w:type="dxa"/>
          </w:tcPr>
          <w:p>
            <w:pPr>
              <w:pStyle w:val="TableParagraph"/>
              <w:ind w:right="105"/>
              <w:rPr>
                <w:sz w:val="10"/>
              </w:rPr>
            </w:pPr>
            <w:r>
              <w:rPr>
                <w:w w:val="115"/>
                <w:sz w:val="10"/>
              </w:rPr>
              <w:t>8.965,00</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8.965,00</w:t>
            </w:r>
          </w:p>
        </w:tc>
        <w:tc>
          <w:tcPr>
            <w:tcW w:w="683" w:type="dxa"/>
          </w:tcPr>
          <w:p>
            <w:pPr>
              <w:pStyle w:val="TableParagraph"/>
              <w:ind w:right="133"/>
              <w:rPr>
                <w:b/>
                <w:sz w:val="10"/>
              </w:rPr>
            </w:pPr>
            <w:r>
              <w:rPr>
                <w:b/>
                <w:w w:val="115"/>
                <w:sz w:val="10"/>
              </w:rPr>
              <w:t>117,91</w:t>
            </w:r>
          </w:p>
        </w:tc>
        <w:tc>
          <w:tcPr>
            <w:tcW w:w="791" w:type="dxa"/>
            <w:tcBorders>
              <w:right w:val="single" w:sz="3" w:space="0" w:color="000000"/>
            </w:tcBorders>
          </w:tcPr>
          <w:p>
            <w:pPr>
              <w:pStyle w:val="TableParagraph"/>
              <w:ind w:right="55"/>
              <w:rPr>
                <w:b/>
                <w:sz w:val="10"/>
              </w:rPr>
            </w:pPr>
            <w:r>
              <w:rPr>
                <w:b/>
                <w:w w:val="115"/>
                <w:sz w:val="10"/>
              </w:rPr>
              <w:t>9.082,91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BRUNO CARLO</w:t>
            </w:r>
          </w:p>
        </w:tc>
        <w:tc>
          <w:tcPr>
            <w:tcW w:w="792" w:type="dxa"/>
          </w:tcPr>
          <w:p>
            <w:pPr>
              <w:pStyle w:val="TableParagraph"/>
              <w:ind w:left="102" w:right="102"/>
              <w:jc w:val="center"/>
              <w:rPr>
                <w:sz w:val="10"/>
              </w:rPr>
            </w:pPr>
            <w:r>
              <w:rPr>
                <w:w w:val="115"/>
                <w:sz w:val="10"/>
              </w:rPr>
              <w:t>05/08/2013</w:t>
            </w:r>
          </w:p>
        </w:tc>
        <w:tc>
          <w:tcPr>
            <w:tcW w:w="777" w:type="dxa"/>
          </w:tcPr>
          <w:p>
            <w:pPr/>
          </w:p>
        </w:tc>
        <w:tc>
          <w:tcPr>
            <w:tcW w:w="94" w:type="dxa"/>
          </w:tcPr>
          <w:p>
            <w:pPr/>
          </w:p>
        </w:tc>
        <w:tc>
          <w:tcPr>
            <w:tcW w:w="749" w:type="dxa"/>
          </w:tcPr>
          <w:p>
            <w:pPr>
              <w:pStyle w:val="TableParagraph"/>
              <w:ind w:right="105"/>
              <w:rPr>
                <w:sz w:val="10"/>
              </w:rPr>
            </w:pPr>
            <w:r>
              <w:rPr>
                <w:w w:val="115"/>
                <w:sz w:val="10"/>
              </w:rPr>
              <w:t>998,97</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998,97</w:t>
            </w:r>
          </w:p>
        </w:tc>
        <w:tc>
          <w:tcPr>
            <w:tcW w:w="683" w:type="dxa"/>
          </w:tcPr>
          <w:p>
            <w:pPr>
              <w:pStyle w:val="TableParagraph"/>
              <w:ind w:right="133"/>
              <w:rPr>
                <w:b/>
                <w:sz w:val="10"/>
              </w:rPr>
            </w:pPr>
            <w:r>
              <w:rPr>
                <w:b/>
                <w:w w:val="115"/>
                <w:sz w:val="10"/>
              </w:rPr>
              <w:t>307,91</w:t>
            </w:r>
          </w:p>
        </w:tc>
        <w:tc>
          <w:tcPr>
            <w:tcW w:w="791" w:type="dxa"/>
            <w:tcBorders>
              <w:right w:val="single" w:sz="3" w:space="0" w:color="000000"/>
            </w:tcBorders>
          </w:tcPr>
          <w:p>
            <w:pPr>
              <w:pStyle w:val="TableParagraph"/>
              <w:ind w:right="61"/>
              <w:rPr>
                <w:b/>
                <w:sz w:val="10"/>
              </w:rPr>
            </w:pPr>
            <w:r>
              <w:rPr>
                <w:b/>
                <w:w w:val="115"/>
                <w:sz w:val="10"/>
              </w:rPr>
              <w:t>1.306,88</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TANGORRA  ROCCO ROBERT</w:t>
            </w:r>
          </w:p>
        </w:tc>
        <w:tc>
          <w:tcPr>
            <w:tcW w:w="792" w:type="dxa"/>
          </w:tcPr>
          <w:p>
            <w:pPr>
              <w:pStyle w:val="TableParagraph"/>
              <w:ind w:left="102" w:right="102"/>
              <w:jc w:val="center"/>
              <w:rPr>
                <w:sz w:val="10"/>
              </w:rPr>
            </w:pPr>
            <w:r>
              <w:rPr>
                <w:w w:val="115"/>
                <w:sz w:val="10"/>
              </w:rPr>
              <w:t>16/08/2013</w:t>
            </w:r>
          </w:p>
        </w:tc>
        <w:tc>
          <w:tcPr>
            <w:tcW w:w="777" w:type="dxa"/>
          </w:tcPr>
          <w:p>
            <w:pPr/>
          </w:p>
        </w:tc>
        <w:tc>
          <w:tcPr>
            <w:tcW w:w="94" w:type="dxa"/>
          </w:tcPr>
          <w:p>
            <w:pPr/>
          </w:p>
        </w:tc>
        <w:tc>
          <w:tcPr>
            <w:tcW w:w="749" w:type="dxa"/>
          </w:tcPr>
          <w:p>
            <w:pPr>
              <w:pStyle w:val="TableParagraph"/>
              <w:ind w:right="105"/>
              <w:rPr>
                <w:sz w:val="10"/>
              </w:rPr>
            </w:pPr>
            <w:r>
              <w:rPr>
                <w:w w:val="115"/>
                <w:sz w:val="10"/>
              </w:rPr>
              <w:t>9.122,03</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9.122,03</w:t>
            </w:r>
          </w:p>
        </w:tc>
        <w:tc>
          <w:tcPr>
            <w:tcW w:w="683" w:type="dxa"/>
          </w:tcPr>
          <w:p>
            <w:pPr>
              <w:pStyle w:val="TableParagraph"/>
              <w:ind w:right="139"/>
              <w:rPr>
                <w:b/>
                <w:sz w:val="10"/>
              </w:rPr>
            </w:pPr>
            <w:r>
              <w:rPr>
                <w:b/>
                <w:w w:val="115"/>
                <w:sz w:val="10"/>
              </w:rPr>
              <w:t>141,45</w:t>
            </w:r>
          </w:p>
        </w:tc>
        <w:tc>
          <w:tcPr>
            <w:tcW w:w="791" w:type="dxa"/>
            <w:tcBorders>
              <w:right w:val="single" w:sz="3" w:space="0" w:color="000000"/>
            </w:tcBorders>
          </w:tcPr>
          <w:p>
            <w:pPr>
              <w:pStyle w:val="TableParagraph"/>
              <w:ind w:right="61"/>
              <w:rPr>
                <w:b/>
                <w:sz w:val="10"/>
              </w:rPr>
            </w:pPr>
            <w:r>
              <w:rPr>
                <w:b/>
                <w:w w:val="115"/>
                <w:sz w:val="10"/>
              </w:rPr>
              <w:t>9.263,48</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TIMOSSI ELENA</w:t>
            </w:r>
          </w:p>
        </w:tc>
        <w:tc>
          <w:tcPr>
            <w:tcW w:w="792" w:type="dxa"/>
          </w:tcPr>
          <w:p>
            <w:pPr>
              <w:pStyle w:val="TableParagraph"/>
              <w:ind w:left="102" w:right="102"/>
              <w:jc w:val="center"/>
              <w:rPr>
                <w:sz w:val="10"/>
              </w:rPr>
            </w:pPr>
            <w:r>
              <w:rPr>
                <w:w w:val="115"/>
                <w:sz w:val="10"/>
              </w:rPr>
              <w:t>11/11/2013</w:t>
            </w:r>
          </w:p>
        </w:tc>
        <w:tc>
          <w:tcPr>
            <w:tcW w:w="777" w:type="dxa"/>
          </w:tcPr>
          <w:p>
            <w:pPr>
              <w:pStyle w:val="TableParagraph"/>
              <w:ind w:right="88"/>
              <w:rPr>
                <w:sz w:val="10"/>
              </w:rPr>
            </w:pPr>
            <w:r>
              <w:rPr>
                <w:w w:val="115"/>
                <w:sz w:val="10"/>
              </w:rPr>
              <w:t>30/09/2016</w:t>
            </w:r>
          </w:p>
        </w:tc>
        <w:tc>
          <w:tcPr>
            <w:tcW w:w="94" w:type="dxa"/>
          </w:tcPr>
          <w:p>
            <w:pPr/>
          </w:p>
        </w:tc>
        <w:tc>
          <w:tcPr>
            <w:tcW w:w="749" w:type="dxa"/>
          </w:tcPr>
          <w:p>
            <w:pPr>
              <w:pStyle w:val="TableParagraph"/>
              <w:ind w:right="105"/>
              <w:rPr>
                <w:sz w:val="10"/>
              </w:rPr>
            </w:pPr>
            <w:r>
              <w:rPr>
                <w:w w:val="115"/>
                <w:sz w:val="10"/>
              </w:rPr>
              <w:t>7.104,19</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7.104,19</w:t>
            </w:r>
          </w:p>
        </w:tc>
        <w:tc>
          <w:tcPr>
            <w:tcW w:w="683" w:type="dxa"/>
          </w:tcPr>
          <w:p>
            <w:pPr/>
          </w:p>
        </w:tc>
        <w:tc>
          <w:tcPr>
            <w:tcW w:w="791" w:type="dxa"/>
            <w:tcBorders>
              <w:right w:val="single" w:sz="3" w:space="0" w:color="000000"/>
            </w:tcBorders>
          </w:tcPr>
          <w:p>
            <w:pPr>
              <w:pStyle w:val="TableParagraph"/>
              <w:ind w:right="61"/>
              <w:rPr>
                <w:b/>
                <w:sz w:val="10"/>
              </w:rPr>
            </w:pPr>
            <w:r>
              <w:rPr>
                <w:b/>
                <w:w w:val="115"/>
                <w:sz w:val="10"/>
              </w:rPr>
              <w:t>7.104,19</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DE VITA ANDREA</w:t>
            </w:r>
          </w:p>
        </w:tc>
        <w:tc>
          <w:tcPr>
            <w:tcW w:w="792" w:type="dxa"/>
          </w:tcPr>
          <w:p>
            <w:pPr>
              <w:pStyle w:val="TableParagraph"/>
              <w:ind w:left="102" w:right="102"/>
              <w:jc w:val="center"/>
              <w:rPr>
                <w:sz w:val="10"/>
              </w:rPr>
            </w:pPr>
            <w:r>
              <w:rPr>
                <w:w w:val="115"/>
                <w:sz w:val="10"/>
              </w:rPr>
              <w:t>02/12/2013</w:t>
            </w:r>
          </w:p>
        </w:tc>
        <w:tc>
          <w:tcPr>
            <w:tcW w:w="777" w:type="dxa"/>
          </w:tcPr>
          <w:p>
            <w:pPr/>
          </w:p>
        </w:tc>
        <w:tc>
          <w:tcPr>
            <w:tcW w:w="94" w:type="dxa"/>
          </w:tcPr>
          <w:p>
            <w:pPr/>
          </w:p>
        </w:tc>
        <w:tc>
          <w:tcPr>
            <w:tcW w:w="749" w:type="dxa"/>
          </w:tcPr>
          <w:p>
            <w:pPr>
              <w:pStyle w:val="TableParagraph"/>
              <w:ind w:right="105"/>
              <w:rPr>
                <w:sz w:val="10"/>
              </w:rPr>
            </w:pPr>
            <w:r>
              <w:rPr>
                <w:w w:val="115"/>
                <w:sz w:val="10"/>
              </w:rPr>
              <w:t>21.343,86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21.343,86</w:t>
            </w:r>
          </w:p>
        </w:tc>
        <w:tc>
          <w:tcPr>
            <w:tcW w:w="683" w:type="dxa"/>
          </w:tcPr>
          <w:p>
            <w:pPr>
              <w:pStyle w:val="TableParagraph"/>
              <w:ind w:right="139"/>
              <w:rPr>
                <w:b/>
                <w:sz w:val="10"/>
              </w:rPr>
            </w:pPr>
            <w:r>
              <w:rPr>
                <w:b/>
                <w:w w:val="115"/>
                <w:sz w:val="10"/>
              </w:rPr>
              <w:t>364,95</w:t>
            </w:r>
          </w:p>
        </w:tc>
        <w:tc>
          <w:tcPr>
            <w:tcW w:w="791" w:type="dxa"/>
            <w:tcBorders>
              <w:right w:val="single" w:sz="3" w:space="0" w:color="000000"/>
            </w:tcBorders>
          </w:tcPr>
          <w:p>
            <w:pPr>
              <w:pStyle w:val="TableParagraph"/>
              <w:ind w:right="55"/>
              <w:rPr>
                <w:b/>
                <w:sz w:val="10"/>
              </w:rPr>
            </w:pPr>
            <w:r>
              <w:rPr>
                <w:b/>
                <w:w w:val="115"/>
                <w:sz w:val="10"/>
              </w:rPr>
              <w:t>21.708,81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COBROR SANDRO</w:t>
            </w:r>
          </w:p>
        </w:tc>
        <w:tc>
          <w:tcPr>
            <w:tcW w:w="792" w:type="dxa"/>
          </w:tcPr>
          <w:p>
            <w:pPr>
              <w:pStyle w:val="TableParagraph"/>
              <w:ind w:left="102" w:right="102"/>
              <w:jc w:val="center"/>
              <w:rPr>
                <w:sz w:val="10"/>
              </w:rPr>
            </w:pPr>
            <w:r>
              <w:rPr>
                <w:w w:val="115"/>
                <w:sz w:val="10"/>
              </w:rPr>
              <w:t>01/01/2014</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47,65</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right="5"/>
              <w:jc w:val="center"/>
              <w:rPr>
                <w:b/>
                <w:sz w:val="10"/>
              </w:rPr>
            </w:pPr>
            <w:r>
              <w:rPr>
                <w:b/>
                <w:w w:val="117"/>
                <w:sz w:val="10"/>
              </w:rPr>
              <w:t>-</w:t>
            </w:r>
          </w:p>
        </w:tc>
        <w:tc>
          <w:tcPr>
            <w:tcW w:w="718" w:type="dxa"/>
          </w:tcPr>
          <w:p>
            <w:pPr>
              <w:pStyle w:val="TableParagraph"/>
              <w:ind w:right="174"/>
              <w:rPr>
                <w:b/>
                <w:sz w:val="10"/>
              </w:rPr>
            </w:pPr>
            <w:r>
              <w:rPr>
                <w:b/>
                <w:w w:val="115"/>
                <w:sz w:val="10"/>
              </w:rPr>
              <w:t>47,65</w:t>
            </w:r>
          </w:p>
        </w:tc>
        <w:tc>
          <w:tcPr>
            <w:tcW w:w="683" w:type="dxa"/>
          </w:tcPr>
          <w:p>
            <w:pPr>
              <w:pStyle w:val="TableParagraph"/>
              <w:ind w:right="139"/>
              <w:rPr>
                <w:b/>
                <w:sz w:val="10"/>
              </w:rPr>
            </w:pPr>
            <w:r>
              <w:rPr>
                <w:b/>
                <w:w w:val="115"/>
                <w:sz w:val="10"/>
              </w:rPr>
              <w:t>465,67</w:t>
            </w:r>
          </w:p>
        </w:tc>
        <w:tc>
          <w:tcPr>
            <w:tcW w:w="791" w:type="dxa"/>
            <w:tcBorders>
              <w:right w:val="single" w:sz="3" w:space="0" w:color="000000"/>
            </w:tcBorders>
          </w:tcPr>
          <w:p>
            <w:pPr>
              <w:pStyle w:val="TableParagraph"/>
              <w:ind w:right="61"/>
              <w:rPr>
                <w:b/>
                <w:sz w:val="10"/>
              </w:rPr>
            </w:pPr>
            <w:r>
              <w:rPr>
                <w:b/>
                <w:w w:val="115"/>
                <w:sz w:val="10"/>
              </w:rPr>
              <w:t>418,02</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TRUNFIO SEBASTIANO</w:t>
            </w:r>
          </w:p>
        </w:tc>
        <w:tc>
          <w:tcPr>
            <w:tcW w:w="792" w:type="dxa"/>
          </w:tcPr>
          <w:p>
            <w:pPr>
              <w:pStyle w:val="TableParagraph"/>
              <w:ind w:left="102" w:right="102"/>
              <w:jc w:val="center"/>
              <w:rPr>
                <w:sz w:val="10"/>
              </w:rPr>
            </w:pPr>
            <w:r>
              <w:rPr>
                <w:w w:val="115"/>
                <w:sz w:val="10"/>
              </w:rPr>
              <w:t>13/10/2014</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7,87</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right="5"/>
              <w:jc w:val="center"/>
              <w:rPr>
                <w:b/>
                <w:sz w:val="10"/>
              </w:rPr>
            </w:pPr>
            <w:r>
              <w:rPr>
                <w:b/>
                <w:w w:val="117"/>
                <w:sz w:val="10"/>
              </w:rPr>
              <w:t>-</w:t>
            </w:r>
          </w:p>
        </w:tc>
        <w:tc>
          <w:tcPr>
            <w:tcW w:w="718" w:type="dxa"/>
          </w:tcPr>
          <w:p>
            <w:pPr>
              <w:pStyle w:val="TableParagraph"/>
              <w:ind w:right="174"/>
              <w:rPr>
                <w:b/>
                <w:sz w:val="10"/>
              </w:rPr>
            </w:pPr>
            <w:r>
              <w:rPr>
                <w:b/>
                <w:w w:val="115"/>
                <w:sz w:val="10"/>
              </w:rPr>
              <w:t>7,87</w:t>
            </w:r>
          </w:p>
        </w:tc>
        <w:tc>
          <w:tcPr>
            <w:tcW w:w="683" w:type="dxa"/>
          </w:tcPr>
          <w:p>
            <w:pPr>
              <w:pStyle w:val="TableParagraph"/>
              <w:ind w:right="139"/>
              <w:rPr>
                <w:b/>
                <w:sz w:val="10"/>
              </w:rPr>
            </w:pPr>
            <w:r>
              <w:rPr>
                <w:b/>
                <w:w w:val="115"/>
                <w:sz w:val="10"/>
              </w:rPr>
              <w:t>111,53</w:t>
            </w:r>
          </w:p>
        </w:tc>
        <w:tc>
          <w:tcPr>
            <w:tcW w:w="791" w:type="dxa"/>
            <w:tcBorders>
              <w:right w:val="single" w:sz="3" w:space="0" w:color="000000"/>
            </w:tcBorders>
          </w:tcPr>
          <w:p>
            <w:pPr>
              <w:pStyle w:val="TableParagraph"/>
              <w:ind w:right="61"/>
              <w:rPr>
                <w:b/>
                <w:sz w:val="10"/>
              </w:rPr>
            </w:pPr>
            <w:r>
              <w:rPr>
                <w:b/>
                <w:w w:val="115"/>
                <w:sz w:val="10"/>
              </w:rPr>
              <w:t>103,66</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LAZZERI PAOLO</w:t>
            </w:r>
          </w:p>
        </w:tc>
        <w:tc>
          <w:tcPr>
            <w:tcW w:w="792" w:type="dxa"/>
          </w:tcPr>
          <w:p>
            <w:pPr>
              <w:pStyle w:val="TableParagraph"/>
              <w:ind w:left="102" w:right="102"/>
              <w:jc w:val="center"/>
              <w:rPr>
                <w:sz w:val="10"/>
              </w:rPr>
            </w:pPr>
            <w:r>
              <w:rPr>
                <w:w w:val="115"/>
                <w:sz w:val="10"/>
              </w:rPr>
              <w:t>20/10/2014</w:t>
            </w:r>
          </w:p>
        </w:tc>
        <w:tc>
          <w:tcPr>
            <w:tcW w:w="777" w:type="dxa"/>
          </w:tcPr>
          <w:p>
            <w:pPr/>
          </w:p>
        </w:tc>
        <w:tc>
          <w:tcPr>
            <w:tcW w:w="94" w:type="dxa"/>
          </w:tcPr>
          <w:p>
            <w:pPr/>
          </w:p>
        </w:tc>
        <w:tc>
          <w:tcPr>
            <w:tcW w:w="749" w:type="dxa"/>
          </w:tcPr>
          <w:p>
            <w:pPr>
              <w:pStyle w:val="TableParagraph"/>
              <w:ind w:right="105"/>
              <w:rPr>
                <w:sz w:val="10"/>
              </w:rPr>
            </w:pPr>
            <w:r>
              <w:rPr>
                <w:w w:val="115"/>
                <w:sz w:val="10"/>
              </w:rPr>
              <w:t>10.110,41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10.110,41</w:t>
            </w:r>
          </w:p>
        </w:tc>
        <w:tc>
          <w:tcPr>
            <w:tcW w:w="683" w:type="dxa"/>
          </w:tcPr>
          <w:p>
            <w:pPr>
              <w:pStyle w:val="TableParagraph"/>
              <w:ind w:right="139"/>
              <w:rPr>
                <w:b/>
                <w:sz w:val="10"/>
              </w:rPr>
            </w:pPr>
            <w:r>
              <w:rPr>
                <w:b/>
                <w:w w:val="115"/>
                <w:sz w:val="10"/>
              </w:rPr>
              <w:t>479,00</w:t>
            </w:r>
          </w:p>
        </w:tc>
        <w:tc>
          <w:tcPr>
            <w:tcW w:w="791" w:type="dxa"/>
            <w:tcBorders>
              <w:right w:val="single" w:sz="3" w:space="0" w:color="000000"/>
            </w:tcBorders>
          </w:tcPr>
          <w:p>
            <w:pPr>
              <w:pStyle w:val="TableParagraph"/>
              <w:ind w:right="55"/>
              <w:rPr>
                <w:b/>
                <w:sz w:val="10"/>
              </w:rPr>
            </w:pPr>
            <w:r>
              <w:rPr>
                <w:b/>
                <w:w w:val="115"/>
                <w:sz w:val="10"/>
              </w:rPr>
              <w:t>10.589,41</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GIUSTI ALESSANDRA</w:t>
            </w:r>
          </w:p>
        </w:tc>
        <w:tc>
          <w:tcPr>
            <w:tcW w:w="792" w:type="dxa"/>
          </w:tcPr>
          <w:p>
            <w:pPr>
              <w:pStyle w:val="TableParagraph"/>
              <w:ind w:left="102" w:right="102"/>
              <w:jc w:val="center"/>
              <w:rPr>
                <w:sz w:val="10"/>
              </w:rPr>
            </w:pPr>
            <w:r>
              <w:rPr>
                <w:w w:val="115"/>
                <w:sz w:val="10"/>
              </w:rPr>
              <w:t>24/11/2014</w:t>
            </w:r>
          </w:p>
        </w:tc>
        <w:tc>
          <w:tcPr>
            <w:tcW w:w="777" w:type="dxa"/>
          </w:tcPr>
          <w:p>
            <w:pPr/>
          </w:p>
        </w:tc>
        <w:tc>
          <w:tcPr>
            <w:tcW w:w="94" w:type="dxa"/>
          </w:tcPr>
          <w:p>
            <w:pPr/>
          </w:p>
        </w:tc>
        <w:tc>
          <w:tcPr>
            <w:tcW w:w="749" w:type="dxa"/>
          </w:tcPr>
          <w:p>
            <w:pPr>
              <w:pStyle w:val="TableParagraph"/>
              <w:ind w:right="105"/>
              <w:rPr>
                <w:sz w:val="10"/>
              </w:rPr>
            </w:pPr>
            <w:r>
              <w:rPr>
                <w:w w:val="115"/>
                <w:sz w:val="10"/>
              </w:rPr>
              <w:t>30.260,43</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30.260,43</w:t>
            </w:r>
          </w:p>
        </w:tc>
        <w:tc>
          <w:tcPr>
            <w:tcW w:w="683" w:type="dxa"/>
          </w:tcPr>
          <w:p>
            <w:pPr>
              <w:pStyle w:val="TableParagraph"/>
              <w:ind w:right="139"/>
              <w:rPr>
                <w:b/>
                <w:sz w:val="10"/>
              </w:rPr>
            </w:pPr>
            <w:r>
              <w:rPr>
                <w:b/>
                <w:w w:val="115"/>
                <w:sz w:val="10"/>
              </w:rPr>
              <w:t>684,29</w:t>
            </w:r>
          </w:p>
        </w:tc>
        <w:tc>
          <w:tcPr>
            <w:tcW w:w="791" w:type="dxa"/>
            <w:tcBorders>
              <w:right w:val="single" w:sz="3" w:space="0" w:color="000000"/>
            </w:tcBorders>
          </w:tcPr>
          <w:p>
            <w:pPr>
              <w:pStyle w:val="TableParagraph"/>
              <w:ind w:right="61"/>
              <w:rPr>
                <w:b/>
                <w:sz w:val="10"/>
              </w:rPr>
            </w:pPr>
            <w:r>
              <w:rPr>
                <w:b/>
                <w:w w:val="115"/>
                <w:sz w:val="10"/>
              </w:rPr>
              <w:t>30.944,72</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LENTI ROBERTO</w:t>
            </w:r>
          </w:p>
        </w:tc>
        <w:tc>
          <w:tcPr>
            <w:tcW w:w="792" w:type="dxa"/>
          </w:tcPr>
          <w:p>
            <w:pPr>
              <w:pStyle w:val="TableParagraph"/>
              <w:ind w:left="102" w:right="102"/>
              <w:jc w:val="center"/>
              <w:rPr>
                <w:sz w:val="10"/>
              </w:rPr>
            </w:pPr>
            <w:r>
              <w:rPr>
                <w:w w:val="115"/>
                <w:sz w:val="10"/>
              </w:rPr>
              <w:t>22/12/2014</w:t>
            </w:r>
          </w:p>
        </w:tc>
        <w:tc>
          <w:tcPr>
            <w:tcW w:w="777" w:type="dxa"/>
          </w:tcPr>
          <w:p>
            <w:pPr/>
          </w:p>
        </w:tc>
        <w:tc>
          <w:tcPr>
            <w:tcW w:w="94" w:type="dxa"/>
          </w:tcPr>
          <w:p>
            <w:pPr/>
          </w:p>
        </w:tc>
        <w:tc>
          <w:tcPr>
            <w:tcW w:w="749" w:type="dxa"/>
          </w:tcPr>
          <w:p>
            <w:pPr>
              <w:pStyle w:val="TableParagraph"/>
              <w:ind w:right="105"/>
              <w:rPr>
                <w:sz w:val="10"/>
              </w:rPr>
            </w:pPr>
            <w:r>
              <w:rPr>
                <w:w w:val="115"/>
                <w:sz w:val="10"/>
              </w:rPr>
              <w:t>15.438,01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68"/>
              <w:rPr>
                <w:b/>
                <w:sz w:val="10"/>
              </w:rPr>
            </w:pPr>
            <w:r>
              <w:rPr>
                <w:b/>
                <w:w w:val="115"/>
                <w:sz w:val="10"/>
              </w:rPr>
              <w:t>15.438,01</w:t>
            </w:r>
          </w:p>
        </w:tc>
        <w:tc>
          <w:tcPr>
            <w:tcW w:w="683" w:type="dxa"/>
          </w:tcPr>
          <w:p>
            <w:pPr>
              <w:pStyle w:val="TableParagraph"/>
              <w:ind w:right="139"/>
              <w:rPr>
                <w:b/>
                <w:sz w:val="10"/>
              </w:rPr>
            </w:pPr>
            <w:r>
              <w:rPr>
                <w:b/>
                <w:w w:val="115"/>
                <w:sz w:val="10"/>
              </w:rPr>
              <w:t>346,62</w:t>
            </w:r>
          </w:p>
        </w:tc>
        <w:tc>
          <w:tcPr>
            <w:tcW w:w="791" w:type="dxa"/>
            <w:tcBorders>
              <w:right w:val="single" w:sz="3" w:space="0" w:color="000000"/>
            </w:tcBorders>
          </w:tcPr>
          <w:p>
            <w:pPr>
              <w:pStyle w:val="TableParagraph"/>
              <w:ind w:right="61"/>
              <w:rPr>
                <w:b/>
                <w:sz w:val="10"/>
              </w:rPr>
            </w:pPr>
            <w:r>
              <w:rPr>
                <w:b/>
                <w:w w:val="115"/>
                <w:sz w:val="10"/>
              </w:rPr>
              <w:t>15.784,63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VACCARELLA DARIO PAOLO</w:t>
            </w:r>
          </w:p>
        </w:tc>
        <w:tc>
          <w:tcPr>
            <w:tcW w:w="792" w:type="dxa"/>
          </w:tcPr>
          <w:p>
            <w:pPr>
              <w:pStyle w:val="TableParagraph"/>
              <w:ind w:left="102" w:right="102"/>
              <w:jc w:val="center"/>
              <w:rPr>
                <w:sz w:val="10"/>
              </w:rPr>
            </w:pPr>
            <w:r>
              <w:rPr>
                <w:w w:val="115"/>
                <w:sz w:val="10"/>
              </w:rPr>
              <w:t>07/01/2015</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8,16</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left="7"/>
              <w:jc w:val="center"/>
              <w:rPr>
                <w:b/>
                <w:sz w:val="10"/>
              </w:rPr>
            </w:pPr>
            <w:r>
              <w:rPr>
                <w:b/>
                <w:w w:val="117"/>
                <w:sz w:val="10"/>
              </w:rPr>
              <w:t>-</w:t>
            </w:r>
          </w:p>
        </w:tc>
        <w:tc>
          <w:tcPr>
            <w:tcW w:w="718" w:type="dxa"/>
          </w:tcPr>
          <w:p>
            <w:pPr>
              <w:pStyle w:val="TableParagraph"/>
              <w:ind w:right="174"/>
              <w:rPr>
                <w:b/>
                <w:sz w:val="10"/>
              </w:rPr>
            </w:pPr>
            <w:r>
              <w:rPr>
                <w:b/>
                <w:w w:val="115"/>
                <w:sz w:val="10"/>
              </w:rPr>
              <w:t>8,16</w:t>
            </w:r>
          </w:p>
        </w:tc>
        <w:tc>
          <w:tcPr>
            <w:tcW w:w="683" w:type="dxa"/>
          </w:tcPr>
          <w:p>
            <w:pPr>
              <w:pStyle w:val="TableParagraph"/>
              <w:ind w:right="139"/>
              <w:rPr>
                <w:b/>
                <w:sz w:val="10"/>
              </w:rPr>
            </w:pPr>
            <w:r>
              <w:rPr>
                <w:b/>
                <w:w w:val="115"/>
                <w:sz w:val="10"/>
              </w:rPr>
              <w:t>97,39</w:t>
            </w:r>
          </w:p>
        </w:tc>
        <w:tc>
          <w:tcPr>
            <w:tcW w:w="791" w:type="dxa"/>
            <w:tcBorders>
              <w:right w:val="single" w:sz="3" w:space="0" w:color="000000"/>
            </w:tcBorders>
          </w:tcPr>
          <w:p>
            <w:pPr>
              <w:pStyle w:val="TableParagraph"/>
              <w:ind w:right="60"/>
              <w:rPr>
                <w:b/>
                <w:sz w:val="10"/>
              </w:rPr>
            </w:pPr>
            <w:r>
              <w:rPr>
                <w:b/>
                <w:w w:val="115"/>
                <w:sz w:val="10"/>
              </w:rPr>
              <w:t>89,23</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PORTA TOMMASO</w:t>
            </w:r>
          </w:p>
        </w:tc>
        <w:tc>
          <w:tcPr>
            <w:tcW w:w="792" w:type="dxa"/>
          </w:tcPr>
          <w:p>
            <w:pPr>
              <w:pStyle w:val="TableParagraph"/>
              <w:ind w:left="102" w:right="102"/>
              <w:jc w:val="center"/>
              <w:rPr>
                <w:sz w:val="10"/>
              </w:rPr>
            </w:pPr>
            <w:r>
              <w:rPr>
                <w:w w:val="115"/>
                <w:sz w:val="10"/>
              </w:rPr>
              <w:t>09/12/2009</w:t>
            </w:r>
          </w:p>
        </w:tc>
        <w:tc>
          <w:tcPr>
            <w:tcW w:w="777" w:type="dxa"/>
          </w:tcPr>
          <w:p>
            <w:pPr/>
          </w:p>
        </w:tc>
        <w:tc>
          <w:tcPr>
            <w:tcW w:w="94" w:type="dxa"/>
          </w:tcPr>
          <w:p>
            <w:pPr/>
          </w:p>
        </w:tc>
        <w:tc>
          <w:tcPr>
            <w:tcW w:w="749" w:type="dxa"/>
          </w:tcPr>
          <w:p>
            <w:pPr>
              <w:pStyle w:val="TableParagraph"/>
              <w:ind w:right="105"/>
              <w:rPr>
                <w:sz w:val="10"/>
              </w:rPr>
            </w:pPr>
            <w:r>
              <w:rPr>
                <w:w w:val="115"/>
                <w:sz w:val="10"/>
              </w:rPr>
              <w:t>4.890,75</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5"/>
              <w:rPr>
                <w:b/>
                <w:sz w:val="10"/>
              </w:rPr>
            </w:pPr>
            <w:r>
              <w:rPr>
                <w:b/>
                <w:w w:val="115"/>
                <w:sz w:val="10"/>
              </w:rPr>
              <w:t>4.890,75</w:t>
            </w:r>
          </w:p>
        </w:tc>
        <w:tc>
          <w:tcPr>
            <w:tcW w:w="683" w:type="dxa"/>
          </w:tcPr>
          <w:p>
            <w:pPr>
              <w:pStyle w:val="TableParagraph"/>
              <w:ind w:right="139"/>
              <w:rPr>
                <w:b/>
                <w:sz w:val="10"/>
              </w:rPr>
            </w:pPr>
            <w:r>
              <w:rPr>
                <w:b/>
                <w:w w:val="115"/>
                <w:sz w:val="10"/>
              </w:rPr>
              <w:t>161,33</w:t>
            </w:r>
          </w:p>
        </w:tc>
        <w:tc>
          <w:tcPr>
            <w:tcW w:w="791" w:type="dxa"/>
            <w:tcBorders>
              <w:right w:val="single" w:sz="3" w:space="0" w:color="000000"/>
            </w:tcBorders>
          </w:tcPr>
          <w:p>
            <w:pPr>
              <w:pStyle w:val="TableParagraph"/>
              <w:ind w:right="61"/>
              <w:rPr>
                <w:b/>
                <w:sz w:val="10"/>
              </w:rPr>
            </w:pPr>
            <w:r>
              <w:rPr>
                <w:b/>
                <w:w w:val="115"/>
                <w:sz w:val="10"/>
              </w:rPr>
              <w:t>5.052,08</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MORLIN SILVIA</w:t>
            </w:r>
          </w:p>
        </w:tc>
        <w:tc>
          <w:tcPr>
            <w:tcW w:w="792" w:type="dxa"/>
          </w:tcPr>
          <w:p>
            <w:pPr>
              <w:pStyle w:val="TableParagraph"/>
              <w:ind w:left="102" w:right="102"/>
              <w:jc w:val="center"/>
              <w:rPr>
                <w:sz w:val="10"/>
              </w:rPr>
            </w:pPr>
            <w:r>
              <w:rPr>
                <w:w w:val="115"/>
                <w:sz w:val="10"/>
              </w:rPr>
              <w:t>07/06/2016</w:t>
            </w:r>
          </w:p>
        </w:tc>
        <w:tc>
          <w:tcPr>
            <w:tcW w:w="777" w:type="dxa"/>
          </w:tcPr>
          <w:p>
            <w:pPr>
              <w:pStyle w:val="TableParagraph"/>
              <w:ind w:right="88"/>
              <w:rPr>
                <w:sz w:val="10"/>
              </w:rPr>
            </w:pPr>
            <w:r>
              <w:rPr>
                <w:w w:val="115"/>
                <w:sz w:val="10"/>
              </w:rPr>
              <w:t>31/12/2016</w:t>
            </w:r>
          </w:p>
        </w:tc>
        <w:tc>
          <w:tcPr>
            <w:tcW w:w="94" w:type="dxa"/>
          </w:tcPr>
          <w:p>
            <w:pPr/>
          </w:p>
        </w:tc>
        <w:tc>
          <w:tcPr>
            <w:tcW w:w="749" w:type="dxa"/>
          </w:tcPr>
          <w:p>
            <w:pPr>
              <w:pStyle w:val="TableParagraph"/>
              <w:ind w:right="105"/>
              <w:rPr>
                <w:sz w:val="10"/>
              </w:rPr>
            </w:pPr>
            <w:r>
              <w:rPr>
                <w:w w:val="115"/>
                <w:sz w:val="10"/>
              </w:rPr>
              <w:t>1.156,33</w:t>
            </w:r>
          </w:p>
        </w:tc>
        <w:tc>
          <w:tcPr>
            <w:tcW w:w="123" w:type="dxa"/>
          </w:tcPr>
          <w:p>
            <w:pPr/>
          </w:p>
        </w:tc>
        <w:tc>
          <w:tcPr>
            <w:tcW w:w="617" w:type="dxa"/>
          </w:tcPr>
          <w:p>
            <w:pPr>
              <w:pStyle w:val="TableParagraph"/>
              <w:ind w:right="127"/>
              <w:rPr>
                <w:sz w:val="10"/>
              </w:rPr>
            </w:pPr>
            <w:r>
              <w:rPr>
                <w:w w:val="115"/>
                <w:sz w:val="10"/>
              </w:rPr>
              <w:t>1.156,33</w:t>
            </w:r>
          </w:p>
        </w:tc>
        <w:tc>
          <w:tcPr>
            <w:tcW w:w="110" w:type="dxa"/>
          </w:tcPr>
          <w:p>
            <w:pPr/>
          </w:p>
        </w:tc>
        <w:tc>
          <w:tcPr>
            <w:tcW w:w="718" w:type="dxa"/>
          </w:tcPr>
          <w:p>
            <w:pPr>
              <w:pStyle w:val="TableParagraph"/>
              <w:ind w:left="103"/>
              <w:jc w:val="center"/>
              <w:rPr>
                <w:b/>
                <w:sz w:val="10"/>
              </w:rPr>
            </w:pPr>
            <w:r>
              <w:rPr>
                <w:b/>
                <w:w w:val="117"/>
                <w:sz w:val="10"/>
              </w:rPr>
              <w:t>-</w:t>
            </w:r>
          </w:p>
        </w:tc>
        <w:tc>
          <w:tcPr>
            <w:tcW w:w="683" w:type="dxa"/>
          </w:tcPr>
          <w:p>
            <w:pPr/>
          </w:p>
        </w:tc>
        <w:tc>
          <w:tcPr>
            <w:tcW w:w="791" w:type="dxa"/>
            <w:tcBorders>
              <w:right w:val="single" w:sz="3" w:space="0" w:color="000000"/>
            </w:tcBorders>
          </w:tcPr>
          <w:p>
            <w:pPr>
              <w:pStyle w:val="TableParagraph"/>
              <w:ind w:right="171"/>
              <w:rPr>
                <w:b/>
                <w:sz w:val="10"/>
              </w:rPr>
            </w:pPr>
            <w:r>
              <w:rPr>
                <w:b/>
                <w:w w:val="117"/>
                <w:sz w:val="10"/>
              </w:rPr>
              <w:t>-</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SCREMIN SIMONETTA</w:t>
            </w:r>
          </w:p>
        </w:tc>
        <w:tc>
          <w:tcPr>
            <w:tcW w:w="792" w:type="dxa"/>
          </w:tcPr>
          <w:p>
            <w:pPr>
              <w:pStyle w:val="TableParagraph"/>
              <w:ind w:left="102" w:right="102"/>
              <w:jc w:val="center"/>
              <w:rPr>
                <w:sz w:val="10"/>
              </w:rPr>
            </w:pPr>
            <w:r>
              <w:rPr>
                <w:w w:val="115"/>
                <w:sz w:val="10"/>
              </w:rPr>
              <w:t>16/09/2016</w:t>
            </w:r>
          </w:p>
        </w:tc>
        <w:tc>
          <w:tcPr>
            <w:tcW w:w="777" w:type="dxa"/>
          </w:tcPr>
          <w:p>
            <w:pPr>
              <w:pStyle w:val="TableParagraph"/>
              <w:ind w:right="88"/>
              <w:rPr>
                <w:sz w:val="10"/>
              </w:rPr>
            </w:pPr>
            <w:r>
              <w:rPr>
                <w:w w:val="115"/>
                <w:sz w:val="10"/>
              </w:rPr>
              <w:t>21/09/2017</w:t>
            </w:r>
          </w:p>
        </w:tc>
        <w:tc>
          <w:tcPr>
            <w:tcW w:w="94" w:type="dxa"/>
          </w:tcPr>
          <w:p>
            <w:pPr/>
          </w:p>
        </w:tc>
        <w:tc>
          <w:tcPr>
            <w:tcW w:w="749" w:type="dxa"/>
          </w:tcPr>
          <w:p>
            <w:pPr>
              <w:pStyle w:val="TableParagraph"/>
              <w:ind w:right="105"/>
              <w:rPr>
                <w:sz w:val="10"/>
              </w:rPr>
            </w:pPr>
            <w:r>
              <w:rPr>
                <w:w w:val="115"/>
                <w:sz w:val="10"/>
              </w:rPr>
              <w:t>10.187,10</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
        </w:tc>
        <w:tc>
          <w:tcPr>
            <w:tcW w:w="718" w:type="dxa"/>
          </w:tcPr>
          <w:p>
            <w:pPr>
              <w:pStyle w:val="TableParagraph"/>
              <w:ind w:right="174"/>
              <w:rPr>
                <w:b/>
                <w:sz w:val="10"/>
              </w:rPr>
            </w:pPr>
            <w:r>
              <w:rPr>
                <w:b/>
                <w:w w:val="115"/>
                <w:sz w:val="10"/>
              </w:rPr>
              <w:t>10.187,10</w:t>
            </w:r>
          </w:p>
        </w:tc>
        <w:tc>
          <w:tcPr>
            <w:tcW w:w="683" w:type="dxa"/>
          </w:tcPr>
          <w:p>
            <w:pPr>
              <w:pStyle w:val="TableParagraph"/>
              <w:ind w:right="139"/>
              <w:rPr>
                <w:b/>
                <w:sz w:val="10"/>
              </w:rPr>
            </w:pPr>
            <w:r>
              <w:rPr>
                <w:b/>
                <w:w w:val="115"/>
                <w:sz w:val="10"/>
              </w:rPr>
              <w:t>113,02</w:t>
            </w:r>
          </w:p>
        </w:tc>
        <w:tc>
          <w:tcPr>
            <w:tcW w:w="791" w:type="dxa"/>
            <w:tcBorders>
              <w:right w:val="single" w:sz="3" w:space="0" w:color="000000"/>
            </w:tcBorders>
          </w:tcPr>
          <w:p>
            <w:pPr>
              <w:pStyle w:val="TableParagraph"/>
              <w:ind w:right="61"/>
              <w:rPr>
                <w:b/>
                <w:sz w:val="10"/>
              </w:rPr>
            </w:pPr>
            <w:r>
              <w:rPr>
                <w:b/>
                <w:w w:val="115"/>
                <w:sz w:val="10"/>
              </w:rPr>
              <w:t>10.300,12</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TURNI DANIELE</w:t>
            </w:r>
          </w:p>
        </w:tc>
        <w:tc>
          <w:tcPr>
            <w:tcW w:w="792" w:type="dxa"/>
          </w:tcPr>
          <w:p>
            <w:pPr>
              <w:pStyle w:val="TableParagraph"/>
              <w:ind w:left="102" w:right="102"/>
              <w:jc w:val="center"/>
              <w:rPr>
                <w:sz w:val="10"/>
              </w:rPr>
            </w:pPr>
            <w:r>
              <w:rPr>
                <w:w w:val="115"/>
                <w:sz w:val="10"/>
              </w:rPr>
              <w:t>20/12/2016</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15,89</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left="7"/>
              <w:jc w:val="center"/>
              <w:rPr>
                <w:b/>
                <w:sz w:val="10"/>
              </w:rPr>
            </w:pPr>
            <w:r>
              <w:rPr>
                <w:b/>
                <w:w w:val="117"/>
                <w:sz w:val="10"/>
              </w:rPr>
              <w:t>-</w:t>
            </w:r>
          </w:p>
        </w:tc>
        <w:tc>
          <w:tcPr>
            <w:tcW w:w="718" w:type="dxa"/>
          </w:tcPr>
          <w:p>
            <w:pPr>
              <w:pStyle w:val="TableParagraph"/>
              <w:ind w:right="174"/>
              <w:rPr>
                <w:b/>
                <w:sz w:val="10"/>
              </w:rPr>
            </w:pPr>
            <w:r>
              <w:rPr>
                <w:b/>
                <w:w w:val="115"/>
                <w:sz w:val="10"/>
              </w:rPr>
              <w:t>15,89</w:t>
            </w:r>
          </w:p>
        </w:tc>
        <w:tc>
          <w:tcPr>
            <w:tcW w:w="683" w:type="dxa"/>
          </w:tcPr>
          <w:p>
            <w:pPr>
              <w:pStyle w:val="TableParagraph"/>
              <w:ind w:right="139"/>
              <w:rPr>
                <w:b/>
                <w:sz w:val="10"/>
              </w:rPr>
            </w:pPr>
            <w:r>
              <w:rPr>
                <w:b/>
                <w:w w:val="115"/>
                <w:sz w:val="10"/>
              </w:rPr>
              <w:t>130,46</w:t>
            </w:r>
          </w:p>
        </w:tc>
        <w:tc>
          <w:tcPr>
            <w:tcW w:w="791" w:type="dxa"/>
            <w:tcBorders>
              <w:right w:val="single" w:sz="3" w:space="0" w:color="000000"/>
            </w:tcBorders>
          </w:tcPr>
          <w:p>
            <w:pPr>
              <w:pStyle w:val="TableParagraph"/>
              <w:ind w:right="61"/>
              <w:rPr>
                <w:b/>
                <w:sz w:val="10"/>
              </w:rPr>
            </w:pPr>
            <w:r>
              <w:rPr>
                <w:b/>
                <w:w w:val="115"/>
                <w:sz w:val="10"/>
              </w:rPr>
              <w:t>114,57</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CARLI NADIA</w:t>
            </w:r>
          </w:p>
        </w:tc>
        <w:tc>
          <w:tcPr>
            <w:tcW w:w="792" w:type="dxa"/>
          </w:tcPr>
          <w:p>
            <w:pPr>
              <w:pStyle w:val="TableParagraph"/>
              <w:ind w:left="102" w:right="102"/>
              <w:jc w:val="center"/>
              <w:rPr>
                <w:sz w:val="10"/>
              </w:rPr>
            </w:pPr>
            <w:r>
              <w:rPr>
                <w:w w:val="115"/>
                <w:sz w:val="10"/>
              </w:rPr>
              <w:t>18/04/2017</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14,41</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right="5"/>
              <w:jc w:val="center"/>
              <w:rPr>
                <w:b/>
                <w:sz w:val="10"/>
              </w:rPr>
            </w:pPr>
            <w:r>
              <w:rPr>
                <w:b/>
                <w:w w:val="117"/>
                <w:sz w:val="10"/>
              </w:rPr>
              <w:t>-</w:t>
            </w:r>
          </w:p>
        </w:tc>
        <w:tc>
          <w:tcPr>
            <w:tcW w:w="718" w:type="dxa"/>
          </w:tcPr>
          <w:p>
            <w:pPr>
              <w:pStyle w:val="TableParagraph"/>
              <w:ind w:right="168"/>
              <w:rPr>
                <w:b/>
                <w:sz w:val="10"/>
              </w:rPr>
            </w:pPr>
            <w:r>
              <w:rPr>
                <w:b/>
                <w:w w:val="115"/>
                <w:sz w:val="10"/>
              </w:rPr>
              <w:t>14,41</w:t>
            </w:r>
          </w:p>
        </w:tc>
        <w:tc>
          <w:tcPr>
            <w:tcW w:w="683" w:type="dxa"/>
          </w:tcPr>
          <w:p>
            <w:pPr>
              <w:pStyle w:val="TableParagraph"/>
              <w:ind w:right="139"/>
              <w:rPr>
                <w:b/>
                <w:sz w:val="10"/>
              </w:rPr>
            </w:pPr>
            <w:r>
              <w:rPr>
                <w:b/>
                <w:w w:val="115"/>
                <w:sz w:val="10"/>
              </w:rPr>
              <w:t>94,65</w:t>
            </w:r>
          </w:p>
        </w:tc>
        <w:tc>
          <w:tcPr>
            <w:tcW w:w="791" w:type="dxa"/>
            <w:tcBorders>
              <w:right w:val="single" w:sz="3" w:space="0" w:color="000000"/>
            </w:tcBorders>
          </w:tcPr>
          <w:p>
            <w:pPr>
              <w:pStyle w:val="TableParagraph"/>
              <w:ind w:right="60"/>
              <w:rPr>
                <w:b/>
                <w:sz w:val="10"/>
              </w:rPr>
            </w:pPr>
            <w:r>
              <w:rPr>
                <w:b/>
                <w:w w:val="115"/>
                <w:sz w:val="10"/>
              </w:rPr>
              <w:t>80,24</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SCORZA SONIA</w:t>
            </w:r>
          </w:p>
        </w:tc>
        <w:tc>
          <w:tcPr>
            <w:tcW w:w="792" w:type="dxa"/>
          </w:tcPr>
          <w:p>
            <w:pPr>
              <w:pStyle w:val="TableParagraph"/>
              <w:ind w:left="102" w:right="102"/>
              <w:jc w:val="center"/>
              <w:rPr>
                <w:sz w:val="10"/>
              </w:rPr>
            </w:pPr>
            <w:r>
              <w:rPr>
                <w:w w:val="115"/>
                <w:sz w:val="10"/>
              </w:rPr>
              <w:t>01/07/2017</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7,20</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right="5"/>
              <w:jc w:val="center"/>
              <w:rPr>
                <w:b/>
                <w:sz w:val="10"/>
              </w:rPr>
            </w:pPr>
            <w:r>
              <w:rPr>
                <w:b/>
                <w:w w:val="117"/>
                <w:sz w:val="10"/>
              </w:rPr>
              <w:t>-</w:t>
            </w:r>
          </w:p>
        </w:tc>
        <w:tc>
          <w:tcPr>
            <w:tcW w:w="718" w:type="dxa"/>
          </w:tcPr>
          <w:p>
            <w:pPr>
              <w:pStyle w:val="TableParagraph"/>
              <w:ind w:right="174"/>
              <w:rPr>
                <w:b/>
                <w:sz w:val="10"/>
              </w:rPr>
            </w:pPr>
            <w:r>
              <w:rPr>
                <w:b/>
                <w:w w:val="115"/>
                <w:sz w:val="10"/>
              </w:rPr>
              <w:t>7,20</w:t>
            </w:r>
          </w:p>
        </w:tc>
        <w:tc>
          <w:tcPr>
            <w:tcW w:w="683" w:type="dxa"/>
          </w:tcPr>
          <w:p>
            <w:pPr>
              <w:pStyle w:val="TableParagraph"/>
              <w:ind w:right="139"/>
              <w:rPr>
                <w:b/>
                <w:sz w:val="10"/>
              </w:rPr>
            </w:pPr>
            <w:r>
              <w:rPr>
                <w:b/>
                <w:w w:val="115"/>
                <w:sz w:val="10"/>
              </w:rPr>
              <w:t>23,96</w:t>
            </w:r>
          </w:p>
        </w:tc>
        <w:tc>
          <w:tcPr>
            <w:tcW w:w="791" w:type="dxa"/>
            <w:tcBorders>
              <w:right w:val="single" w:sz="3" w:space="0" w:color="000000"/>
            </w:tcBorders>
          </w:tcPr>
          <w:p>
            <w:pPr>
              <w:pStyle w:val="TableParagraph"/>
              <w:ind w:right="60"/>
              <w:rPr>
                <w:b/>
                <w:sz w:val="10"/>
              </w:rPr>
            </w:pPr>
            <w:r>
              <w:rPr>
                <w:b/>
                <w:w w:val="115"/>
                <w:sz w:val="10"/>
              </w:rPr>
              <w:t>16,76</w:t>
            </w:r>
          </w:p>
        </w:tc>
      </w:tr>
      <w:tr>
        <w:trPr>
          <w:trHeight w:val="137" w:hRule="exact"/>
        </w:trPr>
        <w:tc>
          <w:tcPr>
            <w:tcW w:w="1630" w:type="dxa"/>
            <w:tcBorders>
              <w:left w:val="single" w:sz="3" w:space="0" w:color="000000"/>
            </w:tcBorders>
          </w:tcPr>
          <w:p>
            <w:pPr>
              <w:pStyle w:val="TableParagraph"/>
              <w:ind w:left="14"/>
              <w:jc w:val="left"/>
              <w:rPr>
                <w:sz w:val="10"/>
              </w:rPr>
            </w:pPr>
            <w:r>
              <w:rPr>
                <w:w w:val="115"/>
                <w:sz w:val="10"/>
              </w:rPr>
              <w:t>PIETROZOTTO  SARA</w:t>
            </w:r>
          </w:p>
        </w:tc>
        <w:tc>
          <w:tcPr>
            <w:tcW w:w="792" w:type="dxa"/>
          </w:tcPr>
          <w:p>
            <w:pPr>
              <w:pStyle w:val="TableParagraph"/>
              <w:ind w:left="102" w:right="102"/>
              <w:jc w:val="center"/>
              <w:rPr>
                <w:sz w:val="10"/>
              </w:rPr>
            </w:pPr>
            <w:r>
              <w:rPr>
                <w:w w:val="115"/>
                <w:sz w:val="10"/>
              </w:rPr>
              <w:t>01/10/2017</w:t>
            </w:r>
          </w:p>
        </w:tc>
        <w:tc>
          <w:tcPr>
            <w:tcW w:w="777" w:type="dxa"/>
          </w:tcPr>
          <w:p>
            <w:pPr/>
          </w:p>
        </w:tc>
        <w:tc>
          <w:tcPr>
            <w:tcW w:w="94" w:type="dxa"/>
          </w:tcPr>
          <w:p>
            <w:pPr>
              <w:pStyle w:val="TableParagraph"/>
              <w:ind w:right="6"/>
              <w:jc w:val="center"/>
              <w:rPr>
                <w:sz w:val="10"/>
              </w:rPr>
            </w:pPr>
            <w:r>
              <w:rPr>
                <w:w w:val="117"/>
                <w:sz w:val="10"/>
              </w:rPr>
              <w:t>-</w:t>
            </w:r>
          </w:p>
        </w:tc>
        <w:tc>
          <w:tcPr>
            <w:tcW w:w="749" w:type="dxa"/>
          </w:tcPr>
          <w:p>
            <w:pPr>
              <w:pStyle w:val="TableParagraph"/>
              <w:ind w:right="105"/>
              <w:rPr>
                <w:sz w:val="10"/>
              </w:rPr>
            </w:pPr>
            <w:r>
              <w:rPr>
                <w:w w:val="115"/>
                <w:sz w:val="10"/>
              </w:rPr>
              <w:t>10,30</w:t>
            </w:r>
          </w:p>
        </w:tc>
        <w:tc>
          <w:tcPr>
            <w:tcW w:w="123" w:type="dxa"/>
          </w:tcPr>
          <w:p>
            <w:pPr/>
          </w:p>
        </w:tc>
        <w:tc>
          <w:tcPr>
            <w:tcW w:w="617" w:type="dxa"/>
          </w:tcPr>
          <w:p>
            <w:pPr>
              <w:pStyle w:val="TableParagraph"/>
              <w:ind w:left="86"/>
              <w:jc w:val="center"/>
              <w:rPr>
                <w:sz w:val="10"/>
              </w:rPr>
            </w:pPr>
            <w:r>
              <w:rPr>
                <w:w w:val="117"/>
                <w:sz w:val="10"/>
              </w:rPr>
              <w:t>-</w:t>
            </w:r>
          </w:p>
        </w:tc>
        <w:tc>
          <w:tcPr>
            <w:tcW w:w="110" w:type="dxa"/>
          </w:tcPr>
          <w:p>
            <w:pPr>
              <w:pStyle w:val="TableParagraph"/>
              <w:ind w:left="7"/>
              <w:jc w:val="center"/>
              <w:rPr>
                <w:b/>
                <w:sz w:val="10"/>
              </w:rPr>
            </w:pPr>
            <w:r>
              <w:rPr>
                <w:b/>
                <w:w w:val="117"/>
                <w:sz w:val="10"/>
              </w:rPr>
              <w:t>-</w:t>
            </w:r>
          </w:p>
        </w:tc>
        <w:tc>
          <w:tcPr>
            <w:tcW w:w="718" w:type="dxa"/>
          </w:tcPr>
          <w:p>
            <w:pPr>
              <w:pStyle w:val="TableParagraph"/>
              <w:ind w:right="174"/>
              <w:rPr>
                <w:b/>
                <w:sz w:val="10"/>
              </w:rPr>
            </w:pPr>
            <w:r>
              <w:rPr>
                <w:b/>
                <w:w w:val="115"/>
                <w:sz w:val="10"/>
              </w:rPr>
              <w:t>10,30</w:t>
            </w:r>
          </w:p>
        </w:tc>
        <w:tc>
          <w:tcPr>
            <w:tcW w:w="683" w:type="dxa"/>
          </w:tcPr>
          <w:p>
            <w:pPr/>
          </w:p>
        </w:tc>
        <w:tc>
          <w:tcPr>
            <w:tcW w:w="791" w:type="dxa"/>
            <w:tcBorders>
              <w:right w:val="single" w:sz="3" w:space="0" w:color="000000"/>
            </w:tcBorders>
          </w:tcPr>
          <w:p>
            <w:pPr>
              <w:pStyle w:val="TableParagraph"/>
              <w:ind w:right="16"/>
              <w:rPr>
                <w:b/>
                <w:sz w:val="10"/>
              </w:rPr>
            </w:pPr>
            <w:r>
              <w:rPr>
                <w:b/>
                <w:w w:val="115"/>
                <w:sz w:val="10"/>
              </w:rPr>
              <w:t>(10,30)</w:t>
            </w:r>
          </w:p>
        </w:tc>
      </w:tr>
      <w:tr>
        <w:trPr>
          <w:trHeight w:val="129" w:hRule="exact"/>
        </w:trPr>
        <w:tc>
          <w:tcPr>
            <w:tcW w:w="1630" w:type="dxa"/>
            <w:tcBorders>
              <w:left w:val="single" w:sz="3" w:space="0" w:color="000000"/>
              <w:bottom w:val="single" w:sz="3" w:space="0" w:color="000000"/>
            </w:tcBorders>
          </w:tcPr>
          <w:p>
            <w:pPr>
              <w:pStyle w:val="TableParagraph"/>
              <w:ind w:left="14"/>
              <w:jc w:val="left"/>
              <w:rPr>
                <w:sz w:val="10"/>
              </w:rPr>
            </w:pPr>
            <w:r>
              <w:rPr>
                <w:w w:val="115"/>
                <w:sz w:val="10"/>
              </w:rPr>
              <w:t>RACCAGNI ELISA</w:t>
            </w:r>
          </w:p>
        </w:tc>
        <w:tc>
          <w:tcPr>
            <w:tcW w:w="792" w:type="dxa"/>
            <w:tcBorders>
              <w:bottom w:val="single" w:sz="3" w:space="0" w:color="000000"/>
            </w:tcBorders>
          </w:tcPr>
          <w:p>
            <w:pPr>
              <w:pStyle w:val="TableParagraph"/>
              <w:ind w:left="102" w:right="102"/>
              <w:jc w:val="center"/>
              <w:rPr>
                <w:sz w:val="10"/>
              </w:rPr>
            </w:pPr>
            <w:r>
              <w:rPr>
                <w:w w:val="115"/>
                <w:sz w:val="10"/>
              </w:rPr>
              <w:t>01/10/2017</w:t>
            </w:r>
          </w:p>
        </w:tc>
        <w:tc>
          <w:tcPr>
            <w:tcW w:w="777" w:type="dxa"/>
            <w:tcBorders>
              <w:bottom w:val="single" w:sz="3" w:space="0" w:color="000000"/>
            </w:tcBorders>
          </w:tcPr>
          <w:p>
            <w:pPr/>
          </w:p>
        </w:tc>
        <w:tc>
          <w:tcPr>
            <w:tcW w:w="94" w:type="dxa"/>
            <w:tcBorders>
              <w:bottom w:val="single" w:sz="3" w:space="0" w:color="000000"/>
            </w:tcBorders>
          </w:tcPr>
          <w:p>
            <w:pPr>
              <w:pStyle w:val="TableParagraph"/>
              <w:ind w:right="6"/>
              <w:jc w:val="center"/>
              <w:rPr>
                <w:sz w:val="10"/>
              </w:rPr>
            </w:pPr>
            <w:r>
              <w:rPr>
                <w:w w:val="117"/>
                <w:sz w:val="10"/>
              </w:rPr>
              <w:t>-</w:t>
            </w:r>
          </w:p>
        </w:tc>
        <w:tc>
          <w:tcPr>
            <w:tcW w:w="749" w:type="dxa"/>
            <w:tcBorders>
              <w:bottom w:val="single" w:sz="3" w:space="0" w:color="000000"/>
            </w:tcBorders>
          </w:tcPr>
          <w:p>
            <w:pPr>
              <w:pStyle w:val="TableParagraph"/>
              <w:ind w:right="105"/>
              <w:rPr>
                <w:sz w:val="10"/>
              </w:rPr>
            </w:pPr>
            <w:r>
              <w:rPr>
                <w:w w:val="115"/>
                <w:sz w:val="10"/>
              </w:rPr>
              <w:t>9,90</w:t>
            </w:r>
          </w:p>
        </w:tc>
        <w:tc>
          <w:tcPr>
            <w:tcW w:w="123" w:type="dxa"/>
            <w:tcBorders>
              <w:bottom w:val="single" w:sz="3" w:space="0" w:color="000000"/>
            </w:tcBorders>
          </w:tcPr>
          <w:p>
            <w:pPr/>
          </w:p>
        </w:tc>
        <w:tc>
          <w:tcPr>
            <w:tcW w:w="617" w:type="dxa"/>
            <w:tcBorders>
              <w:bottom w:val="single" w:sz="3" w:space="0" w:color="000000"/>
            </w:tcBorders>
          </w:tcPr>
          <w:p>
            <w:pPr>
              <w:pStyle w:val="TableParagraph"/>
              <w:ind w:left="86"/>
              <w:jc w:val="center"/>
              <w:rPr>
                <w:sz w:val="10"/>
              </w:rPr>
            </w:pPr>
            <w:r>
              <w:rPr>
                <w:w w:val="117"/>
                <w:sz w:val="10"/>
              </w:rPr>
              <w:t>-</w:t>
            </w:r>
          </w:p>
        </w:tc>
        <w:tc>
          <w:tcPr>
            <w:tcW w:w="110" w:type="dxa"/>
            <w:tcBorders>
              <w:bottom w:val="single" w:sz="3" w:space="0" w:color="000000"/>
            </w:tcBorders>
          </w:tcPr>
          <w:p>
            <w:pPr>
              <w:pStyle w:val="TableParagraph"/>
              <w:ind w:right="5"/>
              <w:jc w:val="center"/>
              <w:rPr>
                <w:b/>
                <w:sz w:val="10"/>
              </w:rPr>
            </w:pPr>
            <w:r>
              <w:rPr>
                <w:b/>
                <w:w w:val="117"/>
                <w:sz w:val="10"/>
              </w:rPr>
              <w:t>-</w:t>
            </w:r>
          </w:p>
        </w:tc>
        <w:tc>
          <w:tcPr>
            <w:tcW w:w="718" w:type="dxa"/>
            <w:tcBorders>
              <w:bottom w:val="single" w:sz="3" w:space="0" w:color="000000"/>
            </w:tcBorders>
          </w:tcPr>
          <w:p>
            <w:pPr>
              <w:pStyle w:val="TableParagraph"/>
              <w:ind w:right="174"/>
              <w:rPr>
                <w:b/>
                <w:sz w:val="10"/>
              </w:rPr>
            </w:pPr>
            <w:r>
              <w:rPr>
                <w:b/>
                <w:w w:val="115"/>
                <w:sz w:val="10"/>
              </w:rPr>
              <w:t>9,90</w:t>
            </w:r>
          </w:p>
        </w:tc>
        <w:tc>
          <w:tcPr>
            <w:tcW w:w="683" w:type="dxa"/>
            <w:tcBorders>
              <w:bottom w:val="single" w:sz="3" w:space="0" w:color="000000"/>
            </w:tcBorders>
          </w:tcPr>
          <w:p>
            <w:pPr/>
          </w:p>
        </w:tc>
        <w:tc>
          <w:tcPr>
            <w:tcW w:w="791" w:type="dxa"/>
            <w:tcBorders>
              <w:bottom w:val="single" w:sz="3" w:space="0" w:color="000000"/>
              <w:right w:val="single" w:sz="3" w:space="0" w:color="000000"/>
            </w:tcBorders>
          </w:tcPr>
          <w:p>
            <w:pPr>
              <w:pStyle w:val="TableParagraph"/>
              <w:ind w:right="15"/>
              <w:rPr>
                <w:b/>
                <w:sz w:val="10"/>
              </w:rPr>
            </w:pPr>
            <w:r>
              <w:rPr>
                <w:b/>
                <w:w w:val="115"/>
                <w:sz w:val="10"/>
              </w:rPr>
              <w:t>(9,90)</w:t>
            </w:r>
          </w:p>
        </w:tc>
      </w:tr>
      <w:tr>
        <w:trPr>
          <w:trHeight w:val="137" w:hRule="exact"/>
        </w:trPr>
        <w:tc>
          <w:tcPr>
            <w:tcW w:w="1630" w:type="dxa"/>
            <w:tcBorders>
              <w:top w:val="single" w:sz="3" w:space="0" w:color="000000"/>
              <w:left w:val="single" w:sz="3" w:space="0" w:color="000000"/>
              <w:bottom w:val="single" w:sz="3" w:space="0" w:color="000000"/>
            </w:tcBorders>
            <w:shd w:val="clear" w:color="auto" w:fill="BEBEBE"/>
          </w:tcPr>
          <w:p>
            <w:pPr>
              <w:pStyle w:val="TableParagraph"/>
              <w:spacing w:before="18"/>
              <w:ind w:left="14"/>
              <w:jc w:val="left"/>
              <w:rPr>
                <w:b/>
                <w:sz w:val="10"/>
              </w:rPr>
            </w:pPr>
            <w:r>
              <w:rPr>
                <w:b/>
                <w:w w:val="115"/>
                <w:sz w:val="10"/>
              </w:rPr>
              <w:t>TOTALE</w:t>
            </w:r>
          </w:p>
        </w:tc>
        <w:tc>
          <w:tcPr>
            <w:tcW w:w="792" w:type="dxa"/>
            <w:tcBorders>
              <w:top w:val="single" w:sz="3" w:space="0" w:color="000000"/>
              <w:bottom w:val="single" w:sz="3" w:space="0" w:color="000000"/>
            </w:tcBorders>
            <w:shd w:val="clear" w:color="auto" w:fill="BEBEBE"/>
          </w:tcPr>
          <w:p>
            <w:pPr/>
          </w:p>
        </w:tc>
        <w:tc>
          <w:tcPr>
            <w:tcW w:w="777" w:type="dxa"/>
            <w:tcBorders>
              <w:top w:val="single" w:sz="3" w:space="0" w:color="000000"/>
              <w:bottom w:val="single" w:sz="3" w:space="0" w:color="000000"/>
            </w:tcBorders>
            <w:shd w:val="clear" w:color="auto" w:fill="BEBEBE"/>
          </w:tcPr>
          <w:p>
            <w:pPr/>
          </w:p>
        </w:tc>
        <w:tc>
          <w:tcPr>
            <w:tcW w:w="94" w:type="dxa"/>
            <w:tcBorders>
              <w:top w:val="single" w:sz="3" w:space="0" w:color="000000"/>
              <w:bottom w:val="single" w:sz="3" w:space="0" w:color="000000"/>
            </w:tcBorders>
            <w:shd w:val="clear" w:color="auto" w:fill="BEBEBE"/>
          </w:tcPr>
          <w:p>
            <w:pPr/>
          </w:p>
        </w:tc>
        <w:tc>
          <w:tcPr>
            <w:tcW w:w="749" w:type="dxa"/>
            <w:tcBorders>
              <w:top w:val="single" w:sz="3" w:space="0" w:color="000000"/>
              <w:bottom w:val="single" w:sz="3" w:space="0" w:color="000000"/>
            </w:tcBorders>
            <w:shd w:val="clear" w:color="auto" w:fill="BEBEBE"/>
          </w:tcPr>
          <w:p>
            <w:pPr>
              <w:pStyle w:val="TableParagraph"/>
              <w:spacing w:before="9"/>
              <w:ind w:right="110"/>
              <w:rPr>
                <w:b/>
                <w:i/>
                <w:sz w:val="11"/>
              </w:rPr>
            </w:pPr>
            <w:r>
              <w:rPr>
                <w:b/>
                <w:i/>
                <w:w w:val="105"/>
                <w:sz w:val="11"/>
              </w:rPr>
              <w:t>774.203,06</w:t>
            </w:r>
          </w:p>
        </w:tc>
        <w:tc>
          <w:tcPr>
            <w:tcW w:w="123" w:type="dxa"/>
            <w:tcBorders>
              <w:top w:val="single" w:sz="3" w:space="0" w:color="000000"/>
              <w:bottom w:val="single" w:sz="3" w:space="0" w:color="000000"/>
            </w:tcBorders>
            <w:shd w:val="clear" w:color="auto" w:fill="BEBEBE"/>
          </w:tcPr>
          <w:p>
            <w:pPr/>
          </w:p>
        </w:tc>
        <w:tc>
          <w:tcPr>
            <w:tcW w:w="617" w:type="dxa"/>
            <w:tcBorders>
              <w:top w:val="single" w:sz="3" w:space="0" w:color="000000"/>
              <w:bottom w:val="single" w:sz="3" w:space="0" w:color="000000"/>
            </w:tcBorders>
            <w:shd w:val="clear" w:color="auto" w:fill="BEBEBE"/>
          </w:tcPr>
          <w:p>
            <w:pPr>
              <w:pStyle w:val="TableParagraph"/>
              <w:spacing w:before="9"/>
              <w:ind w:right="132"/>
              <w:rPr>
                <w:b/>
                <w:i/>
                <w:sz w:val="11"/>
              </w:rPr>
            </w:pPr>
            <w:r>
              <w:rPr>
                <w:b/>
                <w:i/>
                <w:w w:val="105"/>
                <w:sz w:val="11"/>
              </w:rPr>
              <w:t>64.108,70</w:t>
            </w:r>
          </w:p>
        </w:tc>
        <w:tc>
          <w:tcPr>
            <w:tcW w:w="110" w:type="dxa"/>
            <w:tcBorders>
              <w:top w:val="single" w:sz="3" w:space="0" w:color="000000"/>
              <w:bottom w:val="single" w:sz="3" w:space="0" w:color="000000"/>
            </w:tcBorders>
            <w:shd w:val="clear" w:color="auto" w:fill="BEBEBE"/>
          </w:tcPr>
          <w:p>
            <w:pPr/>
          </w:p>
        </w:tc>
        <w:tc>
          <w:tcPr>
            <w:tcW w:w="718" w:type="dxa"/>
            <w:tcBorders>
              <w:top w:val="single" w:sz="3" w:space="0" w:color="000000"/>
              <w:bottom w:val="single" w:sz="3" w:space="0" w:color="000000"/>
            </w:tcBorders>
            <w:shd w:val="clear" w:color="auto" w:fill="BEBEBE"/>
          </w:tcPr>
          <w:p>
            <w:pPr>
              <w:pStyle w:val="TableParagraph"/>
              <w:spacing w:before="9"/>
              <w:ind w:right="175"/>
              <w:rPr>
                <w:b/>
                <w:i/>
                <w:sz w:val="11"/>
              </w:rPr>
            </w:pPr>
            <w:r>
              <w:rPr>
                <w:b/>
                <w:i/>
                <w:w w:val="105"/>
                <w:sz w:val="11"/>
              </w:rPr>
              <w:t>710.094,36</w:t>
            </w:r>
          </w:p>
        </w:tc>
        <w:tc>
          <w:tcPr>
            <w:tcW w:w="683" w:type="dxa"/>
            <w:tcBorders>
              <w:top w:val="single" w:sz="3" w:space="0" w:color="000000"/>
              <w:bottom w:val="single" w:sz="3" w:space="0" w:color="000000"/>
            </w:tcBorders>
            <w:shd w:val="clear" w:color="auto" w:fill="BEBEBE"/>
          </w:tcPr>
          <w:p>
            <w:pPr>
              <w:pStyle w:val="TableParagraph"/>
              <w:spacing w:before="9"/>
              <w:ind w:right="139"/>
              <w:rPr>
                <w:b/>
                <w:i/>
                <w:sz w:val="11"/>
              </w:rPr>
            </w:pPr>
            <w:r>
              <w:rPr>
                <w:b/>
                <w:i/>
                <w:w w:val="105"/>
                <w:sz w:val="11"/>
              </w:rPr>
              <w:t>13.075,57</w:t>
            </w:r>
          </w:p>
        </w:tc>
        <w:tc>
          <w:tcPr>
            <w:tcW w:w="791" w:type="dxa"/>
            <w:tcBorders>
              <w:top w:val="single" w:sz="3" w:space="0" w:color="000000"/>
              <w:bottom w:val="single" w:sz="3" w:space="0" w:color="000000"/>
              <w:right w:val="single" w:sz="3" w:space="0" w:color="000000"/>
            </w:tcBorders>
            <w:shd w:val="clear" w:color="auto" w:fill="BEBEBE"/>
          </w:tcPr>
          <w:p>
            <w:pPr>
              <w:pStyle w:val="TableParagraph"/>
              <w:spacing w:before="9"/>
              <w:ind w:left="134"/>
              <w:jc w:val="left"/>
              <w:rPr>
                <w:b/>
                <w:i/>
                <w:sz w:val="11"/>
              </w:rPr>
            </w:pPr>
            <w:r>
              <w:rPr>
                <w:b/>
                <w:i/>
                <w:w w:val="105"/>
                <w:sz w:val="11"/>
              </w:rPr>
              <w:t>723.169,93</w:t>
            </w:r>
          </w:p>
        </w:tc>
      </w:tr>
    </w:tbl>
    <w:p>
      <w:pPr>
        <w:spacing w:after="0"/>
        <w:jc w:val="left"/>
        <w:rPr>
          <w:sz w:val="11"/>
        </w:rPr>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5"/>
        <w:rPr>
          <w:rFonts w:ascii="Times New Roman"/>
          <w:sz w:val="25"/>
        </w:rPr>
      </w:pPr>
    </w:p>
    <w:p>
      <w:pPr>
        <w:pStyle w:val="BodyText"/>
        <w:spacing w:before="100"/>
        <w:ind w:left="1418"/>
      </w:pPr>
      <w:r>
        <w:rPr>
          <w:u w:val="single"/>
        </w:rPr>
        <w:t>Attività svolta</w:t>
      </w:r>
    </w:p>
    <w:p>
      <w:pPr>
        <w:pStyle w:val="BodyText"/>
        <w:spacing w:before="10"/>
        <w:rPr>
          <w:sz w:val="23"/>
        </w:rPr>
      </w:pPr>
    </w:p>
    <w:p>
      <w:pPr>
        <w:pStyle w:val="BodyText"/>
        <w:spacing w:line="480" w:lineRule="auto" w:before="1"/>
        <w:ind w:left="1418" w:right="1518"/>
      </w:pPr>
      <w:r>
        <w:rPr/>
        <w:t>I sottoscritti hanno verificato l’esistenza e la completezza del debito, nonché lo stanziamento di competenza prendendo visione del tabulato del TFR suddiviso per singolo dipendente.</w:t>
      </w:r>
    </w:p>
    <w:p>
      <w:pPr>
        <w:pStyle w:val="BodyText"/>
        <w:ind w:left="1418"/>
      </w:pPr>
      <w:r>
        <w:rPr/>
        <w:t>Le attività di verifica svolte in particolare hanno riguardato:</w:t>
      </w:r>
    </w:p>
    <w:p>
      <w:pPr>
        <w:pStyle w:val="BodyText"/>
        <w:spacing w:before="10"/>
        <w:rPr>
          <w:sz w:val="23"/>
        </w:rPr>
      </w:pPr>
    </w:p>
    <w:p>
      <w:pPr>
        <w:pStyle w:val="ListParagraph"/>
        <w:numPr>
          <w:ilvl w:val="0"/>
          <w:numId w:val="67"/>
        </w:numPr>
        <w:tabs>
          <w:tab w:pos="2126" w:val="left" w:leader="none"/>
          <w:tab w:pos="2127" w:val="left" w:leader="none"/>
        </w:tabs>
        <w:spacing w:line="456" w:lineRule="auto" w:before="0" w:after="0"/>
        <w:ind w:left="2138" w:right="1423" w:hanging="360"/>
        <w:jc w:val="left"/>
        <w:rPr>
          <w:sz w:val="24"/>
        </w:rPr>
      </w:pPr>
      <w:r>
        <w:rPr>
          <w:sz w:val="24"/>
        </w:rPr>
        <w:t>la verifica del tabulato nominativo e delle movimentazioni del TFR dal 01 gennaio 2017  al 15 ottobre</w:t>
      </w:r>
      <w:r>
        <w:rPr>
          <w:spacing w:val="-6"/>
          <w:sz w:val="24"/>
        </w:rPr>
        <w:t> </w:t>
      </w:r>
      <w:r>
        <w:rPr>
          <w:sz w:val="24"/>
        </w:rPr>
        <w:t>2017;</w:t>
      </w:r>
    </w:p>
    <w:p>
      <w:pPr>
        <w:pStyle w:val="ListParagraph"/>
        <w:numPr>
          <w:ilvl w:val="0"/>
          <w:numId w:val="67"/>
        </w:numPr>
        <w:tabs>
          <w:tab w:pos="2126" w:val="left" w:leader="none"/>
          <w:tab w:pos="2127" w:val="left" w:leader="none"/>
        </w:tabs>
        <w:spacing w:line="453" w:lineRule="auto" w:before="26" w:after="0"/>
        <w:ind w:left="2138" w:right="1422" w:hanging="360"/>
        <w:jc w:val="left"/>
        <w:rPr>
          <w:sz w:val="24"/>
        </w:rPr>
      </w:pPr>
      <w:r>
        <w:rPr>
          <w:sz w:val="24"/>
        </w:rPr>
        <w:t>la verifica a campione dei cedolini dei dipendenti dimessi e/o assunti nel periodo in  esame;</w:t>
      </w:r>
    </w:p>
    <w:p>
      <w:pPr>
        <w:pStyle w:val="ListParagraph"/>
        <w:numPr>
          <w:ilvl w:val="0"/>
          <w:numId w:val="67"/>
        </w:numPr>
        <w:tabs>
          <w:tab w:pos="2126" w:val="left" w:leader="none"/>
          <w:tab w:pos="2127" w:val="left" w:leader="none"/>
        </w:tabs>
        <w:spacing w:line="240" w:lineRule="auto" w:before="29" w:after="0"/>
        <w:ind w:left="2126" w:right="0" w:hanging="348"/>
        <w:jc w:val="left"/>
        <w:rPr>
          <w:sz w:val="24"/>
        </w:rPr>
      </w:pPr>
      <w:r>
        <w:rPr>
          <w:sz w:val="24"/>
        </w:rPr>
        <w:t>la quadratura dell’importo in bilancio con il tabulato del</w:t>
      </w:r>
      <w:r>
        <w:rPr>
          <w:spacing w:val="-13"/>
          <w:sz w:val="24"/>
        </w:rPr>
        <w:t> </w:t>
      </w:r>
      <w:r>
        <w:rPr>
          <w:sz w:val="24"/>
        </w:rPr>
        <w:t>TFR;</w:t>
      </w:r>
    </w:p>
    <w:p>
      <w:pPr>
        <w:pStyle w:val="ListParagraph"/>
        <w:numPr>
          <w:ilvl w:val="1"/>
          <w:numId w:val="67"/>
        </w:numPr>
        <w:tabs>
          <w:tab w:pos="2127" w:val="left" w:leader="none"/>
        </w:tabs>
        <w:spacing w:line="453" w:lineRule="auto" w:before="269" w:after="0"/>
        <w:ind w:left="2189" w:right="1412" w:hanging="360"/>
        <w:jc w:val="left"/>
        <w:rPr>
          <w:sz w:val="24"/>
        </w:rPr>
      </w:pPr>
      <w:r>
        <w:rPr>
          <w:sz w:val="24"/>
        </w:rPr>
        <w:t>la verifica documentale dei movimenti del fondo TFR dal 1° gennaio 2017 al 31 dicembre 2017.</w:t>
      </w:r>
    </w:p>
    <w:p>
      <w:pPr>
        <w:pStyle w:val="BodyText"/>
        <w:spacing w:before="30"/>
        <w:ind w:left="1418"/>
      </w:pPr>
      <w:r>
        <w:rPr>
          <w:u w:val="single"/>
        </w:rPr>
        <w:t>Valorizzazione concordataria</w:t>
      </w:r>
    </w:p>
    <w:p>
      <w:pPr>
        <w:pStyle w:val="BodyText"/>
      </w:pPr>
    </w:p>
    <w:p>
      <w:pPr>
        <w:spacing w:line="480" w:lineRule="auto" w:before="0"/>
        <w:ind w:left="1418" w:right="1413" w:firstLine="0"/>
        <w:jc w:val="left"/>
        <w:rPr>
          <w:sz w:val="24"/>
        </w:rPr>
      </w:pPr>
      <w:r>
        <w:rPr>
          <w:sz w:val="24"/>
        </w:rPr>
        <w:t>Alla luce delle analisi svolte, si può concludere che dal lavoro svolto non sono emerse anomalie. La voce in esame rientra specificatamente nel perimetro Bio oggetto dell’offerta Versalis come si evince a pag. 9 della stessa par.4 iv): “</w:t>
      </w:r>
      <w:r>
        <w:rPr>
          <w:i/>
          <w:sz w:val="24"/>
        </w:rPr>
        <w:t>i contratti di lavoro con i lavoratori subordinati inerenti alle aziende </w:t>
      </w:r>
      <w:r>
        <w:rPr>
          <w:i/>
          <w:sz w:val="24"/>
        </w:rPr>
        <w:t>Bio e i relativi debiti strettamente ed esclusivamente inerenti il TFR (oltre che come previsto dalle normative vigenti, gli oneri connessi a eventuali ferie e permessi maturati ma non goduti) con espressa esclusione di debiti e oneri fiscali e/o previdenziali,” </w:t>
      </w:r>
      <w:r>
        <w:rPr>
          <w:sz w:val="24"/>
        </w:rPr>
        <w:t>pertanto, è stata rettificata e non fa parte dei debiti ai fini concordatari.</w:t>
      </w:r>
    </w:p>
    <w:p>
      <w:pPr>
        <w:pStyle w:val="BodyText"/>
        <w:spacing w:before="4"/>
        <w:rPr>
          <w:sz w:val="21"/>
        </w:rPr>
      </w:pPr>
    </w:p>
    <w:p>
      <w:pPr>
        <w:pStyle w:val="Heading2"/>
      </w:pPr>
      <w:r>
        <w:rPr>
          <w:u w:val="single"/>
        </w:rPr>
        <w:t>DEBITI VERSO BANCHE E ALTRI FINANZIATORI</w:t>
      </w:r>
    </w:p>
    <w:p>
      <w:pPr>
        <w:pStyle w:val="BodyText"/>
        <w:spacing w:before="11"/>
        <w:rPr>
          <w:b/>
          <w:sz w:val="23"/>
        </w:rPr>
      </w:pPr>
    </w:p>
    <w:p>
      <w:pPr>
        <w:pStyle w:val="BodyText"/>
        <w:spacing w:line="480" w:lineRule="auto"/>
        <w:ind w:left="1418" w:right="1518"/>
      </w:pPr>
      <w:r>
        <w:rPr/>
        <w:t>Alla data del 15.10.2017 nella situazione contabile tali passività sono iscritte per un importo complessivo pari ad Euro 115.705.258 e sono rappresentative sia del debito verso gli istituti di</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4"/>
        <w:jc w:val="both"/>
      </w:pPr>
      <w:r>
        <w:rPr/>
        <w:t>credito per le posizioni a breve sia per le posizioni a medio lungo termine e verso altri  finanziatori.</w:t>
      </w:r>
    </w:p>
    <w:p>
      <w:pPr>
        <w:pStyle w:val="BodyText"/>
        <w:spacing w:line="480" w:lineRule="auto"/>
        <w:ind w:left="1418" w:right="1412"/>
        <w:jc w:val="both"/>
      </w:pPr>
      <w:r>
        <w:rPr/>
        <w:t>Prima di procedere con l’analisi delle singole voci componenti il debito verso le banche, si rende necessaria una breve precisazione sull’operazione “finanziamento Bei” alla luce delle ricostruzioni effettuate dalla Società con il supporto di Deloitte e riportate nei </w:t>
      </w:r>
      <w:r>
        <w:rPr>
          <w:i/>
        </w:rPr>
        <w:t>Deliverables</w:t>
      </w:r>
      <w:r>
        <w:rPr/>
        <w:t>.</w:t>
      </w:r>
    </w:p>
    <w:p>
      <w:pPr>
        <w:spacing w:line="480" w:lineRule="auto" w:before="0"/>
        <w:ind w:left="1418" w:right="1412" w:firstLine="0"/>
        <w:jc w:val="both"/>
        <w:rPr>
          <w:i/>
          <w:sz w:val="24"/>
        </w:rPr>
      </w:pPr>
      <w:r>
        <w:rPr>
          <w:sz w:val="24"/>
        </w:rPr>
        <w:t>In data 12 dicembre 2013 Biochemetex ha sottoscritto un contratto di finanziamento con  la banca BEI che concedeva a Biochemtex un finanziamento a tasso agevolato di Euro 65 milioni per la realizzazione di un “</w:t>
      </w:r>
      <w:r>
        <w:rPr>
          <w:i/>
          <w:sz w:val="24"/>
        </w:rPr>
        <w:t>progetto relativo a investimenti di ricerca e sviluppo per gli anni 2013-2016, con </w:t>
      </w:r>
      <w:r>
        <w:rPr>
          <w:i/>
          <w:sz w:val="24"/>
        </w:rPr>
        <w:t>l’obiettivo di massimizzare l’uso della biomassa a fini energetici e il successivo trattamento chimico e sviluppare biocarburanti e prodotti chimici di seconda generazione”.</w:t>
      </w:r>
    </w:p>
    <w:p>
      <w:pPr>
        <w:pStyle w:val="BodyText"/>
        <w:spacing w:line="480" w:lineRule="auto"/>
        <w:ind w:left="1418" w:right="1412"/>
        <w:jc w:val="both"/>
      </w:pPr>
      <w:r>
        <w:rPr/>
        <w:t>In particolare, il contratto era destinato a finanziare la progettazione, la costruzione e la gestione di n. 5 nuovi impianti-pilota (di cui n. 3 presso il centro di R&amp;S di Rivalta Scrivia e n. 2 presso il centro di R&amp;S di Modugno). Attraverso i suddetti 5 impianti, Biochemtex avrebbero dovuto implementare, a fini dimostrativi, processi industriali di produzione di biocarburanti fondati su tecnologia</w:t>
      </w:r>
      <w:r>
        <w:rPr>
          <w:spacing w:val="-13"/>
        </w:rPr>
        <w:t> </w:t>
      </w:r>
      <w:r>
        <w:rPr/>
        <w:t>«PROESA».</w:t>
      </w:r>
    </w:p>
    <w:p>
      <w:pPr>
        <w:pStyle w:val="BodyText"/>
        <w:ind w:left="1418"/>
        <w:jc w:val="both"/>
      </w:pPr>
      <w:r>
        <w:rPr/>
        <w:t>L’erogazione dei fondi da parte di BEI era subordinata al rilascio di garanzie da parte di «SACE</w:t>
      </w:r>
    </w:p>
    <w:p>
      <w:pPr>
        <w:pStyle w:val="BodyText"/>
        <w:spacing w:before="10"/>
        <w:rPr>
          <w:sz w:val="23"/>
        </w:rPr>
      </w:pPr>
    </w:p>
    <w:p>
      <w:pPr>
        <w:pStyle w:val="ListParagraph"/>
        <w:numPr>
          <w:ilvl w:val="2"/>
          <w:numId w:val="68"/>
        </w:numPr>
        <w:tabs>
          <w:tab w:pos="2050" w:val="left" w:leader="none"/>
        </w:tabs>
        <w:spacing w:line="480" w:lineRule="auto" w:before="0" w:after="0"/>
        <w:ind w:left="1418" w:right="1424" w:firstLine="0"/>
        <w:jc w:val="both"/>
        <w:rPr>
          <w:sz w:val="24"/>
        </w:rPr>
      </w:pPr>
      <w:r>
        <w:rPr>
          <w:sz w:val="24"/>
        </w:rPr>
        <w:t>e/o da una o più banche italiane o comunitarie» per le quali la stessa BEI ha espresso per iscritto il proprio gradimento mediante la sottoscrizione di un contratto di</w:t>
      </w:r>
      <w:r>
        <w:rPr>
          <w:spacing w:val="-38"/>
          <w:sz w:val="24"/>
        </w:rPr>
        <w:t> </w:t>
      </w:r>
      <w:r>
        <w:rPr>
          <w:sz w:val="24"/>
        </w:rPr>
        <w:t>garanzia.</w:t>
      </w:r>
    </w:p>
    <w:p>
      <w:pPr>
        <w:pStyle w:val="BodyText"/>
        <w:spacing w:line="480" w:lineRule="auto"/>
        <w:ind w:left="1418" w:right="1422"/>
        <w:jc w:val="both"/>
      </w:pPr>
      <w:r>
        <w:rPr/>
        <w:t>In forza di tale condizione Biochemtex stipulava con SACE, Intesa Sanpaolo, BNL e BPM “Accordi diretti” ai fini del rilascio (a beneficio di BEI e nell’interesse della stessa Biochemtex) delle seguenti garanzie:</w:t>
      </w:r>
    </w:p>
    <w:p>
      <w:pPr>
        <w:pStyle w:val="ListParagraph"/>
        <w:numPr>
          <w:ilvl w:val="3"/>
          <w:numId w:val="68"/>
        </w:numPr>
        <w:tabs>
          <w:tab w:pos="2127" w:val="left" w:leader="none"/>
        </w:tabs>
        <w:spacing w:line="304" w:lineRule="exact" w:before="0" w:after="0"/>
        <w:ind w:left="2126" w:right="0" w:hanging="297"/>
        <w:jc w:val="left"/>
        <w:rPr>
          <w:sz w:val="24"/>
        </w:rPr>
      </w:pPr>
      <w:r>
        <w:rPr>
          <w:sz w:val="24"/>
        </w:rPr>
        <w:t>garanzia di Euro 24.187.500, da parte di</w:t>
      </w:r>
      <w:r>
        <w:rPr>
          <w:spacing w:val="-16"/>
          <w:sz w:val="24"/>
        </w:rPr>
        <w:t> </w:t>
      </w:r>
      <w:r>
        <w:rPr>
          <w:sz w:val="24"/>
        </w:rPr>
        <w:t>SACE;</w:t>
      </w:r>
    </w:p>
    <w:p>
      <w:pPr>
        <w:pStyle w:val="BodyText"/>
        <w:spacing w:before="1"/>
      </w:pPr>
    </w:p>
    <w:p>
      <w:pPr>
        <w:pStyle w:val="ListParagraph"/>
        <w:numPr>
          <w:ilvl w:val="3"/>
          <w:numId w:val="68"/>
        </w:numPr>
        <w:tabs>
          <w:tab w:pos="2127" w:val="left" w:leader="none"/>
        </w:tabs>
        <w:spacing w:line="240" w:lineRule="auto" w:before="0" w:after="0"/>
        <w:ind w:left="2126" w:right="0" w:hanging="297"/>
        <w:jc w:val="left"/>
        <w:rPr>
          <w:sz w:val="24"/>
        </w:rPr>
      </w:pPr>
      <w:r>
        <w:rPr>
          <w:sz w:val="24"/>
        </w:rPr>
        <w:t>garanzia di Euro 21.500.000, da parte di Intesa</w:t>
      </w:r>
      <w:r>
        <w:rPr>
          <w:spacing w:val="-27"/>
          <w:sz w:val="24"/>
        </w:rPr>
        <w:t> </w:t>
      </w:r>
      <w:r>
        <w:rPr>
          <w:sz w:val="24"/>
        </w:rPr>
        <w:t>Sanpaolo;</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3"/>
          <w:numId w:val="68"/>
        </w:numPr>
        <w:tabs>
          <w:tab w:pos="2127" w:val="left" w:leader="none"/>
        </w:tabs>
        <w:spacing w:line="240" w:lineRule="auto" w:before="100" w:after="0"/>
        <w:ind w:left="2126" w:right="0" w:hanging="297"/>
        <w:jc w:val="left"/>
        <w:rPr>
          <w:sz w:val="24"/>
        </w:rPr>
      </w:pPr>
      <w:r>
        <w:rPr>
          <w:sz w:val="24"/>
        </w:rPr>
        <w:t>garanzia di Euro 13.437.500, da parte di</w:t>
      </w:r>
      <w:r>
        <w:rPr>
          <w:spacing w:val="-16"/>
          <w:sz w:val="24"/>
        </w:rPr>
        <w:t> </w:t>
      </w:r>
      <w:r>
        <w:rPr>
          <w:sz w:val="24"/>
        </w:rPr>
        <w:t>BPM;</w:t>
      </w:r>
    </w:p>
    <w:p>
      <w:pPr>
        <w:pStyle w:val="BodyText"/>
        <w:spacing w:before="1"/>
      </w:pPr>
    </w:p>
    <w:p>
      <w:pPr>
        <w:pStyle w:val="ListParagraph"/>
        <w:numPr>
          <w:ilvl w:val="3"/>
          <w:numId w:val="68"/>
        </w:numPr>
        <w:tabs>
          <w:tab w:pos="2127" w:val="left" w:leader="none"/>
        </w:tabs>
        <w:spacing w:line="240" w:lineRule="auto" w:before="0" w:after="0"/>
        <w:ind w:left="2126" w:right="0" w:hanging="297"/>
        <w:jc w:val="left"/>
        <w:rPr>
          <w:sz w:val="24"/>
        </w:rPr>
      </w:pPr>
      <w:r>
        <w:rPr>
          <w:sz w:val="24"/>
        </w:rPr>
        <w:t>garanzia di Euro 10.750.000, da parte di</w:t>
      </w:r>
      <w:r>
        <w:rPr>
          <w:spacing w:val="-17"/>
          <w:sz w:val="24"/>
        </w:rPr>
        <w:t> </w:t>
      </w:r>
      <w:r>
        <w:rPr>
          <w:sz w:val="24"/>
        </w:rPr>
        <w:t>BNL.</w:t>
      </w:r>
    </w:p>
    <w:p>
      <w:pPr>
        <w:pStyle w:val="BodyText"/>
        <w:spacing w:line="480" w:lineRule="auto" w:before="269"/>
        <w:ind w:left="1418" w:right="1412"/>
        <w:jc w:val="both"/>
      </w:pPr>
      <w:r>
        <w:rPr/>
        <w:t>Le suddette banche sono state a loro volta garantite da M&amp;G Finanziaria che contestualmente ha stipulato con i medesimi istituti un </w:t>
      </w:r>
      <w:r>
        <w:rPr>
          <w:i/>
        </w:rPr>
        <w:t>“Contratto di garanzia e manleva</w:t>
      </w:r>
      <w:r>
        <w:rPr/>
        <w:t>” con cui garantiva loro il soddisfacimento delle rispettive ragioni di credito (nei confronti di Biochemtex) derivanti dalla (eventuale) escussione delle garanzie da parte di BEI.</w:t>
      </w:r>
    </w:p>
    <w:p>
      <w:pPr>
        <w:pStyle w:val="BodyText"/>
        <w:spacing w:line="480" w:lineRule="auto"/>
        <w:ind w:left="1418" w:right="1418"/>
        <w:jc w:val="both"/>
      </w:pPr>
      <w:r>
        <w:rPr/>
        <w:t>La garanzia fornita da M&amp;G Finanziaria comportava la costituzione di un pegno sul proprio conto corrente n. 2412 acceso presso Intesa Sanpaolo (ovvero sulle somme ivi esistenti e/o di volta in volta accreditate).</w:t>
      </w:r>
    </w:p>
    <w:p>
      <w:pPr>
        <w:spacing w:line="480" w:lineRule="auto" w:before="0"/>
        <w:ind w:left="1418" w:right="1414" w:firstLine="0"/>
        <w:jc w:val="both"/>
        <w:rPr>
          <w:i/>
          <w:sz w:val="24"/>
        </w:rPr>
      </w:pPr>
      <w:r>
        <w:rPr>
          <w:sz w:val="24"/>
        </w:rPr>
        <w:t>Gli scriventi precisano che la Banca BNL ha stipulato in data 28 ottobre 2014 un contratto di pegno con la M&amp;G S.p.A. sul proprio conto correnti numero 487, in forza del quale si è contro garantita in vista di un eventuale escussione da parte di BEI. In particolare l’art 9.1 del contratto di pegno prevede quanto segue </w:t>
      </w:r>
      <w:r>
        <w:rPr>
          <w:i/>
          <w:sz w:val="24"/>
        </w:rPr>
        <w:t>“ al verificarsi di un Evento di Escussione, che non sia stato rimediato, i </w:t>
      </w:r>
      <w:r>
        <w:rPr>
          <w:i/>
          <w:sz w:val="24"/>
        </w:rPr>
        <w:t>“Creditori Garantiti…avranno il diritto, anche in caso di una apertura di una Procedura Concorsuale, ma non l’obbligo….di escutere, in tutto o in parte, la presente Garanzia….ed utilizzare le somme depositate a soddisfacimento delle Obbligazioni Garantite, anche mediante</w:t>
      </w:r>
      <w:r>
        <w:rPr>
          <w:i/>
          <w:spacing w:val="-23"/>
          <w:sz w:val="24"/>
        </w:rPr>
        <w:t> </w:t>
      </w:r>
      <w:r>
        <w:rPr>
          <w:i/>
          <w:sz w:val="24"/>
        </w:rPr>
        <w:t>compensazione.”</w:t>
      </w:r>
    </w:p>
    <w:p>
      <w:pPr>
        <w:pStyle w:val="BodyText"/>
        <w:spacing w:line="480" w:lineRule="auto"/>
        <w:ind w:left="1418" w:right="1413"/>
        <w:jc w:val="both"/>
      </w:pPr>
      <w:r>
        <w:rPr/>
        <w:t>In data 7 novembre 2014 BEI procedeva all’erogazione del finanziamento di Euro 65 milioni,  con accredito del relativo importo sul conto corrente di </w:t>
      </w:r>
      <w:r>
        <w:rPr>
          <w:i/>
        </w:rPr>
        <w:t>cash pooling </w:t>
      </w:r>
      <w:r>
        <w:rPr/>
        <w:t>di Biochemtex n. 395 acceso presso Intesa</w:t>
      </w:r>
      <w:r>
        <w:rPr>
          <w:spacing w:val="-13"/>
        </w:rPr>
        <w:t> </w:t>
      </w:r>
      <w:r>
        <w:rPr/>
        <w:t>Sanpaolo.</w:t>
      </w:r>
    </w:p>
    <w:p>
      <w:pPr>
        <w:pStyle w:val="BodyText"/>
        <w:spacing w:line="480" w:lineRule="auto"/>
        <w:ind w:left="1418" w:right="1413"/>
        <w:jc w:val="both"/>
      </w:pPr>
      <w:r>
        <w:rPr/>
        <w:t>Decorso il periodo di pre-ammortamento di due anni (nel corso del quale venivano corrisposti solamente gli interessi), in data 7 novembre 2016 e 5 maggio 2017 Biochemtex rimborsava le prime  n. 2 rate  del capitale  finanziato (scadenti rispettivamente  in data 7 novembre  2016 e   </w:t>
      </w:r>
      <w:r>
        <w:rPr>
          <w:spacing w:val="55"/>
        </w:rPr>
        <w:t> </w:t>
      </w:r>
      <w:r>
        <w:rPr/>
        <w:t>8</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maggio 2017), con conseguente esborso di complessivi Euro 11.818.181,82 (oltre agli interessi maturati), pari a Euro 5.909.091 per singola rata.</w:t>
      </w:r>
    </w:p>
    <w:p>
      <w:pPr>
        <w:pStyle w:val="BodyText"/>
        <w:spacing w:line="480" w:lineRule="auto"/>
        <w:ind w:left="1418" w:right="1412"/>
        <w:jc w:val="both"/>
      </w:pPr>
      <w:r>
        <w:rPr/>
        <w:t>Per effetto dei rimborsi effettuati, l’esposizione debitoria (in linea capitale) verso BEI si riduceva da Euro 65.000.000 a Euro 53.181.818,18.</w:t>
      </w:r>
    </w:p>
    <w:p>
      <w:pPr>
        <w:pStyle w:val="BodyText"/>
        <w:spacing w:line="480" w:lineRule="auto"/>
        <w:ind w:left="1418" w:right="1420"/>
        <w:jc w:val="both"/>
      </w:pPr>
      <w:r>
        <w:rPr/>
        <w:t>A seguito del mancato pagamento delle successive rate, tra il 4 e l’11 dicembre 2017 BEI escuteva le garanzie rilasciate da SACE, Intesa Sanpaolo, BNL e BPM, fino a concorrenza del credito vantato nei confronti di Biochemtex.</w:t>
      </w:r>
    </w:p>
    <w:p>
      <w:pPr>
        <w:pStyle w:val="BodyText"/>
        <w:ind w:left="1418"/>
        <w:jc w:val="both"/>
      </w:pPr>
      <w:r>
        <w:rPr/>
        <w:t>In particolare, a fronte delle escussioni delle garanzie:</w:t>
      </w:r>
    </w:p>
    <w:p>
      <w:pPr>
        <w:pStyle w:val="BodyText"/>
      </w:pPr>
    </w:p>
    <w:p>
      <w:pPr>
        <w:pStyle w:val="ListParagraph"/>
        <w:numPr>
          <w:ilvl w:val="0"/>
          <w:numId w:val="69"/>
        </w:numPr>
        <w:tabs>
          <w:tab w:pos="2126" w:val="left" w:leader="none"/>
          <w:tab w:pos="2127" w:val="left" w:leader="none"/>
        </w:tabs>
        <w:spacing w:line="460" w:lineRule="auto" w:before="0" w:after="0"/>
        <w:ind w:left="2138" w:right="1420" w:hanging="360"/>
        <w:jc w:val="left"/>
        <w:rPr>
          <w:sz w:val="24"/>
        </w:rPr>
      </w:pPr>
      <w:r>
        <w:rPr>
          <w:sz w:val="24"/>
        </w:rPr>
        <w:t>SACE rimborsava a BEI l’importo di Euro 18.522.736,62 (di cui Euro 18.408.545,46 in conto capitale ed Euro 114.191,16 in conto interessi e</w:t>
      </w:r>
      <w:r>
        <w:rPr>
          <w:spacing w:val="-21"/>
          <w:sz w:val="24"/>
        </w:rPr>
        <w:t> </w:t>
      </w:r>
      <w:r>
        <w:rPr>
          <w:sz w:val="24"/>
        </w:rPr>
        <w:t>penali);</w:t>
      </w:r>
    </w:p>
    <w:p>
      <w:pPr>
        <w:pStyle w:val="ListParagraph"/>
        <w:numPr>
          <w:ilvl w:val="0"/>
          <w:numId w:val="69"/>
        </w:numPr>
        <w:tabs>
          <w:tab w:pos="2126" w:val="left" w:leader="none"/>
          <w:tab w:pos="2127" w:val="left" w:leader="none"/>
        </w:tabs>
        <w:spacing w:line="460" w:lineRule="auto" w:before="21" w:after="0"/>
        <w:ind w:left="2138" w:right="1416" w:hanging="360"/>
        <w:jc w:val="left"/>
        <w:rPr>
          <w:sz w:val="24"/>
        </w:rPr>
      </w:pPr>
      <w:r>
        <w:rPr>
          <w:sz w:val="24"/>
        </w:rPr>
        <w:t>Intesa Sanpaolo rimborsava l’importo di Euro 16.457.971,16 di cui (Euro 16.363.545,46  in conto capitale ed Euro 94.425,70 in conto interessi e</w:t>
      </w:r>
      <w:r>
        <w:rPr>
          <w:spacing w:val="-20"/>
          <w:sz w:val="24"/>
        </w:rPr>
        <w:t> </w:t>
      </w:r>
      <w:r>
        <w:rPr>
          <w:sz w:val="24"/>
        </w:rPr>
        <w:t>penali);</w:t>
      </w:r>
    </w:p>
    <w:p>
      <w:pPr>
        <w:pStyle w:val="ListParagraph"/>
        <w:numPr>
          <w:ilvl w:val="0"/>
          <w:numId w:val="69"/>
        </w:numPr>
        <w:tabs>
          <w:tab w:pos="2126" w:val="left" w:leader="none"/>
          <w:tab w:pos="2127" w:val="left" w:leader="none"/>
        </w:tabs>
        <w:spacing w:line="460" w:lineRule="auto" w:before="21" w:after="0"/>
        <w:ind w:left="2138" w:right="1418" w:hanging="360"/>
        <w:jc w:val="left"/>
        <w:rPr>
          <w:sz w:val="24"/>
        </w:rPr>
      </w:pPr>
      <w:r>
        <w:rPr>
          <w:sz w:val="24"/>
        </w:rPr>
        <w:t>BNL rimborsava l’importo di Euro 8.228.985,59 (di cui Euro 8.182.545,46 in conto capitale ed Euro 114.191,16 in conto interessi e</w:t>
      </w:r>
      <w:r>
        <w:rPr>
          <w:spacing w:val="-16"/>
          <w:sz w:val="24"/>
        </w:rPr>
        <w:t> </w:t>
      </w:r>
      <w:r>
        <w:rPr>
          <w:sz w:val="24"/>
        </w:rPr>
        <w:t>penali);</w:t>
      </w:r>
    </w:p>
    <w:p>
      <w:pPr>
        <w:pStyle w:val="ListParagraph"/>
        <w:numPr>
          <w:ilvl w:val="0"/>
          <w:numId w:val="69"/>
        </w:numPr>
        <w:tabs>
          <w:tab w:pos="2126" w:val="left" w:leader="none"/>
          <w:tab w:pos="2127" w:val="left" w:leader="none"/>
        </w:tabs>
        <w:spacing w:line="460" w:lineRule="auto" w:before="21" w:after="0"/>
        <w:ind w:left="2138" w:right="1418" w:hanging="360"/>
        <w:jc w:val="left"/>
        <w:rPr>
          <w:sz w:val="24"/>
        </w:rPr>
      </w:pPr>
      <w:r>
        <w:rPr>
          <w:sz w:val="24"/>
        </w:rPr>
        <w:t>BPM rimborsava l’importo di Euro 10.282.985 (di cui Euro 10.227.363,64 in conto capitale ed Euro 55.620,70 in conto interessi e</w:t>
      </w:r>
      <w:r>
        <w:rPr>
          <w:spacing w:val="-20"/>
          <w:sz w:val="24"/>
        </w:rPr>
        <w:t> </w:t>
      </w:r>
      <w:r>
        <w:rPr>
          <w:sz w:val="24"/>
        </w:rPr>
        <w:t>penali).</w:t>
      </w:r>
    </w:p>
    <w:p>
      <w:pPr>
        <w:pStyle w:val="BodyText"/>
        <w:spacing w:line="480" w:lineRule="auto" w:before="21"/>
        <w:ind w:left="1418" w:right="1417"/>
        <w:jc w:val="both"/>
      </w:pPr>
      <w:r>
        <w:rPr>
          <w:u w:val="single"/>
        </w:rPr>
        <w:t>Le escussioni delle garanzie da parte di BEI, unitamente alle iniziative di rivalsa conseguentemente intraprese dagli istituti finanziari, determinavano in capo a Biochemtex, da </w:t>
      </w:r>
      <w:r>
        <w:rPr>
          <w:spacing w:val="23"/>
          <w:u w:val="single"/>
        </w:rPr>
        <w:t> </w:t>
      </w:r>
      <w:r>
        <w:rPr>
          <w:u w:val="single"/>
        </w:rPr>
        <w:t>un</w:t>
      </w:r>
    </w:p>
    <w:p>
      <w:pPr>
        <w:pStyle w:val="BodyText"/>
        <w:spacing w:line="480" w:lineRule="auto"/>
        <w:ind w:left="1418" w:right="1413"/>
      </w:pPr>
      <w:r>
        <w:rPr>
          <w:u w:val="single"/>
        </w:rPr>
        <w:t>lato, l’integrale estinzione del debito verso BEI e dall’altro, l’iscrizione di posizioni debitorie verso gli istituti escussi, per un ammontare complessivo Euro 53.492,677,71.</w:t>
      </w:r>
    </w:p>
    <w:p>
      <w:pPr>
        <w:pStyle w:val="BodyText"/>
        <w:ind w:left="1418"/>
      </w:pPr>
      <w:r>
        <w:rPr/>
        <w:t>Di seguito si riporta la tabella riepilogativa dei debiti verso le banche.</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after="1"/>
        <w:rPr>
          <w:sz w:val="13"/>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66"/>
        <w:gridCol w:w="2980"/>
        <w:gridCol w:w="1258"/>
        <w:gridCol w:w="972"/>
        <w:gridCol w:w="1101"/>
        <w:gridCol w:w="833"/>
        <w:gridCol w:w="1240"/>
      </w:tblGrid>
      <w:tr>
        <w:trPr>
          <w:trHeight w:val="435" w:hRule="exact"/>
        </w:trPr>
        <w:tc>
          <w:tcPr>
            <w:tcW w:w="666" w:type="dxa"/>
            <w:shd w:val="clear" w:color="auto" w:fill="BEBEBE"/>
          </w:tcPr>
          <w:p>
            <w:pPr>
              <w:pStyle w:val="TableParagraph"/>
              <w:spacing w:before="1"/>
              <w:jc w:val="left"/>
              <w:rPr>
                <w:sz w:val="13"/>
              </w:rPr>
            </w:pPr>
          </w:p>
          <w:p>
            <w:pPr>
              <w:pStyle w:val="TableParagraph"/>
              <w:spacing w:before="0"/>
              <w:ind w:right="134"/>
              <w:rPr>
                <w:b/>
                <w:sz w:val="14"/>
              </w:rPr>
            </w:pPr>
            <w:r>
              <w:rPr>
                <w:b/>
                <w:w w:val="105"/>
                <w:sz w:val="14"/>
              </w:rPr>
              <w:t>Conto</w:t>
            </w:r>
          </w:p>
        </w:tc>
        <w:tc>
          <w:tcPr>
            <w:tcW w:w="2980" w:type="dxa"/>
            <w:shd w:val="clear" w:color="auto" w:fill="BEBEBE"/>
          </w:tcPr>
          <w:p>
            <w:pPr>
              <w:pStyle w:val="TableParagraph"/>
              <w:spacing w:before="1"/>
              <w:jc w:val="left"/>
              <w:rPr>
                <w:sz w:val="13"/>
              </w:rPr>
            </w:pPr>
          </w:p>
          <w:p>
            <w:pPr>
              <w:pStyle w:val="TableParagraph"/>
              <w:spacing w:before="0"/>
              <w:ind w:left="1092" w:right="1096"/>
              <w:jc w:val="center"/>
              <w:rPr>
                <w:b/>
                <w:sz w:val="14"/>
              </w:rPr>
            </w:pPr>
            <w:r>
              <w:rPr>
                <w:b/>
                <w:w w:val="105"/>
                <w:sz w:val="14"/>
              </w:rPr>
              <w:t>Descrizione</w:t>
            </w:r>
          </w:p>
        </w:tc>
        <w:tc>
          <w:tcPr>
            <w:tcW w:w="1258" w:type="dxa"/>
            <w:shd w:val="clear" w:color="auto" w:fill="BEBEBE"/>
          </w:tcPr>
          <w:p>
            <w:pPr>
              <w:pStyle w:val="TableParagraph"/>
              <w:spacing w:line="295" w:lineRule="auto" w:before="45"/>
              <w:ind w:left="240" w:right="76" w:hanging="158"/>
              <w:jc w:val="left"/>
              <w:rPr>
                <w:b/>
                <w:sz w:val="14"/>
              </w:rPr>
            </w:pPr>
            <w:r>
              <w:rPr>
                <w:b/>
                <w:w w:val="105"/>
                <w:sz w:val="14"/>
              </w:rPr>
              <w:t>Valori di bilancio al 15.10.2017</w:t>
            </w:r>
          </w:p>
        </w:tc>
        <w:tc>
          <w:tcPr>
            <w:tcW w:w="972" w:type="dxa"/>
            <w:shd w:val="clear" w:color="auto" w:fill="BEBEBE"/>
          </w:tcPr>
          <w:p>
            <w:pPr>
              <w:pStyle w:val="TableParagraph"/>
              <w:spacing w:line="295" w:lineRule="auto" w:before="45"/>
              <w:ind w:left="37" w:firstLine="138"/>
              <w:jc w:val="left"/>
              <w:rPr>
                <w:b/>
                <w:sz w:val="14"/>
              </w:rPr>
            </w:pPr>
            <w:r>
              <w:rPr>
                <w:b/>
                <w:w w:val="105"/>
                <w:sz w:val="14"/>
              </w:rPr>
              <w:t>Rettifiche concordatarie</w:t>
            </w:r>
          </w:p>
        </w:tc>
        <w:tc>
          <w:tcPr>
            <w:tcW w:w="1101" w:type="dxa"/>
            <w:shd w:val="clear" w:color="auto" w:fill="BEBEBE"/>
          </w:tcPr>
          <w:p>
            <w:pPr>
              <w:pStyle w:val="TableParagraph"/>
              <w:spacing w:line="295" w:lineRule="auto" w:before="45"/>
              <w:ind w:left="110" w:right="68" w:hanging="28"/>
              <w:jc w:val="left"/>
              <w:rPr>
                <w:b/>
                <w:sz w:val="14"/>
              </w:rPr>
            </w:pPr>
            <w:r>
              <w:rPr>
                <w:b/>
                <w:w w:val="105"/>
                <w:sz w:val="14"/>
              </w:rPr>
              <w:t>Valori di piano concordatario</w:t>
            </w:r>
          </w:p>
        </w:tc>
        <w:tc>
          <w:tcPr>
            <w:tcW w:w="833" w:type="dxa"/>
            <w:shd w:val="clear" w:color="auto" w:fill="BEBEBE"/>
          </w:tcPr>
          <w:p>
            <w:pPr>
              <w:pStyle w:val="TableParagraph"/>
              <w:spacing w:before="1"/>
              <w:jc w:val="left"/>
              <w:rPr>
                <w:sz w:val="13"/>
              </w:rPr>
            </w:pPr>
          </w:p>
          <w:p>
            <w:pPr>
              <w:pStyle w:val="TableParagraph"/>
              <w:spacing w:before="0"/>
              <w:ind w:left="111"/>
              <w:jc w:val="left"/>
              <w:rPr>
                <w:b/>
                <w:sz w:val="14"/>
              </w:rPr>
            </w:pPr>
            <w:r>
              <w:rPr>
                <w:b/>
                <w:w w:val="105"/>
                <w:sz w:val="14"/>
              </w:rPr>
              <w:t>Privilegio</w:t>
            </w:r>
          </w:p>
        </w:tc>
        <w:tc>
          <w:tcPr>
            <w:tcW w:w="1240" w:type="dxa"/>
            <w:shd w:val="clear" w:color="auto" w:fill="BEBEBE"/>
          </w:tcPr>
          <w:p>
            <w:pPr>
              <w:pStyle w:val="TableParagraph"/>
              <w:spacing w:before="1"/>
              <w:jc w:val="left"/>
              <w:rPr>
                <w:sz w:val="13"/>
              </w:rPr>
            </w:pPr>
          </w:p>
          <w:p>
            <w:pPr>
              <w:pStyle w:val="TableParagraph"/>
              <w:spacing w:before="0"/>
              <w:ind w:left="277"/>
              <w:jc w:val="left"/>
              <w:rPr>
                <w:b/>
                <w:sz w:val="14"/>
              </w:rPr>
            </w:pPr>
            <w:r>
              <w:rPr>
                <w:b/>
                <w:w w:val="105"/>
                <w:sz w:val="14"/>
              </w:rPr>
              <w:t>Chirografo</w:t>
            </w:r>
          </w:p>
        </w:tc>
      </w:tr>
      <w:tr>
        <w:trPr>
          <w:trHeight w:val="205" w:hRule="exact"/>
        </w:trPr>
        <w:tc>
          <w:tcPr>
            <w:tcW w:w="666" w:type="dxa"/>
            <w:tcBorders>
              <w:bottom w:val="nil"/>
            </w:tcBorders>
          </w:tcPr>
          <w:p>
            <w:pPr>
              <w:pStyle w:val="TableParagraph"/>
              <w:spacing w:before="27"/>
              <w:ind w:right="118"/>
              <w:rPr>
                <w:sz w:val="14"/>
              </w:rPr>
            </w:pPr>
            <w:r>
              <w:rPr>
                <w:w w:val="105"/>
                <w:sz w:val="14"/>
              </w:rPr>
              <w:t>2259902</w:t>
            </w:r>
          </w:p>
        </w:tc>
        <w:tc>
          <w:tcPr>
            <w:tcW w:w="2980" w:type="dxa"/>
            <w:tcBorders>
              <w:bottom w:val="nil"/>
            </w:tcBorders>
          </w:tcPr>
          <w:p>
            <w:pPr>
              <w:pStyle w:val="TableParagraph"/>
              <w:spacing w:before="27"/>
              <w:ind w:left="18"/>
              <w:jc w:val="left"/>
              <w:rPr>
                <w:sz w:val="14"/>
              </w:rPr>
            </w:pPr>
            <w:r>
              <w:rPr>
                <w:w w:val="105"/>
                <w:sz w:val="14"/>
              </w:rPr>
              <w:t>Unicredit (Milano) cc n 4787</w:t>
            </w:r>
          </w:p>
        </w:tc>
        <w:tc>
          <w:tcPr>
            <w:tcW w:w="1258" w:type="dxa"/>
            <w:tcBorders>
              <w:bottom w:val="nil"/>
            </w:tcBorders>
          </w:tcPr>
          <w:p>
            <w:pPr>
              <w:pStyle w:val="TableParagraph"/>
              <w:spacing w:before="27"/>
              <w:ind w:right="20"/>
              <w:rPr>
                <w:sz w:val="14"/>
              </w:rPr>
            </w:pPr>
            <w:r>
              <w:rPr>
                <w:w w:val="105"/>
                <w:sz w:val="14"/>
              </w:rPr>
              <w:t>(24.338)</w:t>
            </w:r>
          </w:p>
        </w:tc>
        <w:tc>
          <w:tcPr>
            <w:tcW w:w="972" w:type="dxa"/>
            <w:tcBorders>
              <w:bottom w:val="nil"/>
            </w:tcBorders>
          </w:tcPr>
          <w:p>
            <w:pPr>
              <w:pStyle w:val="TableParagraph"/>
              <w:spacing w:before="27"/>
              <w:ind w:right="62"/>
              <w:rPr>
                <w:sz w:val="14"/>
              </w:rPr>
            </w:pPr>
            <w:r>
              <w:rPr>
                <w:w w:val="105"/>
                <w:sz w:val="14"/>
              </w:rPr>
              <w:t>-</w:t>
            </w:r>
          </w:p>
        </w:tc>
        <w:tc>
          <w:tcPr>
            <w:tcW w:w="1101" w:type="dxa"/>
            <w:tcBorders>
              <w:bottom w:val="nil"/>
            </w:tcBorders>
          </w:tcPr>
          <w:p>
            <w:pPr>
              <w:pStyle w:val="TableParagraph"/>
              <w:spacing w:before="27"/>
              <w:ind w:right="20"/>
              <w:rPr>
                <w:sz w:val="14"/>
              </w:rPr>
            </w:pPr>
            <w:r>
              <w:rPr>
                <w:w w:val="105"/>
                <w:sz w:val="14"/>
              </w:rPr>
              <w:t>(24.338)</w:t>
            </w:r>
          </w:p>
        </w:tc>
        <w:tc>
          <w:tcPr>
            <w:tcW w:w="833" w:type="dxa"/>
            <w:tcBorders>
              <w:bottom w:val="nil"/>
            </w:tcBorders>
          </w:tcPr>
          <w:p>
            <w:pPr/>
          </w:p>
        </w:tc>
        <w:tc>
          <w:tcPr>
            <w:tcW w:w="1240" w:type="dxa"/>
            <w:tcBorders>
              <w:bottom w:val="nil"/>
            </w:tcBorders>
          </w:tcPr>
          <w:p>
            <w:pPr>
              <w:pStyle w:val="TableParagraph"/>
              <w:spacing w:before="27"/>
              <w:ind w:right="21"/>
              <w:rPr>
                <w:sz w:val="14"/>
              </w:rPr>
            </w:pPr>
            <w:r>
              <w:rPr>
                <w:w w:val="105"/>
                <w:sz w:val="14"/>
              </w:rPr>
              <w:t>(24.338)</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2250640</w:t>
            </w:r>
          </w:p>
        </w:tc>
        <w:tc>
          <w:tcPr>
            <w:tcW w:w="2980" w:type="dxa"/>
            <w:tcBorders>
              <w:top w:val="nil"/>
              <w:bottom w:val="nil"/>
            </w:tcBorders>
          </w:tcPr>
          <w:p>
            <w:pPr>
              <w:pStyle w:val="TableParagraph"/>
              <w:spacing w:before="21"/>
              <w:ind w:left="18"/>
              <w:jc w:val="left"/>
              <w:rPr>
                <w:sz w:val="14"/>
              </w:rPr>
            </w:pPr>
            <w:r>
              <w:rPr>
                <w:w w:val="105"/>
                <w:sz w:val="14"/>
              </w:rPr>
              <w:t>Unicredit (Milano) Finanziamento</w:t>
            </w:r>
          </w:p>
        </w:tc>
        <w:tc>
          <w:tcPr>
            <w:tcW w:w="1258" w:type="dxa"/>
            <w:tcBorders>
              <w:top w:val="nil"/>
              <w:bottom w:val="nil"/>
            </w:tcBorders>
          </w:tcPr>
          <w:p>
            <w:pPr>
              <w:pStyle w:val="TableParagraph"/>
              <w:spacing w:before="21"/>
              <w:ind w:right="21"/>
              <w:rPr>
                <w:sz w:val="14"/>
              </w:rPr>
            </w:pPr>
            <w:r>
              <w:rPr>
                <w:w w:val="105"/>
                <w:sz w:val="14"/>
              </w:rPr>
              <w:t>(42.668.042)</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(42.668.042)</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(42.668.042)</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2250699</w:t>
            </w:r>
          </w:p>
        </w:tc>
        <w:tc>
          <w:tcPr>
            <w:tcW w:w="2980" w:type="dxa"/>
            <w:tcBorders>
              <w:top w:val="nil"/>
              <w:bottom w:val="nil"/>
            </w:tcBorders>
          </w:tcPr>
          <w:p>
            <w:pPr>
              <w:pStyle w:val="TableParagraph"/>
              <w:spacing w:before="21"/>
              <w:ind w:left="18"/>
              <w:jc w:val="left"/>
              <w:rPr>
                <w:sz w:val="14"/>
              </w:rPr>
            </w:pPr>
            <w:r>
              <w:rPr>
                <w:w w:val="105"/>
                <w:sz w:val="14"/>
              </w:rPr>
              <w:t>Unicredit (Milano) C/C EURO 4</w:t>
            </w:r>
          </w:p>
        </w:tc>
        <w:tc>
          <w:tcPr>
            <w:tcW w:w="1258" w:type="dxa"/>
            <w:tcBorders>
              <w:top w:val="nil"/>
              <w:bottom w:val="nil"/>
            </w:tcBorders>
          </w:tcPr>
          <w:p>
            <w:pPr>
              <w:pStyle w:val="TableParagraph"/>
              <w:spacing w:before="21"/>
              <w:ind w:right="21"/>
              <w:rPr>
                <w:sz w:val="14"/>
              </w:rPr>
            </w:pPr>
            <w:r>
              <w:rPr>
                <w:w w:val="105"/>
                <w:sz w:val="14"/>
              </w:rPr>
              <w:t>(967.401)</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(967.401)</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(967.401)</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2252199</w:t>
            </w:r>
          </w:p>
        </w:tc>
        <w:tc>
          <w:tcPr>
            <w:tcW w:w="2980" w:type="dxa"/>
            <w:tcBorders>
              <w:top w:val="nil"/>
              <w:bottom w:val="nil"/>
            </w:tcBorders>
          </w:tcPr>
          <w:p>
            <w:pPr>
              <w:pStyle w:val="TableParagraph"/>
              <w:spacing w:before="21"/>
              <w:ind w:left="18"/>
              <w:jc w:val="left"/>
              <w:rPr>
                <w:sz w:val="14"/>
              </w:rPr>
            </w:pPr>
            <w:r>
              <w:rPr>
                <w:w w:val="105"/>
                <w:sz w:val="14"/>
              </w:rPr>
              <w:t>Banca Popolare di Milano (Tortona) C/C</w:t>
            </w:r>
          </w:p>
        </w:tc>
        <w:tc>
          <w:tcPr>
            <w:tcW w:w="1258" w:type="dxa"/>
            <w:tcBorders>
              <w:top w:val="nil"/>
              <w:bottom w:val="nil"/>
            </w:tcBorders>
          </w:tcPr>
          <w:p>
            <w:pPr>
              <w:pStyle w:val="TableParagraph"/>
              <w:spacing w:before="21"/>
              <w:ind w:right="21"/>
              <w:rPr>
                <w:sz w:val="14"/>
              </w:rPr>
            </w:pPr>
            <w:r>
              <w:rPr>
                <w:w w:val="105"/>
                <w:sz w:val="14"/>
              </w:rPr>
              <w:t>(10.282.984)</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(10.282.984)</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(10.282.984)</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2253630</w:t>
            </w:r>
          </w:p>
        </w:tc>
        <w:tc>
          <w:tcPr>
            <w:tcW w:w="2980" w:type="dxa"/>
            <w:tcBorders>
              <w:top w:val="nil"/>
              <w:bottom w:val="nil"/>
            </w:tcBorders>
          </w:tcPr>
          <w:p>
            <w:pPr>
              <w:pStyle w:val="TableParagraph"/>
              <w:spacing w:before="21"/>
              <w:ind w:left="18"/>
              <w:jc w:val="left"/>
              <w:rPr>
                <w:sz w:val="14"/>
              </w:rPr>
            </w:pPr>
            <w:r>
              <w:rPr>
                <w:w w:val="105"/>
                <w:sz w:val="14"/>
              </w:rPr>
              <w:t>Intesa San Paolo (Alessandria) Anticipi</w:t>
            </w:r>
          </w:p>
        </w:tc>
        <w:tc>
          <w:tcPr>
            <w:tcW w:w="1258" w:type="dxa"/>
            <w:tcBorders>
              <w:top w:val="nil"/>
              <w:bottom w:val="nil"/>
            </w:tcBorders>
          </w:tcPr>
          <w:p>
            <w:pPr>
              <w:pStyle w:val="TableParagraph"/>
              <w:spacing w:before="21"/>
              <w:ind w:right="21"/>
              <w:rPr>
                <w:sz w:val="14"/>
              </w:rPr>
            </w:pPr>
            <w:r>
              <w:rPr>
                <w:w w:val="105"/>
                <w:sz w:val="14"/>
              </w:rPr>
              <w:t>(14.561.781)</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(14.561.781)</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(14.561.781)</w:t>
            </w:r>
          </w:p>
        </w:tc>
      </w:tr>
      <w:tr>
        <w:trPr>
          <w:trHeight w:val="194" w:hRule="exact"/>
        </w:trPr>
        <w:tc>
          <w:tcPr>
            <w:tcW w:w="666" w:type="dxa"/>
            <w:tcBorders>
              <w:top w:val="nil"/>
              <w:bottom w:val="nil"/>
            </w:tcBorders>
          </w:tcPr>
          <w:p>
            <w:pPr>
              <w:pStyle w:val="TableParagraph"/>
              <w:spacing w:before="20"/>
              <w:ind w:right="118"/>
              <w:rPr>
                <w:sz w:val="14"/>
              </w:rPr>
            </w:pPr>
            <w:r>
              <w:rPr>
                <w:w w:val="105"/>
                <w:sz w:val="14"/>
              </w:rPr>
              <w:t>2253699</w:t>
            </w:r>
          </w:p>
        </w:tc>
        <w:tc>
          <w:tcPr>
            <w:tcW w:w="2980" w:type="dxa"/>
            <w:tcBorders>
              <w:top w:val="nil"/>
              <w:bottom w:val="nil"/>
            </w:tcBorders>
          </w:tcPr>
          <w:p>
            <w:pPr>
              <w:pStyle w:val="TableParagraph"/>
              <w:spacing w:before="20"/>
              <w:ind w:left="18"/>
              <w:jc w:val="left"/>
              <w:rPr>
                <w:sz w:val="14"/>
              </w:rPr>
            </w:pPr>
            <w:r>
              <w:rPr>
                <w:w w:val="105"/>
                <w:sz w:val="14"/>
              </w:rPr>
              <w:t>Intesa San Paolo (Alessandria) EUR 5</w:t>
            </w:r>
          </w:p>
        </w:tc>
        <w:tc>
          <w:tcPr>
            <w:tcW w:w="1258" w:type="dxa"/>
            <w:tcBorders>
              <w:top w:val="nil"/>
              <w:bottom w:val="nil"/>
            </w:tcBorders>
          </w:tcPr>
          <w:p>
            <w:pPr>
              <w:pStyle w:val="TableParagraph"/>
              <w:spacing w:before="20"/>
              <w:ind w:right="21"/>
              <w:rPr>
                <w:sz w:val="14"/>
              </w:rPr>
            </w:pPr>
            <w:r>
              <w:rPr>
                <w:w w:val="105"/>
                <w:sz w:val="14"/>
              </w:rPr>
              <w:t>(16.457.971)</w:t>
            </w:r>
          </w:p>
        </w:tc>
        <w:tc>
          <w:tcPr>
            <w:tcW w:w="972" w:type="dxa"/>
            <w:tcBorders>
              <w:top w:val="nil"/>
              <w:bottom w:val="nil"/>
            </w:tcBorders>
          </w:tcPr>
          <w:p>
            <w:pPr>
              <w:pStyle w:val="TableParagraph"/>
              <w:spacing w:before="20"/>
              <w:ind w:right="62"/>
              <w:rPr>
                <w:sz w:val="14"/>
              </w:rPr>
            </w:pPr>
            <w:r>
              <w:rPr>
                <w:w w:val="105"/>
                <w:sz w:val="14"/>
              </w:rPr>
              <w:t>-</w:t>
            </w:r>
          </w:p>
        </w:tc>
        <w:tc>
          <w:tcPr>
            <w:tcW w:w="1101" w:type="dxa"/>
            <w:tcBorders>
              <w:top w:val="nil"/>
              <w:bottom w:val="nil"/>
            </w:tcBorders>
          </w:tcPr>
          <w:p>
            <w:pPr>
              <w:pStyle w:val="TableParagraph"/>
              <w:spacing w:before="20"/>
              <w:ind w:right="21"/>
              <w:rPr>
                <w:sz w:val="14"/>
              </w:rPr>
            </w:pPr>
            <w:r>
              <w:rPr>
                <w:w w:val="105"/>
                <w:sz w:val="14"/>
              </w:rPr>
              <w:t>(16.457.971)</w:t>
            </w:r>
          </w:p>
        </w:tc>
        <w:tc>
          <w:tcPr>
            <w:tcW w:w="833" w:type="dxa"/>
            <w:tcBorders>
              <w:top w:val="nil"/>
              <w:bottom w:val="nil"/>
            </w:tcBorders>
          </w:tcPr>
          <w:p>
            <w:pPr/>
          </w:p>
        </w:tc>
        <w:tc>
          <w:tcPr>
            <w:tcW w:w="1240" w:type="dxa"/>
            <w:tcBorders>
              <w:top w:val="nil"/>
              <w:bottom w:val="nil"/>
            </w:tcBorders>
          </w:tcPr>
          <w:p>
            <w:pPr>
              <w:pStyle w:val="TableParagraph"/>
              <w:spacing w:before="20"/>
              <w:ind w:right="21"/>
              <w:rPr>
                <w:sz w:val="14"/>
              </w:rPr>
            </w:pPr>
            <w:r>
              <w:rPr>
                <w:w w:val="105"/>
                <w:sz w:val="14"/>
              </w:rPr>
              <w:t>(16.457.971)</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2254110</w:t>
            </w:r>
          </w:p>
        </w:tc>
        <w:tc>
          <w:tcPr>
            <w:tcW w:w="2980" w:type="dxa"/>
            <w:tcBorders>
              <w:top w:val="nil"/>
              <w:bottom w:val="nil"/>
            </w:tcBorders>
          </w:tcPr>
          <w:p>
            <w:pPr>
              <w:pStyle w:val="TableParagraph"/>
              <w:spacing w:before="21"/>
              <w:ind w:left="18"/>
              <w:jc w:val="left"/>
              <w:rPr>
                <w:sz w:val="14"/>
              </w:rPr>
            </w:pPr>
            <w:r>
              <w:rPr>
                <w:w w:val="105"/>
                <w:sz w:val="14"/>
              </w:rPr>
              <w:t>Credito Valtellinese (Tortona)  Anticipi</w:t>
            </w:r>
          </w:p>
        </w:tc>
        <w:tc>
          <w:tcPr>
            <w:tcW w:w="1258" w:type="dxa"/>
            <w:tcBorders>
              <w:top w:val="nil"/>
              <w:bottom w:val="nil"/>
            </w:tcBorders>
          </w:tcPr>
          <w:p>
            <w:pPr>
              <w:pStyle w:val="TableParagraph"/>
              <w:spacing w:before="21"/>
              <w:ind w:right="21"/>
              <w:rPr>
                <w:sz w:val="14"/>
              </w:rPr>
            </w:pPr>
            <w:r>
              <w:rPr>
                <w:w w:val="105"/>
                <w:sz w:val="14"/>
              </w:rPr>
              <w:t>(1.690.758)</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(1.690.758)</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(1.690.758)</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2256899</w:t>
            </w:r>
          </w:p>
        </w:tc>
        <w:tc>
          <w:tcPr>
            <w:tcW w:w="2980" w:type="dxa"/>
            <w:tcBorders>
              <w:top w:val="nil"/>
              <w:bottom w:val="nil"/>
            </w:tcBorders>
          </w:tcPr>
          <w:p>
            <w:pPr>
              <w:pStyle w:val="TableParagraph"/>
              <w:spacing w:before="21"/>
              <w:ind w:left="18"/>
              <w:jc w:val="left"/>
              <w:rPr>
                <w:sz w:val="14"/>
              </w:rPr>
            </w:pPr>
            <w:r>
              <w:rPr>
                <w:w w:val="105"/>
                <w:sz w:val="14"/>
              </w:rPr>
              <w:t>Banca nazionale del lavoro (Milano)  EUR</w:t>
            </w:r>
          </w:p>
        </w:tc>
        <w:tc>
          <w:tcPr>
            <w:tcW w:w="1258" w:type="dxa"/>
            <w:tcBorders>
              <w:top w:val="nil"/>
              <w:bottom w:val="nil"/>
            </w:tcBorders>
          </w:tcPr>
          <w:p>
            <w:pPr>
              <w:pStyle w:val="TableParagraph"/>
              <w:spacing w:before="21"/>
              <w:ind w:right="21"/>
              <w:rPr>
                <w:sz w:val="14"/>
              </w:rPr>
            </w:pPr>
            <w:r>
              <w:rPr>
                <w:w w:val="105"/>
                <w:sz w:val="14"/>
              </w:rPr>
              <w:t>(7.018.986)</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(7.018.986)</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(7.018.986)</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2260040</w:t>
            </w:r>
          </w:p>
        </w:tc>
        <w:tc>
          <w:tcPr>
            <w:tcW w:w="2980" w:type="dxa"/>
            <w:tcBorders>
              <w:top w:val="nil"/>
              <w:bottom w:val="nil"/>
            </w:tcBorders>
          </w:tcPr>
          <w:p>
            <w:pPr>
              <w:pStyle w:val="TableParagraph"/>
              <w:spacing w:before="21"/>
              <w:ind w:left="18"/>
              <w:jc w:val="left"/>
              <w:rPr>
                <w:sz w:val="14"/>
              </w:rPr>
            </w:pPr>
            <w:r>
              <w:rPr>
                <w:w w:val="105"/>
                <w:sz w:val="14"/>
              </w:rPr>
              <w:t>Banca IFIS</w:t>
            </w:r>
          </w:p>
        </w:tc>
        <w:tc>
          <w:tcPr>
            <w:tcW w:w="1258" w:type="dxa"/>
            <w:tcBorders>
              <w:top w:val="nil"/>
              <w:bottom w:val="nil"/>
            </w:tcBorders>
          </w:tcPr>
          <w:p>
            <w:pPr>
              <w:pStyle w:val="TableParagraph"/>
              <w:spacing w:before="21"/>
              <w:ind w:right="21"/>
              <w:rPr>
                <w:sz w:val="14"/>
              </w:rPr>
            </w:pPr>
            <w:r>
              <w:rPr>
                <w:w w:val="105"/>
                <w:sz w:val="14"/>
              </w:rPr>
              <w:t>(3.000.000)</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(3.000.000)</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(3.000.000)</w:t>
            </w:r>
          </w:p>
        </w:tc>
      </w:tr>
      <w:tr>
        <w:trPr>
          <w:trHeight w:val="194" w:hRule="exact"/>
        </w:trPr>
        <w:tc>
          <w:tcPr>
            <w:tcW w:w="666" w:type="dxa"/>
            <w:tcBorders>
              <w:top w:val="nil"/>
              <w:bottom w:val="nil"/>
            </w:tcBorders>
          </w:tcPr>
          <w:p>
            <w:pPr>
              <w:pStyle w:val="TableParagraph"/>
              <w:spacing w:before="21"/>
              <w:ind w:right="118"/>
              <w:rPr>
                <w:sz w:val="14"/>
              </w:rPr>
            </w:pPr>
            <w:r>
              <w:rPr>
                <w:w w:val="105"/>
                <w:sz w:val="14"/>
              </w:rPr>
              <w:t>2261940</w:t>
            </w:r>
          </w:p>
        </w:tc>
        <w:tc>
          <w:tcPr>
            <w:tcW w:w="2980" w:type="dxa"/>
            <w:tcBorders>
              <w:top w:val="nil"/>
              <w:bottom w:val="nil"/>
            </w:tcBorders>
          </w:tcPr>
          <w:p>
            <w:pPr>
              <w:pStyle w:val="TableParagraph"/>
              <w:spacing w:before="21"/>
              <w:ind w:left="18"/>
              <w:jc w:val="left"/>
              <w:rPr>
                <w:sz w:val="14"/>
              </w:rPr>
            </w:pPr>
            <w:r>
              <w:rPr>
                <w:w w:val="105"/>
                <w:sz w:val="14"/>
              </w:rPr>
              <w:t>Banca SACE ST Loan EUR</w:t>
            </w:r>
          </w:p>
        </w:tc>
        <w:tc>
          <w:tcPr>
            <w:tcW w:w="1258" w:type="dxa"/>
            <w:tcBorders>
              <w:top w:val="nil"/>
              <w:bottom w:val="nil"/>
            </w:tcBorders>
          </w:tcPr>
          <w:p>
            <w:pPr>
              <w:pStyle w:val="TableParagraph"/>
              <w:spacing w:before="21"/>
              <w:ind w:right="21"/>
              <w:rPr>
                <w:sz w:val="14"/>
              </w:rPr>
            </w:pPr>
            <w:r>
              <w:rPr>
                <w:w w:val="105"/>
                <w:sz w:val="14"/>
              </w:rPr>
              <w:t>(18.522.737)</w:t>
            </w:r>
          </w:p>
        </w:tc>
        <w:tc>
          <w:tcPr>
            <w:tcW w:w="972" w:type="dxa"/>
            <w:tcBorders>
              <w:top w:val="nil"/>
              <w:bottom w:val="nil"/>
            </w:tcBorders>
          </w:tcPr>
          <w:p>
            <w:pPr>
              <w:pStyle w:val="TableParagraph"/>
              <w:spacing w:before="21"/>
              <w:ind w:right="62"/>
              <w:rPr>
                <w:sz w:val="14"/>
              </w:rPr>
            </w:pPr>
            <w:r>
              <w:rPr>
                <w:w w:val="105"/>
                <w:sz w:val="14"/>
              </w:rPr>
              <w:t>-</w:t>
            </w:r>
          </w:p>
        </w:tc>
        <w:tc>
          <w:tcPr>
            <w:tcW w:w="1101" w:type="dxa"/>
            <w:tcBorders>
              <w:top w:val="nil"/>
              <w:bottom w:val="nil"/>
            </w:tcBorders>
          </w:tcPr>
          <w:p>
            <w:pPr>
              <w:pStyle w:val="TableParagraph"/>
              <w:spacing w:before="21"/>
              <w:ind w:right="21"/>
              <w:rPr>
                <w:sz w:val="14"/>
              </w:rPr>
            </w:pPr>
            <w:r>
              <w:rPr>
                <w:w w:val="105"/>
                <w:sz w:val="14"/>
              </w:rPr>
              <w:t>(18.522.737)</w:t>
            </w:r>
          </w:p>
        </w:tc>
        <w:tc>
          <w:tcPr>
            <w:tcW w:w="833" w:type="dxa"/>
            <w:tcBorders>
              <w:top w:val="nil"/>
              <w:bottom w:val="nil"/>
            </w:tcBorders>
          </w:tcPr>
          <w:p>
            <w:pPr/>
          </w:p>
        </w:tc>
        <w:tc>
          <w:tcPr>
            <w:tcW w:w="1240" w:type="dxa"/>
            <w:tcBorders>
              <w:top w:val="nil"/>
              <w:bottom w:val="nil"/>
            </w:tcBorders>
          </w:tcPr>
          <w:p>
            <w:pPr>
              <w:pStyle w:val="TableParagraph"/>
              <w:spacing w:before="21"/>
              <w:ind w:right="21"/>
              <w:rPr>
                <w:sz w:val="14"/>
              </w:rPr>
            </w:pPr>
            <w:r>
              <w:rPr>
                <w:w w:val="105"/>
                <w:sz w:val="14"/>
              </w:rPr>
              <w:t>(18.522.737)</w:t>
            </w:r>
          </w:p>
        </w:tc>
      </w:tr>
      <w:tr>
        <w:trPr>
          <w:trHeight w:val="183" w:hRule="exact"/>
        </w:trPr>
        <w:tc>
          <w:tcPr>
            <w:tcW w:w="666" w:type="dxa"/>
            <w:tcBorders>
              <w:top w:val="nil"/>
            </w:tcBorders>
          </w:tcPr>
          <w:p>
            <w:pPr>
              <w:pStyle w:val="TableParagraph"/>
              <w:spacing w:before="20"/>
              <w:ind w:right="118"/>
              <w:rPr>
                <w:sz w:val="14"/>
              </w:rPr>
            </w:pPr>
            <w:r>
              <w:rPr>
                <w:w w:val="105"/>
                <w:sz w:val="14"/>
              </w:rPr>
              <w:t>2520420</w:t>
            </w:r>
          </w:p>
        </w:tc>
        <w:tc>
          <w:tcPr>
            <w:tcW w:w="2980" w:type="dxa"/>
            <w:tcBorders>
              <w:top w:val="nil"/>
            </w:tcBorders>
          </w:tcPr>
          <w:p>
            <w:pPr>
              <w:pStyle w:val="TableParagraph"/>
              <w:spacing w:before="20"/>
              <w:ind w:left="18"/>
              <w:jc w:val="left"/>
              <w:rPr>
                <w:sz w:val="14"/>
              </w:rPr>
            </w:pPr>
            <w:r>
              <w:rPr>
                <w:w w:val="105"/>
                <w:sz w:val="14"/>
              </w:rPr>
              <w:t>Mutuo CARIME EURO 2013</w:t>
            </w:r>
          </w:p>
        </w:tc>
        <w:tc>
          <w:tcPr>
            <w:tcW w:w="1258" w:type="dxa"/>
            <w:tcBorders>
              <w:top w:val="nil"/>
            </w:tcBorders>
          </w:tcPr>
          <w:p>
            <w:pPr>
              <w:pStyle w:val="TableParagraph"/>
              <w:spacing w:before="20"/>
              <w:ind w:right="21"/>
              <w:rPr>
                <w:sz w:val="14"/>
              </w:rPr>
            </w:pPr>
            <w:r>
              <w:rPr>
                <w:w w:val="105"/>
                <w:sz w:val="14"/>
              </w:rPr>
              <w:t>(510.262)</w:t>
            </w:r>
          </w:p>
        </w:tc>
        <w:tc>
          <w:tcPr>
            <w:tcW w:w="972" w:type="dxa"/>
            <w:tcBorders>
              <w:top w:val="nil"/>
            </w:tcBorders>
          </w:tcPr>
          <w:p>
            <w:pPr>
              <w:pStyle w:val="TableParagraph"/>
              <w:spacing w:before="20"/>
              <w:ind w:right="62"/>
              <w:rPr>
                <w:sz w:val="14"/>
              </w:rPr>
            </w:pPr>
            <w:r>
              <w:rPr>
                <w:w w:val="105"/>
                <w:sz w:val="14"/>
              </w:rPr>
              <w:t>-</w:t>
            </w:r>
          </w:p>
        </w:tc>
        <w:tc>
          <w:tcPr>
            <w:tcW w:w="1101" w:type="dxa"/>
            <w:tcBorders>
              <w:top w:val="nil"/>
            </w:tcBorders>
          </w:tcPr>
          <w:p>
            <w:pPr>
              <w:pStyle w:val="TableParagraph"/>
              <w:spacing w:before="20"/>
              <w:ind w:right="21"/>
              <w:rPr>
                <w:sz w:val="14"/>
              </w:rPr>
            </w:pPr>
            <w:r>
              <w:rPr>
                <w:w w:val="105"/>
                <w:sz w:val="14"/>
              </w:rPr>
              <w:t>(510.262)</w:t>
            </w:r>
          </w:p>
        </w:tc>
        <w:tc>
          <w:tcPr>
            <w:tcW w:w="833" w:type="dxa"/>
            <w:tcBorders>
              <w:top w:val="nil"/>
            </w:tcBorders>
          </w:tcPr>
          <w:p>
            <w:pPr>
              <w:pStyle w:val="TableParagraph"/>
              <w:spacing w:before="20"/>
              <w:ind w:right="21"/>
              <w:rPr>
                <w:sz w:val="14"/>
              </w:rPr>
            </w:pPr>
            <w:r>
              <w:rPr>
                <w:w w:val="105"/>
                <w:sz w:val="14"/>
              </w:rPr>
              <w:t>(510.262)</w:t>
            </w:r>
          </w:p>
        </w:tc>
        <w:tc>
          <w:tcPr>
            <w:tcW w:w="1240" w:type="dxa"/>
            <w:tcBorders>
              <w:top w:val="nil"/>
            </w:tcBorders>
          </w:tcPr>
          <w:p>
            <w:pPr>
              <w:pStyle w:val="TableParagraph"/>
              <w:spacing w:before="20"/>
              <w:ind w:right="62"/>
              <w:rPr>
                <w:sz w:val="14"/>
              </w:rPr>
            </w:pPr>
            <w:r>
              <w:rPr>
                <w:w w:val="105"/>
                <w:sz w:val="14"/>
              </w:rPr>
              <w:t>-</w:t>
            </w:r>
          </w:p>
        </w:tc>
      </w:tr>
      <w:tr>
        <w:trPr>
          <w:trHeight w:val="194" w:hRule="exact"/>
        </w:trPr>
        <w:tc>
          <w:tcPr>
            <w:tcW w:w="3646" w:type="dxa"/>
            <w:gridSpan w:val="2"/>
            <w:shd w:val="clear" w:color="auto" w:fill="BEBEBE"/>
          </w:tcPr>
          <w:p>
            <w:pPr>
              <w:pStyle w:val="TableParagraph"/>
              <w:spacing w:before="27"/>
              <w:ind w:left="18"/>
              <w:jc w:val="left"/>
              <w:rPr>
                <w:b/>
                <w:sz w:val="14"/>
              </w:rPr>
            </w:pPr>
            <w:r>
              <w:rPr>
                <w:b/>
                <w:w w:val="105"/>
                <w:sz w:val="14"/>
              </w:rPr>
              <w:t>Totale debiti verso banche</w:t>
            </w:r>
          </w:p>
        </w:tc>
        <w:tc>
          <w:tcPr>
            <w:tcW w:w="1258" w:type="dxa"/>
            <w:shd w:val="clear" w:color="auto" w:fill="BEBEBE"/>
          </w:tcPr>
          <w:p>
            <w:pPr>
              <w:pStyle w:val="TableParagraph"/>
              <w:spacing w:before="27"/>
              <w:ind w:right="21"/>
              <w:rPr>
                <w:b/>
                <w:sz w:val="14"/>
              </w:rPr>
            </w:pPr>
            <w:r>
              <w:rPr>
                <w:b/>
                <w:w w:val="105"/>
                <w:sz w:val="14"/>
              </w:rPr>
              <w:t>(115.705.258)</w:t>
            </w:r>
          </w:p>
        </w:tc>
        <w:tc>
          <w:tcPr>
            <w:tcW w:w="972" w:type="dxa"/>
            <w:shd w:val="clear" w:color="auto" w:fill="BEBEBE"/>
          </w:tcPr>
          <w:p>
            <w:pPr>
              <w:pStyle w:val="TableParagraph"/>
              <w:spacing w:before="27"/>
              <w:ind w:right="124"/>
              <w:rPr>
                <w:b/>
                <w:sz w:val="14"/>
              </w:rPr>
            </w:pPr>
            <w:r>
              <w:rPr>
                <w:b/>
                <w:w w:val="105"/>
                <w:sz w:val="14"/>
              </w:rPr>
              <w:t>-</w:t>
            </w:r>
          </w:p>
        </w:tc>
        <w:tc>
          <w:tcPr>
            <w:tcW w:w="1101" w:type="dxa"/>
            <w:shd w:val="clear" w:color="auto" w:fill="BEBEBE"/>
          </w:tcPr>
          <w:p>
            <w:pPr>
              <w:pStyle w:val="TableParagraph"/>
              <w:spacing w:before="27"/>
              <w:ind w:right="21"/>
              <w:rPr>
                <w:b/>
                <w:sz w:val="14"/>
              </w:rPr>
            </w:pPr>
            <w:r>
              <w:rPr>
                <w:b/>
                <w:w w:val="105"/>
                <w:sz w:val="14"/>
              </w:rPr>
              <w:t>(115.705.258)</w:t>
            </w:r>
          </w:p>
        </w:tc>
        <w:tc>
          <w:tcPr>
            <w:tcW w:w="833" w:type="dxa"/>
            <w:shd w:val="clear" w:color="auto" w:fill="BEBEBE"/>
          </w:tcPr>
          <w:p>
            <w:pPr>
              <w:pStyle w:val="TableParagraph"/>
              <w:spacing w:before="27"/>
              <w:ind w:right="21"/>
              <w:rPr>
                <w:b/>
                <w:sz w:val="14"/>
              </w:rPr>
            </w:pPr>
            <w:r>
              <w:rPr>
                <w:b/>
                <w:w w:val="105"/>
                <w:sz w:val="14"/>
              </w:rPr>
              <w:t>(510.262)</w:t>
            </w:r>
          </w:p>
        </w:tc>
        <w:tc>
          <w:tcPr>
            <w:tcW w:w="1240" w:type="dxa"/>
            <w:shd w:val="clear" w:color="auto" w:fill="BEBEBE"/>
          </w:tcPr>
          <w:p>
            <w:pPr>
              <w:pStyle w:val="TableParagraph"/>
              <w:spacing w:before="27"/>
              <w:ind w:right="21"/>
              <w:rPr>
                <w:b/>
                <w:sz w:val="14"/>
              </w:rPr>
            </w:pPr>
            <w:r>
              <w:rPr>
                <w:b/>
                <w:w w:val="105"/>
                <w:sz w:val="14"/>
              </w:rPr>
              <w:t>(115.194.996)</w:t>
            </w:r>
          </w:p>
        </w:tc>
      </w:tr>
    </w:tbl>
    <w:p>
      <w:pPr>
        <w:pStyle w:val="BodyText"/>
        <w:rPr>
          <w:sz w:val="20"/>
        </w:rPr>
      </w:pPr>
    </w:p>
    <w:p>
      <w:pPr>
        <w:pStyle w:val="Heading2"/>
        <w:numPr>
          <w:ilvl w:val="0"/>
          <w:numId w:val="70"/>
        </w:numPr>
        <w:tabs>
          <w:tab w:pos="2126" w:val="left" w:leader="none"/>
          <w:tab w:pos="2127" w:val="left" w:leader="none"/>
        </w:tabs>
        <w:spacing w:line="240" w:lineRule="auto" w:before="241" w:after="0"/>
        <w:ind w:left="2126" w:right="0" w:hanging="348"/>
        <w:jc w:val="left"/>
      </w:pPr>
      <w:r>
        <w:rPr/>
        <w:t>Unicredit per Euro</w:t>
      </w:r>
      <w:r>
        <w:rPr>
          <w:spacing w:val="-8"/>
        </w:rPr>
        <w:t> </w:t>
      </w:r>
      <w:r>
        <w:rPr/>
        <w:t>43.659.780</w:t>
      </w:r>
    </w:p>
    <w:p>
      <w:pPr>
        <w:pStyle w:val="BodyText"/>
        <w:spacing w:before="269"/>
        <w:ind w:left="1418"/>
      </w:pPr>
      <w:r>
        <w:rPr/>
        <w:t>Il debito verso Unicredit alla data del 15.10.2017 ammonta ad Euro 43.659.780 di cui:</w:t>
      </w:r>
    </w:p>
    <w:p>
      <w:pPr>
        <w:pStyle w:val="BodyText"/>
        <w:spacing w:before="10"/>
        <w:rPr>
          <w:sz w:val="23"/>
        </w:rPr>
      </w:pPr>
    </w:p>
    <w:p>
      <w:pPr>
        <w:pStyle w:val="ListParagraph"/>
        <w:numPr>
          <w:ilvl w:val="0"/>
          <w:numId w:val="69"/>
        </w:numPr>
        <w:tabs>
          <w:tab w:pos="2126" w:val="left" w:leader="none"/>
          <w:tab w:pos="2127" w:val="left" w:leader="none"/>
        </w:tabs>
        <w:spacing w:line="240" w:lineRule="auto" w:before="0" w:after="0"/>
        <w:ind w:left="2126" w:right="0" w:hanging="348"/>
        <w:jc w:val="left"/>
        <w:rPr>
          <w:sz w:val="24"/>
        </w:rPr>
      </w:pPr>
      <w:r>
        <w:rPr>
          <w:sz w:val="24"/>
        </w:rPr>
        <w:t>Euro 24.338 riferito allo scoperto di conto corrente n</w:t>
      </w:r>
      <w:r>
        <w:rPr>
          <w:spacing w:val="-21"/>
          <w:sz w:val="24"/>
        </w:rPr>
        <w:t> </w:t>
      </w:r>
      <w:r>
        <w:rPr>
          <w:sz w:val="24"/>
        </w:rPr>
        <w:t>4787;</w:t>
      </w:r>
    </w:p>
    <w:p>
      <w:pPr>
        <w:pStyle w:val="BodyText"/>
        <w:spacing w:before="9"/>
        <w:rPr>
          <w:sz w:val="23"/>
        </w:rPr>
      </w:pPr>
    </w:p>
    <w:p>
      <w:pPr>
        <w:pStyle w:val="ListParagraph"/>
        <w:numPr>
          <w:ilvl w:val="0"/>
          <w:numId w:val="69"/>
        </w:numPr>
        <w:tabs>
          <w:tab w:pos="2127" w:val="left" w:leader="none"/>
        </w:tabs>
        <w:spacing w:line="472" w:lineRule="auto" w:before="0" w:after="0"/>
        <w:ind w:left="2138" w:right="1417" w:hanging="360"/>
        <w:jc w:val="both"/>
        <w:rPr>
          <w:sz w:val="24"/>
        </w:rPr>
      </w:pPr>
      <w:r>
        <w:rPr>
          <w:sz w:val="24"/>
        </w:rPr>
        <w:t>Euro 967.401 riferiti all’escussione della garanzia n. 460011597708 rilasciata da Unicredit  a favore del cliente HOSAF per complessivi USD 1.142.500 con riferimento alla fornitura di “</w:t>
      </w:r>
      <w:r>
        <w:rPr>
          <w:i/>
          <w:sz w:val="24"/>
        </w:rPr>
        <w:t>Polyester Chip Plant</w:t>
      </w:r>
      <w:r>
        <w:rPr>
          <w:sz w:val="24"/>
        </w:rPr>
        <w:t>”, escussione effettuata nel mese di novembre 2017. Il debito è stato iscritto in bilancio con cambio del 1,1810 alla data del</w:t>
      </w:r>
      <w:r>
        <w:rPr>
          <w:spacing w:val="-23"/>
          <w:sz w:val="24"/>
        </w:rPr>
        <w:t> </w:t>
      </w:r>
      <w:r>
        <w:rPr>
          <w:sz w:val="24"/>
        </w:rPr>
        <w:t>16.10.2017.</w:t>
      </w:r>
    </w:p>
    <w:p>
      <w:pPr>
        <w:pStyle w:val="ListParagraph"/>
        <w:numPr>
          <w:ilvl w:val="0"/>
          <w:numId w:val="69"/>
        </w:numPr>
        <w:tabs>
          <w:tab w:pos="2127" w:val="left" w:leader="none"/>
        </w:tabs>
        <w:spacing w:line="460" w:lineRule="auto" w:before="7" w:after="0"/>
        <w:ind w:left="2138" w:right="1420" w:hanging="360"/>
        <w:jc w:val="both"/>
        <w:rPr>
          <w:sz w:val="24"/>
        </w:rPr>
      </w:pPr>
      <w:r>
        <w:rPr>
          <w:sz w:val="24"/>
        </w:rPr>
        <w:t>Euro 42.668.042 riferiti ai 23 finanziamenti stipulati dalla Società, di cui Euro 42.333.060 in linea capitale ed Euro 334.982 a titolo di</w:t>
      </w:r>
      <w:r>
        <w:rPr>
          <w:spacing w:val="-24"/>
          <w:sz w:val="24"/>
        </w:rPr>
        <w:t> </w:t>
      </w:r>
      <w:r>
        <w:rPr>
          <w:sz w:val="24"/>
        </w:rPr>
        <w:t>interessi.</w:t>
      </w:r>
    </w:p>
    <w:p>
      <w:pPr>
        <w:pStyle w:val="BodyText"/>
        <w:spacing w:line="480" w:lineRule="auto" w:before="21"/>
        <w:ind w:left="1418" w:right="1518"/>
      </w:pPr>
      <w:r>
        <w:rPr/>
        <w:t>Di seguito si riporta la tabella riepilogativa degli importi in linea capitale dei suddetti 23 finanziamenti:</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22"/>
        </w:rPr>
      </w:pPr>
    </w:p>
    <w:tbl>
      <w:tblPr>
        <w:tblW w:w="0" w:type="auto"/>
        <w:jc w:val="left"/>
        <w:tblInd w:w="25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831"/>
        <w:gridCol w:w="2040"/>
      </w:tblGrid>
      <w:tr>
        <w:trPr>
          <w:trHeight w:val="300" w:hRule="exact"/>
        </w:trPr>
        <w:tc>
          <w:tcPr>
            <w:tcW w:w="4831" w:type="dxa"/>
            <w:shd w:val="clear" w:color="auto" w:fill="BEBEBE"/>
          </w:tcPr>
          <w:p>
            <w:pPr>
              <w:pStyle w:val="TableParagraph"/>
              <w:spacing w:before="35"/>
              <w:ind w:left="29"/>
              <w:jc w:val="left"/>
              <w:rPr>
                <w:sz w:val="22"/>
              </w:rPr>
            </w:pPr>
            <w:r>
              <w:rPr>
                <w:sz w:val="22"/>
              </w:rPr>
              <w:t>N </w:t>
            </w:r>
            <w:r>
              <w:rPr>
                <w:spacing w:val="-5"/>
                <w:sz w:val="22"/>
              </w:rPr>
              <w:t>finanziamento</w:t>
            </w:r>
          </w:p>
        </w:tc>
        <w:tc>
          <w:tcPr>
            <w:tcW w:w="2040" w:type="dxa"/>
            <w:shd w:val="clear" w:color="auto" w:fill="BEBEBE"/>
          </w:tcPr>
          <w:p>
            <w:pPr>
              <w:pStyle w:val="TableParagraph"/>
              <w:spacing w:before="35"/>
              <w:ind w:right="94"/>
              <w:rPr>
                <w:sz w:val="22"/>
              </w:rPr>
            </w:pPr>
            <w:r>
              <w:rPr>
                <w:sz w:val="22"/>
              </w:rPr>
              <w:t>Importo</w:t>
            </w:r>
          </w:p>
        </w:tc>
      </w:tr>
      <w:tr>
        <w:trPr>
          <w:trHeight w:val="315" w:hRule="exact"/>
        </w:trPr>
        <w:tc>
          <w:tcPr>
            <w:tcW w:w="4831" w:type="dxa"/>
            <w:tcBorders>
              <w:bottom w:val="nil"/>
            </w:tcBorders>
          </w:tcPr>
          <w:p>
            <w:pPr>
              <w:pStyle w:val="TableParagraph"/>
              <w:spacing w:before="35"/>
              <w:ind w:left="29"/>
              <w:jc w:val="left"/>
              <w:rPr>
                <w:sz w:val="22"/>
              </w:rPr>
            </w:pPr>
            <w:r>
              <w:rPr>
                <w:sz w:val="22"/>
              </w:rPr>
              <w:t>004376631</w:t>
            </w:r>
          </w:p>
        </w:tc>
        <w:tc>
          <w:tcPr>
            <w:tcW w:w="2040" w:type="dxa"/>
            <w:tcBorders>
              <w:bottom w:val="nil"/>
            </w:tcBorders>
          </w:tcPr>
          <w:p>
            <w:pPr>
              <w:pStyle w:val="TableParagraph"/>
              <w:spacing w:before="35"/>
              <w:ind w:right="88"/>
              <w:rPr>
                <w:sz w:val="22"/>
              </w:rPr>
            </w:pPr>
            <w:r>
              <w:rPr>
                <w:sz w:val="22"/>
              </w:rPr>
              <w:t>600.000,00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004446894</w:t>
            </w:r>
          </w:p>
        </w:tc>
        <w:tc>
          <w:tcPr>
            <w:tcW w:w="2040" w:type="dxa"/>
            <w:tcBorders>
              <w:top w:val="nil"/>
              <w:bottom w:val="nil"/>
            </w:tcBorders>
          </w:tcPr>
          <w:p>
            <w:pPr>
              <w:pStyle w:val="TableParagraph"/>
              <w:spacing w:before="27"/>
              <w:ind w:right="88"/>
              <w:rPr>
                <w:sz w:val="22"/>
              </w:rPr>
            </w:pPr>
            <w:r>
              <w:rPr>
                <w:sz w:val="22"/>
              </w:rPr>
              <w:t>680.000,00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004446888</w:t>
            </w:r>
          </w:p>
        </w:tc>
        <w:tc>
          <w:tcPr>
            <w:tcW w:w="2040" w:type="dxa"/>
            <w:tcBorders>
              <w:top w:val="nil"/>
              <w:bottom w:val="nil"/>
            </w:tcBorders>
          </w:tcPr>
          <w:p>
            <w:pPr>
              <w:pStyle w:val="TableParagraph"/>
              <w:spacing w:before="27"/>
              <w:ind w:right="88"/>
              <w:rPr>
                <w:sz w:val="22"/>
              </w:rPr>
            </w:pPr>
            <w:r>
              <w:rPr>
                <w:sz w:val="22"/>
              </w:rPr>
              <w:t>700.000,00</w:t>
            </w:r>
          </w:p>
        </w:tc>
      </w:tr>
      <w:tr>
        <w:trPr>
          <w:trHeight w:val="300" w:hRule="exact"/>
        </w:trPr>
        <w:tc>
          <w:tcPr>
            <w:tcW w:w="4831" w:type="dxa"/>
            <w:tcBorders>
              <w:top w:val="nil"/>
              <w:bottom w:val="nil"/>
            </w:tcBorders>
          </w:tcPr>
          <w:p>
            <w:pPr>
              <w:pStyle w:val="TableParagraph"/>
              <w:spacing w:before="28"/>
              <w:ind w:left="29"/>
              <w:jc w:val="left"/>
              <w:rPr>
                <w:sz w:val="22"/>
              </w:rPr>
            </w:pPr>
            <w:r>
              <w:rPr>
                <w:sz w:val="22"/>
              </w:rPr>
              <w:t>004404914</w:t>
            </w:r>
          </w:p>
        </w:tc>
        <w:tc>
          <w:tcPr>
            <w:tcW w:w="2040" w:type="dxa"/>
            <w:tcBorders>
              <w:top w:val="nil"/>
              <w:bottom w:val="nil"/>
            </w:tcBorders>
          </w:tcPr>
          <w:p>
            <w:pPr>
              <w:pStyle w:val="TableParagraph"/>
              <w:spacing w:before="28"/>
              <w:ind w:right="88"/>
              <w:rPr>
                <w:sz w:val="22"/>
              </w:rPr>
            </w:pPr>
            <w:r>
              <w:rPr>
                <w:sz w:val="22"/>
              </w:rPr>
              <w:t>800.000,00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004371948</w:t>
            </w:r>
          </w:p>
        </w:tc>
        <w:tc>
          <w:tcPr>
            <w:tcW w:w="2040" w:type="dxa"/>
            <w:tcBorders>
              <w:top w:val="nil"/>
              <w:bottom w:val="nil"/>
            </w:tcBorders>
          </w:tcPr>
          <w:p>
            <w:pPr>
              <w:pStyle w:val="TableParagraph"/>
              <w:spacing w:before="27"/>
              <w:ind w:right="88"/>
              <w:rPr>
                <w:sz w:val="22"/>
              </w:rPr>
            </w:pPr>
            <w:r>
              <w:rPr>
                <w:sz w:val="22"/>
              </w:rPr>
              <w:t>800.000,00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004466876</w:t>
            </w:r>
          </w:p>
        </w:tc>
        <w:tc>
          <w:tcPr>
            <w:tcW w:w="2040" w:type="dxa"/>
            <w:tcBorders>
              <w:top w:val="nil"/>
              <w:bottom w:val="nil"/>
            </w:tcBorders>
          </w:tcPr>
          <w:p>
            <w:pPr>
              <w:pStyle w:val="TableParagraph"/>
              <w:spacing w:before="27"/>
              <w:ind w:right="88"/>
              <w:rPr>
                <w:sz w:val="22"/>
              </w:rPr>
            </w:pPr>
            <w:r>
              <w:rPr>
                <w:sz w:val="22"/>
              </w:rPr>
              <w:t>920.000,00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004404912</w:t>
            </w:r>
          </w:p>
        </w:tc>
        <w:tc>
          <w:tcPr>
            <w:tcW w:w="2040" w:type="dxa"/>
            <w:tcBorders>
              <w:top w:val="nil"/>
              <w:bottom w:val="nil"/>
            </w:tcBorders>
          </w:tcPr>
          <w:p>
            <w:pPr>
              <w:pStyle w:val="TableParagraph"/>
              <w:spacing w:before="27"/>
              <w:ind w:right="88"/>
              <w:rPr>
                <w:sz w:val="22"/>
              </w:rPr>
            </w:pPr>
            <w:r>
              <w:rPr>
                <w:sz w:val="22"/>
              </w:rPr>
              <w:t>1.000.000,00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004404910</w:t>
            </w:r>
          </w:p>
        </w:tc>
        <w:tc>
          <w:tcPr>
            <w:tcW w:w="2040" w:type="dxa"/>
            <w:tcBorders>
              <w:top w:val="nil"/>
              <w:bottom w:val="nil"/>
            </w:tcBorders>
          </w:tcPr>
          <w:p>
            <w:pPr>
              <w:pStyle w:val="TableParagraph"/>
              <w:spacing w:before="27"/>
              <w:ind w:right="88"/>
              <w:rPr>
                <w:sz w:val="22"/>
              </w:rPr>
            </w:pPr>
            <w:r>
              <w:rPr>
                <w:sz w:val="22"/>
              </w:rPr>
              <w:t>1.000.000,00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004404907</w:t>
            </w:r>
          </w:p>
        </w:tc>
        <w:tc>
          <w:tcPr>
            <w:tcW w:w="2040" w:type="dxa"/>
            <w:tcBorders>
              <w:top w:val="nil"/>
              <w:bottom w:val="nil"/>
            </w:tcBorders>
          </w:tcPr>
          <w:p>
            <w:pPr>
              <w:pStyle w:val="TableParagraph"/>
              <w:spacing w:before="27"/>
              <w:ind w:right="88"/>
              <w:rPr>
                <w:sz w:val="22"/>
              </w:rPr>
            </w:pPr>
            <w:r>
              <w:rPr>
                <w:sz w:val="22"/>
              </w:rPr>
              <w:t>1.000.000,00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004425048</w:t>
            </w:r>
          </w:p>
        </w:tc>
        <w:tc>
          <w:tcPr>
            <w:tcW w:w="2040" w:type="dxa"/>
            <w:tcBorders>
              <w:top w:val="nil"/>
              <w:bottom w:val="nil"/>
            </w:tcBorders>
          </w:tcPr>
          <w:p>
            <w:pPr>
              <w:pStyle w:val="TableParagraph"/>
              <w:spacing w:before="27"/>
              <w:ind w:right="88"/>
              <w:rPr>
                <w:sz w:val="22"/>
              </w:rPr>
            </w:pPr>
            <w:r>
              <w:rPr>
                <w:sz w:val="22"/>
              </w:rPr>
              <w:t>1.100.000,00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004493542</w:t>
            </w:r>
          </w:p>
        </w:tc>
        <w:tc>
          <w:tcPr>
            <w:tcW w:w="2040" w:type="dxa"/>
            <w:tcBorders>
              <w:top w:val="nil"/>
              <w:bottom w:val="nil"/>
            </w:tcBorders>
          </w:tcPr>
          <w:p>
            <w:pPr>
              <w:pStyle w:val="TableParagraph"/>
              <w:spacing w:before="27"/>
              <w:ind w:right="88"/>
              <w:rPr>
                <w:sz w:val="22"/>
              </w:rPr>
            </w:pPr>
            <w:r>
              <w:rPr>
                <w:sz w:val="22"/>
              </w:rPr>
              <w:t>1.100.000,00</w:t>
            </w:r>
          </w:p>
        </w:tc>
      </w:tr>
      <w:tr>
        <w:trPr>
          <w:trHeight w:val="300" w:hRule="exact"/>
        </w:trPr>
        <w:tc>
          <w:tcPr>
            <w:tcW w:w="4831" w:type="dxa"/>
            <w:tcBorders>
              <w:top w:val="nil"/>
              <w:bottom w:val="nil"/>
            </w:tcBorders>
          </w:tcPr>
          <w:p>
            <w:pPr>
              <w:pStyle w:val="TableParagraph"/>
              <w:spacing w:before="28"/>
              <w:ind w:left="29"/>
              <w:jc w:val="left"/>
              <w:rPr>
                <w:sz w:val="22"/>
              </w:rPr>
            </w:pPr>
            <w:r>
              <w:rPr>
                <w:sz w:val="22"/>
              </w:rPr>
              <w:t>004285299</w:t>
            </w:r>
          </w:p>
        </w:tc>
        <w:tc>
          <w:tcPr>
            <w:tcW w:w="2040" w:type="dxa"/>
            <w:tcBorders>
              <w:top w:val="nil"/>
              <w:bottom w:val="nil"/>
            </w:tcBorders>
          </w:tcPr>
          <w:p>
            <w:pPr>
              <w:pStyle w:val="TableParagraph"/>
              <w:spacing w:before="28"/>
              <w:ind w:right="88"/>
              <w:rPr>
                <w:sz w:val="22"/>
              </w:rPr>
            </w:pPr>
            <w:r>
              <w:rPr>
                <w:sz w:val="22"/>
              </w:rPr>
              <w:t>1.177.027,00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004398960</w:t>
            </w:r>
          </w:p>
        </w:tc>
        <w:tc>
          <w:tcPr>
            <w:tcW w:w="2040" w:type="dxa"/>
            <w:tcBorders>
              <w:top w:val="nil"/>
              <w:bottom w:val="nil"/>
            </w:tcBorders>
          </w:tcPr>
          <w:p>
            <w:pPr>
              <w:pStyle w:val="TableParagraph"/>
              <w:spacing w:before="27"/>
              <w:ind w:right="88"/>
              <w:rPr>
                <w:sz w:val="22"/>
              </w:rPr>
            </w:pPr>
            <w:r>
              <w:rPr>
                <w:sz w:val="22"/>
              </w:rPr>
              <w:t>2.000.000,00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004371872</w:t>
            </w:r>
          </w:p>
        </w:tc>
        <w:tc>
          <w:tcPr>
            <w:tcW w:w="2040" w:type="dxa"/>
            <w:tcBorders>
              <w:top w:val="nil"/>
              <w:bottom w:val="nil"/>
            </w:tcBorders>
          </w:tcPr>
          <w:p>
            <w:pPr>
              <w:pStyle w:val="TableParagraph"/>
              <w:spacing w:before="27"/>
              <w:ind w:right="88"/>
              <w:rPr>
                <w:sz w:val="22"/>
              </w:rPr>
            </w:pPr>
            <w:r>
              <w:rPr>
                <w:sz w:val="22"/>
              </w:rPr>
              <w:t>2.000.000,00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004365140</w:t>
            </w:r>
          </w:p>
        </w:tc>
        <w:tc>
          <w:tcPr>
            <w:tcW w:w="2040" w:type="dxa"/>
            <w:tcBorders>
              <w:top w:val="nil"/>
              <w:bottom w:val="nil"/>
            </w:tcBorders>
          </w:tcPr>
          <w:p>
            <w:pPr>
              <w:pStyle w:val="TableParagraph"/>
              <w:spacing w:before="27"/>
              <w:ind w:right="88"/>
              <w:rPr>
                <w:sz w:val="22"/>
              </w:rPr>
            </w:pPr>
            <w:r>
              <w:rPr>
                <w:sz w:val="22"/>
              </w:rPr>
              <w:t>2.000.000,00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004365083</w:t>
            </w:r>
          </w:p>
        </w:tc>
        <w:tc>
          <w:tcPr>
            <w:tcW w:w="2040" w:type="dxa"/>
            <w:tcBorders>
              <w:top w:val="nil"/>
              <w:bottom w:val="nil"/>
            </w:tcBorders>
          </w:tcPr>
          <w:p>
            <w:pPr>
              <w:pStyle w:val="TableParagraph"/>
              <w:spacing w:before="27"/>
              <w:ind w:right="88"/>
              <w:rPr>
                <w:sz w:val="22"/>
              </w:rPr>
            </w:pPr>
            <w:r>
              <w:rPr>
                <w:sz w:val="22"/>
              </w:rPr>
              <w:t>2.500.000,00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004493518</w:t>
            </w:r>
          </w:p>
        </w:tc>
        <w:tc>
          <w:tcPr>
            <w:tcW w:w="2040" w:type="dxa"/>
            <w:tcBorders>
              <w:top w:val="nil"/>
              <w:bottom w:val="nil"/>
            </w:tcBorders>
          </w:tcPr>
          <w:p>
            <w:pPr>
              <w:pStyle w:val="TableParagraph"/>
              <w:spacing w:before="27"/>
              <w:ind w:right="88"/>
              <w:rPr>
                <w:sz w:val="22"/>
              </w:rPr>
            </w:pPr>
            <w:r>
              <w:rPr>
                <w:sz w:val="22"/>
              </w:rPr>
              <w:t>2.750.000,00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004180555</w:t>
            </w:r>
          </w:p>
        </w:tc>
        <w:tc>
          <w:tcPr>
            <w:tcW w:w="2040" w:type="dxa"/>
            <w:tcBorders>
              <w:top w:val="nil"/>
              <w:bottom w:val="nil"/>
            </w:tcBorders>
          </w:tcPr>
          <w:p>
            <w:pPr>
              <w:pStyle w:val="TableParagraph"/>
              <w:spacing w:before="27"/>
              <w:ind w:right="88"/>
              <w:rPr>
                <w:sz w:val="22"/>
              </w:rPr>
            </w:pPr>
            <w:r>
              <w:rPr>
                <w:sz w:val="22"/>
              </w:rPr>
              <w:t>2.800.000,00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004365067</w:t>
            </w:r>
          </w:p>
        </w:tc>
        <w:tc>
          <w:tcPr>
            <w:tcW w:w="2040" w:type="dxa"/>
            <w:tcBorders>
              <w:top w:val="nil"/>
              <w:bottom w:val="nil"/>
            </w:tcBorders>
          </w:tcPr>
          <w:p>
            <w:pPr>
              <w:pStyle w:val="TableParagraph"/>
              <w:spacing w:before="27"/>
              <w:ind w:right="88"/>
              <w:rPr>
                <w:sz w:val="22"/>
              </w:rPr>
            </w:pPr>
            <w:r>
              <w:rPr>
                <w:sz w:val="22"/>
              </w:rPr>
              <w:t>2.856.032,44</w:t>
            </w:r>
          </w:p>
        </w:tc>
      </w:tr>
      <w:tr>
        <w:trPr>
          <w:trHeight w:val="300" w:hRule="exact"/>
        </w:trPr>
        <w:tc>
          <w:tcPr>
            <w:tcW w:w="4831" w:type="dxa"/>
            <w:tcBorders>
              <w:top w:val="nil"/>
              <w:bottom w:val="nil"/>
            </w:tcBorders>
          </w:tcPr>
          <w:p>
            <w:pPr>
              <w:pStyle w:val="TableParagraph"/>
              <w:spacing w:before="28"/>
              <w:ind w:left="29"/>
              <w:jc w:val="left"/>
              <w:rPr>
                <w:sz w:val="22"/>
              </w:rPr>
            </w:pPr>
            <w:r>
              <w:rPr>
                <w:sz w:val="22"/>
              </w:rPr>
              <w:t>004365114</w:t>
            </w:r>
          </w:p>
        </w:tc>
        <w:tc>
          <w:tcPr>
            <w:tcW w:w="2040" w:type="dxa"/>
            <w:tcBorders>
              <w:top w:val="nil"/>
              <w:bottom w:val="nil"/>
            </w:tcBorders>
          </w:tcPr>
          <w:p>
            <w:pPr>
              <w:pStyle w:val="TableParagraph"/>
              <w:spacing w:before="28"/>
              <w:ind w:right="88"/>
              <w:rPr>
                <w:sz w:val="22"/>
              </w:rPr>
            </w:pPr>
            <w:r>
              <w:rPr>
                <w:sz w:val="22"/>
              </w:rPr>
              <w:t>3.000.000,00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004493501</w:t>
            </w:r>
          </w:p>
        </w:tc>
        <w:tc>
          <w:tcPr>
            <w:tcW w:w="2040" w:type="dxa"/>
            <w:tcBorders>
              <w:top w:val="nil"/>
              <w:bottom w:val="nil"/>
            </w:tcBorders>
          </w:tcPr>
          <w:p>
            <w:pPr>
              <w:pStyle w:val="TableParagraph"/>
              <w:spacing w:before="27"/>
              <w:ind w:right="88"/>
              <w:rPr>
                <w:sz w:val="22"/>
              </w:rPr>
            </w:pPr>
            <w:r>
              <w:rPr>
                <w:sz w:val="22"/>
              </w:rPr>
              <w:t>3.650.000,00</w:t>
            </w:r>
          </w:p>
        </w:tc>
      </w:tr>
      <w:tr>
        <w:trPr>
          <w:trHeight w:val="300" w:hRule="exact"/>
        </w:trPr>
        <w:tc>
          <w:tcPr>
            <w:tcW w:w="4831" w:type="dxa"/>
            <w:tcBorders>
              <w:top w:val="nil"/>
              <w:bottom w:val="nil"/>
            </w:tcBorders>
          </w:tcPr>
          <w:p>
            <w:pPr>
              <w:pStyle w:val="TableParagraph"/>
              <w:spacing w:before="27"/>
              <w:ind w:left="29"/>
              <w:jc w:val="left"/>
              <w:rPr>
                <w:sz w:val="22"/>
              </w:rPr>
            </w:pPr>
            <w:r>
              <w:rPr>
                <w:sz w:val="22"/>
              </w:rPr>
              <w:t>004285293</w:t>
            </w:r>
          </w:p>
        </w:tc>
        <w:tc>
          <w:tcPr>
            <w:tcW w:w="2040" w:type="dxa"/>
            <w:tcBorders>
              <w:top w:val="nil"/>
              <w:bottom w:val="nil"/>
            </w:tcBorders>
          </w:tcPr>
          <w:p>
            <w:pPr>
              <w:pStyle w:val="TableParagraph"/>
              <w:spacing w:before="27"/>
              <w:ind w:right="88"/>
              <w:rPr>
                <w:sz w:val="22"/>
              </w:rPr>
            </w:pPr>
            <w:r>
              <w:rPr>
                <w:sz w:val="22"/>
              </w:rPr>
              <w:t>5.400.000,14</w:t>
            </w:r>
          </w:p>
        </w:tc>
      </w:tr>
      <w:tr>
        <w:trPr>
          <w:trHeight w:val="285" w:hRule="exact"/>
        </w:trPr>
        <w:tc>
          <w:tcPr>
            <w:tcW w:w="4831" w:type="dxa"/>
            <w:tcBorders>
              <w:top w:val="nil"/>
            </w:tcBorders>
          </w:tcPr>
          <w:p>
            <w:pPr>
              <w:pStyle w:val="TableParagraph"/>
              <w:spacing w:before="27"/>
              <w:ind w:left="29"/>
              <w:jc w:val="left"/>
              <w:rPr>
                <w:sz w:val="22"/>
              </w:rPr>
            </w:pPr>
            <w:r>
              <w:rPr>
                <w:sz w:val="22"/>
              </w:rPr>
              <w:t>004268233</w:t>
            </w:r>
          </w:p>
        </w:tc>
        <w:tc>
          <w:tcPr>
            <w:tcW w:w="2040" w:type="dxa"/>
            <w:tcBorders>
              <w:top w:val="nil"/>
            </w:tcBorders>
          </w:tcPr>
          <w:p>
            <w:pPr>
              <w:pStyle w:val="TableParagraph"/>
              <w:spacing w:before="27"/>
              <w:ind w:right="88"/>
              <w:rPr>
                <w:sz w:val="22"/>
              </w:rPr>
            </w:pPr>
            <w:r>
              <w:rPr>
                <w:sz w:val="22"/>
              </w:rPr>
              <w:t>2.500.000,00</w:t>
            </w:r>
          </w:p>
        </w:tc>
      </w:tr>
      <w:tr>
        <w:trPr>
          <w:trHeight w:val="300" w:hRule="exact"/>
        </w:trPr>
        <w:tc>
          <w:tcPr>
            <w:tcW w:w="4831" w:type="dxa"/>
            <w:shd w:val="clear" w:color="auto" w:fill="BEBEBE"/>
          </w:tcPr>
          <w:p>
            <w:pPr>
              <w:pStyle w:val="TableParagraph"/>
              <w:spacing w:before="35"/>
              <w:ind w:left="29"/>
              <w:jc w:val="left"/>
              <w:rPr>
                <w:sz w:val="22"/>
              </w:rPr>
            </w:pPr>
            <w:r>
              <w:rPr>
                <w:sz w:val="22"/>
              </w:rPr>
              <w:t>TOTALE</w:t>
            </w:r>
          </w:p>
        </w:tc>
        <w:tc>
          <w:tcPr>
            <w:tcW w:w="2040" w:type="dxa"/>
            <w:shd w:val="clear" w:color="auto" w:fill="BEBEBE"/>
          </w:tcPr>
          <w:p>
            <w:pPr>
              <w:pStyle w:val="TableParagraph"/>
              <w:spacing w:before="35"/>
              <w:ind w:right="89"/>
              <w:rPr>
                <w:sz w:val="22"/>
              </w:rPr>
            </w:pPr>
            <w:r>
              <w:rPr>
                <w:sz w:val="22"/>
              </w:rPr>
              <w:t>42.333.059,58</w:t>
            </w:r>
          </w:p>
        </w:tc>
      </w:tr>
    </w:tbl>
    <w:p>
      <w:pPr>
        <w:pStyle w:val="BodyText"/>
        <w:rPr>
          <w:sz w:val="20"/>
        </w:rPr>
      </w:pPr>
    </w:p>
    <w:p>
      <w:pPr>
        <w:pStyle w:val="BodyText"/>
        <w:rPr>
          <w:sz w:val="20"/>
        </w:rPr>
      </w:pPr>
    </w:p>
    <w:p>
      <w:pPr>
        <w:pStyle w:val="BodyText"/>
        <w:rPr>
          <w:sz w:val="20"/>
        </w:rPr>
      </w:pPr>
    </w:p>
    <w:p>
      <w:pPr>
        <w:pStyle w:val="BodyText"/>
        <w:rPr>
          <w:sz w:val="20"/>
        </w:rPr>
      </w:pPr>
    </w:p>
    <w:p>
      <w:pPr>
        <w:pStyle w:val="Heading2"/>
        <w:numPr>
          <w:ilvl w:val="0"/>
          <w:numId w:val="70"/>
        </w:numPr>
        <w:tabs>
          <w:tab w:pos="2126" w:val="left" w:leader="none"/>
          <w:tab w:pos="2127" w:val="left" w:leader="none"/>
        </w:tabs>
        <w:spacing w:line="240" w:lineRule="auto" w:before="212" w:after="0"/>
        <w:ind w:left="2126" w:right="0" w:hanging="348"/>
        <w:jc w:val="left"/>
      </w:pPr>
      <w:r>
        <w:rPr/>
        <w:t>Banca Popolare di Milano per Euro</w:t>
      </w:r>
      <w:r>
        <w:rPr>
          <w:spacing w:val="-18"/>
        </w:rPr>
        <w:t> </w:t>
      </w:r>
      <w:r>
        <w:rPr/>
        <w:t>10.282.984</w:t>
      </w:r>
    </w:p>
    <w:p>
      <w:pPr>
        <w:pStyle w:val="BodyText"/>
        <w:rPr>
          <w:b/>
        </w:rPr>
      </w:pPr>
    </w:p>
    <w:p>
      <w:pPr>
        <w:pStyle w:val="BodyText"/>
        <w:spacing w:line="480" w:lineRule="auto"/>
        <w:ind w:left="1418" w:right="1417"/>
        <w:jc w:val="both"/>
      </w:pPr>
      <w:r>
        <w:rPr/>
        <w:t>Il debito verso la Banca Popolare di Milano in linea capitale ammonta ad Euro 10.282.984. Il debito è sorto a seguito dell’escussione della garanzia n. 0150169463 rilasciata in data 29.10.2014 dalla BPM a favore della Banca Europea per gli Investimenti (BEI).</w:t>
      </w:r>
    </w:p>
    <w:p>
      <w:pPr>
        <w:pStyle w:val="BodyText"/>
        <w:spacing w:line="480" w:lineRule="auto"/>
        <w:ind w:left="1418" w:right="1422"/>
        <w:jc w:val="both"/>
      </w:pPr>
      <w:r>
        <w:rPr/>
        <w:t>Con lettera del 6.12.17 la BPM ha comunicato alla Società l’avvenuta escussione ed il contestuale addebito sul conto corrente n. 417 di complessivi Euro 10.282.984.</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pPr>
    </w:p>
    <w:p>
      <w:pPr>
        <w:pStyle w:val="Heading2"/>
        <w:numPr>
          <w:ilvl w:val="0"/>
          <w:numId w:val="70"/>
        </w:numPr>
        <w:tabs>
          <w:tab w:pos="2126" w:val="left" w:leader="none"/>
          <w:tab w:pos="2127" w:val="left" w:leader="none"/>
        </w:tabs>
        <w:spacing w:line="240" w:lineRule="auto" w:before="0" w:after="0"/>
        <w:ind w:left="2126" w:right="0" w:hanging="348"/>
        <w:jc w:val="left"/>
      </w:pPr>
      <w:r>
        <w:rPr/>
        <w:t>Intesa Sanpaolo per Euro</w:t>
      </w:r>
      <w:r>
        <w:rPr>
          <w:spacing w:val="-15"/>
        </w:rPr>
        <w:t> </w:t>
      </w:r>
      <w:r>
        <w:rPr/>
        <w:t>31.019.752</w:t>
      </w:r>
    </w:p>
    <w:p>
      <w:pPr>
        <w:pStyle w:val="BodyText"/>
        <w:spacing w:before="2"/>
        <w:rPr>
          <w:b/>
        </w:rPr>
      </w:pPr>
    </w:p>
    <w:p>
      <w:pPr>
        <w:pStyle w:val="BodyText"/>
        <w:ind w:left="1418"/>
      </w:pPr>
      <w:r>
        <w:rPr/>
        <w:t>Il debito verso Banca Intesa Sanpaolo ammonta ad Euro 31.019.752, di cui:</w:t>
      </w:r>
    </w:p>
    <w:p>
      <w:pPr>
        <w:pStyle w:val="BodyText"/>
        <w:spacing w:before="10"/>
        <w:rPr>
          <w:sz w:val="23"/>
        </w:rPr>
      </w:pPr>
    </w:p>
    <w:p>
      <w:pPr>
        <w:pStyle w:val="ListParagraph"/>
        <w:numPr>
          <w:ilvl w:val="0"/>
          <w:numId w:val="69"/>
        </w:numPr>
        <w:tabs>
          <w:tab w:pos="2127" w:val="left" w:leader="none"/>
        </w:tabs>
        <w:spacing w:line="477" w:lineRule="auto" w:before="0" w:after="0"/>
        <w:ind w:left="2138" w:right="1412" w:hanging="360"/>
        <w:jc w:val="both"/>
        <w:rPr>
          <w:sz w:val="24"/>
        </w:rPr>
      </w:pPr>
      <w:r>
        <w:rPr>
          <w:sz w:val="24"/>
        </w:rPr>
        <w:t>Euro 16.457.971 relativi alla garanzia escussa da BEI. L’importo in esame si riferisce per Euro 16.363.545 al debito in linea capitale ed Euro 94.426 ad interessi. Il debito è sorto a seguito dell’escussione della garanzia n 08492-820000607919 rilasciata in data 23-28 ottobre 2014 da banca Intesa a favore della Banca Europea per gli Investimenti (BEI). Con lettera del 7.12.2017 Banca Intesa ha comunicato alla Società l’intenzione di BEI di provvedere alla escussione della garanzia, successivamente effettuata in data 22.12.2017 con addebito sul conto corrente n. 395 di complessivi Euro</w:t>
      </w:r>
      <w:r>
        <w:rPr>
          <w:spacing w:val="-26"/>
          <w:sz w:val="24"/>
        </w:rPr>
        <w:t> </w:t>
      </w:r>
      <w:r>
        <w:rPr>
          <w:sz w:val="24"/>
        </w:rPr>
        <w:t>16.457.971.</w:t>
      </w:r>
    </w:p>
    <w:p>
      <w:pPr>
        <w:pStyle w:val="ListParagraph"/>
        <w:numPr>
          <w:ilvl w:val="0"/>
          <w:numId w:val="69"/>
        </w:numPr>
        <w:tabs>
          <w:tab w:pos="2127" w:val="left" w:leader="none"/>
        </w:tabs>
        <w:spacing w:line="460" w:lineRule="auto" w:before="2" w:after="0"/>
        <w:ind w:left="2138" w:right="1417" w:hanging="360"/>
        <w:jc w:val="both"/>
        <w:rPr>
          <w:sz w:val="24"/>
        </w:rPr>
      </w:pPr>
      <w:r>
        <w:rPr>
          <w:sz w:val="24"/>
        </w:rPr>
        <w:t>Euro 14.561.781 relativi ai conti anticipi a valere su affidamento di Euro 15.000.000 per operazioni</w:t>
      </w:r>
      <w:r>
        <w:rPr>
          <w:spacing w:val="-15"/>
          <w:sz w:val="24"/>
        </w:rPr>
        <w:t> </w:t>
      </w:r>
      <w:r>
        <w:rPr>
          <w:sz w:val="24"/>
        </w:rPr>
        <w:t>commerciali.</w:t>
      </w:r>
    </w:p>
    <w:p>
      <w:pPr>
        <w:pStyle w:val="Heading2"/>
        <w:numPr>
          <w:ilvl w:val="0"/>
          <w:numId w:val="70"/>
        </w:numPr>
        <w:tabs>
          <w:tab w:pos="2126" w:val="left" w:leader="none"/>
          <w:tab w:pos="2127" w:val="left" w:leader="none"/>
        </w:tabs>
        <w:spacing w:line="240" w:lineRule="auto" w:before="21" w:after="0"/>
        <w:ind w:left="2126" w:right="0" w:hanging="348"/>
        <w:jc w:val="left"/>
      </w:pPr>
      <w:r>
        <w:rPr/>
        <w:t>Credito Valtellinese per Euro</w:t>
      </w:r>
      <w:r>
        <w:rPr>
          <w:spacing w:val="-16"/>
        </w:rPr>
        <w:t> </w:t>
      </w:r>
      <w:r>
        <w:rPr/>
        <w:t>1.690.758</w:t>
      </w:r>
    </w:p>
    <w:p>
      <w:pPr>
        <w:pStyle w:val="BodyText"/>
        <w:rPr>
          <w:b/>
        </w:rPr>
      </w:pPr>
    </w:p>
    <w:p>
      <w:pPr>
        <w:pStyle w:val="BodyText"/>
        <w:spacing w:line="480" w:lineRule="auto"/>
        <w:ind w:left="1418" w:right="1518"/>
      </w:pPr>
      <w:r>
        <w:rPr/>
        <w:t>Nella situazione di riferimento della domanda di concordato preventivo, il debito verso Credito Valtellinese ammonta ad Euro 1.690.758 di cui:</w:t>
      </w:r>
    </w:p>
    <w:p>
      <w:pPr>
        <w:pStyle w:val="ListParagraph"/>
        <w:numPr>
          <w:ilvl w:val="0"/>
          <w:numId w:val="69"/>
        </w:numPr>
        <w:tabs>
          <w:tab w:pos="2127" w:val="left" w:leader="none"/>
        </w:tabs>
        <w:spacing w:line="460" w:lineRule="auto" w:before="0" w:after="0"/>
        <w:ind w:left="2138" w:right="1418" w:hanging="360"/>
        <w:jc w:val="both"/>
        <w:rPr>
          <w:sz w:val="24"/>
        </w:rPr>
      </w:pPr>
      <w:r>
        <w:rPr>
          <w:sz w:val="24"/>
        </w:rPr>
        <w:t>Euro 183.754 a titolo di debito residuo riferito al finanziamento n. 395/61678 stipulato in data</w:t>
      </w:r>
      <w:r>
        <w:rPr>
          <w:spacing w:val="50"/>
          <w:sz w:val="24"/>
        </w:rPr>
        <w:t> </w:t>
      </w:r>
      <w:r>
        <w:rPr>
          <w:sz w:val="24"/>
        </w:rPr>
        <w:t>27</w:t>
      </w:r>
      <w:r>
        <w:rPr>
          <w:spacing w:val="51"/>
          <w:sz w:val="24"/>
        </w:rPr>
        <w:t> </w:t>
      </w:r>
      <w:r>
        <w:rPr>
          <w:sz w:val="24"/>
        </w:rPr>
        <w:t>giugno</w:t>
      </w:r>
      <w:r>
        <w:rPr>
          <w:spacing w:val="50"/>
          <w:sz w:val="24"/>
        </w:rPr>
        <w:t> </w:t>
      </w:r>
      <w:r>
        <w:rPr>
          <w:sz w:val="24"/>
        </w:rPr>
        <w:t>2016</w:t>
      </w:r>
      <w:r>
        <w:rPr>
          <w:spacing w:val="51"/>
          <w:sz w:val="24"/>
        </w:rPr>
        <w:t> </w:t>
      </w:r>
      <w:r>
        <w:rPr>
          <w:sz w:val="24"/>
        </w:rPr>
        <w:t>per</w:t>
      </w:r>
      <w:r>
        <w:rPr>
          <w:spacing w:val="50"/>
          <w:sz w:val="24"/>
        </w:rPr>
        <w:t> </w:t>
      </w:r>
      <w:r>
        <w:rPr>
          <w:sz w:val="24"/>
        </w:rPr>
        <w:t>complessivi</w:t>
      </w:r>
      <w:r>
        <w:rPr>
          <w:spacing w:val="51"/>
          <w:sz w:val="24"/>
        </w:rPr>
        <w:t> </w:t>
      </w:r>
      <w:r>
        <w:rPr>
          <w:sz w:val="24"/>
        </w:rPr>
        <w:t>Euro</w:t>
      </w:r>
      <w:r>
        <w:rPr>
          <w:spacing w:val="50"/>
          <w:sz w:val="24"/>
        </w:rPr>
        <w:t> </w:t>
      </w:r>
      <w:r>
        <w:rPr>
          <w:sz w:val="24"/>
        </w:rPr>
        <w:t>3.000.000.</w:t>
      </w:r>
      <w:r>
        <w:rPr>
          <w:spacing w:val="51"/>
          <w:sz w:val="24"/>
        </w:rPr>
        <w:t> </w:t>
      </w:r>
      <w:r>
        <w:rPr>
          <w:sz w:val="24"/>
        </w:rPr>
        <w:t>Il</w:t>
      </w:r>
      <w:r>
        <w:rPr>
          <w:spacing w:val="50"/>
          <w:sz w:val="24"/>
        </w:rPr>
        <w:t> </w:t>
      </w:r>
      <w:r>
        <w:rPr>
          <w:sz w:val="24"/>
        </w:rPr>
        <w:t>debito</w:t>
      </w:r>
      <w:r>
        <w:rPr>
          <w:spacing w:val="49"/>
          <w:sz w:val="24"/>
        </w:rPr>
        <w:t> </w:t>
      </w:r>
      <w:r>
        <w:rPr>
          <w:sz w:val="24"/>
        </w:rPr>
        <w:t>si</w:t>
      </w:r>
      <w:r>
        <w:rPr>
          <w:spacing w:val="50"/>
          <w:sz w:val="24"/>
        </w:rPr>
        <w:t> </w:t>
      </w:r>
      <w:r>
        <w:rPr>
          <w:sz w:val="24"/>
        </w:rPr>
        <w:t>riferisce</w:t>
      </w:r>
      <w:r>
        <w:rPr>
          <w:spacing w:val="51"/>
          <w:sz w:val="24"/>
        </w:rPr>
        <w:t> </w:t>
      </w:r>
      <w:r>
        <w:rPr>
          <w:sz w:val="24"/>
        </w:rPr>
        <w:t>per</w:t>
      </w:r>
      <w:r>
        <w:rPr>
          <w:spacing w:val="50"/>
          <w:sz w:val="24"/>
        </w:rPr>
        <w:t> </w:t>
      </w:r>
      <w:r>
        <w:rPr>
          <w:sz w:val="24"/>
        </w:rPr>
        <w:t>Euro</w:t>
      </w:r>
    </w:p>
    <w:p>
      <w:pPr>
        <w:pStyle w:val="BodyText"/>
        <w:spacing w:line="480" w:lineRule="auto" w:before="21"/>
        <w:ind w:left="2138" w:right="1518"/>
      </w:pPr>
      <w:r>
        <w:rPr/>
        <w:t>183.333 alla rata insoluta scaduta il 27 settembre 2017 e per Euro 421 agli interessi di mora.</w:t>
      </w:r>
    </w:p>
    <w:p>
      <w:pPr>
        <w:pStyle w:val="ListParagraph"/>
        <w:numPr>
          <w:ilvl w:val="0"/>
          <w:numId w:val="69"/>
        </w:numPr>
        <w:tabs>
          <w:tab w:pos="2127" w:val="left" w:leader="none"/>
        </w:tabs>
        <w:spacing w:line="470" w:lineRule="auto" w:before="0" w:after="0"/>
        <w:ind w:left="2138" w:right="1419" w:hanging="360"/>
        <w:jc w:val="both"/>
        <w:rPr>
          <w:sz w:val="24"/>
        </w:rPr>
      </w:pPr>
      <w:r>
        <w:rPr>
          <w:sz w:val="24"/>
        </w:rPr>
        <w:t>Euro 1.506.806 a titolo di debito riferito al finanziamento n. 395/61985 stipulato in data 07 settembre 2017 per complessivi Euro 1.500.000, di cui 6.806 si riferiscono agli interessi maturati sulla prima rata</w:t>
      </w:r>
      <w:r>
        <w:rPr>
          <w:spacing w:val="-17"/>
          <w:sz w:val="24"/>
        </w:rPr>
        <w:t> </w:t>
      </w:r>
      <w:r>
        <w:rPr>
          <w:sz w:val="24"/>
        </w:rPr>
        <w:t>insoluta.</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pPr>
    </w:p>
    <w:p>
      <w:pPr>
        <w:pStyle w:val="Heading2"/>
        <w:numPr>
          <w:ilvl w:val="0"/>
          <w:numId w:val="70"/>
        </w:numPr>
        <w:tabs>
          <w:tab w:pos="2126" w:val="left" w:leader="none"/>
          <w:tab w:pos="2127" w:val="left" w:leader="none"/>
        </w:tabs>
        <w:spacing w:line="240" w:lineRule="auto" w:before="0" w:after="0"/>
        <w:ind w:left="2126" w:right="0" w:hanging="348"/>
        <w:jc w:val="left"/>
      </w:pPr>
      <w:r>
        <w:rPr/>
        <w:t>Banca Nazionale del Lavoro per Euro</w:t>
      </w:r>
      <w:r>
        <w:rPr>
          <w:spacing w:val="-11"/>
        </w:rPr>
        <w:t> </w:t>
      </w:r>
      <w:r>
        <w:rPr/>
        <w:t>7.018.986</w:t>
      </w:r>
    </w:p>
    <w:p>
      <w:pPr>
        <w:pStyle w:val="BodyText"/>
        <w:spacing w:before="2"/>
        <w:rPr>
          <w:b/>
        </w:rPr>
      </w:pPr>
    </w:p>
    <w:p>
      <w:pPr>
        <w:pStyle w:val="BodyText"/>
        <w:spacing w:line="480" w:lineRule="auto"/>
        <w:ind w:left="1418" w:right="1419"/>
        <w:jc w:val="both"/>
      </w:pPr>
      <w:r>
        <w:rPr/>
        <w:t>Il debito verso la Banca Nazionale del Lavoro ammonta ad Euro 7.018.986. Il debito è sorto a seguito della parziale escussione della garanzia n. 156794/A, rilasciata in data 27 ottobre 2014 da BNL a favore della Banca Europea per gli Investimenti (BEI), fino alla concorrenza di Euro 9.773.636.</w:t>
      </w:r>
    </w:p>
    <w:p>
      <w:pPr>
        <w:pStyle w:val="BodyText"/>
        <w:ind w:left="1418"/>
        <w:jc w:val="both"/>
      </w:pPr>
      <w:r>
        <w:rPr/>
        <w:t>Con lettera del 18.12.2017 la</w:t>
      </w:r>
      <w:r>
        <w:rPr>
          <w:spacing w:val="50"/>
        </w:rPr>
        <w:t> </w:t>
      </w:r>
      <w:r>
        <w:rPr/>
        <w:t>BNL ha comunicato alla</w:t>
      </w:r>
      <w:r>
        <w:rPr>
          <w:spacing w:val="50"/>
        </w:rPr>
        <w:t> </w:t>
      </w:r>
      <w:r>
        <w:rPr/>
        <w:t>Società l’avvenuta escussione in data</w:t>
      </w:r>
    </w:p>
    <w:p>
      <w:pPr>
        <w:pStyle w:val="BodyText"/>
      </w:pPr>
    </w:p>
    <w:p>
      <w:pPr>
        <w:pStyle w:val="ListParagraph"/>
        <w:numPr>
          <w:ilvl w:val="2"/>
          <w:numId w:val="71"/>
        </w:numPr>
        <w:tabs>
          <w:tab w:pos="2262" w:val="left" w:leader="none"/>
        </w:tabs>
        <w:spacing w:line="240" w:lineRule="auto" w:before="0" w:after="0"/>
        <w:ind w:left="2261" w:right="0" w:hanging="843"/>
        <w:jc w:val="both"/>
        <w:rPr>
          <w:sz w:val="24"/>
        </w:rPr>
      </w:pPr>
      <w:r>
        <w:rPr>
          <w:sz w:val="24"/>
        </w:rPr>
        <w:t>della suddetta</w:t>
      </w:r>
      <w:r>
        <w:rPr>
          <w:spacing w:val="-9"/>
          <w:sz w:val="24"/>
        </w:rPr>
        <w:t> </w:t>
      </w:r>
      <w:r>
        <w:rPr>
          <w:sz w:val="24"/>
        </w:rPr>
        <w:t>garanzia.</w:t>
      </w:r>
    </w:p>
    <w:p>
      <w:pPr>
        <w:pStyle w:val="BodyText"/>
        <w:spacing w:before="10"/>
        <w:rPr>
          <w:sz w:val="23"/>
        </w:rPr>
      </w:pPr>
    </w:p>
    <w:p>
      <w:pPr>
        <w:pStyle w:val="BodyText"/>
        <w:spacing w:line="480" w:lineRule="auto" w:before="1"/>
        <w:ind w:left="1418" w:right="1416"/>
        <w:jc w:val="both"/>
      </w:pPr>
      <w:r>
        <w:rPr/>
        <w:t>Si precisa che il debito verso la banca BEI prima dell’escussione ammontava ad Euro 8.228.986 e a seguito dell’escussione è stato suddiviso in due differenti conti:</w:t>
      </w:r>
    </w:p>
    <w:p>
      <w:pPr>
        <w:pStyle w:val="ListParagraph"/>
        <w:numPr>
          <w:ilvl w:val="3"/>
          <w:numId w:val="71"/>
        </w:numPr>
        <w:tabs>
          <w:tab w:pos="2126" w:val="left" w:leader="none"/>
          <w:tab w:pos="2127" w:val="left" w:leader="none"/>
        </w:tabs>
        <w:spacing w:line="240" w:lineRule="auto" w:before="0" w:after="0"/>
        <w:ind w:left="2138" w:right="0" w:hanging="360"/>
        <w:jc w:val="left"/>
        <w:rPr>
          <w:sz w:val="24"/>
        </w:rPr>
      </w:pPr>
      <w:r>
        <w:rPr>
          <w:sz w:val="24"/>
        </w:rPr>
        <w:t>Euro 7.018.986 a titolo di debito verso la BNL sopra</w:t>
      </w:r>
      <w:r>
        <w:rPr>
          <w:spacing w:val="-17"/>
          <w:sz w:val="24"/>
        </w:rPr>
        <w:t> </w:t>
      </w:r>
      <w:r>
        <w:rPr>
          <w:sz w:val="24"/>
        </w:rPr>
        <w:t>descritto;</w:t>
      </w:r>
    </w:p>
    <w:p>
      <w:pPr>
        <w:pStyle w:val="BodyText"/>
        <w:spacing w:before="10"/>
        <w:rPr>
          <w:sz w:val="23"/>
        </w:rPr>
      </w:pPr>
    </w:p>
    <w:p>
      <w:pPr>
        <w:pStyle w:val="ListParagraph"/>
        <w:numPr>
          <w:ilvl w:val="3"/>
          <w:numId w:val="71"/>
        </w:numPr>
        <w:tabs>
          <w:tab w:pos="2126" w:val="left" w:leader="none"/>
          <w:tab w:pos="2127" w:val="left" w:leader="none"/>
        </w:tabs>
        <w:spacing w:line="460" w:lineRule="auto" w:before="0" w:after="0"/>
        <w:ind w:left="2138" w:right="1415" w:hanging="360"/>
        <w:jc w:val="left"/>
        <w:rPr>
          <w:sz w:val="24"/>
        </w:rPr>
      </w:pPr>
      <w:r>
        <w:rPr>
          <w:sz w:val="24"/>
        </w:rPr>
        <w:t>Euro 1.210.000 a titolo di debito verso la M&amp;G S.p.A. in forza dell’art </w:t>
      </w:r>
      <w:r>
        <w:rPr>
          <w:spacing w:val="2"/>
          <w:sz w:val="24"/>
        </w:rPr>
        <w:t>9.1 </w:t>
      </w:r>
      <w:r>
        <w:rPr>
          <w:sz w:val="24"/>
        </w:rPr>
        <w:t>del contratto di pegno stipulato in data 28 ottobre 2014 tra M&amp;G S.p.A. e BNL, sopra</w:t>
      </w:r>
      <w:r>
        <w:rPr>
          <w:spacing w:val="-28"/>
          <w:sz w:val="24"/>
        </w:rPr>
        <w:t> </w:t>
      </w:r>
      <w:r>
        <w:rPr>
          <w:sz w:val="24"/>
        </w:rPr>
        <w:t>descritto.</w:t>
      </w:r>
    </w:p>
    <w:p>
      <w:pPr>
        <w:pStyle w:val="Heading2"/>
        <w:numPr>
          <w:ilvl w:val="0"/>
          <w:numId w:val="72"/>
        </w:numPr>
        <w:tabs>
          <w:tab w:pos="2126" w:val="left" w:leader="none"/>
          <w:tab w:pos="2127" w:val="left" w:leader="none"/>
        </w:tabs>
        <w:spacing w:line="240" w:lineRule="auto" w:before="20" w:after="0"/>
        <w:ind w:left="2126" w:right="0" w:hanging="348"/>
        <w:jc w:val="left"/>
      </w:pPr>
      <w:r>
        <w:rPr/>
        <w:t>Banca IFIS per Euro</w:t>
      </w:r>
      <w:r>
        <w:rPr>
          <w:spacing w:val="-14"/>
        </w:rPr>
        <w:t> </w:t>
      </w:r>
      <w:r>
        <w:rPr/>
        <w:t>3.000.000</w:t>
      </w:r>
    </w:p>
    <w:p>
      <w:pPr>
        <w:pStyle w:val="BodyText"/>
        <w:spacing w:line="480" w:lineRule="auto" w:before="269"/>
        <w:ind w:left="1418" w:right="1417"/>
        <w:jc w:val="both"/>
      </w:pPr>
      <w:r>
        <w:rPr/>
        <w:t>La posta in esame al 15 ottobre 2017 è pari ad Euro 3.000.000. In data 20 gennaio 2016 Biochemtex ha rilasciato a favore di banca IFIS, nell’interesse di IBP S.r.l., una garanzia fideiussoria per 3.000.000. Gli scriventi hanno preso visione della lettera del 1° dicembre 2017 con cui Banca IFIS informava la Biochemtex di aver comunicato alla società IBP S.r.l. la decadenza dal beneficio e di aver provveduto a chiedere alla IBP S.r.l. il pagamento del suddetto importo.</w:t>
      </w:r>
    </w:p>
    <w:p>
      <w:pPr>
        <w:pStyle w:val="Heading2"/>
        <w:numPr>
          <w:ilvl w:val="0"/>
          <w:numId w:val="72"/>
        </w:numPr>
        <w:tabs>
          <w:tab w:pos="2126" w:val="left" w:leader="none"/>
          <w:tab w:pos="2127" w:val="left" w:leader="none"/>
        </w:tabs>
        <w:spacing w:line="304" w:lineRule="exact" w:before="0" w:after="0"/>
        <w:ind w:left="2126" w:right="0" w:hanging="348"/>
        <w:jc w:val="left"/>
      </w:pPr>
      <w:r>
        <w:rPr/>
        <w:t>Banca SACE per Euro</w:t>
      </w:r>
      <w:r>
        <w:rPr>
          <w:spacing w:val="-15"/>
        </w:rPr>
        <w:t> </w:t>
      </w:r>
      <w:r>
        <w:rPr/>
        <w:t>18.522.737</w:t>
      </w:r>
    </w:p>
    <w:p>
      <w:pPr>
        <w:pStyle w:val="BodyText"/>
        <w:rPr>
          <w:b/>
        </w:rPr>
      </w:pPr>
    </w:p>
    <w:p>
      <w:pPr>
        <w:pStyle w:val="BodyText"/>
        <w:spacing w:line="480" w:lineRule="auto"/>
        <w:ind w:left="1418" w:right="1416"/>
        <w:jc w:val="both"/>
      </w:pPr>
      <w:r>
        <w:rPr/>
        <w:t>Il debito verso la banca SACE ammonta ad Euro 18.522.737 di cui Euro 18.408.546 a titolo di capitale ed Euro 114.191 a titolo di interessi. Il debito è stato stanziato in bilancio a seguito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dell’escussione della garanzia n. 2013/1376/00, rilasciata in data 23 ottobre 2014 da banca SACE a copertura del 34,6% del finanziamento rilasciato dalla Banca Europea per gli Investimenti (BEI). Con lettera del 27.12.2017 la Banca SACE ha comunicato alla Società l’avvenuta  escussione della garanzia (nelle date del 4.12.17 e</w:t>
      </w:r>
      <w:r>
        <w:rPr>
          <w:spacing w:val="-18"/>
        </w:rPr>
        <w:t> </w:t>
      </w:r>
      <w:r>
        <w:rPr/>
        <w:t>14.12.17).</w:t>
      </w:r>
    </w:p>
    <w:p>
      <w:pPr>
        <w:pStyle w:val="Heading2"/>
        <w:numPr>
          <w:ilvl w:val="0"/>
          <w:numId w:val="72"/>
        </w:numPr>
        <w:tabs>
          <w:tab w:pos="2126" w:val="left" w:leader="none"/>
          <w:tab w:pos="2127" w:val="left" w:leader="none"/>
        </w:tabs>
        <w:spacing w:line="304" w:lineRule="exact" w:before="0" w:after="0"/>
        <w:ind w:left="2126" w:right="0" w:hanging="348"/>
        <w:jc w:val="left"/>
      </w:pPr>
      <w:r>
        <w:rPr/>
        <w:t>Banca Carime per Euro</w:t>
      </w:r>
      <w:r>
        <w:rPr>
          <w:spacing w:val="-9"/>
        </w:rPr>
        <w:t> </w:t>
      </w:r>
      <w:r>
        <w:rPr/>
        <w:t>510.262</w:t>
      </w:r>
    </w:p>
    <w:p>
      <w:pPr>
        <w:pStyle w:val="BodyText"/>
        <w:spacing w:before="3"/>
        <w:rPr>
          <w:b/>
        </w:rPr>
      </w:pPr>
    </w:p>
    <w:p>
      <w:pPr>
        <w:pStyle w:val="BodyText"/>
        <w:spacing w:line="480" w:lineRule="auto"/>
        <w:ind w:left="1418" w:right="1419"/>
        <w:jc w:val="both"/>
      </w:pPr>
      <w:r>
        <w:rPr/>
        <w:t>In data 14 giugno 2013 Biochemtex ha acquistato l’immobile di Modugno sottoscrivendo con Banca Carime un contratto di mutuo fondiario Rep. 113910, Raccolta 6126 per Euro 750.000, il cui debito residuo ammonta al 15 ottobre 2017 ad Euro 510.262.</w:t>
      </w:r>
    </w:p>
    <w:p>
      <w:pPr>
        <w:pStyle w:val="BodyText"/>
        <w:ind w:left="1418"/>
        <w:jc w:val="both"/>
      </w:pPr>
      <w:r>
        <w:rPr>
          <w:u w:val="single"/>
        </w:rPr>
        <w:t>Attività svolta</w:t>
      </w:r>
    </w:p>
    <w:p>
      <w:pPr>
        <w:pStyle w:val="BodyText"/>
      </w:pPr>
    </w:p>
    <w:p>
      <w:pPr>
        <w:pStyle w:val="BodyText"/>
        <w:spacing w:line="480" w:lineRule="auto"/>
        <w:ind w:left="1418" w:right="1414"/>
        <w:jc w:val="both"/>
      </w:pPr>
      <w:r>
        <w:rPr/>
        <w:t>Gli scriventi hanno preso visione delle risposte delle banche alle lettere di circolarizzazione e dei prospetti riepilogativi, predisposti da Deloitte e consegnati agli scriventi dal management della Società. Nel dettaglio, inoltre, hanno analizzato il contratto di Finanziamento BEI, il contratto di pegno sul cc di M&amp;G Finanziaria, il contratto di pegno sul cc di M&amp;G S.p.A., il contratto di mutuo fondiario, nonché le lettere con cui le banche hanno comunicato l’avvenuta escussione.  Gli scriventi hanno altresì preso visione della Centrale Rischi riferita al mese di novembre</w:t>
      </w:r>
      <w:r>
        <w:rPr>
          <w:spacing w:val="-28"/>
        </w:rPr>
        <w:t> </w:t>
      </w:r>
      <w:r>
        <w:rPr/>
        <w:t>2017.</w:t>
      </w:r>
    </w:p>
    <w:p>
      <w:pPr>
        <w:pStyle w:val="BodyText"/>
        <w:ind w:left="1418"/>
        <w:jc w:val="both"/>
      </w:pPr>
      <w:r>
        <w:rPr/>
        <w:t>Si riporta di seguito la tabella riepilogativa delle analisi effettuate dalla Società e riportate nei</w:t>
      </w:r>
    </w:p>
    <w:p>
      <w:pPr>
        <w:pStyle w:val="BodyText"/>
      </w:pPr>
    </w:p>
    <w:p>
      <w:pPr>
        <w:spacing w:before="0"/>
        <w:ind w:left="1418" w:right="0" w:firstLine="0"/>
        <w:jc w:val="both"/>
        <w:rPr>
          <w:sz w:val="24"/>
        </w:rPr>
      </w:pPr>
      <w:r>
        <w:rPr>
          <w:i/>
          <w:sz w:val="24"/>
        </w:rPr>
        <w:t>Deliverables </w:t>
      </w:r>
      <w:r>
        <w:rPr>
          <w:sz w:val="24"/>
        </w:rPr>
        <w:t>di Deloitte:</w:t>
      </w:r>
    </w:p>
    <w:p>
      <w:pPr>
        <w:spacing w:after="0"/>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7"/>
        <w:rPr>
          <w:sz w:val="13"/>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66"/>
        <w:gridCol w:w="2980"/>
        <w:gridCol w:w="1258"/>
        <w:gridCol w:w="972"/>
        <w:gridCol w:w="1101"/>
        <w:gridCol w:w="833"/>
        <w:gridCol w:w="1240"/>
      </w:tblGrid>
      <w:tr>
        <w:trPr>
          <w:trHeight w:val="416" w:hRule="exact"/>
        </w:trPr>
        <w:tc>
          <w:tcPr>
            <w:tcW w:w="666" w:type="dxa"/>
            <w:tcBorders>
              <w:bottom w:val="single" w:sz="4" w:space="0" w:color="000000"/>
            </w:tcBorders>
            <w:shd w:val="clear" w:color="auto" w:fill="85BB24"/>
          </w:tcPr>
          <w:p>
            <w:pPr>
              <w:pStyle w:val="TableParagraph"/>
              <w:spacing w:before="4"/>
              <w:jc w:val="left"/>
              <w:rPr>
                <w:sz w:val="12"/>
              </w:rPr>
            </w:pPr>
          </w:p>
          <w:p>
            <w:pPr>
              <w:pStyle w:val="TableParagraph"/>
              <w:spacing w:before="0"/>
              <w:ind w:left="27"/>
              <w:jc w:val="left"/>
              <w:rPr>
                <w:rFonts w:ascii="Verdana"/>
                <w:b/>
                <w:sz w:val="11"/>
              </w:rPr>
            </w:pPr>
            <w:r>
              <w:rPr>
                <w:rFonts w:ascii="Verdana"/>
                <w:b/>
                <w:color w:val="FFFFFF"/>
                <w:sz w:val="11"/>
              </w:rPr>
              <w:t>Co.ge</w:t>
            </w:r>
          </w:p>
        </w:tc>
        <w:tc>
          <w:tcPr>
            <w:tcW w:w="2980" w:type="dxa"/>
            <w:tcBorders>
              <w:bottom w:val="single" w:sz="4" w:space="0" w:color="000000"/>
            </w:tcBorders>
            <w:shd w:val="clear" w:color="auto" w:fill="85BB24"/>
          </w:tcPr>
          <w:p>
            <w:pPr>
              <w:pStyle w:val="TableParagraph"/>
              <w:spacing w:before="4"/>
              <w:jc w:val="left"/>
              <w:rPr>
                <w:sz w:val="12"/>
              </w:rPr>
            </w:pPr>
          </w:p>
          <w:p>
            <w:pPr>
              <w:pStyle w:val="TableParagraph"/>
              <w:spacing w:before="0"/>
              <w:ind w:left="1092" w:right="1084"/>
              <w:jc w:val="center"/>
              <w:rPr>
                <w:rFonts w:ascii="Verdana"/>
                <w:b/>
                <w:sz w:val="11"/>
              </w:rPr>
            </w:pPr>
            <w:r>
              <w:rPr>
                <w:rFonts w:ascii="Verdana"/>
                <w:b/>
                <w:color w:val="FFFFFF"/>
                <w:sz w:val="11"/>
              </w:rPr>
              <w:t>Banche</w:t>
            </w:r>
          </w:p>
        </w:tc>
        <w:tc>
          <w:tcPr>
            <w:tcW w:w="1258" w:type="dxa"/>
            <w:tcBorders>
              <w:bottom w:val="single" w:sz="4" w:space="0" w:color="000000"/>
            </w:tcBorders>
            <w:shd w:val="clear" w:color="auto" w:fill="85BB24"/>
          </w:tcPr>
          <w:p>
            <w:pPr>
              <w:pStyle w:val="TableParagraph"/>
              <w:spacing w:before="65"/>
              <w:ind w:left="259"/>
              <w:jc w:val="left"/>
              <w:rPr>
                <w:rFonts w:ascii="Verdana"/>
                <w:b/>
                <w:sz w:val="11"/>
              </w:rPr>
            </w:pPr>
            <w:r>
              <w:rPr>
                <w:rFonts w:ascii="Verdana"/>
                <w:b/>
                <w:color w:val="FFFFFF"/>
                <w:sz w:val="11"/>
              </w:rPr>
              <w:t>'Saldo al 15</w:t>
            </w:r>
          </w:p>
          <w:p>
            <w:pPr>
              <w:pStyle w:val="TableParagraph"/>
              <w:spacing w:before="5"/>
              <w:ind w:left="212"/>
              <w:jc w:val="left"/>
              <w:rPr>
                <w:rFonts w:ascii="Verdana"/>
                <w:b/>
                <w:sz w:val="11"/>
              </w:rPr>
            </w:pPr>
            <w:r>
              <w:rPr>
                <w:rFonts w:ascii="Verdana"/>
                <w:b/>
                <w:color w:val="FFFFFF"/>
                <w:sz w:val="11"/>
              </w:rPr>
              <w:t>ottobre 2017</w:t>
            </w:r>
          </w:p>
        </w:tc>
        <w:tc>
          <w:tcPr>
            <w:tcW w:w="972" w:type="dxa"/>
            <w:tcBorders>
              <w:bottom w:val="single" w:sz="4" w:space="0" w:color="000000"/>
            </w:tcBorders>
            <w:shd w:val="clear" w:color="auto" w:fill="85BB24"/>
          </w:tcPr>
          <w:p>
            <w:pPr>
              <w:pStyle w:val="TableParagraph"/>
              <w:spacing w:before="4"/>
              <w:jc w:val="left"/>
              <w:rPr>
                <w:sz w:val="12"/>
              </w:rPr>
            </w:pPr>
          </w:p>
          <w:p>
            <w:pPr>
              <w:pStyle w:val="TableParagraph"/>
              <w:spacing w:before="0"/>
              <w:ind w:left="196" w:right="196"/>
              <w:jc w:val="center"/>
              <w:rPr>
                <w:rFonts w:ascii="Verdana"/>
                <w:b/>
                <w:sz w:val="11"/>
              </w:rPr>
            </w:pPr>
            <w:r>
              <w:rPr>
                <w:rFonts w:ascii="Verdana"/>
                <w:b/>
                <w:color w:val="FFFFFF"/>
                <w:sz w:val="11"/>
              </w:rPr>
              <w:t>Risposta</w:t>
            </w:r>
          </w:p>
        </w:tc>
        <w:tc>
          <w:tcPr>
            <w:tcW w:w="1101" w:type="dxa"/>
            <w:tcBorders>
              <w:bottom w:val="single" w:sz="4" w:space="0" w:color="000000"/>
            </w:tcBorders>
            <w:shd w:val="clear" w:color="auto" w:fill="85BB24"/>
          </w:tcPr>
          <w:p>
            <w:pPr>
              <w:pStyle w:val="TableParagraph"/>
              <w:spacing w:before="4"/>
              <w:jc w:val="left"/>
              <w:rPr>
                <w:sz w:val="12"/>
              </w:rPr>
            </w:pPr>
          </w:p>
          <w:p>
            <w:pPr>
              <w:pStyle w:val="TableParagraph"/>
              <w:spacing w:before="0"/>
              <w:ind w:left="374" w:right="373"/>
              <w:jc w:val="center"/>
              <w:rPr>
                <w:rFonts w:ascii="Verdana"/>
                <w:b/>
                <w:sz w:val="11"/>
              </w:rPr>
            </w:pPr>
            <w:r>
              <w:rPr>
                <w:rFonts w:ascii="Verdana"/>
                <w:b/>
                <w:color w:val="FFFFFF"/>
                <w:sz w:val="11"/>
              </w:rPr>
              <w:t>Esito</w:t>
            </w:r>
          </w:p>
        </w:tc>
        <w:tc>
          <w:tcPr>
            <w:tcW w:w="833" w:type="dxa"/>
            <w:tcBorders>
              <w:bottom w:val="single" w:sz="4" w:space="0" w:color="000000"/>
            </w:tcBorders>
            <w:shd w:val="clear" w:color="auto" w:fill="85BB24"/>
          </w:tcPr>
          <w:p>
            <w:pPr>
              <w:pStyle w:val="TableParagraph"/>
              <w:spacing w:before="4"/>
              <w:jc w:val="left"/>
              <w:rPr>
                <w:sz w:val="12"/>
              </w:rPr>
            </w:pPr>
          </w:p>
          <w:p>
            <w:pPr>
              <w:pStyle w:val="TableParagraph"/>
              <w:spacing w:before="0"/>
              <w:ind w:left="294" w:right="295"/>
              <w:jc w:val="center"/>
              <w:rPr>
                <w:rFonts w:ascii="Verdana"/>
                <w:b/>
                <w:sz w:val="11"/>
              </w:rPr>
            </w:pPr>
            <w:r>
              <w:rPr>
                <w:rFonts w:ascii="Verdana"/>
                <w:b/>
                <w:color w:val="FFFFFF"/>
                <w:sz w:val="11"/>
              </w:rPr>
              <w:t>adj</w:t>
            </w:r>
          </w:p>
        </w:tc>
        <w:tc>
          <w:tcPr>
            <w:tcW w:w="1240" w:type="dxa"/>
            <w:tcBorders>
              <w:bottom w:val="single" w:sz="4" w:space="0" w:color="000000"/>
            </w:tcBorders>
            <w:shd w:val="clear" w:color="auto" w:fill="85BB24"/>
          </w:tcPr>
          <w:p>
            <w:pPr>
              <w:pStyle w:val="TableParagraph"/>
              <w:spacing w:before="4"/>
              <w:jc w:val="left"/>
              <w:rPr>
                <w:sz w:val="12"/>
              </w:rPr>
            </w:pPr>
          </w:p>
          <w:p>
            <w:pPr>
              <w:pStyle w:val="TableParagraph"/>
              <w:spacing w:before="0"/>
              <w:ind w:left="110"/>
              <w:jc w:val="left"/>
              <w:rPr>
                <w:rFonts w:ascii="Verdana"/>
                <w:b/>
                <w:sz w:val="11"/>
              </w:rPr>
            </w:pPr>
            <w:r>
              <w:rPr>
                <w:rFonts w:ascii="Verdana"/>
                <w:b/>
                <w:color w:val="FFFFFF"/>
                <w:sz w:val="11"/>
              </w:rPr>
              <w:t>importo post adj</w:t>
            </w:r>
          </w:p>
        </w:tc>
      </w:tr>
      <w:tr>
        <w:trPr>
          <w:trHeight w:val="194" w:hRule="exact"/>
        </w:trPr>
        <w:tc>
          <w:tcPr>
            <w:tcW w:w="666" w:type="dxa"/>
            <w:tcBorders>
              <w:top w:val="single" w:sz="4" w:space="0" w:color="000000"/>
            </w:tcBorders>
          </w:tcPr>
          <w:p>
            <w:pPr>
              <w:pStyle w:val="TableParagraph"/>
              <w:spacing w:before="28"/>
              <w:ind w:left="18"/>
              <w:jc w:val="left"/>
              <w:rPr>
                <w:rFonts w:ascii="Verdana"/>
                <w:sz w:val="11"/>
              </w:rPr>
            </w:pPr>
            <w:r>
              <w:rPr>
                <w:rFonts w:ascii="Verdana"/>
                <w:sz w:val="11"/>
              </w:rPr>
              <w:t>2259902</w:t>
            </w:r>
          </w:p>
        </w:tc>
        <w:tc>
          <w:tcPr>
            <w:tcW w:w="2980" w:type="dxa"/>
            <w:tcBorders>
              <w:top w:val="single" w:sz="4" w:space="0" w:color="000000"/>
            </w:tcBorders>
          </w:tcPr>
          <w:p>
            <w:pPr>
              <w:pStyle w:val="TableParagraph"/>
              <w:spacing w:before="28"/>
              <w:ind w:left="18"/>
              <w:jc w:val="left"/>
              <w:rPr>
                <w:rFonts w:ascii="Verdana"/>
                <w:sz w:val="11"/>
              </w:rPr>
            </w:pPr>
            <w:r>
              <w:rPr>
                <w:rFonts w:ascii="Verdana"/>
                <w:sz w:val="11"/>
              </w:rPr>
              <w:t>Unicredit (Milano) Current Account C/C  N.4787</w:t>
            </w:r>
          </w:p>
        </w:tc>
        <w:tc>
          <w:tcPr>
            <w:tcW w:w="1258" w:type="dxa"/>
            <w:tcBorders>
              <w:top w:val="single" w:sz="4" w:space="0" w:color="000000"/>
            </w:tcBorders>
          </w:tcPr>
          <w:p>
            <w:pPr>
              <w:pStyle w:val="TableParagraph"/>
              <w:spacing w:before="0"/>
              <w:ind w:right="50"/>
              <w:rPr>
                <w:rFonts w:ascii="Verdana"/>
                <w:sz w:val="11"/>
              </w:rPr>
            </w:pPr>
            <w:r>
              <w:rPr>
                <w:rFonts w:ascii="Verdana"/>
                <w:sz w:val="11"/>
              </w:rPr>
              <w:t>(24.337,91)</w:t>
            </w:r>
          </w:p>
        </w:tc>
        <w:tc>
          <w:tcPr>
            <w:tcW w:w="972" w:type="dxa"/>
            <w:tcBorders>
              <w:top w:val="single" w:sz="4" w:space="0" w:color="000000"/>
            </w:tcBorders>
          </w:tcPr>
          <w:p>
            <w:pPr/>
          </w:p>
        </w:tc>
        <w:tc>
          <w:tcPr>
            <w:tcW w:w="1101" w:type="dxa"/>
            <w:tcBorders>
              <w:top w:val="single" w:sz="4" w:space="0" w:color="000000"/>
            </w:tcBorders>
          </w:tcPr>
          <w:p>
            <w:pPr>
              <w:pStyle w:val="TableParagraph"/>
              <w:spacing w:before="28"/>
              <w:ind w:left="64"/>
              <w:jc w:val="left"/>
              <w:rPr>
                <w:rFonts w:ascii="Verdana"/>
                <w:sz w:val="11"/>
              </w:rPr>
            </w:pPr>
            <w:r>
              <w:rPr>
                <w:rFonts w:ascii="Verdana"/>
                <w:sz w:val="11"/>
              </w:rPr>
              <w:t>Riconc. con E/C</w:t>
            </w:r>
          </w:p>
        </w:tc>
        <w:tc>
          <w:tcPr>
            <w:tcW w:w="833" w:type="dxa"/>
            <w:tcBorders>
              <w:top w:val="single" w:sz="4" w:space="0" w:color="000000"/>
            </w:tcBorders>
          </w:tcPr>
          <w:p>
            <w:pPr>
              <w:pStyle w:val="TableParagraph"/>
              <w:spacing w:before="28"/>
              <w:ind w:right="206"/>
              <w:rPr>
                <w:rFonts w:ascii="Verdana"/>
                <w:sz w:val="11"/>
              </w:rPr>
            </w:pPr>
            <w:r>
              <w:rPr>
                <w:rFonts w:ascii="Verdana"/>
                <w:w w:val="101"/>
                <w:sz w:val="11"/>
              </w:rPr>
              <w:t>-</w:t>
            </w:r>
          </w:p>
        </w:tc>
        <w:tc>
          <w:tcPr>
            <w:tcW w:w="1240" w:type="dxa"/>
            <w:tcBorders>
              <w:top w:val="single" w:sz="4" w:space="0" w:color="000000"/>
            </w:tcBorders>
          </w:tcPr>
          <w:p>
            <w:pPr>
              <w:pStyle w:val="TableParagraph"/>
              <w:spacing w:before="0"/>
              <w:ind w:right="50"/>
              <w:rPr>
                <w:rFonts w:ascii="Verdana"/>
                <w:sz w:val="11"/>
              </w:rPr>
            </w:pPr>
            <w:r>
              <w:rPr>
                <w:rFonts w:ascii="Verdana"/>
                <w:sz w:val="11"/>
              </w:rPr>
              <w:t>(24.337,91)</w:t>
            </w:r>
          </w:p>
        </w:tc>
      </w:tr>
      <w:tr>
        <w:trPr>
          <w:trHeight w:val="194" w:hRule="exact"/>
        </w:trPr>
        <w:tc>
          <w:tcPr>
            <w:tcW w:w="666" w:type="dxa"/>
          </w:tcPr>
          <w:p>
            <w:pPr>
              <w:pStyle w:val="TableParagraph"/>
              <w:spacing w:before="28"/>
              <w:ind w:left="18"/>
              <w:jc w:val="left"/>
              <w:rPr>
                <w:rFonts w:ascii="Verdana"/>
                <w:sz w:val="11"/>
              </w:rPr>
            </w:pPr>
            <w:r>
              <w:rPr>
                <w:rFonts w:ascii="Verdana"/>
                <w:sz w:val="11"/>
              </w:rPr>
              <w:t>2250640</w:t>
            </w:r>
          </w:p>
        </w:tc>
        <w:tc>
          <w:tcPr>
            <w:tcW w:w="2980" w:type="dxa"/>
          </w:tcPr>
          <w:p>
            <w:pPr>
              <w:pStyle w:val="TableParagraph"/>
              <w:spacing w:before="28"/>
              <w:ind w:left="18"/>
              <w:jc w:val="left"/>
              <w:rPr>
                <w:rFonts w:ascii="Verdana"/>
                <w:sz w:val="11"/>
              </w:rPr>
            </w:pPr>
            <w:r>
              <w:rPr>
                <w:rFonts w:ascii="Verdana"/>
                <w:sz w:val="11"/>
              </w:rPr>
              <w:t>Unicredit  (Milano) Finanziamento</w:t>
            </w:r>
          </w:p>
        </w:tc>
        <w:tc>
          <w:tcPr>
            <w:tcW w:w="1258" w:type="dxa"/>
          </w:tcPr>
          <w:p>
            <w:pPr>
              <w:pStyle w:val="TableParagraph"/>
              <w:spacing w:before="28"/>
              <w:ind w:right="51"/>
              <w:rPr>
                <w:rFonts w:ascii="Verdana"/>
                <w:sz w:val="11"/>
              </w:rPr>
            </w:pPr>
            <w:r>
              <w:rPr>
                <w:rFonts w:ascii="Verdana"/>
                <w:sz w:val="11"/>
              </w:rPr>
              <w:t>(42.668.041,53)</w:t>
            </w:r>
          </w:p>
        </w:tc>
        <w:tc>
          <w:tcPr>
            <w:tcW w:w="972" w:type="dxa"/>
          </w:tcPr>
          <w:p>
            <w:pPr/>
          </w:p>
        </w:tc>
        <w:tc>
          <w:tcPr>
            <w:tcW w:w="1101" w:type="dxa"/>
          </w:tcPr>
          <w:p>
            <w:pPr>
              <w:pStyle w:val="TableParagraph"/>
              <w:spacing w:before="28"/>
              <w:ind w:left="64"/>
              <w:jc w:val="left"/>
              <w:rPr>
                <w:rFonts w:ascii="Verdana"/>
                <w:sz w:val="11"/>
              </w:rPr>
            </w:pPr>
            <w:r>
              <w:rPr>
                <w:rFonts w:ascii="Verdana"/>
                <w:sz w:val="11"/>
              </w:rPr>
              <w:t>Proc. Alternativa</w:t>
            </w:r>
          </w:p>
        </w:tc>
        <w:tc>
          <w:tcPr>
            <w:tcW w:w="833" w:type="dxa"/>
          </w:tcPr>
          <w:p>
            <w:pPr>
              <w:pStyle w:val="TableParagraph"/>
              <w:spacing w:before="28"/>
              <w:ind w:right="206"/>
              <w:rPr>
                <w:rFonts w:ascii="Verdana"/>
                <w:sz w:val="11"/>
              </w:rPr>
            </w:pPr>
            <w:r>
              <w:rPr>
                <w:rFonts w:ascii="Verdana"/>
                <w:w w:val="101"/>
                <w:sz w:val="11"/>
              </w:rPr>
              <w:t>-</w:t>
            </w:r>
          </w:p>
        </w:tc>
        <w:tc>
          <w:tcPr>
            <w:tcW w:w="1240" w:type="dxa"/>
          </w:tcPr>
          <w:p>
            <w:pPr>
              <w:pStyle w:val="TableParagraph"/>
              <w:spacing w:before="0"/>
              <w:ind w:right="51"/>
              <w:rPr>
                <w:rFonts w:ascii="Verdana"/>
                <w:sz w:val="11"/>
              </w:rPr>
            </w:pPr>
            <w:r>
              <w:rPr>
                <w:rFonts w:ascii="Verdana"/>
                <w:sz w:val="11"/>
              </w:rPr>
              <w:t>(42.668.041,53)</w:t>
            </w:r>
          </w:p>
        </w:tc>
      </w:tr>
      <w:tr>
        <w:trPr>
          <w:trHeight w:val="194" w:hRule="exact"/>
        </w:trPr>
        <w:tc>
          <w:tcPr>
            <w:tcW w:w="666" w:type="dxa"/>
          </w:tcPr>
          <w:p>
            <w:pPr>
              <w:pStyle w:val="TableParagraph"/>
              <w:spacing w:before="0"/>
              <w:ind w:left="18"/>
              <w:jc w:val="left"/>
              <w:rPr>
                <w:rFonts w:ascii="Verdana"/>
                <w:sz w:val="11"/>
              </w:rPr>
            </w:pPr>
            <w:r>
              <w:rPr>
                <w:rFonts w:ascii="Verdana"/>
                <w:sz w:val="11"/>
              </w:rPr>
              <w:t>2253630</w:t>
            </w:r>
          </w:p>
        </w:tc>
        <w:tc>
          <w:tcPr>
            <w:tcW w:w="2980" w:type="dxa"/>
          </w:tcPr>
          <w:p>
            <w:pPr>
              <w:pStyle w:val="TableParagraph"/>
              <w:spacing w:before="0"/>
              <w:ind w:left="18"/>
              <w:jc w:val="left"/>
              <w:rPr>
                <w:rFonts w:ascii="Verdana"/>
                <w:sz w:val="11"/>
              </w:rPr>
            </w:pPr>
            <w:r>
              <w:rPr>
                <w:rFonts w:ascii="Verdana"/>
                <w:sz w:val="11"/>
              </w:rPr>
              <w:t>Intesa San Paolo (Alessandria) Anticipi  Export</w:t>
            </w:r>
          </w:p>
        </w:tc>
        <w:tc>
          <w:tcPr>
            <w:tcW w:w="1258" w:type="dxa"/>
          </w:tcPr>
          <w:p>
            <w:pPr>
              <w:pStyle w:val="TableParagraph"/>
              <w:spacing w:before="0"/>
              <w:ind w:right="51"/>
              <w:rPr>
                <w:rFonts w:ascii="Verdana"/>
                <w:sz w:val="11"/>
              </w:rPr>
            </w:pPr>
            <w:r>
              <w:rPr>
                <w:rFonts w:ascii="Verdana"/>
                <w:sz w:val="11"/>
              </w:rPr>
              <w:t>(14.653.339,20)</w:t>
            </w:r>
          </w:p>
        </w:tc>
        <w:tc>
          <w:tcPr>
            <w:tcW w:w="972" w:type="dxa"/>
          </w:tcPr>
          <w:p>
            <w:pPr>
              <w:pStyle w:val="TableParagraph"/>
              <w:spacing w:before="40"/>
              <w:ind w:left="9"/>
              <w:jc w:val="center"/>
              <w:rPr>
                <w:rFonts w:ascii="Webdings" w:hAnsi="Webdings"/>
                <w:sz w:val="10"/>
              </w:rPr>
            </w:pPr>
            <w:r>
              <w:rPr>
                <w:rFonts w:ascii="Webdings" w:hAnsi="Webdings"/>
                <w:w w:val="102"/>
                <w:sz w:val="10"/>
              </w:rPr>
              <w:t></w:t>
            </w:r>
          </w:p>
        </w:tc>
        <w:tc>
          <w:tcPr>
            <w:tcW w:w="1101" w:type="dxa"/>
          </w:tcPr>
          <w:p>
            <w:pPr>
              <w:pStyle w:val="TableParagraph"/>
              <w:spacing w:before="0"/>
              <w:ind w:left="64"/>
              <w:jc w:val="left"/>
              <w:rPr>
                <w:rFonts w:ascii="Verdana"/>
                <w:sz w:val="11"/>
              </w:rPr>
            </w:pPr>
            <w:r>
              <w:rPr>
                <w:rFonts w:ascii="Verdana"/>
                <w:sz w:val="11"/>
              </w:rPr>
              <w:t>Riconciliato</w:t>
            </w:r>
          </w:p>
        </w:tc>
        <w:tc>
          <w:tcPr>
            <w:tcW w:w="833" w:type="dxa"/>
          </w:tcPr>
          <w:p>
            <w:pPr>
              <w:pStyle w:val="TableParagraph"/>
              <w:spacing w:before="0"/>
              <w:ind w:right="67"/>
              <w:rPr>
                <w:rFonts w:ascii="Verdana"/>
                <w:sz w:val="11"/>
              </w:rPr>
            </w:pPr>
            <w:r>
              <w:rPr>
                <w:rFonts w:ascii="Verdana"/>
                <w:sz w:val="11"/>
              </w:rPr>
              <w:t>91.574,70</w:t>
            </w:r>
          </w:p>
        </w:tc>
        <w:tc>
          <w:tcPr>
            <w:tcW w:w="1240" w:type="dxa"/>
          </w:tcPr>
          <w:p>
            <w:pPr>
              <w:pStyle w:val="TableParagraph"/>
              <w:spacing w:before="0"/>
              <w:ind w:right="51"/>
              <w:rPr>
                <w:rFonts w:ascii="Verdana"/>
                <w:sz w:val="11"/>
              </w:rPr>
            </w:pPr>
            <w:r>
              <w:rPr>
                <w:rFonts w:ascii="Verdana"/>
                <w:sz w:val="11"/>
              </w:rPr>
              <w:t>(14.561.764,50)</w:t>
            </w:r>
          </w:p>
        </w:tc>
      </w:tr>
      <w:tr>
        <w:trPr>
          <w:trHeight w:val="194" w:hRule="exact"/>
        </w:trPr>
        <w:tc>
          <w:tcPr>
            <w:tcW w:w="666" w:type="dxa"/>
            <w:tcBorders>
              <w:bottom w:val="single" w:sz="4" w:space="0" w:color="000000"/>
            </w:tcBorders>
          </w:tcPr>
          <w:p>
            <w:pPr>
              <w:pStyle w:val="TableParagraph"/>
              <w:spacing w:before="28"/>
              <w:ind w:left="18"/>
              <w:jc w:val="left"/>
              <w:rPr>
                <w:rFonts w:ascii="Verdana"/>
                <w:sz w:val="11"/>
              </w:rPr>
            </w:pPr>
            <w:r>
              <w:rPr>
                <w:rFonts w:ascii="Verdana"/>
                <w:sz w:val="11"/>
              </w:rPr>
              <w:t>2520420</w:t>
            </w:r>
          </w:p>
        </w:tc>
        <w:tc>
          <w:tcPr>
            <w:tcW w:w="2980" w:type="dxa"/>
            <w:tcBorders>
              <w:bottom w:val="single" w:sz="4" w:space="0" w:color="000000"/>
            </w:tcBorders>
          </w:tcPr>
          <w:p>
            <w:pPr>
              <w:pStyle w:val="TableParagraph"/>
              <w:spacing w:before="28"/>
              <w:ind w:left="18"/>
              <w:jc w:val="left"/>
              <w:rPr>
                <w:rFonts w:ascii="Verdana"/>
                <w:sz w:val="11"/>
              </w:rPr>
            </w:pPr>
            <w:r>
              <w:rPr>
                <w:rFonts w:ascii="Verdana"/>
                <w:sz w:val="11"/>
              </w:rPr>
              <w:t>CARIME Bank LT Loans EUR 2013</w:t>
            </w:r>
          </w:p>
        </w:tc>
        <w:tc>
          <w:tcPr>
            <w:tcW w:w="1258" w:type="dxa"/>
            <w:tcBorders>
              <w:bottom w:val="single" w:sz="4" w:space="0" w:color="000000"/>
            </w:tcBorders>
          </w:tcPr>
          <w:p>
            <w:pPr>
              <w:pStyle w:val="TableParagraph"/>
              <w:spacing w:before="28"/>
              <w:ind w:right="50"/>
              <w:rPr>
                <w:rFonts w:ascii="Verdana"/>
                <w:sz w:val="11"/>
              </w:rPr>
            </w:pPr>
            <w:r>
              <w:rPr>
                <w:rFonts w:ascii="Verdana"/>
                <w:sz w:val="11"/>
              </w:rPr>
              <w:t>(510.262,03)</w:t>
            </w:r>
          </w:p>
        </w:tc>
        <w:tc>
          <w:tcPr>
            <w:tcW w:w="972" w:type="dxa"/>
            <w:tcBorders>
              <w:bottom w:val="single" w:sz="4" w:space="0" w:color="000000"/>
            </w:tcBorders>
          </w:tcPr>
          <w:p>
            <w:pPr/>
          </w:p>
        </w:tc>
        <w:tc>
          <w:tcPr>
            <w:tcW w:w="1101" w:type="dxa"/>
            <w:tcBorders>
              <w:bottom w:val="single" w:sz="4" w:space="0" w:color="000000"/>
            </w:tcBorders>
          </w:tcPr>
          <w:p>
            <w:pPr/>
          </w:p>
        </w:tc>
        <w:tc>
          <w:tcPr>
            <w:tcW w:w="833" w:type="dxa"/>
            <w:tcBorders>
              <w:bottom w:val="single" w:sz="4" w:space="0" w:color="000000"/>
            </w:tcBorders>
          </w:tcPr>
          <w:p>
            <w:pPr>
              <w:pStyle w:val="TableParagraph"/>
              <w:spacing w:before="28"/>
              <w:ind w:right="206"/>
              <w:rPr>
                <w:rFonts w:ascii="Verdana"/>
                <w:sz w:val="11"/>
              </w:rPr>
            </w:pPr>
            <w:r>
              <w:rPr>
                <w:rFonts w:ascii="Verdana"/>
                <w:w w:val="101"/>
                <w:sz w:val="11"/>
              </w:rPr>
              <w:t>-</w:t>
            </w:r>
          </w:p>
        </w:tc>
        <w:tc>
          <w:tcPr>
            <w:tcW w:w="1240" w:type="dxa"/>
            <w:tcBorders>
              <w:bottom w:val="single" w:sz="4" w:space="0" w:color="000000"/>
            </w:tcBorders>
          </w:tcPr>
          <w:p>
            <w:pPr>
              <w:pStyle w:val="TableParagraph"/>
              <w:spacing w:before="0"/>
              <w:ind w:right="50"/>
              <w:rPr>
                <w:rFonts w:ascii="Verdana"/>
                <w:sz w:val="11"/>
              </w:rPr>
            </w:pPr>
            <w:r>
              <w:rPr>
                <w:rFonts w:ascii="Verdana"/>
                <w:sz w:val="11"/>
              </w:rPr>
              <w:t>(510.262,03)</w:t>
            </w:r>
          </w:p>
        </w:tc>
      </w:tr>
      <w:tr>
        <w:trPr>
          <w:trHeight w:val="194" w:hRule="exact"/>
        </w:trPr>
        <w:tc>
          <w:tcPr>
            <w:tcW w:w="666" w:type="dxa"/>
            <w:tcBorders>
              <w:top w:val="single" w:sz="4" w:space="0" w:color="000000"/>
            </w:tcBorders>
          </w:tcPr>
          <w:p>
            <w:pPr>
              <w:pStyle w:val="TableParagraph"/>
              <w:spacing w:before="28"/>
              <w:ind w:left="18"/>
              <w:jc w:val="left"/>
              <w:rPr>
                <w:rFonts w:ascii="Verdana"/>
                <w:sz w:val="11"/>
              </w:rPr>
            </w:pPr>
            <w:r>
              <w:rPr>
                <w:rFonts w:ascii="Verdana"/>
                <w:sz w:val="11"/>
              </w:rPr>
              <w:t>2520470</w:t>
            </w:r>
          </w:p>
        </w:tc>
        <w:tc>
          <w:tcPr>
            <w:tcW w:w="2980" w:type="dxa"/>
            <w:tcBorders>
              <w:top w:val="single" w:sz="4" w:space="0" w:color="000000"/>
            </w:tcBorders>
          </w:tcPr>
          <w:p>
            <w:pPr>
              <w:pStyle w:val="TableParagraph"/>
              <w:spacing w:before="28"/>
              <w:ind w:left="18"/>
              <w:jc w:val="left"/>
              <w:rPr>
                <w:rFonts w:ascii="Verdana"/>
                <w:sz w:val="11"/>
              </w:rPr>
            </w:pPr>
            <w:r>
              <w:rPr>
                <w:rFonts w:ascii="Verdana"/>
                <w:sz w:val="11"/>
              </w:rPr>
              <w:t>BEI LT Loans EUR</w:t>
            </w:r>
          </w:p>
        </w:tc>
        <w:tc>
          <w:tcPr>
            <w:tcW w:w="1258" w:type="dxa"/>
            <w:tcBorders>
              <w:top w:val="single" w:sz="4" w:space="0" w:color="000000"/>
            </w:tcBorders>
          </w:tcPr>
          <w:p>
            <w:pPr>
              <w:pStyle w:val="TableParagraph"/>
              <w:spacing w:before="28"/>
              <w:ind w:right="206"/>
              <w:rPr>
                <w:rFonts w:ascii="Verdana"/>
                <w:sz w:val="11"/>
              </w:rPr>
            </w:pPr>
            <w:r>
              <w:rPr>
                <w:rFonts w:ascii="Verdana"/>
                <w:w w:val="101"/>
                <w:sz w:val="11"/>
              </w:rPr>
              <w:t>-</w:t>
            </w:r>
          </w:p>
        </w:tc>
        <w:tc>
          <w:tcPr>
            <w:tcW w:w="972" w:type="dxa"/>
            <w:tcBorders>
              <w:top w:val="single" w:sz="4" w:space="0" w:color="000000"/>
            </w:tcBorders>
          </w:tcPr>
          <w:p>
            <w:pPr>
              <w:pStyle w:val="TableParagraph"/>
              <w:spacing w:before="40"/>
              <w:ind w:left="9"/>
              <w:jc w:val="center"/>
              <w:rPr>
                <w:rFonts w:ascii="Webdings" w:hAnsi="Webdings"/>
                <w:sz w:val="10"/>
              </w:rPr>
            </w:pPr>
            <w:r>
              <w:rPr>
                <w:rFonts w:ascii="Webdings" w:hAnsi="Webdings"/>
                <w:w w:val="102"/>
                <w:sz w:val="10"/>
              </w:rPr>
              <w:t></w:t>
            </w:r>
          </w:p>
        </w:tc>
        <w:tc>
          <w:tcPr>
            <w:tcW w:w="1101" w:type="dxa"/>
            <w:tcBorders>
              <w:top w:val="single" w:sz="4" w:space="0" w:color="000000"/>
            </w:tcBorders>
          </w:tcPr>
          <w:p>
            <w:pPr>
              <w:pStyle w:val="TableParagraph"/>
              <w:spacing w:before="28"/>
              <w:ind w:left="64"/>
              <w:jc w:val="left"/>
              <w:rPr>
                <w:rFonts w:ascii="Verdana"/>
                <w:sz w:val="11"/>
              </w:rPr>
            </w:pPr>
            <w:r>
              <w:rPr>
                <w:rFonts w:ascii="Verdana"/>
                <w:sz w:val="11"/>
              </w:rPr>
              <w:t>In accordo</w:t>
            </w:r>
          </w:p>
        </w:tc>
        <w:tc>
          <w:tcPr>
            <w:tcW w:w="833" w:type="dxa"/>
            <w:tcBorders>
              <w:top w:val="single" w:sz="4" w:space="0" w:color="000000"/>
            </w:tcBorders>
          </w:tcPr>
          <w:p>
            <w:pPr>
              <w:pStyle w:val="TableParagraph"/>
              <w:spacing w:before="28"/>
              <w:ind w:right="206"/>
              <w:rPr>
                <w:rFonts w:ascii="Verdana"/>
                <w:sz w:val="11"/>
              </w:rPr>
            </w:pPr>
            <w:r>
              <w:rPr>
                <w:rFonts w:ascii="Verdana"/>
                <w:w w:val="101"/>
                <w:sz w:val="11"/>
              </w:rPr>
              <w:t>-</w:t>
            </w:r>
          </w:p>
        </w:tc>
        <w:tc>
          <w:tcPr>
            <w:tcW w:w="1240" w:type="dxa"/>
            <w:tcBorders>
              <w:top w:val="single" w:sz="4" w:space="0" w:color="000000"/>
            </w:tcBorders>
          </w:tcPr>
          <w:p>
            <w:pPr>
              <w:pStyle w:val="TableParagraph"/>
              <w:spacing w:before="28"/>
              <w:ind w:right="206"/>
              <w:rPr>
                <w:rFonts w:ascii="Verdana"/>
                <w:sz w:val="11"/>
              </w:rPr>
            </w:pPr>
            <w:r>
              <w:rPr>
                <w:rFonts w:ascii="Verdana"/>
                <w:w w:val="101"/>
                <w:sz w:val="11"/>
              </w:rPr>
              <w:t>-</w:t>
            </w:r>
          </w:p>
        </w:tc>
      </w:tr>
      <w:tr>
        <w:trPr>
          <w:trHeight w:val="194" w:hRule="exact"/>
        </w:trPr>
        <w:tc>
          <w:tcPr>
            <w:tcW w:w="666" w:type="dxa"/>
          </w:tcPr>
          <w:p>
            <w:pPr>
              <w:pStyle w:val="TableParagraph"/>
              <w:spacing w:before="28"/>
              <w:ind w:left="18"/>
              <w:jc w:val="left"/>
              <w:rPr>
                <w:rFonts w:ascii="Verdana"/>
                <w:sz w:val="11"/>
              </w:rPr>
            </w:pPr>
            <w:r>
              <w:rPr>
                <w:rFonts w:ascii="Verdana"/>
                <w:sz w:val="11"/>
              </w:rPr>
              <w:t>2318080</w:t>
            </w:r>
          </w:p>
        </w:tc>
        <w:tc>
          <w:tcPr>
            <w:tcW w:w="2980" w:type="dxa"/>
          </w:tcPr>
          <w:p>
            <w:pPr>
              <w:pStyle w:val="TableParagraph"/>
              <w:spacing w:before="28"/>
              <w:ind w:left="18"/>
              <w:jc w:val="left"/>
              <w:rPr>
                <w:rFonts w:ascii="Verdana"/>
                <w:sz w:val="11"/>
              </w:rPr>
            </w:pPr>
            <w:r>
              <w:rPr>
                <w:rFonts w:ascii="Verdana"/>
                <w:sz w:val="11"/>
              </w:rPr>
              <w:t>Bank Short Term instalment of long term  loans</w:t>
            </w:r>
          </w:p>
        </w:tc>
        <w:tc>
          <w:tcPr>
            <w:tcW w:w="1258" w:type="dxa"/>
          </w:tcPr>
          <w:p>
            <w:pPr>
              <w:pStyle w:val="TableParagraph"/>
              <w:spacing w:before="28"/>
              <w:ind w:right="206"/>
              <w:rPr>
                <w:rFonts w:ascii="Verdana"/>
                <w:sz w:val="11"/>
              </w:rPr>
            </w:pPr>
            <w:r>
              <w:rPr>
                <w:rFonts w:ascii="Verdana"/>
                <w:w w:val="101"/>
                <w:sz w:val="11"/>
              </w:rPr>
              <w:t>-</w:t>
            </w:r>
          </w:p>
        </w:tc>
        <w:tc>
          <w:tcPr>
            <w:tcW w:w="972" w:type="dxa"/>
          </w:tcPr>
          <w:p>
            <w:pPr/>
          </w:p>
        </w:tc>
        <w:tc>
          <w:tcPr>
            <w:tcW w:w="1101" w:type="dxa"/>
          </w:tcPr>
          <w:p>
            <w:pPr/>
          </w:p>
        </w:tc>
        <w:tc>
          <w:tcPr>
            <w:tcW w:w="833" w:type="dxa"/>
          </w:tcPr>
          <w:p>
            <w:pPr>
              <w:pStyle w:val="TableParagraph"/>
              <w:spacing w:before="28"/>
              <w:ind w:right="206"/>
              <w:rPr>
                <w:rFonts w:ascii="Verdana"/>
                <w:sz w:val="11"/>
              </w:rPr>
            </w:pPr>
            <w:r>
              <w:rPr>
                <w:rFonts w:ascii="Verdana"/>
                <w:w w:val="101"/>
                <w:sz w:val="11"/>
              </w:rPr>
              <w:t>-</w:t>
            </w:r>
          </w:p>
        </w:tc>
        <w:tc>
          <w:tcPr>
            <w:tcW w:w="1240" w:type="dxa"/>
          </w:tcPr>
          <w:p>
            <w:pPr>
              <w:pStyle w:val="TableParagraph"/>
              <w:spacing w:before="28"/>
              <w:ind w:right="206"/>
              <w:rPr>
                <w:rFonts w:ascii="Verdana"/>
                <w:sz w:val="11"/>
              </w:rPr>
            </w:pPr>
            <w:r>
              <w:rPr>
                <w:rFonts w:ascii="Verdana"/>
                <w:w w:val="101"/>
                <w:sz w:val="11"/>
              </w:rPr>
              <w:t>-</w:t>
            </w:r>
          </w:p>
        </w:tc>
      </w:tr>
      <w:tr>
        <w:trPr>
          <w:trHeight w:val="194" w:hRule="exact"/>
        </w:trPr>
        <w:tc>
          <w:tcPr>
            <w:tcW w:w="666" w:type="dxa"/>
          </w:tcPr>
          <w:p>
            <w:pPr>
              <w:pStyle w:val="TableParagraph"/>
              <w:spacing w:before="28"/>
              <w:ind w:left="18"/>
              <w:jc w:val="left"/>
              <w:rPr>
                <w:rFonts w:ascii="Verdana"/>
                <w:sz w:val="11"/>
              </w:rPr>
            </w:pPr>
            <w:r>
              <w:rPr>
                <w:rFonts w:ascii="Verdana"/>
                <w:sz w:val="11"/>
              </w:rPr>
              <w:t>2252199</w:t>
            </w:r>
          </w:p>
        </w:tc>
        <w:tc>
          <w:tcPr>
            <w:tcW w:w="2980" w:type="dxa"/>
          </w:tcPr>
          <w:p>
            <w:pPr>
              <w:pStyle w:val="TableParagraph"/>
              <w:spacing w:before="28"/>
              <w:ind w:left="18"/>
              <w:jc w:val="left"/>
              <w:rPr>
                <w:rFonts w:ascii="Verdana"/>
                <w:sz w:val="11"/>
              </w:rPr>
            </w:pPr>
            <w:r>
              <w:rPr>
                <w:rFonts w:ascii="Verdana"/>
                <w:sz w:val="11"/>
              </w:rPr>
              <w:t>Banca Popolare di Milano (Tortona) C/C EUR  2</w:t>
            </w:r>
          </w:p>
        </w:tc>
        <w:tc>
          <w:tcPr>
            <w:tcW w:w="1258" w:type="dxa"/>
          </w:tcPr>
          <w:p>
            <w:pPr>
              <w:pStyle w:val="TableParagraph"/>
              <w:spacing w:before="28"/>
              <w:ind w:right="51"/>
              <w:rPr>
                <w:rFonts w:ascii="Verdana"/>
                <w:sz w:val="11"/>
              </w:rPr>
            </w:pPr>
            <w:r>
              <w:rPr>
                <w:rFonts w:ascii="Verdana"/>
                <w:sz w:val="11"/>
              </w:rPr>
              <w:t>(10.282.984,34)</w:t>
            </w:r>
          </w:p>
        </w:tc>
        <w:tc>
          <w:tcPr>
            <w:tcW w:w="972" w:type="dxa"/>
          </w:tcPr>
          <w:p>
            <w:pPr>
              <w:pStyle w:val="TableParagraph"/>
              <w:spacing w:before="40"/>
              <w:ind w:left="9"/>
              <w:jc w:val="center"/>
              <w:rPr>
                <w:rFonts w:ascii="Webdings" w:hAnsi="Webdings"/>
                <w:sz w:val="10"/>
              </w:rPr>
            </w:pPr>
            <w:r>
              <w:rPr>
                <w:rFonts w:ascii="Webdings" w:hAnsi="Webdings"/>
                <w:w w:val="102"/>
                <w:sz w:val="10"/>
              </w:rPr>
              <w:t></w:t>
            </w:r>
          </w:p>
        </w:tc>
        <w:tc>
          <w:tcPr>
            <w:tcW w:w="1101" w:type="dxa"/>
          </w:tcPr>
          <w:p>
            <w:pPr>
              <w:pStyle w:val="TableParagraph"/>
              <w:spacing w:before="28"/>
              <w:ind w:left="64"/>
              <w:jc w:val="left"/>
              <w:rPr>
                <w:rFonts w:ascii="Verdana"/>
                <w:sz w:val="11"/>
              </w:rPr>
            </w:pPr>
            <w:r>
              <w:rPr>
                <w:rFonts w:ascii="Verdana"/>
                <w:sz w:val="11"/>
              </w:rPr>
              <w:t>In accordo</w:t>
            </w:r>
          </w:p>
        </w:tc>
        <w:tc>
          <w:tcPr>
            <w:tcW w:w="833" w:type="dxa"/>
          </w:tcPr>
          <w:p>
            <w:pPr>
              <w:pStyle w:val="TableParagraph"/>
              <w:spacing w:before="28"/>
              <w:ind w:right="206"/>
              <w:rPr>
                <w:rFonts w:ascii="Verdana"/>
                <w:sz w:val="11"/>
              </w:rPr>
            </w:pPr>
            <w:r>
              <w:rPr>
                <w:rFonts w:ascii="Verdana"/>
                <w:w w:val="101"/>
                <w:sz w:val="11"/>
              </w:rPr>
              <w:t>-</w:t>
            </w:r>
          </w:p>
        </w:tc>
        <w:tc>
          <w:tcPr>
            <w:tcW w:w="1240" w:type="dxa"/>
          </w:tcPr>
          <w:p>
            <w:pPr>
              <w:pStyle w:val="TableParagraph"/>
              <w:spacing w:before="0"/>
              <w:ind w:right="51"/>
              <w:rPr>
                <w:rFonts w:ascii="Verdana"/>
                <w:sz w:val="11"/>
              </w:rPr>
            </w:pPr>
            <w:r>
              <w:rPr>
                <w:rFonts w:ascii="Verdana"/>
                <w:sz w:val="11"/>
              </w:rPr>
              <w:t>(10.282.984,34)</w:t>
            </w:r>
          </w:p>
        </w:tc>
      </w:tr>
      <w:tr>
        <w:trPr>
          <w:trHeight w:val="194" w:hRule="exact"/>
        </w:trPr>
        <w:tc>
          <w:tcPr>
            <w:tcW w:w="666" w:type="dxa"/>
            <w:tcBorders>
              <w:bottom w:val="single" w:sz="4" w:space="0" w:color="000000"/>
            </w:tcBorders>
          </w:tcPr>
          <w:p>
            <w:pPr>
              <w:pStyle w:val="TableParagraph"/>
              <w:spacing w:before="28"/>
              <w:ind w:left="18"/>
              <w:jc w:val="left"/>
              <w:rPr>
                <w:rFonts w:ascii="Verdana"/>
                <w:sz w:val="11"/>
              </w:rPr>
            </w:pPr>
            <w:r>
              <w:rPr>
                <w:rFonts w:ascii="Verdana"/>
                <w:sz w:val="11"/>
              </w:rPr>
              <w:t>2253699</w:t>
            </w:r>
          </w:p>
        </w:tc>
        <w:tc>
          <w:tcPr>
            <w:tcW w:w="2980" w:type="dxa"/>
            <w:tcBorders>
              <w:bottom w:val="single" w:sz="4" w:space="0" w:color="000000"/>
            </w:tcBorders>
          </w:tcPr>
          <w:p>
            <w:pPr>
              <w:pStyle w:val="TableParagraph"/>
              <w:spacing w:before="28"/>
              <w:ind w:left="18"/>
              <w:jc w:val="left"/>
              <w:rPr>
                <w:rFonts w:ascii="Verdana"/>
                <w:sz w:val="11"/>
              </w:rPr>
            </w:pPr>
            <w:r>
              <w:rPr>
                <w:rFonts w:ascii="Verdana"/>
                <w:sz w:val="11"/>
              </w:rPr>
              <w:t>Intesa San Paolo (Alessandria) EUR  5</w:t>
            </w:r>
          </w:p>
        </w:tc>
        <w:tc>
          <w:tcPr>
            <w:tcW w:w="1258" w:type="dxa"/>
            <w:tcBorders>
              <w:bottom w:val="single" w:sz="4" w:space="0" w:color="000000"/>
            </w:tcBorders>
          </w:tcPr>
          <w:p>
            <w:pPr>
              <w:pStyle w:val="TableParagraph"/>
              <w:spacing w:before="28"/>
              <w:ind w:right="51"/>
              <w:rPr>
                <w:rFonts w:ascii="Verdana"/>
                <w:sz w:val="11"/>
              </w:rPr>
            </w:pPr>
            <w:r>
              <w:rPr>
                <w:rFonts w:ascii="Verdana"/>
                <w:sz w:val="11"/>
              </w:rPr>
              <w:t>(16.457.971,16)</w:t>
            </w:r>
          </w:p>
        </w:tc>
        <w:tc>
          <w:tcPr>
            <w:tcW w:w="972" w:type="dxa"/>
            <w:tcBorders>
              <w:bottom w:val="single" w:sz="4" w:space="0" w:color="000000"/>
            </w:tcBorders>
          </w:tcPr>
          <w:p>
            <w:pPr>
              <w:pStyle w:val="TableParagraph"/>
              <w:spacing w:before="40"/>
              <w:ind w:left="9"/>
              <w:jc w:val="center"/>
              <w:rPr>
                <w:rFonts w:ascii="Webdings" w:hAnsi="Webdings"/>
                <w:sz w:val="10"/>
              </w:rPr>
            </w:pPr>
            <w:r>
              <w:rPr>
                <w:rFonts w:ascii="Webdings" w:hAnsi="Webdings"/>
                <w:w w:val="102"/>
                <w:sz w:val="10"/>
              </w:rPr>
              <w:t></w:t>
            </w:r>
          </w:p>
        </w:tc>
        <w:tc>
          <w:tcPr>
            <w:tcW w:w="1101" w:type="dxa"/>
            <w:tcBorders>
              <w:bottom w:val="single" w:sz="4" w:space="0" w:color="000000"/>
            </w:tcBorders>
          </w:tcPr>
          <w:p>
            <w:pPr>
              <w:pStyle w:val="TableParagraph"/>
              <w:spacing w:before="28"/>
              <w:ind w:left="64"/>
              <w:jc w:val="left"/>
              <w:rPr>
                <w:rFonts w:ascii="Verdana"/>
                <w:sz w:val="11"/>
              </w:rPr>
            </w:pPr>
            <w:r>
              <w:rPr>
                <w:rFonts w:ascii="Verdana"/>
                <w:sz w:val="11"/>
              </w:rPr>
              <w:t>In accordo</w:t>
            </w:r>
          </w:p>
        </w:tc>
        <w:tc>
          <w:tcPr>
            <w:tcW w:w="833" w:type="dxa"/>
            <w:tcBorders>
              <w:bottom w:val="single" w:sz="4" w:space="0" w:color="000000"/>
            </w:tcBorders>
          </w:tcPr>
          <w:p>
            <w:pPr>
              <w:pStyle w:val="TableParagraph"/>
              <w:spacing w:before="28"/>
              <w:ind w:right="206"/>
              <w:rPr>
                <w:rFonts w:ascii="Verdana"/>
                <w:sz w:val="11"/>
              </w:rPr>
            </w:pPr>
            <w:r>
              <w:rPr>
                <w:rFonts w:ascii="Verdana"/>
                <w:w w:val="101"/>
                <w:sz w:val="11"/>
              </w:rPr>
              <w:t>-</w:t>
            </w:r>
          </w:p>
        </w:tc>
        <w:tc>
          <w:tcPr>
            <w:tcW w:w="1240" w:type="dxa"/>
            <w:tcBorders>
              <w:bottom w:val="single" w:sz="4" w:space="0" w:color="000000"/>
            </w:tcBorders>
          </w:tcPr>
          <w:p>
            <w:pPr>
              <w:pStyle w:val="TableParagraph"/>
              <w:spacing w:before="0"/>
              <w:ind w:right="51"/>
              <w:rPr>
                <w:rFonts w:ascii="Verdana"/>
                <w:sz w:val="11"/>
              </w:rPr>
            </w:pPr>
            <w:r>
              <w:rPr>
                <w:rFonts w:ascii="Verdana"/>
                <w:sz w:val="11"/>
              </w:rPr>
              <w:t>(16.457.971,16)</w:t>
            </w:r>
          </w:p>
        </w:tc>
      </w:tr>
      <w:tr>
        <w:trPr>
          <w:trHeight w:val="194" w:hRule="exact"/>
        </w:trPr>
        <w:tc>
          <w:tcPr>
            <w:tcW w:w="666" w:type="dxa"/>
            <w:tcBorders>
              <w:top w:val="single" w:sz="4" w:space="0" w:color="000000"/>
            </w:tcBorders>
          </w:tcPr>
          <w:p>
            <w:pPr>
              <w:pStyle w:val="TableParagraph"/>
              <w:spacing w:before="28"/>
              <w:ind w:left="18"/>
              <w:jc w:val="left"/>
              <w:rPr>
                <w:rFonts w:ascii="Verdana"/>
                <w:sz w:val="11"/>
              </w:rPr>
            </w:pPr>
            <w:r>
              <w:rPr>
                <w:rFonts w:ascii="Verdana"/>
                <w:sz w:val="11"/>
              </w:rPr>
              <w:t>2261940</w:t>
            </w:r>
          </w:p>
        </w:tc>
        <w:tc>
          <w:tcPr>
            <w:tcW w:w="2980" w:type="dxa"/>
            <w:tcBorders>
              <w:top w:val="single" w:sz="4" w:space="0" w:color="000000"/>
            </w:tcBorders>
          </w:tcPr>
          <w:p>
            <w:pPr>
              <w:pStyle w:val="TableParagraph"/>
              <w:spacing w:before="28"/>
              <w:ind w:left="18"/>
              <w:jc w:val="left"/>
              <w:rPr>
                <w:rFonts w:ascii="Verdana"/>
                <w:sz w:val="11"/>
              </w:rPr>
            </w:pPr>
            <w:r>
              <w:rPr>
                <w:rFonts w:ascii="Verdana"/>
                <w:sz w:val="11"/>
              </w:rPr>
              <w:t>Banca SACE ST Loan EUR</w:t>
            </w:r>
          </w:p>
        </w:tc>
        <w:tc>
          <w:tcPr>
            <w:tcW w:w="1258" w:type="dxa"/>
            <w:tcBorders>
              <w:top w:val="single" w:sz="4" w:space="0" w:color="000000"/>
            </w:tcBorders>
          </w:tcPr>
          <w:p>
            <w:pPr>
              <w:pStyle w:val="TableParagraph"/>
              <w:spacing w:before="28"/>
              <w:ind w:right="51"/>
              <w:rPr>
                <w:rFonts w:ascii="Verdana"/>
                <w:sz w:val="11"/>
              </w:rPr>
            </w:pPr>
            <w:r>
              <w:rPr>
                <w:rFonts w:ascii="Verdana"/>
                <w:sz w:val="11"/>
              </w:rPr>
              <w:t>(18.522.736,62)</w:t>
            </w:r>
          </w:p>
        </w:tc>
        <w:tc>
          <w:tcPr>
            <w:tcW w:w="972" w:type="dxa"/>
            <w:tcBorders>
              <w:top w:val="single" w:sz="4" w:space="0" w:color="000000"/>
            </w:tcBorders>
          </w:tcPr>
          <w:p>
            <w:pPr/>
          </w:p>
        </w:tc>
        <w:tc>
          <w:tcPr>
            <w:tcW w:w="1101" w:type="dxa"/>
            <w:tcBorders>
              <w:top w:val="single" w:sz="4" w:space="0" w:color="000000"/>
            </w:tcBorders>
          </w:tcPr>
          <w:p>
            <w:pPr>
              <w:pStyle w:val="TableParagraph"/>
              <w:spacing w:before="28"/>
              <w:ind w:left="64"/>
              <w:jc w:val="left"/>
              <w:rPr>
                <w:rFonts w:ascii="Verdana"/>
                <w:sz w:val="11"/>
              </w:rPr>
            </w:pPr>
            <w:r>
              <w:rPr>
                <w:rFonts w:ascii="Verdana"/>
                <w:sz w:val="11"/>
              </w:rPr>
              <w:t>Proc. Alternativa</w:t>
            </w:r>
          </w:p>
        </w:tc>
        <w:tc>
          <w:tcPr>
            <w:tcW w:w="833" w:type="dxa"/>
            <w:tcBorders>
              <w:top w:val="single" w:sz="4" w:space="0" w:color="000000"/>
            </w:tcBorders>
          </w:tcPr>
          <w:p>
            <w:pPr>
              <w:pStyle w:val="TableParagraph"/>
              <w:spacing w:before="28"/>
              <w:ind w:right="206"/>
              <w:rPr>
                <w:rFonts w:ascii="Verdana"/>
                <w:sz w:val="11"/>
              </w:rPr>
            </w:pPr>
            <w:r>
              <w:rPr>
                <w:rFonts w:ascii="Verdana"/>
                <w:w w:val="101"/>
                <w:sz w:val="11"/>
              </w:rPr>
              <w:t>-</w:t>
            </w:r>
          </w:p>
        </w:tc>
        <w:tc>
          <w:tcPr>
            <w:tcW w:w="1240" w:type="dxa"/>
            <w:tcBorders>
              <w:top w:val="single" w:sz="4" w:space="0" w:color="000000"/>
            </w:tcBorders>
          </w:tcPr>
          <w:p>
            <w:pPr>
              <w:pStyle w:val="TableParagraph"/>
              <w:spacing w:before="0"/>
              <w:ind w:right="51"/>
              <w:rPr>
                <w:rFonts w:ascii="Verdana"/>
                <w:sz w:val="11"/>
              </w:rPr>
            </w:pPr>
            <w:r>
              <w:rPr>
                <w:rFonts w:ascii="Verdana"/>
                <w:sz w:val="11"/>
              </w:rPr>
              <w:t>(18.522.736,62)</w:t>
            </w:r>
          </w:p>
        </w:tc>
      </w:tr>
      <w:tr>
        <w:trPr>
          <w:trHeight w:val="194" w:hRule="exact"/>
        </w:trPr>
        <w:tc>
          <w:tcPr>
            <w:tcW w:w="666" w:type="dxa"/>
          </w:tcPr>
          <w:p>
            <w:pPr>
              <w:pStyle w:val="TableParagraph"/>
              <w:spacing w:before="0"/>
              <w:ind w:left="18"/>
              <w:jc w:val="left"/>
              <w:rPr>
                <w:rFonts w:ascii="Verdana"/>
                <w:sz w:val="11"/>
              </w:rPr>
            </w:pPr>
            <w:r>
              <w:rPr>
                <w:rFonts w:ascii="Verdana"/>
                <w:sz w:val="11"/>
              </w:rPr>
              <w:t>2256899</w:t>
            </w:r>
          </w:p>
        </w:tc>
        <w:tc>
          <w:tcPr>
            <w:tcW w:w="2980" w:type="dxa"/>
          </w:tcPr>
          <w:p>
            <w:pPr>
              <w:pStyle w:val="TableParagraph"/>
              <w:spacing w:before="0"/>
              <w:ind w:left="18"/>
              <w:jc w:val="left"/>
              <w:rPr>
                <w:rFonts w:ascii="Verdana"/>
                <w:sz w:val="11"/>
              </w:rPr>
            </w:pPr>
            <w:r>
              <w:rPr>
                <w:rFonts w:ascii="Verdana"/>
                <w:sz w:val="11"/>
              </w:rPr>
              <w:t>Banca nazionale del lavoro (Milano)  EUR</w:t>
            </w:r>
          </w:p>
        </w:tc>
        <w:tc>
          <w:tcPr>
            <w:tcW w:w="1258" w:type="dxa"/>
          </w:tcPr>
          <w:p>
            <w:pPr>
              <w:pStyle w:val="TableParagraph"/>
              <w:spacing w:before="0"/>
              <w:ind w:right="50"/>
              <w:rPr>
                <w:rFonts w:ascii="Verdana"/>
                <w:sz w:val="11"/>
              </w:rPr>
            </w:pPr>
            <w:r>
              <w:rPr>
                <w:rFonts w:ascii="Verdana"/>
                <w:sz w:val="11"/>
              </w:rPr>
              <w:t>(7.018.985,59)</w:t>
            </w:r>
          </w:p>
        </w:tc>
        <w:tc>
          <w:tcPr>
            <w:tcW w:w="972" w:type="dxa"/>
          </w:tcPr>
          <w:p>
            <w:pPr/>
          </w:p>
        </w:tc>
        <w:tc>
          <w:tcPr>
            <w:tcW w:w="1101" w:type="dxa"/>
          </w:tcPr>
          <w:p>
            <w:pPr>
              <w:pStyle w:val="TableParagraph"/>
              <w:spacing w:before="28"/>
              <w:ind w:left="64"/>
              <w:jc w:val="left"/>
              <w:rPr>
                <w:rFonts w:ascii="Verdana"/>
                <w:sz w:val="11"/>
              </w:rPr>
            </w:pPr>
            <w:r>
              <w:rPr>
                <w:rFonts w:ascii="Verdana"/>
                <w:sz w:val="11"/>
              </w:rPr>
              <w:t>Proc. Alternativa</w:t>
            </w:r>
          </w:p>
        </w:tc>
        <w:tc>
          <w:tcPr>
            <w:tcW w:w="833" w:type="dxa"/>
          </w:tcPr>
          <w:p>
            <w:pPr>
              <w:pStyle w:val="TableParagraph"/>
              <w:spacing w:before="0"/>
              <w:ind w:right="206"/>
              <w:rPr>
                <w:rFonts w:ascii="Verdana"/>
                <w:sz w:val="11"/>
              </w:rPr>
            </w:pPr>
            <w:r>
              <w:rPr>
                <w:rFonts w:ascii="Verdana"/>
                <w:w w:val="101"/>
                <w:sz w:val="11"/>
              </w:rPr>
              <w:t>-</w:t>
            </w:r>
          </w:p>
        </w:tc>
        <w:tc>
          <w:tcPr>
            <w:tcW w:w="1240" w:type="dxa"/>
          </w:tcPr>
          <w:p>
            <w:pPr>
              <w:pStyle w:val="TableParagraph"/>
              <w:spacing w:before="0"/>
              <w:ind w:right="50"/>
              <w:rPr>
                <w:rFonts w:ascii="Verdana"/>
                <w:sz w:val="11"/>
              </w:rPr>
            </w:pPr>
            <w:r>
              <w:rPr>
                <w:rFonts w:ascii="Verdana"/>
                <w:sz w:val="11"/>
              </w:rPr>
              <w:t>(7.018.985,59)</w:t>
            </w:r>
          </w:p>
        </w:tc>
      </w:tr>
      <w:tr>
        <w:trPr>
          <w:trHeight w:val="194" w:hRule="exact"/>
        </w:trPr>
        <w:tc>
          <w:tcPr>
            <w:tcW w:w="666" w:type="dxa"/>
          </w:tcPr>
          <w:p>
            <w:pPr>
              <w:pStyle w:val="TableParagraph"/>
              <w:spacing w:before="28"/>
              <w:ind w:left="18"/>
              <w:jc w:val="left"/>
              <w:rPr>
                <w:rFonts w:ascii="Verdana"/>
                <w:sz w:val="11"/>
              </w:rPr>
            </w:pPr>
            <w:r>
              <w:rPr>
                <w:rFonts w:ascii="Verdana"/>
                <w:sz w:val="11"/>
              </w:rPr>
              <w:t>2254110</w:t>
            </w:r>
          </w:p>
        </w:tc>
        <w:tc>
          <w:tcPr>
            <w:tcW w:w="2980" w:type="dxa"/>
          </w:tcPr>
          <w:p>
            <w:pPr>
              <w:pStyle w:val="TableParagraph"/>
              <w:spacing w:before="28"/>
              <w:ind w:left="18"/>
              <w:jc w:val="left"/>
              <w:rPr>
                <w:rFonts w:ascii="Verdana"/>
                <w:sz w:val="11"/>
              </w:rPr>
            </w:pPr>
            <w:r>
              <w:rPr>
                <w:rFonts w:ascii="Verdana"/>
                <w:sz w:val="11"/>
              </w:rPr>
              <w:t>Credito  Valtellinese  (Tortona) Anticipi Italia</w:t>
            </w:r>
          </w:p>
        </w:tc>
        <w:tc>
          <w:tcPr>
            <w:tcW w:w="1258" w:type="dxa"/>
          </w:tcPr>
          <w:p>
            <w:pPr>
              <w:pStyle w:val="TableParagraph"/>
              <w:spacing w:before="28"/>
              <w:ind w:right="50"/>
              <w:rPr>
                <w:rFonts w:ascii="Verdana"/>
                <w:sz w:val="11"/>
              </w:rPr>
            </w:pPr>
            <w:r>
              <w:rPr>
                <w:rFonts w:ascii="Verdana"/>
                <w:sz w:val="11"/>
              </w:rPr>
              <w:t>(1.690.757,80)</w:t>
            </w:r>
          </w:p>
        </w:tc>
        <w:tc>
          <w:tcPr>
            <w:tcW w:w="972" w:type="dxa"/>
          </w:tcPr>
          <w:p>
            <w:pPr>
              <w:pStyle w:val="TableParagraph"/>
              <w:spacing w:before="40"/>
              <w:ind w:left="9"/>
              <w:jc w:val="center"/>
              <w:rPr>
                <w:rFonts w:ascii="Webdings" w:hAnsi="Webdings"/>
                <w:sz w:val="10"/>
              </w:rPr>
            </w:pPr>
            <w:r>
              <w:rPr>
                <w:rFonts w:ascii="Webdings" w:hAnsi="Webdings"/>
                <w:w w:val="102"/>
                <w:sz w:val="10"/>
              </w:rPr>
              <w:t></w:t>
            </w:r>
          </w:p>
        </w:tc>
        <w:tc>
          <w:tcPr>
            <w:tcW w:w="1101" w:type="dxa"/>
          </w:tcPr>
          <w:p>
            <w:pPr>
              <w:pStyle w:val="TableParagraph"/>
              <w:spacing w:before="28"/>
              <w:ind w:left="64"/>
              <w:jc w:val="left"/>
              <w:rPr>
                <w:rFonts w:ascii="Verdana"/>
                <w:sz w:val="11"/>
              </w:rPr>
            </w:pPr>
            <w:r>
              <w:rPr>
                <w:rFonts w:ascii="Verdana"/>
                <w:sz w:val="11"/>
              </w:rPr>
              <w:t>Riconciliato</w:t>
            </w:r>
          </w:p>
        </w:tc>
        <w:tc>
          <w:tcPr>
            <w:tcW w:w="833" w:type="dxa"/>
          </w:tcPr>
          <w:p>
            <w:pPr>
              <w:pStyle w:val="TableParagraph"/>
              <w:spacing w:before="28"/>
              <w:ind w:right="67"/>
              <w:rPr>
                <w:rFonts w:ascii="Verdana"/>
                <w:sz w:val="11"/>
              </w:rPr>
            </w:pPr>
            <w:r>
              <w:rPr>
                <w:rFonts w:ascii="Verdana"/>
                <w:sz w:val="11"/>
              </w:rPr>
              <w:t>197,56</w:t>
            </w:r>
          </w:p>
        </w:tc>
        <w:tc>
          <w:tcPr>
            <w:tcW w:w="1240" w:type="dxa"/>
          </w:tcPr>
          <w:p>
            <w:pPr>
              <w:pStyle w:val="TableParagraph"/>
              <w:spacing w:before="0"/>
              <w:ind w:right="50"/>
              <w:rPr>
                <w:rFonts w:ascii="Verdana"/>
                <w:sz w:val="11"/>
              </w:rPr>
            </w:pPr>
            <w:r>
              <w:rPr>
                <w:rFonts w:ascii="Verdana"/>
                <w:sz w:val="11"/>
              </w:rPr>
              <w:t>(1.690.560,24)</w:t>
            </w:r>
          </w:p>
        </w:tc>
      </w:tr>
      <w:tr>
        <w:trPr>
          <w:trHeight w:val="194" w:hRule="exact"/>
        </w:trPr>
        <w:tc>
          <w:tcPr>
            <w:tcW w:w="666" w:type="dxa"/>
            <w:tcBorders>
              <w:bottom w:val="single" w:sz="4" w:space="0" w:color="000000"/>
            </w:tcBorders>
          </w:tcPr>
          <w:p>
            <w:pPr>
              <w:pStyle w:val="TableParagraph"/>
              <w:spacing w:before="0"/>
              <w:ind w:left="18"/>
              <w:jc w:val="left"/>
              <w:rPr>
                <w:rFonts w:ascii="Verdana"/>
                <w:sz w:val="11"/>
              </w:rPr>
            </w:pPr>
            <w:r>
              <w:rPr>
                <w:rFonts w:ascii="Verdana"/>
                <w:sz w:val="11"/>
              </w:rPr>
              <w:t>2250699</w:t>
            </w:r>
          </w:p>
        </w:tc>
        <w:tc>
          <w:tcPr>
            <w:tcW w:w="2980" w:type="dxa"/>
            <w:tcBorders>
              <w:bottom w:val="single" w:sz="4" w:space="0" w:color="000000"/>
            </w:tcBorders>
          </w:tcPr>
          <w:p>
            <w:pPr>
              <w:pStyle w:val="TableParagraph"/>
              <w:spacing w:before="0"/>
              <w:ind w:left="18"/>
              <w:jc w:val="left"/>
              <w:rPr>
                <w:rFonts w:ascii="Verdana"/>
                <w:sz w:val="11"/>
              </w:rPr>
            </w:pPr>
            <w:r>
              <w:rPr>
                <w:rFonts w:ascii="Verdana"/>
                <w:sz w:val="11"/>
              </w:rPr>
              <w:t>Unicredit (Milano) EUR 4</w:t>
            </w:r>
          </w:p>
        </w:tc>
        <w:tc>
          <w:tcPr>
            <w:tcW w:w="1258" w:type="dxa"/>
            <w:tcBorders>
              <w:bottom w:val="single" w:sz="4" w:space="0" w:color="000000"/>
            </w:tcBorders>
          </w:tcPr>
          <w:p>
            <w:pPr>
              <w:pStyle w:val="TableParagraph"/>
              <w:spacing w:before="0"/>
              <w:ind w:right="50"/>
              <w:rPr>
                <w:rFonts w:ascii="Verdana"/>
                <w:sz w:val="11"/>
              </w:rPr>
            </w:pPr>
            <w:r>
              <w:rPr>
                <w:rFonts w:ascii="Verdana"/>
                <w:sz w:val="11"/>
              </w:rPr>
              <w:t>(967.400,50)</w:t>
            </w:r>
          </w:p>
        </w:tc>
        <w:tc>
          <w:tcPr>
            <w:tcW w:w="972" w:type="dxa"/>
            <w:tcBorders>
              <w:bottom w:val="single" w:sz="4" w:space="0" w:color="000000"/>
            </w:tcBorders>
          </w:tcPr>
          <w:p>
            <w:pPr/>
          </w:p>
        </w:tc>
        <w:tc>
          <w:tcPr>
            <w:tcW w:w="1101" w:type="dxa"/>
            <w:tcBorders>
              <w:bottom w:val="single" w:sz="4" w:space="0" w:color="000000"/>
            </w:tcBorders>
          </w:tcPr>
          <w:p>
            <w:pPr>
              <w:pStyle w:val="TableParagraph"/>
              <w:spacing w:before="28"/>
              <w:ind w:left="64"/>
              <w:jc w:val="left"/>
              <w:rPr>
                <w:rFonts w:ascii="Verdana"/>
                <w:sz w:val="11"/>
              </w:rPr>
            </w:pPr>
            <w:r>
              <w:rPr>
                <w:rFonts w:ascii="Verdana"/>
                <w:sz w:val="11"/>
              </w:rPr>
              <w:t>Proc. Alternativa</w:t>
            </w:r>
          </w:p>
        </w:tc>
        <w:tc>
          <w:tcPr>
            <w:tcW w:w="833" w:type="dxa"/>
            <w:tcBorders>
              <w:bottom w:val="single" w:sz="4" w:space="0" w:color="000000"/>
            </w:tcBorders>
          </w:tcPr>
          <w:p>
            <w:pPr>
              <w:pStyle w:val="TableParagraph"/>
              <w:spacing w:before="0"/>
              <w:ind w:right="206"/>
              <w:rPr>
                <w:rFonts w:ascii="Verdana"/>
                <w:sz w:val="11"/>
              </w:rPr>
            </w:pPr>
            <w:r>
              <w:rPr>
                <w:rFonts w:ascii="Verdana"/>
                <w:w w:val="101"/>
                <w:sz w:val="11"/>
              </w:rPr>
              <w:t>-</w:t>
            </w:r>
          </w:p>
        </w:tc>
        <w:tc>
          <w:tcPr>
            <w:tcW w:w="1240" w:type="dxa"/>
            <w:tcBorders>
              <w:bottom w:val="single" w:sz="4" w:space="0" w:color="000000"/>
            </w:tcBorders>
          </w:tcPr>
          <w:p>
            <w:pPr>
              <w:pStyle w:val="TableParagraph"/>
              <w:spacing w:before="0"/>
              <w:ind w:right="50"/>
              <w:rPr>
                <w:rFonts w:ascii="Verdana"/>
                <w:sz w:val="11"/>
              </w:rPr>
            </w:pPr>
            <w:r>
              <w:rPr>
                <w:rFonts w:ascii="Verdana"/>
                <w:sz w:val="11"/>
              </w:rPr>
              <w:t>(967.400,50)</w:t>
            </w:r>
          </w:p>
        </w:tc>
      </w:tr>
      <w:tr>
        <w:trPr>
          <w:trHeight w:val="194" w:hRule="exact"/>
        </w:trPr>
        <w:tc>
          <w:tcPr>
            <w:tcW w:w="9051" w:type="dxa"/>
            <w:gridSpan w:val="7"/>
            <w:tcBorders>
              <w:top w:val="single" w:sz="4" w:space="0" w:color="000000"/>
              <w:left w:val="nil"/>
              <w:right w:val="nil"/>
            </w:tcBorders>
            <w:shd w:val="clear" w:color="auto" w:fill="85BB24"/>
          </w:tcPr>
          <w:p>
            <w:pPr>
              <w:pStyle w:val="TableParagraph"/>
              <w:tabs>
                <w:tab w:pos="3697" w:val="left" w:leader="none"/>
                <w:tab w:pos="7037" w:val="left" w:leader="none"/>
              </w:tabs>
              <w:spacing w:before="18"/>
              <w:ind w:left="32"/>
              <w:jc w:val="left"/>
              <w:rPr>
                <w:rFonts w:ascii="Verdana"/>
                <w:b/>
                <w:sz w:val="11"/>
              </w:rPr>
            </w:pPr>
            <w:r>
              <w:rPr>
                <w:rFonts w:ascii="Verdana"/>
                <w:b/>
                <w:color w:val="FFFFFF"/>
                <w:spacing w:val="-3"/>
                <w:position w:val="1"/>
                <w:sz w:val="11"/>
              </w:rPr>
              <w:t>Totale</w:t>
              <w:tab/>
            </w:r>
            <w:r>
              <w:rPr>
                <w:rFonts w:ascii="Verdana"/>
                <w:b/>
                <w:color w:val="FFFFFF"/>
                <w:spacing w:val="2"/>
                <w:sz w:val="11"/>
              </w:rPr>
              <w:t>(112.796.816,68)</w:t>
              <w:tab/>
            </w:r>
            <w:r>
              <w:rPr>
                <w:rFonts w:ascii="Verdana"/>
                <w:b/>
                <w:color w:val="FFFFFF"/>
                <w:sz w:val="11"/>
              </w:rPr>
              <w:t>91.772,26    </w:t>
            </w:r>
            <w:r>
              <w:rPr>
                <w:rFonts w:ascii="Verdana"/>
                <w:b/>
                <w:color w:val="FFFFFF"/>
                <w:spacing w:val="13"/>
                <w:sz w:val="11"/>
              </w:rPr>
              <w:t> </w:t>
            </w:r>
            <w:r>
              <w:rPr>
                <w:rFonts w:ascii="Verdana"/>
                <w:b/>
                <w:color w:val="FFFFFF"/>
                <w:spacing w:val="2"/>
                <w:sz w:val="11"/>
              </w:rPr>
              <w:t>(112.705.044,42)</w:t>
            </w:r>
          </w:p>
        </w:tc>
      </w:tr>
    </w:tbl>
    <w:p>
      <w:pPr>
        <w:pStyle w:val="BodyText"/>
        <w:rPr>
          <w:sz w:val="20"/>
        </w:rPr>
      </w:pPr>
    </w:p>
    <w:p>
      <w:pPr>
        <w:pStyle w:val="BodyText"/>
        <w:spacing w:before="1"/>
        <w:rPr>
          <w:sz w:val="21"/>
        </w:rPr>
      </w:pPr>
    </w:p>
    <w:p>
      <w:pPr>
        <w:pStyle w:val="BodyText"/>
        <w:ind w:left="1418"/>
        <w:jc w:val="both"/>
      </w:pPr>
      <w:r>
        <w:rPr>
          <w:u w:val="single"/>
        </w:rPr>
        <w:t>Valorizzazione concordataria</w:t>
      </w:r>
    </w:p>
    <w:p>
      <w:pPr>
        <w:pStyle w:val="BodyText"/>
        <w:spacing w:before="10"/>
        <w:rPr>
          <w:sz w:val="23"/>
        </w:rPr>
      </w:pPr>
    </w:p>
    <w:p>
      <w:pPr>
        <w:pStyle w:val="BodyText"/>
        <w:spacing w:line="480" w:lineRule="auto"/>
        <w:ind w:left="1418" w:right="1420"/>
        <w:jc w:val="both"/>
      </w:pPr>
      <w:r>
        <w:rPr/>
        <w:t>Ai fini del piano concordatario, si segnala che il debito verso la Banca Carime per Euro 510.262 è stato classificato come credito privilegiato pignoratizio, in quanto garantito da ipoteca sul valore dell’immobile di Modugno, e i restanti debiti per Euro 115.194.996 sono stati classificati come debiti chirografari.</w:t>
      </w:r>
    </w:p>
    <w:p>
      <w:pPr>
        <w:pStyle w:val="BodyText"/>
        <w:spacing w:before="3"/>
        <w:rPr>
          <w:sz w:val="21"/>
        </w:rPr>
      </w:pPr>
    </w:p>
    <w:p>
      <w:pPr>
        <w:pStyle w:val="Heading2"/>
        <w:jc w:val="both"/>
      </w:pPr>
      <w:r>
        <w:rPr/>
        <w:t>DEBITI VERSO FORNITORI</w:t>
      </w:r>
    </w:p>
    <w:p>
      <w:pPr>
        <w:pStyle w:val="BodyText"/>
        <w:spacing w:before="10"/>
        <w:rPr>
          <w:b/>
          <w:sz w:val="23"/>
        </w:rPr>
      </w:pPr>
    </w:p>
    <w:p>
      <w:pPr>
        <w:pStyle w:val="BodyText"/>
        <w:spacing w:line="480" w:lineRule="auto" w:before="1"/>
        <w:ind w:left="1418" w:right="1421"/>
        <w:jc w:val="both"/>
      </w:pPr>
      <w:r>
        <w:rPr/>
        <w:t>Nella situazione contabile di riferimento i debiti per fornitori e i debiti per fatture da ricevere  sono pari a complessivi Euro</w:t>
      </w:r>
      <w:r>
        <w:rPr>
          <w:spacing w:val="-16"/>
        </w:rPr>
        <w:t> </w:t>
      </w:r>
      <w:r>
        <w:rPr/>
        <w:t>9.887.079.</w:t>
      </w:r>
    </w:p>
    <w:p>
      <w:pPr>
        <w:pStyle w:val="BodyText"/>
        <w:rPr>
          <w:sz w:val="16"/>
        </w:rPr>
      </w:pPr>
    </w:p>
    <w:tbl>
      <w:tblPr>
        <w:tblW w:w="0" w:type="auto"/>
        <w:jc w:val="left"/>
        <w:tblInd w:w="1419"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1153"/>
        <w:gridCol w:w="3069"/>
        <w:gridCol w:w="954"/>
        <w:gridCol w:w="902"/>
        <w:gridCol w:w="910"/>
        <w:gridCol w:w="1196"/>
        <w:gridCol w:w="867"/>
      </w:tblGrid>
      <w:tr>
        <w:trPr>
          <w:trHeight w:val="685" w:hRule="exact"/>
        </w:trPr>
        <w:tc>
          <w:tcPr>
            <w:tcW w:w="1153" w:type="dxa"/>
            <w:tcBorders>
              <w:bottom w:val="single" w:sz="4" w:space="0" w:color="000000"/>
            </w:tcBorders>
            <w:shd w:val="clear" w:color="auto" w:fill="BEBEBE"/>
          </w:tcPr>
          <w:p>
            <w:pPr>
              <w:pStyle w:val="TableParagraph"/>
              <w:spacing w:before="10"/>
              <w:jc w:val="left"/>
              <w:rPr>
                <w:sz w:val="23"/>
              </w:rPr>
            </w:pPr>
          </w:p>
          <w:p>
            <w:pPr>
              <w:pStyle w:val="TableParagraph"/>
              <w:spacing w:before="0"/>
              <w:ind w:left="303"/>
              <w:jc w:val="left"/>
              <w:rPr>
                <w:b/>
                <w:sz w:val="14"/>
              </w:rPr>
            </w:pPr>
            <w:r>
              <w:rPr>
                <w:b/>
                <w:sz w:val="14"/>
              </w:rPr>
              <w:t>CONTO</w:t>
            </w:r>
          </w:p>
        </w:tc>
        <w:tc>
          <w:tcPr>
            <w:tcW w:w="3069" w:type="dxa"/>
            <w:tcBorders>
              <w:bottom w:val="single" w:sz="4" w:space="0" w:color="000000"/>
            </w:tcBorders>
            <w:shd w:val="clear" w:color="auto" w:fill="BEBEBE"/>
          </w:tcPr>
          <w:p>
            <w:pPr>
              <w:pStyle w:val="TableParagraph"/>
              <w:spacing w:before="10"/>
              <w:jc w:val="left"/>
              <w:rPr>
                <w:sz w:val="23"/>
              </w:rPr>
            </w:pPr>
          </w:p>
          <w:p>
            <w:pPr>
              <w:pStyle w:val="TableParagraph"/>
              <w:spacing w:before="0"/>
              <w:ind w:left="1008" w:right="1007"/>
              <w:jc w:val="center"/>
              <w:rPr>
                <w:b/>
                <w:sz w:val="14"/>
              </w:rPr>
            </w:pPr>
            <w:r>
              <w:rPr>
                <w:b/>
                <w:sz w:val="14"/>
              </w:rPr>
              <w:t>DESCRIZIONE</w:t>
            </w:r>
          </w:p>
        </w:tc>
        <w:tc>
          <w:tcPr>
            <w:tcW w:w="954" w:type="dxa"/>
            <w:tcBorders>
              <w:bottom w:val="single" w:sz="4" w:space="0" w:color="000000"/>
            </w:tcBorders>
            <w:shd w:val="clear" w:color="auto" w:fill="BEBEBE"/>
          </w:tcPr>
          <w:p>
            <w:pPr>
              <w:pStyle w:val="TableParagraph"/>
              <w:spacing w:line="278" w:lineRule="auto" w:before="87"/>
              <w:ind w:left="164" w:firstLine="51"/>
              <w:jc w:val="left"/>
              <w:rPr>
                <w:b/>
                <w:sz w:val="14"/>
              </w:rPr>
            </w:pPr>
            <w:r>
              <w:rPr>
                <w:b/>
                <w:sz w:val="14"/>
              </w:rPr>
              <w:t>Valori di bilancio al 15.10.2017</w:t>
            </w:r>
          </w:p>
        </w:tc>
        <w:tc>
          <w:tcPr>
            <w:tcW w:w="902" w:type="dxa"/>
            <w:tcBorders>
              <w:bottom w:val="single" w:sz="4" w:space="0" w:color="000000"/>
            </w:tcBorders>
            <w:shd w:val="clear" w:color="auto" w:fill="BEBEBE"/>
          </w:tcPr>
          <w:p>
            <w:pPr>
              <w:pStyle w:val="TableParagraph"/>
              <w:spacing w:before="5"/>
              <w:jc w:val="left"/>
              <w:rPr>
                <w:sz w:val="15"/>
              </w:rPr>
            </w:pPr>
          </w:p>
          <w:p>
            <w:pPr>
              <w:pStyle w:val="TableParagraph"/>
              <w:spacing w:line="278" w:lineRule="auto" w:before="0"/>
              <w:ind w:left="34" w:right="28" w:firstLine="130"/>
              <w:jc w:val="left"/>
              <w:rPr>
                <w:b/>
                <w:sz w:val="14"/>
              </w:rPr>
            </w:pPr>
            <w:r>
              <w:rPr>
                <w:b/>
                <w:sz w:val="14"/>
              </w:rPr>
              <w:t>Rettifiche concordatarie</w:t>
            </w:r>
          </w:p>
        </w:tc>
        <w:tc>
          <w:tcPr>
            <w:tcW w:w="910" w:type="dxa"/>
            <w:tcBorders>
              <w:bottom w:val="single" w:sz="4" w:space="0" w:color="000000"/>
            </w:tcBorders>
            <w:shd w:val="clear" w:color="auto" w:fill="BEBEBE"/>
          </w:tcPr>
          <w:p>
            <w:pPr>
              <w:pStyle w:val="TableParagraph"/>
              <w:spacing w:before="5"/>
              <w:jc w:val="left"/>
              <w:rPr>
                <w:sz w:val="15"/>
              </w:rPr>
            </w:pPr>
          </w:p>
          <w:p>
            <w:pPr>
              <w:pStyle w:val="TableParagraph"/>
              <w:spacing w:line="278" w:lineRule="auto" w:before="0"/>
              <w:ind w:left="43" w:right="-13" w:hanging="27"/>
              <w:jc w:val="left"/>
              <w:rPr>
                <w:b/>
                <w:sz w:val="14"/>
              </w:rPr>
            </w:pPr>
            <w:r>
              <w:rPr>
                <w:b/>
                <w:sz w:val="14"/>
              </w:rPr>
              <w:t>Valori di piano concordatario</w:t>
            </w:r>
          </w:p>
        </w:tc>
        <w:tc>
          <w:tcPr>
            <w:tcW w:w="1196" w:type="dxa"/>
            <w:tcBorders>
              <w:bottom w:val="single" w:sz="4" w:space="0" w:color="000000"/>
            </w:tcBorders>
            <w:shd w:val="clear" w:color="auto" w:fill="BEBEBE"/>
          </w:tcPr>
          <w:p>
            <w:pPr>
              <w:pStyle w:val="TableParagraph"/>
              <w:spacing w:before="10"/>
              <w:jc w:val="left"/>
              <w:rPr>
                <w:sz w:val="23"/>
              </w:rPr>
            </w:pPr>
          </w:p>
          <w:p>
            <w:pPr>
              <w:pStyle w:val="TableParagraph"/>
              <w:spacing w:before="0"/>
              <w:ind w:left="312"/>
              <w:jc w:val="left"/>
              <w:rPr>
                <w:b/>
                <w:sz w:val="14"/>
              </w:rPr>
            </w:pPr>
            <w:r>
              <w:rPr>
                <w:b/>
                <w:sz w:val="14"/>
              </w:rPr>
              <w:t>Privilegio</w:t>
            </w:r>
          </w:p>
        </w:tc>
        <w:tc>
          <w:tcPr>
            <w:tcW w:w="867" w:type="dxa"/>
            <w:tcBorders>
              <w:bottom w:val="single" w:sz="4" w:space="0" w:color="000000"/>
            </w:tcBorders>
            <w:shd w:val="clear" w:color="auto" w:fill="BEBEBE"/>
          </w:tcPr>
          <w:p>
            <w:pPr>
              <w:pStyle w:val="TableParagraph"/>
              <w:spacing w:before="10"/>
              <w:jc w:val="left"/>
              <w:rPr>
                <w:sz w:val="23"/>
              </w:rPr>
            </w:pPr>
          </w:p>
          <w:p>
            <w:pPr>
              <w:pStyle w:val="TableParagraph"/>
              <w:spacing w:before="0"/>
              <w:ind w:left="112"/>
              <w:jc w:val="left"/>
              <w:rPr>
                <w:b/>
                <w:sz w:val="14"/>
              </w:rPr>
            </w:pPr>
            <w:r>
              <w:rPr>
                <w:b/>
                <w:sz w:val="14"/>
              </w:rPr>
              <w:t>Chirografo</w:t>
            </w:r>
          </w:p>
        </w:tc>
      </w:tr>
      <w:tr>
        <w:trPr>
          <w:trHeight w:val="193" w:hRule="exact"/>
        </w:trPr>
        <w:tc>
          <w:tcPr>
            <w:tcW w:w="1153" w:type="dxa"/>
            <w:tcBorders>
              <w:top w:val="single" w:sz="4" w:space="0" w:color="000000"/>
              <w:bottom w:val="nil"/>
            </w:tcBorders>
          </w:tcPr>
          <w:p>
            <w:pPr>
              <w:pStyle w:val="TableParagraph"/>
              <w:spacing w:before="18"/>
              <w:ind w:left="17"/>
              <w:jc w:val="left"/>
              <w:rPr>
                <w:sz w:val="14"/>
              </w:rPr>
            </w:pPr>
            <w:r>
              <w:rPr>
                <w:sz w:val="14"/>
              </w:rPr>
              <w:t>2320010-2320015</w:t>
            </w:r>
          </w:p>
        </w:tc>
        <w:tc>
          <w:tcPr>
            <w:tcW w:w="3069" w:type="dxa"/>
            <w:tcBorders>
              <w:top w:val="single" w:sz="4" w:space="0" w:color="000000"/>
              <w:bottom w:val="nil"/>
            </w:tcBorders>
          </w:tcPr>
          <w:p>
            <w:pPr>
              <w:pStyle w:val="TableParagraph"/>
              <w:spacing w:before="18"/>
              <w:ind w:left="17"/>
              <w:jc w:val="left"/>
              <w:rPr>
                <w:sz w:val="14"/>
              </w:rPr>
            </w:pPr>
            <w:r>
              <w:rPr>
                <w:sz w:val="14"/>
              </w:rPr>
              <w:t>Debiti commerciali verso Terzi (con differanza cambi)</w:t>
            </w:r>
          </w:p>
        </w:tc>
        <w:tc>
          <w:tcPr>
            <w:tcW w:w="954" w:type="dxa"/>
            <w:tcBorders>
              <w:top w:val="single" w:sz="4" w:space="0" w:color="000000"/>
              <w:bottom w:val="nil"/>
            </w:tcBorders>
          </w:tcPr>
          <w:p>
            <w:pPr>
              <w:pStyle w:val="TableParagraph"/>
              <w:spacing w:before="18"/>
              <w:ind w:right="19"/>
              <w:rPr>
                <w:sz w:val="14"/>
              </w:rPr>
            </w:pPr>
            <w:r>
              <w:rPr>
                <w:sz w:val="14"/>
              </w:rPr>
              <w:t>(9.813.256)</w:t>
            </w:r>
          </w:p>
        </w:tc>
        <w:tc>
          <w:tcPr>
            <w:tcW w:w="902" w:type="dxa"/>
            <w:tcBorders>
              <w:top w:val="single" w:sz="4" w:space="0" w:color="000000"/>
              <w:bottom w:val="nil"/>
            </w:tcBorders>
          </w:tcPr>
          <w:p>
            <w:pPr>
              <w:pStyle w:val="TableParagraph"/>
              <w:spacing w:before="18"/>
              <w:ind w:right="119"/>
              <w:rPr>
                <w:sz w:val="14"/>
              </w:rPr>
            </w:pPr>
            <w:r>
              <w:rPr>
                <w:w w:val="99"/>
                <w:sz w:val="14"/>
              </w:rPr>
              <w:t>-</w:t>
            </w:r>
          </w:p>
        </w:tc>
        <w:tc>
          <w:tcPr>
            <w:tcW w:w="910" w:type="dxa"/>
            <w:tcBorders>
              <w:top w:val="single" w:sz="4" w:space="0" w:color="000000"/>
              <w:bottom w:val="nil"/>
            </w:tcBorders>
          </w:tcPr>
          <w:p>
            <w:pPr>
              <w:pStyle w:val="TableParagraph"/>
              <w:spacing w:before="18"/>
              <w:ind w:right="19"/>
              <w:rPr>
                <w:sz w:val="14"/>
              </w:rPr>
            </w:pPr>
            <w:r>
              <w:rPr>
                <w:sz w:val="14"/>
              </w:rPr>
              <w:t>(9.813.256)</w:t>
            </w:r>
          </w:p>
        </w:tc>
        <w:tc>
          <w:tcPr>
            <w:tcW w:w="1196" w:type="dxa"/>
            <w:tcBorders>
              <w:top w:val="single" w:sz="4" w:space="0" w:color="000000"/>
              <w:bottom w:val="nil"/>
            </w:tcBorders>
          </w:tcPr>
          <w:p>
            <w:pPr>
              <w:pStyle w:val="TableParagraph"/>
              <w:spacing w:before="18"/>
              <w:ind w:right="19"/>
              <w:rPr>
                <w:sz w:val="14"/>
              </w:rPr>
            </w:pPr>
            <w:r>
              <w:rPr>
                <w:sz w:val="14"/>
              </w:rPr>
              <w:t>(477.861)</w:t>
            </w:r>
          </w:p>
        </w:tc>
        <w:tc>
          <w:tcPr>
            <w:tcW w:w="867" w:type="dxa"/>
            <w:tcBorders>
              <w:top w:val="single" w:sz="4" w:space="0" w:color="000000"/>
              <w:bottom w:val="nil"/>
            </w:tcBorders>
          </w:tcPr>
          <w:p>
            <w:pPr>
              <w:pStyle w:val="TableParagraph"/>
              <w:spacing w:before="18"/>
              <w:ind w:right="20"/>
              <w:rPr>
                <w:sz w:val="14"/>
              </w:rPr>
            </w:pPr>
            <w:r>
              <w:rPr>
                <w:sz w:val="14"/>
              </w:rPr>
              <w:t>(9.335.395)</w:t>
            </w:r>
          </w:p>
        </w:tc>
      </w:tr>
      <w:tr>
        <w:trPr>
          <w:trHeight w:val="182" w:hRule="exact"/>
        </w:trPr>
        <w:tc>
          <w:tcPr>
            <w:tcW w:w="1153" w:type="dxa"/>
            <w:tcBorders>
              <w:top w:val="nil"/>
              <w:bottom w:val="nil"/>
            </w:tcBorders>
          </w:tcPr>
          <w:p>
            <w:pPr>
              <w:pStyle w:val="TableParagraph"/>
              <w:spacing w:before="11"/>
              <w:ind w:left="17"/>
              <w:jc w:val="left"/>
              <w:rPr>
                <w:sz w:val="14"/>
              </w:rPr>
            </w:pPr>
            <w:r>
              <w:rPr>
                <w:sz w:val="14"/>
              </w:rPr>
              <w:t>2330010</w:t>
            </w:r>
          </w:p>
        </w:tc>
        <w:tc>
          <w:tcPr>
            <w:tcW w:w="3069" w:type="dxa"/>
            <w:tcBorders>
              <w:top w:val="nil"/>
              <w:bottom w:val="nil"/>
            </w:tcBorders>
          </w:tcPr>
          <w:p>
            <w:pPr>
              <w:pStyle w:val="TableParagraph"/>
              <w:spacing w:before="11"/>
              <w:ind w:left="17"/>
              <w:jc w:val="left"/>
              <w:rPr>
                <w:sz w:val="14"/>
              </w:rPr>
            </w:pPr>
            <w:r>
              <w:rPr>
                <w:sz w:val="14"/>
              </w:rPr>
              <w:t>Debiti diversi verso Terzi</w:t>
            </w:r>
          </w:p>
        </w:tc>
        <w:tc>
          <w:tcPr>
            <w:tcW w:w="954" w:type="dxa"/>
            <w:tcBorders>
              <w:top w:val="nil"/>
              <w:bottom w:val="nil"/>
            </w:tcBorders>
          </w:tcPr>
          <w:p>
            <w:pPr>
              <w:pStyle w:val="TableParagraph"/>
              <w:spacing w:before="11"/>
              <w:ind w:right="19"/>
              <w:rPr>
                <w:sz w:val="14"/>
              </w:rPr>
            </w:pPr>
            <w:r>
              <w:rPr>
                <w:sz w:val="14"/>
              </w:rPr>
              <w:t>(37.503)</w:t>
            </w:r>
          </w:p>
        </w:tc>
        <w:tc>
          <w:tcPr>
            <w:tcW w:w="902" w:type="dxa"/>
            <w:tcBorders>
              <w:top w:val="nil"/>
              <w:bottom w:val="nil"/>
            </w:tcBorders>
          </w:tcPr>
          <w:p>
            <w:pPr>
              <w:pStyle w:val="TableParagraph"/>
              <w:spacing w:before="11"/>
              <w:ind w:right="119"/>
              <w:rPr>
                <w:sz w:val="14"/>
              </w:rPr>
            </w:pPr>
            <w:r>
              <w:rPr>
                <w:w w:val="99"/>
                <w:sz w:val="14"/>
              </w:rPr>
              <w:t>-</w:t>
            </w:r>
          </w:p>
        </w:tc>
        <w:tc>
          <w:tcPr>
            <w:tcW w:w="910" w:type="dxa"/>
            <w:tcBorders>
              <w:top w:val="nil"/>
              <w:bottom w:val="nil"/>
            </w:tcBorders>
          </w:tcPr>
          <w:p>
            <w:pPr>
              <w:pStyle w:val="TableParagraph"/>
              <w:spacing w:before="11"/>
              <w:ind w:right="19"/>
              <w:rPr>
                <w:sz w:val="14"/>
              </w:rPr>
            </w:pPr>
            <w:r>
              <w:rPr>
                <w:sz w:val="14"/>
              </w:rPr>
              <w:t>(37.503)</w:t>
            </w:r>
          </w:p>
        </w:tc>
        <w:tc>
          <w:tcPr>
            <w:tcW w:w="1196" w:type="dxa"/>
            <w:tcBorders>
              <w:top w:val="nil"/>
              <w:bottom w:val="nil"/>
            </w:tcBorders>
          </w:tcPr>
          <w:p>
            <w:pPr/>
          </w:p>
        </w:tc>
        <w:tc>
          <w:tcPr>
            <w:tcW w:w="867" w:type="dxa"/>
            <w:tcBorders>
              <w:top w:val="nil"/>
              <w:bottom w:val="nil"/>
            </w:tcBorders>
          </w:tcPr>
          <w:p>
            <w:pPr>
              <w:pStyle w:val="TableParagraph"/>
              <w:spacing w:before="11"/>
              <w:ind w:right="19"/>
              <w:rPr>
                <w:sz w:val="14"/>
              </w:rPr>
            </w:pPr>
            <w:r>
              <w:rPr>
                <w:sz w:val="14"/>
              </w:rPr>
              <w:t>(37.503)</w:t>
            </w:r>
          </w:p>
        </w:tc>
      </w:tr>
      <w:tr>
        <w:trPr>
          <w:trHeight w:val="172" w:hRule="exact"/>
        </w:trPr>
        <w:tc>
          <w:tcPr>
            <w:tcW w:w="1153" w:type="dxa"/>
            <w:tcBorders>
              <w:top w:val="nil"/>
            </w:tcBorders>
          </w:tcPr>
          <w:p>
            <w:pPr>
              <w:pStyle w:val="TableParagraph"/>
              <w:spacing w:before="11"/>
              <w:ind w:left="17"/>
              <w:jc w:val="left"/>
              <w:rPr>
                <w:sz w:val="14"/>
              </w:rPr>
            </w:pPr>
            <w:r>
              <w:rPr>
                <w:sz w:val="14"/>
              </w:rPr>
              <w:t>2330012</w:t>
            </w:r>
          </w:p>
        </w:tc>
        <w:tc>
          <w:tcPr>
            <w:tcW w:w="3069" w:type="dxa"/>
            <w:tcBorders>
              <w:top w:val="nil"/>
            </w:tcBorders>
          </w:tcPr>
          <w:p>
            <w:pPr>
              <w:pStyle w:val="TableParagraph"/>
              <w:spacing w:before="11"/>
              <w:ind w:left="17"/>
              <w:jc w:val="left"/>
              <w:rPr>
                <w:sz w:val="14"/>
              </w:rPr>
            </w:pPr>
            <w:r>
              <w:rPr>
                <w:sz w:val="14"/>
              </w:rPr>
              <w:t>Debiti diversi verso Terzi - Stanziamen</w:t>
            </w:r>
          </w:p>
        </w:tc>
        <w:tc>
          <w:tcPr>
            <w:tcW w:w="954" w:type="dxa"/>
            <w:tcBorders>
              <w:top w:val="nil"/>
            </w:tcBorders>
          </w:tcPr>
          <w:p>
            <w:pPr>
              <w:pStyle w:val="TableParagraph"/>
              <w:spacing w:before="11"/>
              <w:ind w:right="19"/>
              <w:rPr>
                <w:sz w:val="14"/>
              </w:rPr>
            </w:pPr>
            <w:r>
              <w:rPr>
                <w:sz w:val="14"/>
              </w:rPr>
              <w:t>(36.320)</w:t>
            </w:r>
          </w:p>
        </w:tc>
        <w:tc>
          <w:tcPr>
            <w:tcW w:w="902" w:type="dxa"/>
            <w:tcBorders>
              <w:top w:val="nil"/>
            </w:tcBorders>
          </w:tcPr>
          <w:p>
            <w:pPr>
              <w:pStyle w:val="TableParagraph"/>
              <w:spacing w:before="11"/>
              <w:ind w:right="119"/>
              <w:rPr>
                <w:sz w:val="14"/>
              </w:rPr>
            </w:pPr>
            <w:r>
              <w:rPr>
                <w:w w:val="99"/>
                <w:sz w:val="14"/>
              </w:rPr>
              <w:t>-</w:t>
            </w:r>
          </w:p>
        </w:tc>
        <w:tc>
          <w:tcPr>
            <w:tcW w:w="910" w:type="dxa"/>
            <w:tcBorders>
              <w:top w:val="nil"/>
            </w:tcBorders>
          </w:tcPr>
          <w:p>
            <w:pPr>
              <w:pStyle w:val="TableParagraph"/>
              <w:spacing w:before="11"/>
              <w:ind w:right="19"/>
              <w:rPr>
                <w:sz w:val="14"/>
              </w:rPr>
            </w:pPr>
            <w:r>
              <w:rPr>
                <w:sz w:val="14"/>
              </w:rPr>
              <w:t>(36.320)</w:t>
            </w:r>
          </w:p>
        </w:tc>
        <w:tc>
          <w:tcPr>
            <w:tcW w:w="1196" w:type="dxa"/>
            <w:tcBorders>
              <w:top w:val="nil"/>
            </w:tcBorders>
          </w:tcPr>
          <w:p>
            <w:pPr/>
          </w:p>
        </w:tc>
        <w:tc>
          <w:tcPr>
            <w:tcW w:w="867" w:type="dxa"/>
            <w:tcBorders>
              <w:top w:val="nil"/>
            </w:tcBorders>
          </w:tcPr>
          <w:p>
            <w:pPr>
              <w:pStyle w:val="TableParagraph"/>
              <w:spacing w:before="11"/>
              <w:ind w:right="19"/>
              <w:rPr>
                <w:sz w:val="14"/>
              </w:rPr>
            </w:pPr>
            <w:r>
              <w:rPr>
                <w:sz w:val="14"/>
              </w:rPr>
              <w:t>(36.320)</w:t>
            </w:r>
          </w:p>
        </w:tc>
      </w:tr>
      <w:tr>
        <w:trPr>
          <w:trHeight w:val="182" w:hRule="exact"/>
        </w:trPr>
        <w:tc>
          <w:tcPr>
            <w:tcW w:w="4222" w:type="dxa"/>
            <w:gridSpan w:val="2"/>
            <w:shd w:val="clear" w:color="auto" w:fill="BEBEBE"/>
          </w:tcPr>
          <w:p>
            <w:pPr>
              <w:pStyle w:val="TableParagraph"/>
              <w:spacing w:before="18"/>
              <w:ind w:left="17"/>
              <w:jc w:val="left"/>
              <w:rPr>
                <w:b/>
                <w:sz w:val="14"/>
              </w:rPr>
            </w:pPr>
            <w:r>
              <w:rPr>
                <w:b/>
                <w:sz w:val="14"/>
              </w:rPr>
              <w:t>TOTALE DEBITI VERSO FORNITORI</w:t>
            </w:r>
          </w:p>
        </w:tc>
        <w:tc>
          <w:tcPr>
            <w:tcW w:w="954" w:type="dxa"/>
            <w:shd w:val="clear" w:color="auto" w:fill="BEBEBE"/>
          </w:tcPr>
          <w:p>
            <w:pPr>
              <w:pStyle w:val="TableParagraph"/>
              <w:spacing w:before="18"/>
              <w:ind w:right="19"/>
              <w:rPr>
                <w:b/>
                <w:sz w:val="14"/>
              </w:rPr>
            </w:pPr>
            <w:r>
              <w:rPr>
                <w:b/>
                <w:sz w:val="14"/>
              </w:rPr>
              <w:t>(9.887.079)</w:t>
            </w:r>
          </w:p>
        </w:tc>
        <w:tc>
          <w:tcPr>
            <w:tcW w:w="902" w:type="dxa"/>
            <w:shd w:val="clear" w:color="auto" w:fill="BEBEBE"/>
          </w:tcPr>
          <w:p>
            <w:pPr>
              <w:pStyle w:val="TableParagraph"/>
              <w:spacing w:before="18"/>
              <w:ind w:right="116"/>
              <w:rPr>
                <w:b/>
                <w:sz w:val="14"/>
              </w:rPr>
            </w:pPr>
            <w:r>
              <w:rPr>
                <w:b/>
                <w:w w:val="99"/>
                <w:sz w:val="14"/>
              </w:rPr>
              <w:t>-</w:t>
            </w:r>
          </w:p>
        </w:tc>
        <w:tc>
          <w:tcPr>
            <w:tcW w:w="910" w:type="dxa"/>
            <w:shd w:val="clear" w:color="auto" w:fill="BEBEBE"/>
          </w:tcPr>
          <w:p>
            <w:pPr>
              <w:pStyle w:val="TableParagraph"/>
              <w:spacing w:before="18"/>
              <w:ind w:right="19"/>
              <w:rPr>
                <w:b/>
                <w:sz w:val="14"/>
              </w:rPr>
            </w:pPr>
            <w:r>
              <w:rPr>
                <w:b/>
                <w:sz w:val="14"/>
              </w:rPr>
              <w:t>(9.887.079)</w:t>
            </w:r>
          </w:p>
        </w:tc>
        <w:tc>
          <w:tcPr>
            <w:tcW w:w="1196" w:type="dxa"/>
            <w:shd w:val="clear" w:color="auto" w:fill="BEBEBE"/>
          </w:tcPr>
          <w:p>
            <w:pPr>
              <w:pStyle w:val="TableParagraph"/>
              <w:spacing w:before="18"/>
              <w:ind w:right="19"/>
              <w:rPr>
                <w:b/>
                <w:sz w:val="14"/>
              </w:rPr>
            </w:pPr>
            <w:r>
              <w:rPr>
                <w:b/>
                <w:sz w:val="14"/>
              </w:rPr>
              <w:t>(477.861)</w:t>
            </w:r>
          </w:p>
        </w:tc>
        <w:tc>
          <w:tcPr>
            <w:tcW w:w="867" w:type="dxa"/>
            <w:shd w:val="clear" w:color="auto" w:fill="BEBEBE"/>
          </w:tcPr>
          <w:p>
            <w:pPr>
              <w:pStyle w:val="TableParagraph"/>
              <w:spacing w:before="18"/>
              <w:ind w:right="19"/>
              <w:rPr>
                <w:b/>
                <w:sz w:val="14"/>
              </w:rPr>
            </w:pPr>
            <w:r>
              <w:rPr>
                <w:b/>
                <w:sz w:val="14"/>
              </w:rPr>
              <w:t>(9.409.218)</w:t>
            </w:r>
          </w:p>
        </w:tc>
      </w:tr>
    </w:tbl>
    <w:p>
      <w:pPr>
        <w:pStyle w:val="BodyText"/>
        <w:rPr>
          <w:sz w:val="20"/>
        </w:rPr>
      </w:pPr>
    </w:p>
    <w:p>
      <w:pPr>
        <w:pStyle w:val="BodyText"/>
        <w:spacing w:before="231"/>
        <w:ind w:left="1418"/>
      </w:pPr>
      <w:r>
        <w:rPr>
          <w:u w:val="single"/>
        </w:rPr>
        <w:t>Attività svolta</w:t>
      </w:r>
    </w:p>
    <w:p>
      <w:pPr>
        <w:pStyle w:val="BodyText"/>
        <w:spacing w:before="11"/>
        <w:rPr>
          <w:sz w:val="23"/>
        </w:rPr>
      </w:pPr>
    </w:p>
    <w:p>
      <w:pPr>
        <w:pStyle w:val="BodyText"/>
        <w:spacing w:line="480" w:lineRule="auto"/>
        <w:ind w:left="1418" w:right="1413"/>
      </w:pPr>
      <w:r>
        <w:rPr/>
        <w:t>In data 16 marzo 2018 la società Ricorrente ha conferito alla società Deloitte, Divisione forensic, un incarico avente ad oggetto il supporto professionale per l’effettuazione di attività di natura</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ricostruttiva documentale e contabile, funzionale esclusivamente agli adempimenti  della procedura concorsuale.</w:t>
      </w:r>
    </w:p>
    <w:p>
      <w:pPr>
        <w:pStyle w:val="BodyText"/>
        <w:spacing w:line="480" w:lineRule="auto"/>
        <w:ind w:left="1418" w:right="1414"/>
        <w:jc w:val="both"/>
      </w:pPr>
      <w:r>
        <w:rPr/>
        <w:t>I sottoscritti hanno preso visione dei </w:t>
      </w:r>
      <w:r>
        <w:rPr>
          <w:i/>
        </w:rPr>
        <w:t>deliverables </w:t>
      </w:r>
      <w:r>
        <w:rPr/>
        <w:t>predisposti da Deloitte e consegnati agli scriventi dal management della Società e predisposti da Deloitte ed hanno verificato a campione la documentazione e gli esiti del lavoro svolto. Nello specifico, per quanto riguarda le circolarizzazioni hanno analizzato gli importi delle conferme saldi ove significativi, le ragioni di eventuali adjustments; hanno altresì verificato a campione la documentazione probativa a supporto delle procedure alternative (fatture/incassi/pagamenti successivi). Il saldo contabile corrispondente ai fornitori circolarizzati ammonta ad Euro 8.812.632 e rappresenta il 98,17% del totale dei debiti verso fornitori alla data della selezione; mentre il saldo contabile corrispondente  ai fornitori che hanno risposto alle circolarizzazioni rappresenta il 92,33%  del  totale circolarizzato. Il totale dei fornitori che non hanno risposto o che hanno risposto non in accordo sono stati complessivamente riconciliati, anche con le procedure</w:t>
      </w:r>
      <w:r>
        <w:rPr>
          <w:spacing w:val="-35"/>
        </w:rPr>
        <w:t> </w:t>
      </w:r>
      <w:r>
        <w:rPr/>
        <w:t>alternative.</w:t>
      </w:r>
    </w:p>
    <w:p>
      <w:pPr>
        <w:pStyle w:val="BodyText"/>
        <w:spacing w:line="480" w:lineRule="auto"/>
        <w:ind w:left="1418" w:right="1413"/>
        <w:jc w:val="both"/>
      </w:pPr>
      <w:r>
        <w:rPr/>
        <w:t>Si illustra la tabella analitica dei fornitori circolarizzati dalla Società con dettaglio nominativo ed esito del lavoro svolto:</w:t>
      </w:r>
    </w:p>
    <w:p>
      <w:pPr>
        <w:spacing w:after="0" w:line="480" w:lineRule="auto"/>
        <w:jc w:val="both"/>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2"/>
        <w:rPr>
          <w:rFonts w:ascii="Times New Roman"/>
          <w:sz w:val="23"/>
        </w:rPr>
      </w:pPr>
    </w:p>
    <w:tbl>
      <w:tblPr>
        <w:tblW w:w="0" w:type="auto"/>
        <w:jc w:val="left"/>
        <w:tblInd w:w="25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441"/>
        <w:gridCol w:w="2143"/>
        <w:gridCol w:w="740"/>
        <w:gridCol w:w="562"/>
        <w:gridCol w:w="515"/>
        <w:gridCol w:w="1041"/>
        <w:gridCol w:w="671"/>
        <w:gridCol w:w="788"/>
      </w:tblGrid>
      <w:tr>
        <w:trPr>
          <w:trHeight w:val="170" w:hRule="exact"/>
        </w:trPr>
        <w:tc>
          <w:tcPr>
            <w:tcW w:w="441" w:type="dxa"/>
            <w:vMerge w:val="restart"/>
            <w:tcBorders>
              <w:left w:val="single" w:sz="3" w:space="0" w:color="000000"/>
              <w:right w:val="single" w:sz="3" w:space="0" w:color="000000"/>
            </w:tcBorders>
            <w:shd w:val="clear" w:color="auto" w:fill="85BB24"/>
          </w:tcPr>
          <w:p>
            <w:pPr>
              <w:pStyle w:val="TableParagraph"/>
              <w:spacing w:before="0"/>
              <w:jc w:val="left"/>
              <w:rPr>
                <w:rFonts w:ascii="Times New Roman"/>
                <w:sz w:val="8"/>
              </w:rPr>
            </w:pPr>
          </w:p>
          <w:p>
            <w:pPr>
              <w:pStyle w:val="TableParagraph"/>
              <w:spacing w:before="51"/>
              <w:ind w:left="113"/>
              <w:jc w:val="left"/>
              <w:rPr>
                <w:b/>
                <w:sz w:val="8"/>
              </w:rPr>
            </w:pPr>
            <w:r>
              <w:rPr>
                <w:b/>
                <w:color w:val="FFFFFF"/>
                <w:w w:val="110"/>
                <w:sz w:val="8"/>
              </w:rPr>
              <w:t>Co.ge</w:t>
            </w:r>
          </w:p>
        </w:tc>
        <w:tc>
          <w:tcPr>
            <w:tcW w:w="2143" w:type="dxa"/>
            <w:vMerge w:val="restart"/>
            <w:tcBorders>
              <w:left w:val="single" w:sz="3" w:space="0" w:color="000000"/>
              <w:right w:val="single" w:sz="3" w:space="0" w:color="000000"/>
            </w:tcBorders>
            <w:shd w:val="clear" w:color="auto" w:fill="85BB24"/>
          </w:tcPr>
          <w:p>
            <w:pPr>
              <w:pStyle w:val="TableParagraph"/>
              <w:spacing w:before="0"/>
              <w:jc w:val="left"/>
              <w:rPr>
                <w:rFonts w:ascii="Times New Roman"/>
                <w:sz w:val="8"/>
              </w:rPr>
            </w:pPr>
          </w:p>
          <w:p>
            <w:pPr>
              <w:pStyle w:val="TableParagraph"/>
              <w:spacing w:before="51"/>
              <w:ind w:left="600"/>
              <w:jc w:val="left"/>
              <w:rPr>
                <w:b/>
                <w:sz w:val="8"/>
              </w:rPr>
            </w:pPr>
            <w:r>
              <w:rPr>
                <w:b/>
                <w:color w:val="FFFFFF"/>
                <w:w w:val="110"/>
                <w:sz w:val="8"/>
              </w:rPr>
              <w:t>Fornitori (Circolarizzati)</w:t>
            </w:r>
          </w:p>
        </w:tc>
        <w:tc>
          <w:tcPr>
            <w:tcW w:w="1302" w:type="dxa"/>
            <w:gridSpan w:val="2"/>
            <w:tcBorders>
              <w:left w:val="single" w:sz="3" w:space="0" w:color="000000"/>
              <w:bottom w:val="single" w:sz="2" w:space="0" w:color="FFFFFF"/>
              <w:right w:val="single" w:sz="3" w:space="0" w:color="000000"/>
            </w:tcBorders>
            <w:shd w:val="clear" w:color="auto" w:fill="85BB24"/>
          </w:tcPr>
          <w:p>
            <w:pPr>
              <w:pStyle w:val="TableParagraph"/>
              <w:spacing w:before="40"/>
              <w:ind w:left="226"/>
              <w:jc w:val="left"/>
              <w:rPr>
                <w:b/>
                <w:sz w:val="8"/>
              </w:rPr>
            </w:pPr>
            <w:r>
              <w:rPr>
                <w:b/>
                <w:color w:val="FFFFFF"/>
                <w:w w:val="110"/>
                <w:sz w:val="8"/>
              </w:rPr>
              <w:t>Saldo al 15 ottobre 2017</w:t>
            </w:r>
          </w:p>
        </w:tc>
        <w:tc>
          <w:tcPr>
            <w:tcW w:w="1555" w:type="dxa"/>
            <w:gridSpan w:val="2"/>
            <w:tcBorders>
              <w:left w:val="single" w:sz="3" w:space="0" w:color="000000"/>
              <w:bottom w:val="single" w:sz="2" w:space="0" w:color="FFFFFF"/>
              <w:right w:val="single" w:sz="3" w:space="0" w:color="000000"/>
            </w:tcBorders>
            <w:shd w:val="clear" w:color="auto" w:fill="85BB24"/>
          </w:tcPr>
          <w:p>
            <w:pPr>
              <w:pStyle w:val="TableParagraph"/>
              <w:spacing w:before="40"/>
              <w:ind w:left="447"/>
              <w:jc w:val="left"/>
              <w:rPr>
                <w:b/>
                <w:sz w:val="8"/>
              </w:rPr>
            </w:pPr>
            <w:r>
              <w:rPr>
                <w:b/>
                <w:color w:val="FFFFFF"/>
                <w:w w:val="110"/>
                <w:sz w:val="8"/>
              </w:rPr>
              <w:t>Circolarizzazione</w:t>
            </w:r>
          </w:p>
        </w:tc>
        <w:tc>
          <w:tcPr>
            <w:tcW w:w="671" w:type="dxa"/>
            <w:vMerge w:val="restart"/>
            <w:tcBorders>
              <w:left w:val="single" w:sz="3" w:space="0" w:color="000000"/>
              <w:right w:val="single" w:sz="3" w:space="0" w:color="000000"/>
            </w:tcBorders>
            <w:shd w:val="clear" w:color="auto" w:fill="85BB24"/>
          </w:tcPr>
          <w:p>
            <w:pPr>
              <w:pStyle w:val="TableParagraph"/>
              <w:spacing w:before="0"/>
              <w:jc w:val="left"/>
              <w:rPr>
                <w:rFonts w:ascii="Times New Roman"/>
                <w:sz w:val="8"/>
              </w:rPr>
            </w:pPr>
          </w:p>
          <w:p>
            <w:pPr>
              <w:pStyle w:val="TableParagraph"/>
              <w:spacing w:before="51"/>
              <w:ind w:left="233" w:right="231"/>
              <w:jc w:val="center"/>
              <w:rPr>
                <w:b/>
                <w:sz w:val="8"/>
              </w:rPr>
            </w:pPr>
            <w:r>
              <w:rPr>
                <w:b/>
                <w:color w:val="FFFFFF"/>
                <w:w w:val="110"/>
                <w:sz w:val="8"/>
              </w:rPr>
              <w:t>ADJ</w:t>
            </w:r>
          </w:p>
        </w:tc>
        <w:tc>
          <w:tcPr>
            <w:tcW w:w="788" w:type="dxa"/>
            <w:vMerge w:val="restart"/>
            <w:tcBorders>
              <w:left w:val="single" w:sz="3" w:space="0" w:color="000000"/>
              <w:right w:val="single" w:sz="3" w:space="0" w:color="000000"/>
            </w:tcBorders>
            <w:shd w:val="clear" w:color="auto" w:fill="85BB24"/>
          </w:tcPr>
          <w:p>
            <w:pPr>
              <w:pStyle w:val="TableParagraph"/>
              <w:spacing w:before="0"/>
              <w:jc w:val="left"/>
              <w:rPr>
                <w:rFonts w:ascii="Times New Roman"/>
                <w:sz w:val="8"/>
              </w:rPr>
            </w:pPr>
          </w:p>
          <w:p>
            <w:pPr>
              <w:pStyle w:val="TableParagraph"/>
              <w:spacing w:before="51"/>
              <w:ind w:left="113"/>
              <w:jc w:val="left"/>
              <w:rPr>
                <w:b/>
                <w:sz w:val="8"/>
              </w:rPr>
            </w:pPr>
            <w:r>
              <w:rPr>
                <w:b/>
                <w:color w:val="FFFFFF"/>
                <w:w w:val="110"/>
                <w:sz w:val="8"/>
              </w:rPr>
              <w:t>saldo Post ADJ</w:t>
            </w:r>
          </w:p>
        </w:tc>
      </w:tr>
      <w:tr>
        <w:trPr>
          <w:trHeight w:val="206" w:hRule="exact"/>
        </w:trPr>
        <w:tc>
          <w:tcPr>
            <w:tcW w:w="441" w:type="dxa"/>
            <w:vMerge/>
            <w:tcBorders>
              <w:left w:val="single" w:sz="3" w:space="0" w:color="000000"/>
              <w:right w:val="single" w:sz="3" w:space="0" w:color="000000"/>
            </w:tcBorders>
            <w:shd w:val="clear" w:color="auto" w:fill="85BB24"/>
          </w:tcPr>
          <w:p>
            <w:pPr/>
          </w:p>
        </w:tc>
        <w:tc>
          <w:tcPr>
            <w:tcW w:w="2143" w:type="dxa"/>
            <w:vMerge/>
            <w:tcBorders>
              <w:left w:val="single" w:sz="3" w:space="0" w:color="000000"/>
              <w:right w:val="single" w:sz="3" w:space="0" w:color="000000"/>
            </w:tcBorders>
            <w:shd w:val="clear" w:color="auto" w:fill="85BB24"/>
          </w:tcPr>
          <w:p>
            <w:pPr/>
          </w:p>
        </w:tc>
        <w:tc>
          <w:tcPr>
            <w:tcW w:w="740" w:type="dxa"/>
            <w:tcBorders>
              <w:top w:val="single" w:sz="2" w:space="0" w:color="FFFFFF"/>
              <w:left w:val="single" w:sz="3" w:space="0" w:color="000000"/>
              <w:right w:val="nil"/>
            </w:tcBorders>
            <w:shd w:val="clear" w:color="auto" w:fill="85BB24"/>
          </w:tcPr>
          <w:p>
            <w:pPr>
              <w:pStyle w:val="TableParagraph"/>
              <w:spacing w:before="58"/>
              <w:ind w:right="110"/>
              <w:rPr>
                <w:b/>
                <w:sz w:val="8"/>
              </w:rPr>
            </w:pPr>
            <w:r>
              <w:rPr>
                <w:b/>
                <w:color w:val="FFFFFF"/>
                <w:w w:val="110"/>
                <w:sz w:val="8"/>
              </w:rPr>
              <w:t>Da ultimo BdV</w:t>
            </w:r>
          </w:p>
        </w:tc>
        <w:tc>
          <w:tcPr>
            <w:tcW w:w="562" w:type="dxa"/>
            <w:tcBorders>
              <w:top w:val="single" w:sz="2" w:space="0" w:color="FFFFFF"/>
              <w:left w:val="nil"/>
              <w:right w:val="single" w:sz="3" w:space="0" w:color="000000"/>
            </w:tcBorders>
            <w:shd w:val="clear" w:color="auto" w:fill="85BB24"/>
          </w:tcPr>
          <w:p>
            <w:pPr>
              <w:pStyle w:val="TableParagraph"/>
              <w:spacing w:line="273" w:lineRule="auto" w:before="9"/>
              <w:ind w:left="150" w:right="95" w:hanging="81"/>
              <w:jc w:val="left"/>
              <w:rPr>
                <w:b/>
                <w:sz w:val="8"/>
              </w:rPr>
            </w:pPr>
            <w:r>
              <w:rPr>
                <w:b/>
                <w:color w:val="FFFFFF"/>
                <w:w w:val="105"/>
                <w:sz w:val="8"/>
              </w:rPr>
              <w:t>Differenza </w:t>
            </w:r>
            <w:r>
              <w:rPr>
                <w:b/>
                <w:color w:val="FFFFFF"/>
                <w:w w:val="110"/>
                <w:sz w:val="8"/>
              </w:rPr>
              <w:t>cambi</w:t>
            </w:r>
          </w:p>
        </w:tc>
        <w:tc>
          <w:tcPr>
            <w:tcW w:w="515" w:type="dxa"/>
            <w:tcBorders>
              <w:top w:val="single" w:sz="2" w:space="0" w:color="FFFFFF"/>
              <w:left w:val="single" w:sz="3" w:space="0" w:color="000000"/>
              <w:right w:val="nil"/>
            </w:tcBorders>
            <w:shd w:val="clear" w:color="auto" w:fill="85BB24"/>
          </w:tcPr>
          <w:p>
            <w:pPr>
              <w:pStyle w:val="TableParagraph"/>
              <w:spacing w:before="58"/>
              <w:ind w:left="88" w:right="58"/>
              <w:jc w:val="center"/>
              <w:rPr>
                <w:b/>
                <w:sz w:val="8"/>
              </w:rPr>
            </w:pPr>
            <w:r>
              <w:rPr>
                <w:b/>
                <w:color w:val="FFFFFF"/>
                <w:w w:val="110"/>
                <w:sz w:val="8"/>
              </w:rPr>
              <w:t>Risposta</w:t>
            </w:r>
          </w:p>
        </w:tc>
        <w:tc>
          <w:tcPr>
            <w:tcW w:w="1041" w:type="dxa"/>
            <w:tcBorders>
              <w:top w:val="single" w:sz="2" w:space="0" w:color="FFFFFF"/>
              <w:left w:val="nil"/>
              <w:right w:val="single" w:sz="3" w:space="0" w:color="000000"/>
            </w:tcBorders>
            <w:shd w:val="clear" w:color="auto" w:fill="85BB24"/>
          </w:tcPr>
          <w:p>
            <w:pPr>
              <w:pStyle w:val="TableParagraph"/>
              <w:spacing w:before="58"/>
              <w:ind w:left="420" w:right="380"/>
              <w:jc w:val="center"/>
              <w:rPr>
                <w:b/>
                <w:sz w:val="8"/>
              </w:rPr>
            </w:pPr>
            <w:r>
              <w:rPr>
                <w:b/>
                <w:color w:val="FFFFFF"/>
                <w:w w:val="110"/>
                <w:sz w:val="8"/>
              </w:rPr>
              <w:t>Esito</w:t>
            </w:r>
          </w:p>
        </w:tc>
        <w:tc>
          <w:tcPr>
            <w:tcW w:w="671" w:type="dxa"/>
            <w:vMerge/>
            <w:tcBorders>
              <w:left w:val="single" w:sz="3" w:space="0" w:color="000000"/>
              <w:right w:val="single" w:sz="3" w:space="0" w:color="000000"/>
            </w:tcBorders>
            <w:shd w:val="clear" w:color="auto" w:fill="85BB24"/>
          </w:tcPr>
          <w:p>
            <w:pPr/>
          </w:p>
        </w:tc>
        <w:tc>
          <w:tcPr>
            <w:tcW w:w="788" w:type="dxa"/>
            <w:vMerge/>
            <w:tcBorders>
              <w:left w:val="single" w:sz="3" w:space="0" w:color="000000"/>
              <w:right w:val="single" w:sz="3" w:space="0" w:color="000000"/>
            </w:tcBorders>
            <w:shd w:val="clear" w:color="auto" w:fill="85BB24"/>
          </w:tcPr>
          <w:p>
            <w:pP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100124</w:t>
            </w:r>
          </w:p>
        </w:tc>
        <w:tc>
          <w:tcPr>
            <w:tcW w:w="2143" w:type="dxa"/>
            <w:tcBorders>
              <w:left w:val="nil"/>
              <w:right w:val="nil"/>
            </w:tcBorders>
          </w:tcPr>
          <w:p>
            <w:pPr>
              <w:pStyle w:val="TableParagraph"/>
              <w:spacing w:before="16"/>
              <w:ind w:left="16"/>
              <w:jc w:val="left"/>
              <w:rPr>
                <w:sz w:val="8"/>
              </w:rPr>
            </w:pPr>
            <w:r>
              <w:rPr>
                <w:w w:val="110"/>
                <w:sz w:val="8"/>
              </w:rPr>
              <w:t>AMERICAN EXPRESS SERVICES EUROPE</w:t>
            </w:r>
          </w:p>
        </w:tc>
        <w:tc>
          <w:tcPr>
            <w:tcW w:w="740" w:type="dxa"/>
            <w:tcBorders>
              <w:left w:val="nil"/>
              <w:right w:val="nil"/>
            </w:tcBorders>
          </w:tcPr>
          <w:p>
            <w:pPr>
              <w:pStyle w:val="TableParagraph"/>
              <w:spacing w:before="16"/>
              <w:ind w:right="67"/>
              <w:rPr>
                <w:sz w:val="8"/>
              </w:rPr>
            </w:pPr>
            <w:r>
              <w:rPr>
                <w:w w:val="105"/>
                <w:sz w:val="8"/>
              </w:rPr>
              <w:t>(6.334,94)</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(6.334,94)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100142</w:t>
            </w:r>
          </w:p>
        </w:tc>
        <w:tc>
          <w:tcPr>
            <w:tcW w:w="2143" w:type="dxa"/>
            <w:tcBorders>
              <w:left w:val="nil"/>
              <w:right w:val="nil"/>
            </w:tcBorders>
          </w:tcPr>
          <w:p>
            <w:pPr>
              <w:pStyle w:val="TableParagraph"/>
              <w:spacing w:before="16"/>
              <w:ind w:left="16"/>
              <w:jc w:val="left"/>
              <w:rPr>
                <w:sz w:val="8"/>
              </w:rPr>
            </w:pPr>
            <w:r>
              <w:rPr>
                <w:w w:val="110"/>
                <w:sz w:val="8"/>
              </w:rPr>
              <w:t>AVIS BUDGET ITALIA SPA</w:t>
            </w:r>
          </w:p>
        </w:tc>
        <w:tc>
          <w:tcPr>
            <w:tcW w:w="740" w:type="dxa"/>
            <w:tcBorders>
              <w:left w:val="nil"/>
              <w:right w:val="nil"/>
            </w:tcBorders>
          </w:tcPr>
          <w:p>
            <w:pPr>
              <w:pStyle w:val="TableParagraph"/>
              <w:spacing w:before="16"/>
              <w:ind w:right="71"/>
              <w:rPr>
                <w:sz w:val="8"/>
              </w:rPr>
            </w:pPr>
            <w:r>
              <w:rPr>
                <w:w w:val="105"/>
                <w:sz w:val="8"/>
              </w:rPr>
              <w:t>6.073,12</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271" w:val="left" w:leader="none"/>
              </w:tabs>
              <w:spacing w:before="16"/>
              <w:ind w:left="297"/>
              <w:jc w:val="left"/>
              <w:rPr>
                <w:sz w:val="8"/>
              </w:rPr>
            </w:pPr>
            <w:r>
              <w:rPr>
                <w:w w:val="110"/>
                <w:sz w:val="8"/>
              </w:rPr>
              <w:t>(6.073,12)</w:t>
              <w:tab/>
              <w:t>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100198</w:t>
            </w:r>
          </w:p>
        </w:tc>
        <w:tc>
          <w:tcPr>
            <w:tcW w:w="2143" w:type="dxa"/>
            <w:tcBorders>
              <w:left w:val="nil"/>
              <w:right w:val="nil"/>
            </w:tcBorders>
          </w:tcPr>
          <w:p>
            <w:pPr>
              <w:pStyle w:val="TableParagraph"/>
              <w:spacing w:before="16"/>
              <w:ind w:left="16"/>
              <w:jc w:val="left"/>
              <w:rPr>
                <w:sz w:val="8"/>
              </w:rPr>
            </w:pPr>
            <w:r>
              <w:rPr>
                <w:w w:val="110"/>
                <w:sz w:val="8"/>
              </w:rPr>
              <w:t>DHL EXPRESS ITALY S.R.L.</w:t>
            </w:r>
          </w:p>
        </w:tc>
        <w:tc>
          <w:tcPr>
            <w:tcW w:w="740" w:type="dxa"/>
            <w:tcBorders>
              <w:left w:val="nil"/>
              <w:right w:val="nil"/>
            </w:tcBorders>
          </w:tcPr>
          <w:p>
            <w:pPr>
              <w:pStyle w:val="TableParagraph"/>
              <w:spacing w:before="16"/>
              <w:ind w:right="67"/>
              <w:rPr>
                <w:sz w:val="8"/>
              </w:rPr>
            </w:pPr>
            <w:r>
              <w:rPr>
                <w:w w:val="105"/>
                <w:sz w:val="8"/>
              </w:rPr>
              <w:t>(11.827,42)</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(11.827,42)</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100252</w:t>
            </w:r>
          </w:p>
        </w:tc>
        <w:tc>
          <w:tcPr>
            <w:tcW w:w="2143" w:type="dxa"/>
            <w:tcBorders>
              <w:left w:val="nil"/>
              <w:right w:val="nil"/>
            </w:tcBorders>
          </w:tcPr>
          <w:p>
            <w:pPr>
              <w:pStyle w:val="TableParagraph"/>
              <w:spacing w:before="16"/>
              <w:ind w:left="16"/>
              <w:jc w:val="left"/>
              <w:rPr>
                <w:sz w:val="8"/>
              </w:rPr>
            </w:pPr>
            <w:r>
              <w:rPr>
                <w:w w:val="110"/>
                <w:sz w:val="8"/>
              </w:rPr>
              <w:t>EMERSON PROCESS MANAGEMENT S.R.L</w:t>
            </w:r>
          </w:p>
        </w:tc>
        <w:tc>
          <w:tcPr>
            <w:tcW w:w="740" w:type="dxa"/>
            <w:tcBorders>
              <w:left w:val="nil"/>
              <w:right w:val="nil"/>
            </w:tcBorders>
          </w:tcPr>
          <w:p>
            <w:pPr>
              <w:pStyle w:val="TableParagraph"/>
              <w:spacing w:before="16"/>
              <w:ind w:right="67"/>
              <w:rPr>
                <w:sz w:val="8"/>
              </w:rPr>
            </w:pPr>
            <w:r>
              <w:rPr>
                <w:w w:val="105"/>
                <w:sz w:val="8"/>
              </w:rPr>
              <w:t>(182.754,20)</w:t>
            </w:r>
          </w:p>
        </w:tc>
        <w:tc>
          <w:tcPr>
            <w:tcW w:w="562" w:type="dxa"/>
            <w:tcBorders>
              <w:left w:val="nil"/>
              <w:right w:val="nil"/>
            </w:tcBorders>
          </w:tcPr>
          <w:p>
            <w:pPr>
              <w:pStyle w:val="TableParagraph"/>
              <w:spacing w:before="16"/>
              <w:ind w:right="40"/>
              <w:rPr>
                <w:sz w:val="8"/>
              </w:rPr>
            </w:pPr>
            <w:r>
              <w:rPr>
                <w:w w:val="105"/>
                <w:sz w:val="8"/>
              </w:rPr>
              <w:t>9.523,84</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(173.230,36)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100405</w:t>
            </w:r>
          </w:p>
        </w:tc>
        <w:tc>
          <w:tcPr>
            <w:tcW w:w="2143" w:type="dxa"/>
            <w:tcBorders>
              <w:left w:val="nil"/>
              <w:right w:val="nil"/>
            </w:tcBorders>
          </w:tcPr>
          <w:p>
            <w:pPr>
              <w:pStyle w:val="TableParagraph"/>
              <w:spacing w:before="16"/>
              <w:ind w:left="16"/>
              <w:jc w:val="left"/>
              <w:rPr>
                <w:sz w:val="8"/>
              </w:rPr>
            </w:pPr>
            <w:r>
              <w:rPr>
                <w:w w:val="110"/>
                <w:sz w:val="8"/>
              </w:rPr>
              <w:t>SEC DI ZELASCHI &amp; C. S.R.L.</w:t>
            </w:r>
          </w:p>
        </w:tc>
        <w:tc>
          <w:tcPr>
            <w:tcW w:w="740" w:type="dxa"/>
            <w:tcBorders>
              <w:left w:val="nil"/>
              <w:right w:val="nil"/>
            </w:tcBorders>
          </w:tcPr>
          <w:p>
            <w:pPr>
              <w:pStyle w:val="TableParagraph"/>
              <w:spacing w:before="16"/>
              <w:ind w:right="67"/>
              <w:rPr>
                <w:sz w:val="8"/>
              </w:rPr>
            </w:pPr>
            <w:r>
              <w:rPr>
                <w:w w:val="105"/>
                <w:sz w:val="8"/>
              </w:rPr>
              <w:t>(23.183,79)</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(23.183,79)</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100446</w:t>
            </w:r>
          </w:p>
        </w:tc>
        <w:tc>
          <w:tcPr>
            <w:tcW w:w="2143" w:type="dxa"/>
            <w:tcBorders>
              <w:left w:val="nil"/>
              <w:right w:val="nil"/>
            </w:tcBorders>
          </w:tcPr>
          <w:p>
            <w:pPr>
              <w:pStyle w:val="TableParagraph"/>
              <w:spacing w:before="16"/>
              <w:ind w:left="16"/>
              <w:jc w:val="left"/>
              <w:rPr>
                <w:sz w:val="8"/>
              </w:rPr>
            </w:pPr>
            <w:r>
              <w:rPr>
                <w:w w:val="110"/>
                <w:sz w:val="8"/>
              </w:rPr>
              <w:t>TELECOM ITALIA S.P.A.</w:t>
            </w:r>
          </w:p>
        </w:tc>
        <w:tc>
          <w:tcPr>
            <w:tcW w:w="740" w:type="dxa"/>
            <w:tcBorders>
              <w:left w:val="nil"/>
              <w:right w:val="nil"/>
            </w:tcBorders>
          </w:tcPr>
          <w:p>
            <w:pPr>
              <w:pStyle w:val="TableParagraph"/>
              <w:spacing w:before="16"/>
              <w:ind w:right="67"/>
              <w:rPr>
                <w:sz w:val="8"/>
              </w:rPr>
            </w:pPr>
            <w:r>
              <w:rPr>
                <w:w w:val="105"/>
                <w:sz w:val="8"/>
              </w:rPr>
              <w:t>(6.921,73)</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(6.921,73)</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100542</w:t>
            </w:r>
          </w:p>
        </w:tc>
        <w:tc>
          <w:tcPr>
            <w:tcW w:w="2143" w:type="dxa"/>
            <w:tcBorders>
              <w:left w:val="nil"/>
              <w:right w:val="nil"/>
            </w:tcBorders>
          </w:tcPr>
          <w:p>
            <w:pPr>
              <w:pStyle w:val="TableParagraph"/>
              <w:spacing w:before="16"/>
              <w:ind w:left="16"/>
              <w:jc w:val="left"/>
              <w:rPr>
                <w:sz w:val="8"/>
              </w:rPr>
            </w:pPr>
            <w:r>
              <w:rPr>
                <w:w w:val="110"/>
                <w:sz w:val="8"/>
              </w:rPr>
              <w:t>ARVAL SERVICE LEASE ITALIA S.P.A.</w:t>
            </w:r>
          </w:p>
        </w:tc>
        <w:tc>
          <w:tcPr>
            <w:tcW w:w="740" w:type="dxa"/>
            <w:tcBorders>
              <w:left w:val="nil"/>
              <w:right w:val="nil"/>
            </w:tcBorders>
          </w:tcPr>
          <w:p>
            <w:pPr>
              <w:pStyle w:val="TableParagraph"/>
              <w:spacing w:before="16"/>
              <w:ind w:right="67"/>
              <w:rPr>
                <w:sz w:val="8"/>
              </w:rPr>
            </w:pPr>
            <w:r>
              <w:rPr>
                <w:w w:val="105"/>
                <w:sz w:val="8"/>
              </w:rPr>
              <w:t>(4.863,95)</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104" w:val="left" w:leader="none"/>
              </w:tabs>
              <w:spacing w:before="16"/>
              <w:ind w:left="297"/>
              <w:jc w:val="left"/>
              <w:rPr>
                <w:sz w:val="8"/>
              </w:rPr>
            </w:pPr>
            <w:r>
              <w:rPr>
                <w:w w:val="110"/>
                <w:sz w:val="8"/>
              </w:rPr>
              <w:t>(2.337,07)</w:t>
              <w:tab/>
              <w:t>(7.201,02)</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100560</w:t>
            </w:r>
          </w:p>
        </w:tc>
        <w:tc>
          <w:tcPr>
            <w:tcW w:w="2143" w:type="dxa"/>
            <w:tcBorders>
              <w:left w:val="nil"/>
              <w:right w:val="nil"/>
            </w:tcBorders>
          </w:tcPr>
          <w:p>
            <w:pPr>
              <w:pStyle w:val="TableParagraph"/>
              <w:spacing w:before="16"/>
              <w:ind w:left="16"/>
              <w:jc w:val="left"/>
              <w:rPr>
                <w:sz w:val="8"/>
              </w:rPr>
            </w:pPr>
            <w:r>
              <w:rPr>
                <w:w w:val="110"/>
                <w:sz w:val="8"/>
              </w:rPr>
              <w:t>CONSIGLIO NAZIONALE DELLE RICERCHE</w:t>
            </w:r>
          </w:p>
        </w:tc>
        <w:tc>
          <w:tcPr>
            <w:tcW w:w="740" w:type="dxa"/>
            <w:tcBorders>
              <w:left w:val="nil"/>
              <w:right w:val="nil"/>
            </w:tcBorders>
          </w:tcPr>
          <w:p>
            <w:pPr>
              <w:pStyle w:val="TableParagraph"/>
              <w:spacing w:before="16"/>
              <w:ind w:right="67"/>
              <w:rPr>
                <w:sz w:val="8"/>
              </w:rPr>
            </w:pPr>
            <w:r>
              <w:rPr>
                <w:w w:val="105"/>
                <w:sz w:val="8"/>
              </w:rPr>
              <w:t>(36.600,00)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(36.600,00)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100754</w:t>
            </w:r>
          </w:p>
        </w:tc>
        <w:tc>
          <w:tcPr>
            <w:tcW w:w="2143" w:type="dxa"/>
            <w:tcBorders>
              <w:left w:val="nil"/>
              <w:right w:val="nil"/>
            </w:tcBorders>
          </w:tcPr>
          <w:p>
            <w:pPr>
              <w:pStyle w:val="TableParagraph"/>
              <w:spacing w:before="16"/>
              <w:ind w:left="16"/>
              <w:jc w:val="left"/>
              <w:rPr>
                <w:sz w:val="8"/>
              </w:rPr>
            </w:pPr>
            <w:r>
              <w:rPr>
                <w:w w:val="110"/>
                <w:sz w:val="8"/>
              </w:rPr>
              <w:t>E&amp;Y S.P.A.</w:t>
            </w:r>
          </w:p>
        </w:tc>
        <w:tc>
          <w:tcPr>
            <w:tcW w:w="740" w:type="dxa"/>
            <w:tcBorders>
              <w:left w:val="nil"/>
              <w:right w:val="nil"/>
            </w:tcBorders>
          </w:tcPr>
          <w:p>
            <w:pPr>
              <w:pStyle w:val="TableParagraph"/>
              <w:spacing w:before="16"/>
              <w:ind w:right="67"/>
              <w:rPr>
                <w:sz w:val="8"/>
              </w:rPr>
            </w:pPr>
            <w:r>
              <w:rPr>
                <w:w w:val="105"/>
                <w:sz w:val="8"/>
              </w:rPr>
              <w:t>(21.838,00)</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(21.838,00)</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100989</w:t>
            </w:r>
          </w:p>
        </w:tc>
        <w:tc>
          <w:tcPr>
            <w:tcW w:w="2143" w:type="dxa"/>
            <w:tcBorders>
              <w:left w:val="nil"/>
              <w:right w:val="nil"/>
            </w:tcBorders>
          </w:tcPr>
          <w:p>
            <w:pPr>
              <w:pStyle w:val="TableParagraph"/>
              <w:spacing w:before="9"/>
              <w:ind w:left="16"/>
              <w:jc w:val="left"/>
              <w:rPr>
                <w:sz w:val="8"/>
              </w:rPr>
            </w:pPr>
            <w:r>
              <w:rPr>
                <w:w w:val="110"/>
                <w:sz w:val="8"/>
              </w:rPr>
              <w:t>THERMO FISHER SCIENTIFIC S.p.A.</w:t>
            </w:r>
          </w:p>
        </w:tc>
        <w:tc>
          <w:tcPr>
            <w:tcW w:w="740" w:type="dxa"/>
            <w:tcBorders>
              <w:left w:val="nil"/>
              <w:right w:val="nil"/>
            </w:tcBorders>
          </w:tcPr>
          <w:p>
            <w:pPr>
              <w:pStyle w:val="TableParagraph"/>
              <w:spacing w:before="9"/>
              <w:ind w:right="67"/>
              <w:rPr>
                <w:sz w:val="8"/>
              </w:rPr>
            </w:pPr>
            <w:r>
              <w:rPr>
                <w:w w:val="105"/>
                <w:sz w:val="8"/>
              </w:rPr>
              <w:t>(17.206,88)</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9"/>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6"/>
              <w:ind w:left="517"/>
              <w:jc w:val="left"/>
              <w:rPr>
                <w:sz w:val="8"/>
              </w:rPr>
            </w:pPr>
            <w:r>
              <w:rPr>
                <w:w w:val="110"/>
                <w:position w:val="1"/>
                <w:sz w:val="8"/>
              </w:rPr>
              <w:t>-</w:t>
              <w:tab/>
            </w:r>
            <w:r>
              <w:rPr>
                <w:w w:val="110"/>
                <w:sz w:val="8"/>
              </w:rPr>
              <w:t>(17.206,88)</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100991</w:t>
            </w:r>
          </w:p>
        </w:tc>
        <w:tc>
          <w:tcPr>
            <w:tcW w:w="2143" w:type="dxa"/>
            <w:tcBorders>
              <w:left w:val="nil"/>
              <w:right w:val="nil"/>
            </w:tcBorders>
          </w:tcPr>
          <w:p>
            <w:pPr>
              <w:pStyle w:val="TableParagraph"/>
              <w:spacing w:before="16"/>
              <w:ind w:left="16"/>
              <w:jc w:val="left"/>
              <w:rPr>
                <w:sz w:val="8"/>
              </w:rPr>
            </w:pPr>
            <w:r>
              <w:rPr>
                <w:w w:val="110"/>
                <w:sz w:val="8"/>
              </w:rPr>
              <w:t>FKV S.R.L. Totale</w:t>
            </w:r>
          </w:p>
        </w:tc>
        <w:tc>
          <w:tcPr>
            <w:tcW w:w="740" w:type="dxa"/>
            <w:tcBorders>
              <w:left w:val="nil"/>
              <w:right w:val="nil"/>
            </w:tcBorders>
          </w:tcPr>
          <w:p>
            <w:pPr>
              <w:pStyle w:val="TableParagraph"/>
              <w:spacing w:before="16"/>
              <w:ind w:right="67"/>
              <w:rPr>
                <w:sz w:val="8"/>
              </w:rPr>
            </w:pPr>
            <w:r>
              <w:rPr>
                <w:w w:val="105"/>
                <w:sz w:val="8"/>
              </w:rPr>
              <w:t>(40.016,00)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(40.016,00)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102449</w:t>
            </w:r>
          </w:p>
        </w:tc>
        <w:tc>
          <w:tcPr>
            <w:tcW w:w="2143" w:type="dxa"/>
            <w:tcBorders>
              <w:left w:val="nil"/>
              <w:right w:val="nil"/>
            </w:tcBorders>
          </w:tcPr>
          <w:p>
            <w:pPr>
              <w:pStyle w:val="TableParagraph"/>
              <w:spacing w:before="16"/>
              <w:ind w:left="16"/>
              <w:jc w:val="left"/>
              <w:rPr>
                <w:sz w:val="8"/>
              </w:rPr>
            </w:pPr>
            <w:r>
              <w:rPr>
                <w:w w:val="110"/>
                <w:sz w:val="8"/>
              </w:rPr>
              <w:t>LA TECNICA OFFICE AUTOMATION SAS</w:t>
            </w:r>
          </w:p>
        </w:tc>
        <w:tc>
          <w:tcPr>
            <w:tcW w:w="740" w:type="dxa"/>
            <w:tcBorders>
              <w:left w:val="nil"/>
              <w:right w:val="nil"/>
            </w:tcBorders>
          </w:tcPr>
          <w:p>
            <w:pPr>
              <w:pStyle w:val="TableParagraph"/>
              <w:spacing w:before="16"/>
              <w:ind w:right="67"/>
              <w:rPr>
                <w:sz w:val="8"/>
              </w:rPr>
            </w:pPr>
            <w:r>
              <w:rPr>
                <w:w w:val="105"/>
                <w:sz w:val="8"/>
              </w:rPr>
              <w:t>(16.142,47)</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(16.142,47)</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102460</w:t>
            </w:r>
          </w:p>
        </w:tc>
        <w:tc>
          <w:tcPr>
            <w:tcW w:w="2143" w:type="dxa"/>
            <w:tcBorders>
              <w:left w:val="nil"/>
              <w:right w:val="nil"/>
            </w:tcBorders>
          </w:tcPr>
          <w:p>
            <w:pPr>
              <w:pStyle w:val="TableParagraph"/>
              <w:spacing w:before="16"/>
              <w:ind w:left="16"/>
              <w:jc w:val="left"/>
              <w:rPr>
                <w:sz w:val="8"/>
              </w:rPr>
            </w:pPr>
            <w:r>
              <w:rPr>
                <w:w w:val="110"/>
                <w:sz w:val="8"/>
              </w:rPr>
              <w:t>BOGGIO SOLA UTENSILI DI PIETRO BOGG</w:t>
            </w:r>
          </w:p>
        </w:tc>
        <w:tc>
          <w:tcPr>
            <w:tcW w:w="740" w:type="dxa"/>
            <w:tcBorders>
              <w:left w:val="nil"/>
              <w:right w:val="nil"/>
            </w:tcBorders>
          </w:tcPr>
          <w:p>
            <w:pPr>
              <w:pStyle w:val="TableParagraph"/>
              <w:spacing w:before="16"/>
              <w:ind w:right="67"/>
              <w:rPr>
                <w:sz w:val="8"/>
              </w:rPr>
            </w:pPr>
            <w:r>
              <w:rPr>
                <w:w w:val="105"/>
                <w:sz w:val="8"/>
              </w:rPr>
              <w:t>(12.533,76)</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(12.533,76)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102629</w:t>
            </w:r>
          </w:p>
        </w:tc>
        <w:tc>
          <w:tcPr>
            <w:tcW w:w="2143" w:type="dxa"/>
            <w:tcBorders>
              <w:left w:val="nil"/>
              <w:right w:val="nil"/>
            </w:tcBorders>
          </w:tcPr>
          <w:p>
            <w:pPr>
              <w:pStyle w:val="TableParagraph"/>
              <w:spacing w:before="16"/>
              <w:ind w:left="16"/>
              <w:jc w:val="left"/>
              <w:rPr>
                <w:sz w:val="8"/>
              </w:rPr>
            </w:pPr>
            <w:r>
              <w:rPr>
                <w:w w:val="110"/>
                <w:sz w:val="8"/>
              </w:rPr>
              <w:t>SERGI ANGELA (impresa di pulizie)</w:t>
            </w:r>
          </w:p>
        </w:tc>
        <w:tc>
          <w:tcPr>
            <w:tcW w:w="740" w:type="dxa"/>
            <w:tcBorders>
              <w:left w:val="nil"/>
              <w:right w:val="nil"/>
            </w:tcBorders>
          </w:tcPr>
          <w:p>
            <w:pPr>
              <w:pStyle w:val="TableParagraph"/>
              <w:spacing w:before="16"/>
              <w:ind w:right="67"/>
              <w:rPr>
                <w:sz w:val="8"/>
              </w:rPr>
            </w:pPr>
            <w:r>
              <w:rPr>
                <w:w w:val="105"/>
                <w:sz w:val="8"/>
              </w:rPr>
              <w:t>(17.306,25)</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(17.306,25)</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102663</w:t>
            </w:r>
          </w:p>
        </w:tc>
        <w:tc>
          <w:tcPr>
            <w:tcW w:w="2143" w:type="dxa"/>
            <w:tcBorders>
              <w:left w:val="nil"/>
              <w:right w:val="nil"/>
            </w:tcBorders>
          </w:tcPr>
          <w:p>
            <w:pPr>
              <w:pStyle w:val="TableParagraph"/>
              <w:spacing w:before="16"/>
              <w:ind w:left="16"/>
              <w:jc w:val="left"/>
              <w:rPr>
                <w:sz w:val="8"/>
              </w:rPr>
            </w:pPr>
            <w:r>
              <w:rPr>
                <w:w w:val="110"/>
                <w:sz w:val="8"/>
              </w:rPr>
              <w:t>VODAFONE ITALIA S.P.A.</w:t>
            </w:r>
          </w:p>
        </w:tc>
        <w:tc>
          <w:tcPr>
            <w:tcW w:w="740" w:type="dxa"/>
            <w:tcBorders>
              <w:left w:val="nil"/>
              <w:right w:val="nil"/>
            </w:tcBorders>
          </w:tcPr>
          <w:p>
            <w:pPr>
              <w:pStyle w:val="TableParagraph"/>
              <w:spacing w:before="16"/>
              <w:ind w:right="67"/>
              <w:rPr>
                <w:sz w:val="8"/>
              </w:rPr>
            </w:pPr>
            <w:r>
              <w:rPr>
                <w:w w:val="105"/>
                <w:sz w:val="8"/>
              </w:rPr>
              <w:t>(8.158,59)</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(8.158,59)</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103886</w:t>
            </w:r>
          </w:p>
        </w:tc>
        <w:tc>
          <w:tcPr>
            <w:tcW w:w="2143" w:type="dxa"/>
            <w:tcBorders>
              <w:left w:val="nil"/>
              <w:right w:val="nil"/>
            </w:tcBorders>
          </w:tcPr>
          <w:p>
            <w:pPr>
              <w:pStyle w:val="TableParagraph"/>
              <w:spacing w:before="16"/>
              <w:ind w:left="16"/>
              <w:jc w:val="left"/>
              <w:rPr>
                <w:sz w:val="8"/>
              </w:rPr>
            </w:pPr>
            <w:r>
              <w:rPr>
                <w:w w:val="110"/>
                <w:sz w:val="8"/>
              </w:rPr>
              <w:t>MAAG AUTOMATIK INC</w:t>
            </w:r>
          </w:p>
        </w:tc>
        <w:tc>
          <w:tcPr>
            <w:tcW w:w="740" w:type="dxa"/>
            <w:tcBorders>
              <w:left w:val="nil"/>
              <w:right w:val="nil"/>
            </w:tcBorders>
          </w:tcPr>
          <w:p>
            <w:pPr>
              <w:pStyle w:val="TableParagraph"/>
              <w:spacing w:before="16"/>
              <w:ind w:right="67"/>
              <w:rPr>
                <w:sz w:val="8"/>
              </w:rPr>
            </w:pPr>
            <w:r>
              <w:rPr>
                <w:w w:val="105"/>
                <w:sz w:val="8"/>
              </w:rPr>
              <w:t>(493.020,47)</w:t>
            </w:r>
          </w:p>
        </w:tc>
        <w:tc>
          <w:tcPr>
            <w:tcW w:w="562" w:type="dxa"/>
            <w:tcBorders>
              <w:left w:val="nil"/>
              <w:right w:val="nil"/>
            </w:tcBorders>
          </w:tcPr>
          <w:p>
            <w:pPr>
              <w:pStyle w:val="TableParagraph"/>
              <w:spacing w:before="16"/>
              <w:ind w:right="41"/>
              <w:rPr>
                <w:sz w:val="8"/>
              </w:rPr>
            </w:pPr>
            <w:r>
              <w:rPr>
                <w:w w:val="105"/>
                <w:sz w:val="8"/>
              </w:rPr>
              <w:t>26.007,77</w:t>
            </w: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(467.012,70)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104558</w:t>
            </w:r>
          </w:p>
        </w:tc>
        <w:tc>
          <w:tcPr>
            <w:tcW w:w="2143" w:type="dxa"/>
            <w:tcBorders>
              <w:left w:val="nil"/>
              <w:right w:val="nil"/>
            </w:tcBorders>
          </w:tcPr>
          <w:p>
            <w:pPr>
              <w:pStyle w:val="TableParagraph"/>
              <w:spacing w:before="16"/>
              <w:ind w:left="16"/>
              <w:jc w:val="left"/>
              <w:rPr>
                <w:sz w:val="8"/>
              </w:rPr>
            </w:pPr>
            <w:r>
              <w:rPr>
                <w:w w:val="110"/>
                <w:sz w:val="8"/>
              </w:rPr>
              <w:t>POLITECNICO DI MILANO</w:t>
            </w:r>
          </w:p>
        </w:tc>
        <w:tc>
          <w:tcPr>
            <w:tcW w:w="740" w:type="dxa"/>
            <w:tcBorders>
              <w:left w:val="nil"/>
              <w:right w:val="nil"/>
            </w:tcBorders>
          </w:tcPr>
          <w:p>
            <w:pPr>
              <w:pStyle w:val="TableParagraph"/>
              <w:spacing w:before="16"/>
              <w:ind w:right="67"/>
              <w:rPr>
                <w:sz w:val="8"/>
              </w:rPr>
            </w:pPr>
            <w:r>
              <w:rPr>
                <w:w w:val="105"/>
                <w:sz w:val="8"/>
              </w:rPr>
              <w:t>(87.052,80)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(87.052,80)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104726</w:t>
            </w:r>
          </w:p>
        </w:tc>
        <w:tc>
          <w:tcPr>
            <w:tcW w:w="2143" w:type="dxa"/>
            <w:tcBorders>
              <w:left w:val="nil"/>
              <w:right w:val="nil"/>
            </w:tcBorders>
          </w:tcPr>
          <w:p>
            <w:pPr>
              <w:pStyle w:val="TableParagraph"/>
              <w:spacing w:before="16"/>
              <w:ind w:left="16"/>
              <w:jc w:val="left"/>
              <w:rPr>
                <w:sz w:val="8"/>
              </w:rPr>
            </w:pPr>
            <w:r>
              <w:rPr>
                <w:w w:val="110"/>
                <w:sz w:val="8"/>
              </w:rPr>
              <w:t>EUROFINS PRODUCT TESTING ITALY SRL</w:t>
            </w:r>
          </w:p>
        </w:tc>
        <w:tc>
          <w:tcPr>
            <w:tcW w:w="740" w:type="dxa"/>
            <w:tcBorders>
              <w:left w:val="nil"/>
              <w:right w:val="nil"/>
            </w:tcBorders>
          </w:tcPr>
          <w:p>
            <w:pPr>
              <w:pStyle w:val="TableParagraph"/>
              <w:spacing w:before="16"/>
              <w:ind w:right="67"/>
              <w:rPr>
                <w:sz w:val="8"/>
              </w:rPr>
            </w:pPr>
            <w:r>
              <w:rPr>
                <w:w w:val="105"/>
                <w:sz w:val="8"/>
              </w:rPr>
              <w:t>(21.472,00)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(21.472,00)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104750</w:t>
            </w:r>
          </w:p>
        </w:tc>
        <w:tc>
          <w:tcPr>
            <w:tcW w:w="2143" w:type="dxa"/>
            <w:tcBorders>
              <w:left w:val="nil"/>
              <w:right w:val="nil"/>
            </w:tcBorders>
          </w:tcPr>
          <w:p>
            <w:pPr>
              <w:pStyle w:val="TableParagraph"/>
              <w:spacing w:before="16"/>
              <w:ind w:left="16"/>
              <w:jc w:val="left"/>
              <w:rPr>
                <w:sz w:val="8"/>
              </w:rPr>
            </w:pPr>
            <w:r>
              <w:rPr>
                <w:w w:val="110"/>
                <w:sz w:val="8"/>
              </w:rPr>
              <w:t>ASCO FILTRI S.P.A.</w:t>
            </w:r>
          </w:p>
        </w:tc>
        <w:tc>
          <w:tcPr>
            <w:tcW w:w="740" w:type="dxa"/>
            <w:tcBorders>
              <w:left w:val="nil"/>
              <w:right w:val="nil"/>
            </w:tcBorders>
          </w:tcPr>
          <w:p>
            <w:pPr>
              <w:pStyle w:val="TableParagraph"/>
              <w:spacing w:before="16"/>
              <w:ind w:right="67"/>
              <w:rPr>
                <w:sz w:val="8"/>
              </w:rPr>
            </w:pPr>
            <w:r>
              <w:rPr>
                <w:w w:val="105"/>
                <w:sz w:val="8"/>
              </w:rPr>
              <w:t>(11.636,10)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(11.636,10)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105122</w:t>
            </w:r>
          </w:p>
        </w:tc>
        <w:tc>
          <w:tcPr>
            <w:tcW w:w="2143" w:type="dxa"/>
            <w:tcBorders>
              <w:left w:val="nil"/>
              <w:right w:val="nil"/>
            </w:tcBorders>
          </w:tcPr>
          <w:p>
            <w:pPr>
              <w:pStyle w:val="TableParagraph"/>
              <w:spacing w:before="16"/>
              <w:ind w:left="16"/>
              <w:jc w:val="left"/>
              <w:rPr>
                <w:sz w:val="8"/>
              </w:rPr>
            </w:pPr>
            <w:r>
              <w:rPr>
                <w:w w:val="110"/>
                <w:sz w:val="8"/>
              </w:rPr>
              <w:t>UNIVERSITA' DEGLI STUDI DI MILANO</w:t>
            </w:r>
          </w:p>
        </w:tc>
        <w:tc>
          <w:tcPr>
            <w:tcW w:w="740" w:type="dxa"/>
            <w:tcBorders>
              <w:left w:val="nil"/>
              <w:right w:val="nil"/>
            </w:tcBorders>
          </w:tcPr>
          <w:p>
            <w:pPr>
              <w:pStyle w:val="TableParagraph"/>
              <w:spacing w:before="16"/>
              <w:ind w:right="67"/>
              <w:rPr>
                <w:sz w:val="8"/>
              </w:rPr>
            </w:pPr>
            <w:r>
              <w:rPr>
                <w:w w:val="105"/>
                <w:sz w:val="8"/>
              </w:rPr>
              <w:t>(6.100,00)</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(6.100,00)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105159</w:t>
            </w:r>
          </w:p>
        </w:tc>
        <w:tc>
          <w:tcPr>
            <w:tcW w:w="2143" w:type="dxa"/>
            <w:tcBorders>
              <w:left w:val="nil"/>
              <w:right w:val="nil"/>
            </w:tcBorders>
          </w:tcPr>
          <w:p>
            <w:pPr>
              <w:pStyle w:val="TableParagraph"/>
              <w:spacing w:before="16"/>
              <w:ind w:left="16"/>
              <w:jc w:val="left"/>
              <w:rPr>
                <w:sz w:val="8"/>
              </w:rPr>
            </w:pPr>
            <w:r>
              <w:rPr>
                <w:w w:val="110"/>
                <w:sz w:val="8"/>
              </w:rPr>
              <w:t>POLITECNICO DI TORINO</w:t>
            </w:r>
          </w:p>
        </w:tc>
        <w:tc>
          <w:tcPr>
            <w:tcW w:w="740" w:type="dxa"/>
            <w:tcBorders>
              <w:left w:val="nil"/>
              <w:right w:val="nil"/>
            </w:tcBorders>
          </w:tcPr>
          <w:p>
            <w:pPr>
              <w:pStyle w:val="TableParagraph"/>
              <w:spacing w:before="16"/>
              <w:ind w:right="67"/>
              <w:rPr>
                <w:sz w:val="8"/>
              </w:rPr>
            </w:pPr>
            <w:r>
              <w:rPr>
                <w:w w:val="105"/>
                <w:sz w:val="8"/>
              </w:rPr>
              <w:t>(21.216,00)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304" w:val="left" w:leader="none"/>
              </w:tabs>
              <w:spacing w:before="16"/>
              <w:ind w:left="303"/>
              <w:jc w:val="left"/>
              <w:rPr>
                <w:sz w:val="8"/>
              </w:rPr>
            </w:pPr>
            <w:r>
              <w:rPr>
                <w:w w:val="110"/>
                <w:sz w:val="8"/>
              </w:rPr>
              <w:t>21.216,00</w:t>
              <w:tab/>
              <w:t>-</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105297</w:t>
            </w:r>
          </w:p>
        </w:tc>
        <w:tc>
          <w:tcPr>
            <w:tcW w:w="2143" w:type="dxa"/>
            <w:tcBorders>
              <w:left w:val="nil"/>
              <w:right w:val="nil"/>
            </w:tcBorders>
          </w:tcPr>
          <w:p>
            <w:pPr>
              <w:pStyle w:val="TableParagraph"/>
              <w:spacing w:before="16"/>
              <w:ind w:left="16"/>
              <w:jc w:val="left"/>
              <w:rPr>
                <w:sz w:val="8"/>
              </w:rPr>
            </w:pPr>
            <w:r>
              <w:rPr>
                <w:w w:val="105"/>
                <w:sz w:val="8"/>
              </w:rPr>
              <w:t>AXFLOW S.r.l.</w:t>
            </w:r>
          </w:p>
        </w:tc>
        <w:tc>
          <w:tcPr>
            <w:tcW w:w="740" w:type="dxa"/>
            <w:tcBorders>
              <w:left w:val="nil"/>
              <w:right w:val="nil"/>
            </w:tcBorders>
          </w:tcPr>
          <w:p>
            <w:pPr>
              <w:pStyle w:val="TableParagraph"/>
              <w:spacing w:before="16"/>
              <w:ind w:right="67"/>
              <w:rPr>
                <w:sz w:val="8"/>
              </w:rPr>
            </w:pPr>
            <w:r>
              <w:rPr>
                <w:w w:val="105"/>
                <w:sz w:val="8"/>
              </w:rPr>
              <w:t>(100.000,00)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(100.000,00)</w:t>
            </w:r>
          </w:p>
        </w:tc>
      </w:tr>
      <w:tr>
        <w:trPr>
          <w:trHeight w:val="115" w:hRule="exact"/>
        </w:trPr>
        <w:tc>
          <w:tcPr>
            <w:tcW w:w="441" w:type="dxa"/>
            <w:tcBorders>
              <w:left w:val="single" w:sz="3" w:space="0" w:color="000000"/>
              <w:right w:val="nil"/>
            </w:tcBorders>
          </w:tcPr>
          <w:p>
            <w:pPr>
              <w:pStyle w:val="TableParagraph"/>
              <w:spacing w:before="10"/>
              <w:ind w:left="13"/>
              <w:jc w:val="left"/>
              <w:rPr>
                <w:sz w:val="8"/>
              </w:rPr>
            </w:pPr>
            <w:r>
              <w:rPr>
                <w:w w:val="110"/>
                <w:sz w:val="8"/>
              </w:rPr>
              <w:t>105838</w:t>
            </w:r>
          </w:p>
        </w:tc>
        <w:tc>
          <w:tcPr>
            <w:tcW w:w="2143" w:type="dxa"/>
            <w:tcBorders>
              <w:left w:val="nil"/>
              <w:right w:val="nil"/>
            </w:tcBorders>
          </w:tcPr>
          <w:p>
            <w:pPr>
              <w:pStyle w:val="TableParagraph"/>
              <w:spacing w:before="10"/>
              <w:ind w:left="16"/>
              <w:jc w:val="left"/>
              <w:rPr>
                <w:sz w:val="8"/>
              </w:rPr>
            </w:pPr>
            <w:r>
              <w:rPr>
                <w:w w:val="110"/>
                <w:sz w:val="8"/>
              </w:rPr>
              <w:t>HOGAN LOVELLS US LLP</w:t>
            </w:r>
          </w:p>
        </w:tc>
        <w:tc>
          <w:tcPr>
            <w:tcW w:w="740" w:type="dxa"/>
            <w:tcBorders>
              <w:left w:val="nil"/>
              <w:right w:val="nil"/>
            </w:tcBorders>
          </w:tcPr>
          <w:p>
            <w:pPr>
              <w:pStyle w:val="TableParagraph"/>
              <w:spacing w:before="10"/>
              <w:ind w:right="67"/>
              <w:rPr>
                <w:sz w:val="8"/>
              </w:rPr>
            </w:pPr>
            <w:r>
              <w:rPr>
                <w:w w:val="105"/>
                <w:sz w:val="8"/>
              </w:rPr>
              <w:t>(214.320,72)</w:t>
            </w:r>
          </w:p>
        </w:tc>
        <w:tc>
          <w:tcPr>
            <w:tcW w:w="562" w:type="dxa"/>
            <w:tcBorders>
              <w:left w:val="nil"/>
              <w:right w:val="nil"/>
            </w:tcBorders>
          </w:tcPr>
          <w:p>
            <w:pPr>
              <w:pStyle w:val="TableParagraph"/>
              <w:spacing w:before="16"/>
              <w:ind w:right="41"/>
              <w:rPr>
                <w:sz w:val="8"/>
              </w:rPr>
            </w:pPr>
            <w:r>
              <w:rPr>
                <w:w w:val="105"/>
                <w:sz w:val="8"/>
              </w:rPr>
              <w:t>20.322,56</w:t>
            </w: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0"/>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24" w:val="left" w:leader="none"/>
              </w:tabs>
              <w:spacing w:before="6"/>
              <w:ind w:left="256"/>
              <w:jc w:val="left"/>
              <w:rPr>
                <w:sz w:val="8"/>
              </w:rPr>
            </w:pPr>
            <w:r>
              <w:rPr>
                <w:w w:val="110"/>
                <w:position w:val="1"/>
                <w:sz w:val="8"/>
              </w:rPr>
              <w:t>(25.811,26)</w:t>
              <w:tab/>
            </w:r>
            <w:r>
              <w:rPr>
                <w:w w:val="110"/>
                <w:sz w:val="8"/>
              </w:rPr>
              <w:t>(219.809,42)</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106034</w:t>
            </w:r>
          </w:p>
        </w:tc>
        <w:tc>
          <w:tcPr>
            <w:tcW w:w="2143" w:type="dxa"/>
            <w:tcBorders>
              <w:left w:val="nil"/>
              <w:right w:val="nil"/>
            </w:tcBorders>
          </w:tcPr>
          <w:p>
            <w:pPr>
              <w:pStyle w:val="TableParagraph"/>
              <w:spacing w:before="16"/>
              <w:ind w:left="16"/>
              <w:jc w:val="left"/>
              <w:rPr>
                <w:sz w:val="8"/>
              </w:rPr>
            </w:pPr>
            <w:r>
              <w:rPr>
                <w:w w:val="105"/>
                <w:sz w:val="8"/>
              </w:rPr>
              <w:t>PELLEGRINI S.P.A.</w:t>
            </w:r>
          </w:p>
        </w:tc>
        <w:tc>
          <w:tcPr>
            <w:tcW w:w="740" w:type="dxa"/>
            <w:tcBorders>
              <w:left w:val="nil"/>
              <w:right w:val="nil"/>
            </w:tcBorders>
          </w:tcPr>
          <w:p>
            <w:pPr>
              <w:pStyle w:val="TableParagraph"/>
              <w:spacing w:before="16"/>
              <w:ind w:right="67"/>
              <w:rPr>
                <w:sz w:val="8"/>
              </w:rPr>
            </w:pPr>
            <w:r>
              <w:rPr>
                <w:w w:val="105"/>
                <w:sz w:val="8"/>
              </w:rPr>
              <w:t>(15.261,23)</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(15.261,23)</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106255</w:t>
            </w:r>
          </w:p>
        </w:tc>
        <w:tc>
          <w:tcPr>
            <w:tcW w:w="2143" w:type="dxa"/>
            <w:tcBorders>
              <w:left w:val="nil"/>
              <w:right w:val="nil"/>
            </w:tcBorders>
          </w:tcPr>
          <w:p>
            <w:pPr>
              <w:pStyle w:val="TableParagraph"/>
              <w:spacing w:before="16"/>
              <w:ind w:left="16"/>
              <w:jc w:val="left"/>
              <w:rPr>
                <w:sz w:val="8"/>
              </w:rPr>
            </w:pPr>
            <w:r>
              <w:rPr>
                <w:w w:val="110"/>
                <w:sz w:val="8"/>
              </w:rPr>
              <w:t>RUGGIERI CONSULTING sas di R. Ruggi</w:t>
            </w:r>
          </w:p>
        </w:tc>
        <w:tc>
          <w:tcPr>
            <w:tcW w:w="740" w:type="dxa"/>
            <w:tcBorders>
              <w:left w:val="nil"/>
              <w:right w:val="nil"/>
            </w:tcBorders>
          </w:tcPr>
          <w:p>
            <w:pPr>
              <w:pStyle w:val="TableParagraph"/>
              <w:spacing w:before="16"/>
              <w:ind w:right="67"/>
              <w:rPr>
                <w:sz w:val="8"/>
              </w:rPr>
            </w:pPr>
            <w:r>
              <w:rPr>
                <w:w w:val="105"/>
                <w:sz w:val="8"/>
              </w:rPr>
              <w:t>(18.418,04)</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(18.418,04)</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106408</w:t>
            </w:r>
          </w:p>
        </w:tc>
        <w:tc>
          <w:tcPr>
            <w:tcW w:w="2143" w:type="dxa"/>
            <w:tcBorders>
              <w:left w:val="nil"/>
              <w:right w:val="nil"/>
            </w:tcBorders>
          </w:tcPr>
          <w:p>
            <w:pPr>
              <w:pStyle w:val="TableParagraph"/>
              <w:spacing w:before="9"/>
              <w:ind w:left="16"/>
              <w:jc w:val="left"/>
              <w:rPr>
                <w:sz w:val="8"/>
              </w:rPr>
            </w:pPr>
            <w:r>
              <w:rPr>
                <w:w w:val="110"/>
                <w:sz w:val="8"/>
              </w:rPr>
              <w:t>FUJI FILTER MGF CO., LTD</w:t>
            </w:r>
          </w:p>
        </w:tc>
        <w:tc>
          <w:tcPr>
            <w:tcW w:w="740" w:type="dxa"/>
            <w:tcBorders>
              <w:left w:val="nil"/>
              <w:right w:val="nil"/>
            </w:tcBorders>
          </w:tcPr>
          <w:p>
            <w:pPr>
              <w:pStyle w:val="TableParagraph"/>
              <w:spacing w:before="9"/>
              <w:ind w:right="67"/>
              <w:rPr>
                <w:sz w:val="8"/>
              </w:rPr>
            </w:pPr>
            <w:r>
              <w:rPr>
                <w:w w:val="105"/>
                <w:sz w:val="8"/>
              </w:rPr>
              <w:t>(416.874,53)</w:t>
            </w:r>
          </w:p>
        </w:tc>
        <w:tc>
          <w:tcPr>
            <w:tcW w:w="562" w:type="dxa"/>
            <w:tcBorders>
              <w:left w:val="nil"/>
              <w:right w:val="nil"/>
            </w:tcBorders>
          </w:tcPr>
          <w:p>
            <w:pPr>
              <w:pStyle w:val="TableParagraph"/>
              <w:spacing w:before="16"/>
              <w:ind w:right="41"/>
              <w:rPr>
                <w:sz w:val="8"/>
              </w:rPr>
            </w:pPr>
            <w:r>
              <w:rPr>
                <w:w w:val="105"/>
                <w:sz w:val="8"/>
              </w:rPr>
              <w:t>71.929,19</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9"/>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spacing w:before="16"/>
              <w:ind w:right="16"/>
              <w:rPr>
                <w:sz w:val="8"/>
              </w:rPr>
            </w:pPr>
            <w:r>
              <w:rPr>
                <w:w w:val="105"/>
                <w:sz w:val="8"/>
              </w:rPr>
              <w:t>(344.945,34)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106514</w:t>
            </w:r>
          </w:p>
        </w:tc>
        <w:tc>
          <w:tcPr>
            <w:tcW w:w="2143" w:type="dxa"/>
            <w:tcBorders>
              <w:left w:val="nil"/>
              <w:right w:val="nil"/>
            </w:tcBorders>
          </w:tcPr>
          <w:p>
            <w:pPr>
              <w:pStyle w:val="TableParagraph"/>
              <w:spacing w:before="16"/>
              <w:ind w:left="16"/>
              <w:jc w:val="left"/>
              <w:rPr>
                <w:sz w:val="8"/>
              </w:rPr>
            </w:pPr>
            <w:r>
              <w:rPr>
                <w:w w:val="105"/>
                <w:sz w:val="8"/>
              </w:rPr>
              <w:t>P.S.T. S.P.A.</w:t>
            </w:r>
          </w:p>
        </w:tc>
        <w:tc>
          <w:tcPr>
            <w:tcW w:w="740" w:type="dxa"/>
            <w:tcBorders>
              <w:left w:val="nil"/>
              <w:right w:val="nil"/>
            </w:tcBorders>
          </w:tcPr>
          <w:p>
            <w:pPr>
              <w:pStyle w:val="TableParagraph"/>
              <w:spacing w:before="16"/>
              <w:ind w:right="67"/>
              <w:rPr>
                <w:sz w:val="8"/>
              </w:rPr>
            </w:pPr>
            <w:r>
              <w:rPr>
                <w:w w:val="105"/>
                <w:sz w:val="8"/>
              </w:rPr>
              <w:t>(234.951,30)</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24" w:val="left" w:leader="none"/>
              </w:tabs>
              <w:spacing w:before="16"/>
              <w:ind w:left="256"/>
              <w:jc w:val="left"/>
              <w:rPr>
                <w:sz w:val="8"/>
              </w:rPr>
            </w:pPr>
            <w:r>
              <w:rPr>
                <w:w w:val="110"/>
                <w:sz w:val="8"/>
              </w:rPr>
              <w:t>(19.917,00)</w:t>
              <w:tab/>
              <w:t>(254.868,30)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106521</w:t>
            </w:r>
          </w:p>
        </w:tc>
        <w:tc>
          <w:tcPr>
            <w:tcW w:w="2143" w:type="dxa"/>
            <w:tcBorders>
              <w:left w:val="nil"/>
              <w:right w:val="nil"/>
            </w:tcBorders>
          </w:tcPr>
          <w:p>
            <w:pPr>
              <w:pStyle w:val="TableParagraph"/>
              <w:spacing w:before="16"/>
              <w:ind w:left="16"/>
              <w:jc w:val="left"/>
              <w:rPr>
                <w:sz w:val="8"/>
              </w:rPr>
            </w:pPr>
            <w:r>
              <w:rPr>
                <w:w w:val="110"/>
                <w:sz w:val="8"/>
              </w:rPr>
              <w:t>M.A.E. SPA</w:t>
            </w:r>
          </w:p>
        </w:tc>
        <w:tc>
          <w:tcPr>
            <w:tcW w:w="740" w:type="dxa"/>
            <w:tcBorders>
              <w:left w:val="nil"/>
              <w:right w:val="nil"/>
            </w:tcBorders>
          </w:tcPr>
          <w:p>
            <w:pPr>
              <w:pStyle w:val="TableParagraph"/>
              <w:spacing w:before="16"/>
              <w:ind w:right="67"/>
              <w:rPr>
                <w:sz w:val="8"/>
              </w:rPr>
            </w:pPr>
            <w:r>
              <w:rPr>
                <w:w w:val="105"/>
                <w:sz w:val="8"/>
              </w:rPr>
              <w:t>(80.000,00)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(80.000,00)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106820</w:t>
            </w:r>
          </w:p>
        </w:tc>
        <w:tc>
          <w:tcPr>
            <w:tcW w:w="2143" w:type="dxa"/>
            <w:tcBorders>
              <w:left w:val="nil"/>
              <w:right w:val="nil"/>
            </w:tcBorders>
          </w:tcPr>
          <w:p>
            <w:pPr>
              <w:pStyle w:val="TableParagraph"/>
              <w:spacing w:before="16"/>
              <w:ind w:left="16"/>
              <w:jc w:val="left"/>
              <w:rPr>
                <w:sz w:val="8"/>
              </w:rPr>
            </w:pPr>
            <w:r>
              <w:rPr>
                <w:w w:val="110"/>
                <w:sz w:val="8"/>
              </w:rPr>
              <w:t>EDWIN A SISSON, ATTORNEY AT LAW,LLC</w:t>
            </w:r>
          </w:p>
        </w:tc>
        <w:tc>
          <w:tcPr>
            <w:tcW w:w="740" w:type="dxa"/>
            <w:tcBorders>
              <w:left w:val="nil"/>
              <w:right w:val="nil"/>
            </w:tcBorders>
          </w:tcPr>
          <w:p>
            <w:pPr>
              <w:pStyle w:val="TableParagraph"/>
              <w:spacing w:before="16"/>
              <w:ind w:right="67"/>
              <w:rPr>
                <w:sz w:val="8"/>
              </w:rPr>
            </w:pPr>
            <w:r>
              <w:rPr>
                <w:w w:val="105"/>
                <w:sz w:val="8"/>
              </w:rPr>
              <w:t>(295.462,59)</w:t>
            </w:r>
          </w:p>
        </w:tc>
        <w:tc>
          <w:tcPr>
            <w:tcW w:w="562" w:type="dxa"/>
            <w:tcBorders>
              <w:left w:val="nil"/>
              <w:right w:val="nil"/>
            </w:tcBorders>
          </w:tcPr>
          <w:p>
            <w:pPr>
              <w:pStyle w:val="TableParagraph"/>
              <w:spacing w:before="16"/>
              <w:ind w:right="41"/>
              <w:rPr>
                <w:sz w:val="8"/>
              </w:rPr>
            </w:pPr>
            <w:r>
              <w:rPr>
                <w:w w:val="105"/>
                <w:sz w:val="8"/>
              </w:rPr>
              <w:t>16.400,36</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(279.062,23)</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107105</w:t>
            </w:r>
          </w:p>
        </w:tc>
        <w:tc>
          <w:tcPr>
            <w:tcW w:w="2143" w:type="dxa"/>
            <w:tcBorders>
              <w:left w:val="nil"/>
              <w:right w:val="nil"/>
            </w:tcBorders>
          </w:tcPr>
          <w:p>
            <w:pPr>
              <w:pStyle w:val="TableParagraph"/>
              <w:spacing w:before="16"/>
              <w:ind w:left="16"/>
              <w:jc w:val="left"/>
              <w:rPr>
                <w:sz w:val="8"/>
              </w:rPr>
            </w:pPr>
            <w:r>
              <w:rPr>
                <w:w w:val="110"/>
                <w:sz w:val="8"/>
              </w:rPr>
              <w:t>P.M.S. SRL</w:t>
            </w:r>
          </w:p>
        </w:tc>
        <w:tc>
          <w:tcPr>
            <w:tcW w:w="740" w:type="dxa"/>
            <w:tcBorders>
              <w:left w:val="nil"/>
              <w:right w:val="nil"/>
            </w:tcBorders>
          </w:tcPr>
          <w:p>
            <w:pPr>
              <w:pStyle w:val="TableParagraph"/>
              <w:spacing w:before="16"/>
              <w:ind w:right="67"/>
              <w:rPr>
                <w:sz w:val="8"/>
              </w:rPr>
            </w:pPr>
            <w:r>
              <w:rPr>
                <w:w w:val="105"/>
                <w:sz w:val="8"/>
              </w:rPr>
              <w:t>(28.350,43)</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(28.350,43)</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107753</w:t>
            </w:r>
          </w:p>
        </w:tc>
        <w:tc>
          <w:tcPr>
            <w:tcW w:w="2143" w:type="dxa"/>
            <w:tcBorders>
              <w:left w:val="nil"/>
              <w:right w:val="nil"/>
            </w:tcBorders>
          </w:tcPr>
          <w:p>
            <w:pPr>
              <w:pStyle w:val="TableParagraph"/>
              <w:spacing w:before="16"/>
              <w:ind w:left="16"/>
              <w:jc w:val="left"/>
              <w:rPr>
                <w:sz w:val="8"/>
              </w:rPr>
            </w:pPr>
            <w:r>
              <w:rPr>
                <w:w w:val="110"/>
                <w:sz w:val="8"/>
              </w:rPr>
              <w:t>ETA S.R.L.</w:t>
            </w:r>
          </w:p>
        </w:tc>
        <w:tc>
          <w:tcPr>
            <w:tcW w:w="740" w:type="dxa"/>
            <w:tcBorders>
              <w:left w:val="nil"/>
              <w:right w:val="nil"/>
            </w:tcBorders>
          </w:tcPr>
          <w:p>
            <w:pPr>
              <w:pStyle w:val="TableParagraph"/>
              <w:spacing w:before="16"/>
              <w:ind w:right="67"/>
              <w:rPr>
                <w:sz w:val="8"/>
              </w:rPr>
            </w:pPr>
            <w:r>
              <w:rPr>
                <w:w w:val="105"/>
                <w:sz w:val="8"/>
              </w:rPr>
              <w:t>(9.760,00)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(9.760,00)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107790</w:t>
            </w:r>
          </w:p>
        </w:tc>
        <w:tc>
          <w:tcPr>
            <w:tcW w:w="2143" w:type="dxa"/>
            <w:tcBorders>
              <w:left w:val="nil"/>
              <w:right w:val="nil"/>
            </w:tcBorders>
          </w:tcPr>
          <w:p>
            <w:pPr>
              <w:pStyle w:val="TableParagraph"/>
              <w:spacing w:before="16"/>
              <w:ind w:left="16"/>
              <w:jc w:val="left"/>
              <w:rPr>
                <w:sz w:val="8"/>
              </w:rPr>
            </w:pPr>
            <w:r>
              <w:rPr>
                <w:w w:val="110"/>
                <w:sz w:val="8"/>
              </w:rPr>
              <w:t>PROPLAST CONSORZIO PER LA PROMOZION</w:t>
            </w:r>
          </w:p>
        </w:tc>
        <w:tc>
          <w:tcPr>
            <w:tcW w:w="740" w:type="dxa"/>
            <w:tcBorders>
              <w:left w:val="nil"/>
              <w:right w:val="nil"/>
            </w:tcBorders>
          </w:tcPr>
          <w:p>
            <w:pPr>
              <w:pStyle w:val="TableParagraph"/>
              <w:spacing w:before="16"/>
              <w:ind w:right="67"/>
              <w:rPr>
                <w:sz w:val="8"/>
              </w:rPr>
            </w:pPr>
            <w:r>
              <w:rPr>
                <w:w w:val="105"/>
                <w:sz w:val="8"/>
              </w:rPr>
              <w:t>(19.405,14)</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(19.405,14)</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107825</w:t>
            </w:r>
          </w:p>
        </w:tc>
        <w:tc>
          <w:tcPr>
            <w:tcW w:w="2143" w:type="dxa"/>
            <w:tcBorders>
              <w:left w:val="nil"/>
              <w:right w:val="nil"/>
            </w:tcBorders>
          </w:tcPr>
          <w:p>
            <w:pPr>
              <w:pStyle w:val="TableParagraph"/>
              <w:spacing w:before="9"/>
              <w:ind w:left="16"/>
              <w:jc w:val="left"/>
              <w:rPr>
                <w:sz w:val="8"/>
              </w:rPr>
            </w:pPr>
            <w:r>
              <w:rPr>
                <w:w w:val="110"/>
                <w:sz w:val="8"/>
              </w:rPr>
              <w:t>FM SERVICES SARL</w:t>
            </w:r>
          </w:p>
        </w:tc>
        <w:tc>
          <w:tcPr>
            <w:tcW w:w="740" w:type="dxa"/>
            <w:tcBorders>
              <w:left w:val="nil"/>
              <w:right w:val="nil"/>
            </w:tcBorders>
          </w:tcPr>
          <w:p>
            <w:pPr>
              <w:pStyle w:val="TableParagraph"/>
              <w:spacing w:before="9"/>
              <w:ind w:right="67"/>
              <w:rPr>
                <w:sz w:val="8"/>
              </w:rPr>
            </w:pPr>
            <w:r>
              <w:rPr>
                <w:w w:val="105"/>
                <w:sz w:val="8"/>
              </w:rPr>
              <w:t>(129.671,65)</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9"/>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(129.671,65)</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108183</w:t>
            </w:r>
          </w:p>
        </w:tc>
        <w:tc>
          <w:tcPr>
            <w:tcW w:w="2143" w:type="dxa"/>
            <w:tcBorders>
              <w:left w:val="nil"/>
              <w:right w:val="nil"/>
            </w:tcBorders>
          </w:tcPr>
          <w:p>
            <w:pPr>
              <w:pStyle w:val="TableParagraph"/>
              <w:spacing w:before="16"/>
              <w:ind w:left="16"/>
              <w:jc w:val="left"/>
              <w:rPr>
                <w:sz w:val="8"/>
              </w:rPr>
            </w:pPr>
            <w:r>
              <w:rPr>
                <w:w w:val="110"/>
                <w:sz w:val="8"/>
              </w:rPr>
              <w:t>SPECIAL GROUP SRL</w:t>
            </w:r>
          </w:p>
        </w:tc>
        <w:tc>
          <w:tcPr>
            <w:tcW w:w="740" w:type="dxa"/>
            <w:tcBorders>
              <w:left w:val="nil"/>
              <w:right w:val="nil"/>
            </w:tcBorders>
          </w:tcPr>
          <w:p>
            <w:pPr>
              <w:pStyle w:val="TableParagraph"/>
              <w:spacing w:before="16"/>
              <w:ind w:right="67"/>
              <w:rPr>
                <w:sz w:val="8"/>
              </w:rPr>
            </w:pPr>
            <w:r>
              <w:rPr>
                <w:w w:val="105"/>
                <w:sz w:val="8"/>
              </w:rPr>
              <w:t>(7.563,93)</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(7.563,93)</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108191</w:t>
            </w:r>
          </w:p>
        </w:tc>
        <w:tc>
          <w:tcPr>
            <w:tcW w:w="2143" w:type="dxa"/>
            <w:tcBorders>
              <w:left w:val="nil"/>
              <w:right w:val="nil"/>
            </w:tcBorders>
          </w:tcPr>
          <w:p>
            <w:pPr>
              <w:pStyle w:val="TableParagraph"/>
              <w:spacing w:before="16"/>
              <w:ind w:left="16"/>
              <w:jc w:val="left"/>
              <w:rPr>
                <w:sz w:val="8"/>
              </w:rPr>
            </w:pPr>
            <w:r>
              <w:rPr>
                <w:w w:val="110"/>
                <w:sz w:val="8"/>
              </w:rPr>
              <w:t>M&amp;S LOGISTICA SRL</w:t>
            </w:r>
          </w:p>
        </w:tc>
        <w:tc>
          <w:tcPr>
            <w:tcW w:w="740" w:type="dxa"/>
            <w:tcBorders>
              <w:left w:val="nil"/>
              <w:right w:val="nil"/>
            </w:tcBorders>
          </w:tcPr>
          <w:p>
            <w:pPr>
              <w:pStyle w:val="TableParagraph"/>
              <w:spacing w:before="16"/>
              <w:ind w:right="67"/>
              <w:rPr>
                <w:sz w:val="8"/>
              </w:rPr>
            </w:pPr>
            <w:r>
              <w:rPr>
                <w:w w:val="105"/>
                <w:sz w:val="8"/>
              </w:rPr>
              <w:t>(85.196,87)</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(85.196,87)</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108196</w:t>
            </w:r>
          </w:p>
        </w:tc>
        <w:tc>
          <w:tcPr>
            <w:tcW w:w="2143" w:type="dxa"/>
            <w:tcBorders>
              <w:left w:val="nil"/>
              <w:right w:val="nil"/>
            </w:tcBorders>
          </w:tcPr>
          <w:p>
            <w:pPr>
              <w:pStyle w:val="TableParagraph"/>
              <w:spacing w:before="16"/>
              <w:ind w:left="16"/>
              <w:jc w:val="left"/>
              <w:rPr>
                <w:sz w:val="8"/>
              </w:rPr>
            </w:pPr>
            <w:r>
              <w:rPr>
                <w:w w:val="110"/>
                <w:sz w:val="8"/>
              </w:rPr>
              <w:t>ECOLOGICA MARENGO SRL</w:t>
            </w:r>
          </w:p>
        </w:tc>
        <w:tc>
          <w:tcPr>
            <w:tcW w:w="740" w:type="dxa"/>
            <w:tcBorders>
              <w:left w:val="nil"/>
              <w:right w:val="nil"/>
            </w:tcBorders>
          </w:tcPr>
          <w:p>
            <w:pPr>
              <w:pStyle w:val="TableParagraph"/>
              <w:spacing w:before="16"/>
              <w:ind w:right="67"/>
              <w:rPr>
                <w:sz w:val="8"/>
              </w:rPr>
            </w:pPr>
            <w:r>
              <w:rPr>
                <w:w w:val="105"/>
                <w:sz w:val="8"/>
              </w:rPr>
              <w:t>(19.955,56)</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(19.955,56)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108234</w:t>
            </w:r>
          </w:p>
        </w:tc>
        <w:tc>
          <w:tcPr>
            <w:tcW w:w="2143" w:type="dxa"/>
            <w:tcBorders>
              <w:left w:val="nil"/>
              <w:right w:val="nil"/>
            </w:tcBorders>
          </w:tcPr>
          <w:p>
            <w:pPr>
              <w:pStyle w:val="TableParagraph"/>
              <w:spacing w:before="16"/>
              <w:ind w:left="16"/>
              <w:jc w:val="left"/>
              <w:rPr>
                <w:sz w:val="8"/>
              </w:rPr>
            </w:pPr>
            <w:r>
              <w:rPr>
                <w:w w:val="110"/>
                <w:sz w:val="8"/>
              </w:rPr>
              <w:t>ENGICO SRL</w:t>
            </w:r>
          </w:p>
        </w:tc>
        <w:tc>
          <w:tcPr>
            <w:tcW w:w="740" w:type="dxa"/>
            <w:tcBorders>
              <w:left w:val="nil"/>
              <w:right w:val="nil"/>
            </w:tcBorders>
          </w:tcPr>
          <w:p>
            <w:pPr>
              <w:pStyle w:val="TableParagraph"/>
              <w:spacing w:before="16"/>
              <w:ind w:right="67"/>
              <w:rPr>
                <w:sz w:val="8"/>
              </w:rPr>
            </w:pPr>
            <w:r>
              <w:rPr>
                <w:w w:val="105"/>
                <w:sz w:val="8"/>
              </w:rPr>
              <w:t>(24.400,00)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(24.400,00)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108376</w:t>
            </w:r>
          </w:p>
        </w:tc>
        <w:tc>
          <w:tcPr>
            <w:tcW w:w="2143" w:type="dxa"/>
            <w:tcBorders>
              <w:left w:val="nil"/>
              <w:right w:val="nil"/>
            </w:tcBorders>
          </w:tcPr>
          <w:p>
            <w:pPr>
              <w:pStyle w:val="TableParagraph"/>
              <w:spacing w:before="16"/>
              <w:ind w:left="16"/>
              <w:jc w:val="left"/>
              <w:rPr>
                <w:sz w:val="8"/>
              </w:rPr>
            </w:pPr>
            <w:r>
              <w:rPr>
                <w:w w:val="110"/>
                <w:sz w:val="8"/>
              </w:rPr>
              <w:t>IREN MERCATO S.P.A.</w:t>
            </w:r>
          </w:p>
        </w:tc>
        <w:tc>
          <w:tcPr>
            <w:tcW w:w="740" w:type="dxa"/>
            <w:tcBorders>
              <w:left w:val="nil"/>
              <w:right w:val="nil"/>
            </w:tcBorders>
          </w:tcPr>
          <w:p>
            <w:pPr>
              <w:pStyle w:val="TableParagraph"/>
              <w:spacing w:before="16"/>
              <w:ind w:right="67"/>
              <w:rPr>
                <w:sz w:val="8"/>
              </w:rPr>
            </w:pPr>
            <w:r>
              <w:rPr>
                <w:w w:val="105"/>
                <w:sz w:val="8"/>
              </w:rPr>
              <w:t>(22.635,82)</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(22.635,82)</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108441</w:t>
            </w:r>
          </w:p>
        </w:tc>
        <w:tc>
          <w:tcPr>
            <w:tcW w:w="2143" w:type="dxa"/>
            <w:tcBorders>
              <w:left w:val="nil"/>
              <w:right w:val="nil"/>
            </w:tcBorders>
          </w:tcPr>
          <w:p>
            <w:pPr>
              <w:pStyle w:val="TableParagraph"/>
              <w:spacing w:before="16"/>
              <w:ind w:left="16"/>
              <w:jc w:val="left"/>
              <w:rPr>
                <w:sz w:val="8"/>
              </w:rPr>
            </w:pPr>
            <w:r>
              <w:rPr>
                <w:w w:val="105"/>
                <w:sz w:val="8"/>
              </w:rPr>
              <w:t>OFFICINA MANDIROLA</w:t>
            </w:r>
          </w:p>
        </w:tc>
        <w:tc>
          <w:tcPr>
            <w:tcW w:w="740" w:type="dxa"/>
            <w:tcBorders>
              <w:left w:val="nil"/>
              <w:right w:val="nil"/>
            </w:tcBorders>
          </w:tcPr>
          <w:p>
            <w:pPr>
              <w:pStyle w:val="TableParagraph"/>
              <w:spacing w:before="16"/>
              <w:ind w:right="67"/>
              <w:rPr>
                <w:sz w:val="8"/>
              </w:rPr>
            </w:pPr>
            <w:r>
              <w:rPr>
                <w:w w:val="105"/>
                <w:sz w:val="8"/>
              </w:rPr>
              <w:t>(6.191,88)</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(6.191,88)</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109165</w:t>
            </w:r>
          </w:p>
        </w:tc>
        <w:tc>
          <w:tcPr>
            <w:tcW w:w="2143" w:type="dxa"/>
            <w:tcBorders>
              <w:left w:val="nil"/>
              <w:right w:val="nil"/>
            </w:tcBorders>
          </w:tcPr>
          <w:p>
            <w:pPr>
              <w:pStyle w:val="TableParagraph"/>
              <w:spacing w:before="16"/>
              <w:ind w:left="16"/>
              <w:jc w:val="left"/>
              <w:rPr>
                <w:sz w:val="8"/>
              </w:rPr>
            </w:pPr>
            <w:r>
              <w:rPr>
                <w:w w:val="110"/>
                <w:sz w:val="8"/>
              </w:rPr>
              <w:t>M.G.A. di Scarsi M. &amp; C. sas</w:t>
            </w:r>
          </w:p>
        </w:tc>
        <w:tc>
          <w:tcPr>
            <w:tcW w:w="740" w:type="dxa"/>
            <w:tcBorders>
              <w:left w:val="nil"/>
              <w:right w:val="nil"/>
            </w:tcBorders>
          </w:tcPr>
          <w:p>
            <w:pPr>
              <w:pStyle w:val="TableParagraph"/>
              <w:spacing w:before="16"/>
              <w:ind w:right="67"/>
              <w:rPr>
                <w:sz w:val="8"/>
              </w:rPr>
            </w:pPr>
            <w:r>
              <w:rPr>
                <w:w w:val="105"/>
                <w:sz w:val="8"/>
              </w:rPr>
              <w:t>(5.709,60)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(5.709,60)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109399</w:t>
            </w:r>
          </w:p>
        </w:tc>
        <w:tc>
          <w:tcPr>
            <w:tcW w:w="2143" w:type="dxa"/>
            <w:tcBorders>
              <w:left w:val="nil"/>
              <w:right w:val="nil"/>
            </w:tcBorders>
          </w:tcPr>
          <w:p>
            <w:pPr>
              <w:pStyle w:val="TableParagraph"/>
              <w:spacing w:before="16"/>
              <w:ind w:left="16"/>
              <w:jc w:val="left"/>
              <w:rPr>
                <w:sz w:val="8"/>
              </w:rPr>
            </w:pPr>
            <w:r>
              <w:rPr>
                <w:w w:val="110"/>
                <w:sz w:val="8"/>
              </w:rPr>
              <w:t>ABB S.p.A</w:t>
            </w:r>
          </w:p>
        </w:tc>
        <w:tc>
          <w:tcPr>
            <w:tcW w:w="740" w:type="dxa"/>
            <w:tcBorders>
              <w:left w:val="nil"/>
              <w:right w:val="nil"/>
            </w:tcBorders>
          </w:tcPr>
          <w:p>
            <w:pPr>
              <w:pStyle w:val="TableParagraph"/>
              <w:spacing w:before="16"/>
              <w:ind w:right="67"/>
              <w:rPr>
                <w:sz w:val="8"/>
              </w:rPr>
            </w:pPr>
            <w:r>
              <w:rPr>
                <w:w w:val="105"/>
                <w:sz w:val="8"/>
              </w:rPr>
              <w:t>(100.000,00)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(100.000,00)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109439</w:t>
            </w:r>
          </w:p>
        </w:tc>
        <w:tc>
          <w:tcPr>
            <w:tcW w:w="2143" w:type="dxa"/>
            <w:tcBorders>
              <w:left w:val="nil"/>
              <w:right w:val="nil"/>
            </w:tcBorders>
          </w:tcPr>
          <w:p>
            <w:pPr>
              <w:pStyle w:val="TableParagraph"/>
              <w:spacing w:before="16"/>
              <w:ind w:left="16"/>
              <w:jc w:val="left"/>
              <w:rPr>
                <w:sz w:val="8"/>
              </w:rPr>
            </w:pPr>
            <w:r>
              <w:rPr>
                <w:w w:val="110"/>
                <w:sz w:val="8"/>
              </w:rPr>
              <w:t>NEGRONI KEY ENGINEER</w:t>
            </w:r>
          </w:p>
        </w:tc>
        <w:tc>
          <w:tcPr>
            <w:tcW w:w="740" w:type="dxa"/>
            <w:tcBorders>
              <w:left w:val="nil"/>
              <w:right w:val="nil"/>
            </w:tcBorders>
          </w:tcPr>
          <w:p>
            <w:pPr>
              <w:pStyle w:val="TableParagraph"/>
              <w:spacing w:before="16"/>
              <w:ind w:right="67"/>
              <w:rPr>
                <w:sz w:val="8"/>
              </w:rPr>
            </w:pPr>
            <w:r>
              <w:rPr>
                <w:w w:val="105"/>
                <w:sz w:val="8"/>
              </w:rPr>
              <w:t>(5.952,38)</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(5.952,38)</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110275</w:t>
            </w:r>
          </w:p>
        </w:tc>
        <w:tc>
          <w:tcPr>
            <w:tcW w:w="2143" w:type="dxa"/>
            <w:tcBorders>
              <w:left w:val="nil"/>
              <w:right w:val="nil"/>
            </w:tcBorders>
          </w:tcPr>
          <w:p>
            <w:pPr>
              <w:pStyle w:val="TableParagraph"/>
              <w:spacing w:before="16"/>
              <w:ind w:left="16"/>
              <w:jc w:val="left"/>
              <w:rPr>
                <w:sz w:val="8"/>
              </w:rPr>
            </w:pPr>
            <w:r>
              <w:rPr>
                <w:w w:val="105"/>
                <w:sz w:val="8"/>
              </w:rPr>
              <w:t>LANGUAGE  CONSULTING CONGRESSI SRL</w:t>
            </w:r>
          </w:p>
        </w:tc>
        <w:tc>
          <w:tcPr>
            <w:tcW w:w="740" w:type="dxa"/>
            <w:tcBorders>
              <w:left w:val="nil"/>
              <w:right w:val="nil"/>
            </w:tcBorders>
          </w:tcPr>
          <w:p>
            <w:pPr>
              <w:pStyle w:val="TableParagraph"/>
              <w:spacing w:before="16"/>
              <w:ind w:right="67"/>
              <w:rPr>
                <w:sz w:val="8"/>
              </w:rPr>
            </w:pPr>
            <w:r>
              <w:rPr>
                <w:w w:val="105"/>
                <w:sz w:val="8"/>
              </w:rPr>
              <w:t>(6.586,52)</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(6.586,52)</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111565</w:t>
            </w:r>
          </w:p>
        </w:tc>
        <w:tc>
          <w:tcPr>
            <w:tcW w:w="2143" w:type="dxa"/>
            <w:tcBorders>
              <w:left w:val="nil"/>
              <w:right w:val="nil"/>
            </w:tcBorders>
          </w:tcPr>
          <w:p>
            <w:pPr>
              <w:pStyle w:val="TableParagraph"/>
              <w:spacing w:before="9"/>
              <w:ind w:left="16"/>
              <w:jc w:val="left"/>
              <w:rPr>
                <w:sz w:val="8"/>
              </w:rPr>
            </w:pPr>
            <w:r>
              <w:rPr>
                <w:w w:val="110"/>
                <w:sz w:val="8"/>
              </w:rPr>
              <w:t>SOUZA CESCON AVEDISSIAN, B.E FLECH</w:t>
            </w:r>
          </w:p>
        </w:tc>
        <w:tc>
          <w:tcPr>
            <w:tcW w:w="740" w:type="dxa"/>
            <w:tcBorders>
              <w:left w:val="nil"/>
              <w:right w:val="nil"/>
            </w:tcBorders>
          </w:tcPr>
          <w:p>
            <w:pPr>
              <w:pStyle w:val="TableParagraph"/>
              <w:spacing w:before="9"/>
              <w:ind w:right="67"/>
              <w:rPr>
                <w:sz w:val="8"/>
              </w:rPr>
            </w:pPr>
            <w:r>
              <w:rPr>
                <w:w w:val="105"/>
                <w:sz w:val="8"/>
              </w:rPr>
              <w:t>(18.412,91)</w:t>
            </w:r>
          </w:p>
        </w:tc>
        <w:tc>
          <w:tcPr>
            <w:tcW w:w="562" w:type="dxa"/>
            <w:tcBorders>
              <w:left w:val="nil"/>
              <w:right w:val="nil"/>
            </w:tcBorders>
          </w:tcPr>
          <w:p>
            <w:pPr>
              <w:pStyle w:val="TableParagraph"/>
              <w:spacing w:before="16"/>
              <w:ind w:right="40"/>
              <w:rPr>
                <w:sz w:val="8"/>
              </w:rPr>
            </w:pPr>
            <w:r>
              <w:rPr>
                <w:w w:val="105"/>
                <w:sz w:val="8"/>
              </w:rPr>
              <w:t>1.401,94</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9"/>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(17.010,97)</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112445</w:t>
            </w:r>
          </w:p>
        </w:tc>
        <w:tc>
          <w:tcPr>
            <w:tcW w:w="2143" w:type="dxa"/>
            <w:tcBorders>
              <w:left w:val="nil"/>
              <w:right w:val="nil"/>
            </w:tcBorders>
          </w:tcPr>
          <w:p>
            <w:pPr>
              <w:pStyle w:val="TableParagraph"/>
              <w:spacing w:before="16"/>
              <w:ind w:left="16"/>
              <w:jc w:val="left"/>
              <w:rPr>
                <w:sz w:val="8"/>
              </w:rPr>
            </w:pPr>
            <w:r>
              <w:rPr>
                <w:w w:val="110"/>
                <w:sz w:val="8"/>
              </w:rPr>
              <w:t>ENTERPRISE SERVICES ITALIA SRL</w:t>
            </w:r>
          </w:p>
        </w:tc>
        <w:tc>
          <w:tcPr>
            <w:tcW w:w="740" w:type="dxa"/>
            <w:tcBorders>
              <w:left w:val="nil"/>
              <w:right w:val="nil"/>
            </w:tcBorders>
          </w:tcPr>
          <w:p>
            <w:pPr>
              <w:pStyle w:val="TableParagraph"/>
              <w:spacing w:before="16"/>
              <w:ind w:right="67"/>
              <w:rPr>
                <w:sz w:val="8"/>
              </w:rPr>
            </w:pPr>
            <w:r>
              <w:rPr>
                <w:w w:val="105"/>
                <w:sz w:val="8"/>
              </w:rPr>
              <w:t>(40.502,88)</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(40.502,88)</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113474</w:t>
            </w:r>
          </w:p>
        </w:tc>
        <w:tc>
          <w:tcPr>
            <w:tcW w:w="2143" w:type="dxa"/>
            <w:tcBorders>
              <w:left w:val="nil"/>
              <w:right w:val="nil"/>
            </w:tcBorders>
          </w:tcPr>
          <w:p>
            <w:pPr>
              <w:pStyle w:val="TableParagraph"/>
              <w:spacing w:before="16"/>
              <w:ind w:left="16"/>
              <w:jc w:val="left"/>
              <w:rPr>
                <w:sz w:val="8"/>
              </w:rPr>
            </w:pPr>
            <w:r>
              <w:rPr>
                <w:w w:val="110"/>
                <w:sz w:val="8"/>
              </w:rPr>
              <w:t>ZUCCHETTI SPA</w:t>
            </w:r>
          </w:p>
        </w:tc>
        <w:tc>
          <w:tcPr>
            <w:tcW w:w="740" w:type="dxa"/>
            <w:tcBorders>
              <w:left w:val="nil"/>
              <w:right w:val="nil"/>
            </w:tcBorders>
          </w:tcPr>
          <w:p>
            <w:pPr>
              <w:pStyle w:val="TableParagraph"/>
              <w:spacing w:before="16"/>
              <w:ind w:right="67"/>
              <w:rPr>
                <w:sz w:val="8"/>
              </w:rPr>
            </w:pPr>
            <w:r>
              <w:rPr>
                <w:w w:val="105"/>
                <w:sz w:val="8"/>
              </w:rPr>
              <w:t>(5.198,66)</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(5.198,66)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114384</w:t>
            </w:r>
          </w:p>
        </w:tc>
        <w:tc>
          <w:tcPr>
            <w:tcW w:w="2143" w:type="dxa"/>
            <w:tcBorders>
              <w:left w:val="nil"/>
              <w:right w:val="nil"/>
            </w:tcBorders>
          </w:tcPr>
          <w:p>
            <w:pPr>
              <w:pStyle w:val="TableParagraph"/>
              <w:spacing w:before="16"/>
              <w:ind w:left="16"/>
              <w:jc w:val="left"/>
              <w:rPr>
                <w:sz w:val="8"/>
              </w:rPr>
            </w:pPr>
            <w:r>
              <w:rPr>
                <w:w w:val="110"/>
                <w:sz w:val="8"/>
              </w:rPr>
              <w:t>CARTA SI VISA</w:t>
            </w:r>
          </w:p>
        </w:tc>
        <w:tc>
          <w:tcPr>
            <w:tcW w:w="740" w:type="dxa"/>
            <w:tcBorders>
              <w:left w:val="nil"/>
              <w:right w:val="nil"/>
            </w:tcBorders>
          </w:tcPr>
          <w:p>
            <w:pPr>
              <w:pStyle w:val="TableParagraph"/>
              <w:spacing w:before="16"/>
              <w:ind w:right="151"/>
              <w:rPr>
                <w:sz w:val="8"/>
              </w:rPr>
            </w:pPr>
            <w:r>
              <w:rPr>
                <w:w w:val="108"/>
                <w:sz w:val="8"/>
              </w:rPr>
              <w:t>-</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304" w:val="left" w:leader="none"/>
              </w:tabs>
              <w:spacing w:before="16"/>
              <w:ind w:left="517"/>
              <w:jc w:val="left"/>
              <w:rPr>
                <w:sz w:val="8"/>
              </w:rPr>
            </w:pPr>
            <w:r>
              <w:rPr>
                <w:w w:val="110"/>
                <w:sz w:val="8"/>
              </w:rPr>
              <w:t>-</w:t>
              <w:tab/>
              <w:t>-</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114479</w:t>
            </w:r>
          </w:p>
        </w:tc>
        <w:tc>
          <w:tcPr>
            <w:tcW w:w="2143" w:type="dxa"/>
            <w:tcBorders>
              <w:left w:val="nil"/>
              <w:right w:val="nil"/>
            </w:tcBorders>
          </w:tcPr>
          <w:p>
            <w:pPr>
              <w:pStyle w:val="TableParagraph"/>
              <w:spacing w:before="16"/>
              <w:ind w:left="16"/>
              <w:jc w:val="left"/>
              <w:rPr>
                <w:sz w:val="8"/>
              </w:rPr>
            </w:pPr>
            <w:r>
              <w:rPr>
                <w:w w:val="110"/>
                <w:sz w:val="8"/>
              </w:rPr>
              <w:t>LPL ITALIA SRL</w:t>
            </w:r>
          </w:p>
        </w:tc>
        <w:tc>
          <w:tcPr>
            <w:tcW w:w="740" w:type="dxa"/>
            <w:tcBorders>
              <w:left w:val="nil"/>
              <w:right w:val="nil"/>
            </w:tcBorders>
          </w:tcPr>
          <w:p>
            <w:pPr>
              <w:pStyle w:val="TableParagraph"/>
              <w:spacing w:before="16"/>
              <w:ind w:right="67"/>
              <w:rPr>
                <w:sz w:val="8"/>
              </w:rPr>
            </w:pPr>
            <w:r>
              <w:rPr>
                <w:w w:val="105"/>
                <w:sz w:val="8"/>
              </w:rPr>
              <w:t>(171.173,44)</w:t>
            </w:r>
          </w:p>
        </w:tc>
        <w:tc>
          <w:tcPr>
            <w:tcW w:w="562" w:type="dxa"/>
            <w:tcBorders>
              <w:left w:val="nil"/>
              <w:right w:val="nil"/>
            </w:tcBorders>
          </w:tcPr>
          <w:p>
            <w:pPr>
              <w:pStyle w:val="TableParagraph"/>
              <w:spacing w:before="16"/>
              <w:ind w:right="41"/>
              <w:rPr>
                <w:sz w:val="8"/>
              </w:rPr>
            </w:pPr>
            <w:r>
              <w:rPr>
                <w:w w:val="105"/>
                <w:sz w:val="8"/>
              </w:rPr>
              <w:t>15.155,84</w:t>
            </w: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24" w:val="left" w:leader="none"/>
              </w:tabs>
              <w:spacing w:before="16"/>
              <w:ind w:left="297"/>
              <w:jc w:val="left"/>
              <w:rPr>
                <w:sz w:val="8"/>
              </w:rPr>
            </w:pPr>
            <w:r>
              <w:rPr>
                <w:w w:val="110"/>
                <w:sz w:val="8"/>
              </w:rPr>
              <w:t>(1.710,00)</w:t>
              <w:tab/>
              <w:t>(157.727,60)</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115247</w:t>
            </w:r>
          </w:p>
        </w:tc>
        <w:tc>
          <w:tcPr>
            <w:tcW w:w="2143" w:type="dxa"/>
            <w:tcBorders>
              <w:left w:val="nil"/>
              <w:right w:val="nil"/>
            </w:tcBorders>
          </w:tcPr>
          <w:p>
            <w:pPr>
              <w:pStyle w:val="TableParagraph"/>
              <w:spacing w:before="9"/>
              <w:ind w:left="16"/>
              <w:jc w:val="left"/>
              <w:rPr>
                <w:sz w:val="8"/>
              </w:rPr>
            </w:pPr>
            <w:r>
              <w:rPr>
                <w:w w:val="110"/>
                <w:sz w:val="8"/>
              </w:rPr>
              <w:t>QUINN EMANUEL TRIAL LAWYERS</w:t>
            </w:r>
          </w:p>
        </w:tc>
        <w:tc>
          <w:tcPr>
            <w:tcW w:w="740" w:type="dxa"/>
            <w:tcBorders>
              <w:left w:val="nil"/>
              <w:right w:val="nil"/>
            </w:tcBorders>
          </w:tcPr>
          <w:p>
            <w:pPr>
              <w:pStyle w:val="TableParagraph"/>
              <w:spacing w:before="9"/>
              <w:ind w:right="67"/>
              <w:rPr>
                <w:sz w:val="8"/>
              </w:rPr>
            </w:pPr>
            <w:r>
              <w:rPr>
                <w:w w:val="105"/>
                <w:sz w:val="8"/>
              </w:rPr>
              <w:t>(44.731,53)</w:t>
            </w:r>
          </w:p>
        </w:tc>
        <w:tc>
          <w:tcPr>
            <w:tcW w:w="562" w:type="dxa"/>
            <w:tcBorders>
              <w:left w:val="nil"/>
              <w:right w:val="nil"/>
            </w:tcBorders>
          </w:tcPr>
          <w:p>
            <w:pPr>
              <w:pStyle w:val="TableParagraph"/>
              <w:spacing w:before="16"/>
              <w:ind w:right="40"/>
              <w:rPr>
                <w:sz w:val="8"/>
              </w:rPr>
            </w:pPr>
            <w:r>
              <w:rPr>
                <w:w w:val="105"/>
                <w:sz w:val="8"/>
              </w:rPr>
              <w:t>134,65</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64" w:val="left" w:leader="none"/>
              </w:tabs>
              <w:spacing w:before="6"/>
              <w:ind w:left="256"/>
              <w:jc w:val="left"/>
              <w:rPr>
                <w:sz w:val="8"/>
              </w:rPr>
            </w:pPr>
            <w:r>
              <w:rPr>
                <w:w w:val="110"/>
                <w:position w:val="1"/>
                <w:sz w:val="8"/>
              </w:rPr>
              <w:t>(40.477,12)</w:t>
              <w:tab/>
            </w:r>
            <w:r>
              <w:rPr>
                <w:w w:val="110"/>
                <w:sz w:val="8"/>
              </w:rPr>
              <w:t>(85.074,00)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115489</w:t>
            </w:r>
          </w:p>
        </w:tc>
        <w:tc>
          <w:tcPr>
            <w:tcW w:w="2143" w:type="dxa"/>
            <w:tcBorders>
              <w:left w:val="nil"/>
              <w:right w:val="nil"/>
            </w:tcBorders>
          </w:tcPr>
          <w:p>
            <w:pPr>
              <w:pStyle w:val="TableParagraph"/>
              <w:spacing w:before="16"/>
              <w:ind w:left="16"/>
              <w:jc w:val="left"/>
              <w:rPr>
                <w:sz w:val="8"/>
              </w:rPr>
            </w:pPr>
            <w:r>
              <w:rPr>
                <w:w w:val="110"/>
                <w:sz w:val="8"/>
              </w:rPr>
              <w:t>S4GREEN SAGL</w:t>
            </w:r>
          </w:p>
        </w:tc>
        <w:tc>
          <w:tcPr>
            <w:tcW w:w="740" w:type="dxa"/>
            <w:tcBorders>
              <w:left w:val="nil"/>
              <w:right w:val="nil"/>
            </w:tcBorders>
          </w:tcPr>
          <w:p>
            <w:pPr>
              <w:pStyle w:val="TableParagraph"/>
              <w:spacing w:before="16"/>
              <w:ind w:right="67"/>
              <w:rPr>
                <w:sz w:val="8"/>
              </w:rPr>
            </w:pPr>
            <w:r>
              <w:rPr>
                <w:w w:val="105"/>
                <w:sz w:val="8"/>
              </w:rPr>
              <w:t>(165.484,00)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(165.484,00)</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115644</w:t>
            </w:r>
          </w:p>
        </w:tc>
        <w:tc>
          <w:tcPr>
            <w:tcW w:w="2143" w:type="dxa"/>
            <w:tcBorders>
              <w:left w:val="nil"/>
              <w:right w:val="nil"/>
            </w:tcBorders>
          </w:tcPr>
          <w:p>
            <w:pPr>
              <w:pStyle w:val="TableParagraph"/>
              <w:spacing w:before="9"/>
              <w:ind w:left="16"/>
              <w:jc w:val="left"/>
              <w:rPr>
                <w:sz w:val="8"/>
              </w:rPr>
            </w:pPr>
            <w:r>
              <w:rPr>
                <w:w w:val="110"/>
                <w:sz w:val="8"/>
              </w:rPr>
              <w:t>ALD AUTOMOTIVE ITALIA SRL</w:t>
            </w:r>
          </w:p>
        </w:tc>
        <w:tc>
          <w:tcPr>
            <w:tcW w:w="740" w:type="dxa"/>
            <w:tcBorders>
              <w:left w:val="nil"/>
              <w:right w:val="nil"/>
            </w:tcBorders>
          </w:tcPr>
          <w:p>
            <w:pPr>
              <w:pStyle w:val="TableParagraph"/>
              <w:spacing w:before="9"/>
              <w:ind w:right="67"/>
              <w:rPr>
                <w:sz w:val="8"/>
              </w:rPr>
            </w:pPr>
            <w:r>
              <w:rPr>
                <w:w w:val="105"/>
                <w:sz w:val="8"/>
              </w:rPr>
              <w:t>(20.087,56)</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9"/>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(20.087,56)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116289</w:t>
            </w:r>
          </w:p>
        </w:tc>
        <w:tc>
          <w:tcPr>
            <w:tcW w:w="2143" w:type="dxa"/>
            <w:tcBorders>
              <w:left w:val="nil"/>
              <w:right w:val="nil"/>
            </w:tcBorders>
          </w:tcPr>
          <w:p>
            <w:pPr>
              <w:pStyle w:val="TableParagraph"/>
              <w:spacing w:before="16"/>
              <w:ind w:left="16"/>
              <w:jc w:val="left"/>
              <w:rPr>
                <w:sz w:val="8"/>
              </w:rPr>
            </w:pPr>
            <w:r>
              <w:rPr>
                <w:w w:val="110"/>
                <w:sz w:val="8"/>
              </w:rPr>
              <w:t>MVV SRL</w:t>
            </w:r>
          </w:p>
        </w:tc>
        <w:tc>
          <w:tcPr>
            <w:tcW w:w="740" w:type="dxa"/>
            <w:tcBorders>
              <w:left w:val="nil"/>
              <w:right w:val="nil"/>
            </w:tcBorders>
          </w:tcPr>
          <w:p>
            <w:pPr>
              <w:pStyle w:val="TableParagraph"/>
              <w:spacing w:before="16"/>
              <w:ind w:right="67"/>
              <w:rPr>
                <w:sz w:val="8"/>
              </w:rPr>
            </w:pPr>
            <w:r>
              <w:rPr>
                <w:w w:val="105"/>
                <w:sz w:val="8"/>
              </w:rPr>
              <w:t>(16.562,75)</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(16.562,75)</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116335</w:t>
            </w:r>
          </w:p>
        </w:tc>
        <w:tc>
          <w:tcPr>
            <w:tcW w:w="2143" w:type="dxa"/>
            <w:tcBorders>
              <w:left w:val="nil"/>
              <w:right w:val="nil"/>
            </w:tcBorders>
          </w:tcPr>
          <w:p>
            <w:pPr>
              <w:pStyle w:val="TableParagraph"/>
              <w:spacing w:before="16"/>
              <w:ind w:left="16"/>
              <w:jc w:val="left"/>
              <w:rPr>
                <w:sz w:val="8"/>
              </w:rPr>
            </w:pPr>
            <w:r>
              <w:rPr>
                <w:w w:val="110"/>
                <w:sz w:val="8"/>
              </w:rPr>
              <w:t>ERNST &amp; YOUNG (CHINA)</w:t>
            </w:r>
          </w:p>
        </w:tc>
        <w:tc>
          <w:tcPr>
            <w:tcW w:w="740" w:type="dxa"/>
            <w:tcBorders>
              <w:left w:val="nil"/>
              <w:right w:val="nil"/>
            </w:tcBorders>
          </w:tcPr>
          <w:p>
            <w:pPr>
              <w:pStyle w:val="TableParagraph"/>
              <w:spacing w:before="16"/>
              <w:ind w:right="67"/>
              <w:rPr>
                <w:sz w:val="8"/>
              </w:rPr>
            </w:pPr>
            <w:r>
              <w:rPr>
                <w:w w:val="105"/>
                <w:sz w:val="8"/>
              </w:rPr>
              <w:t>(48.291,26)</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304" w:val="left" w:leader="none"/>
              </w:tabs>
              <w:spacing w:before="16"/>
              <w:ind w:left="303"/>
              <w:jc w:val="left"/>
              <w:rPr>
                <w:sz w:val="8"/>
              </w:rPr>
            </w:pPr>
            <w:r>
              <w:rPr>
                <w:w w:val="110"/>
                <w:sz w:val="8"/>
              </w:rPr>
              <w:t>48.291,26</w:t>
              <w:tab/>
              <w:t>-</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116514</w:t>
            </w:r>
          </w:p>
        </w:tc>
        <w:tc>
          <w:tcPr>
            <w:tcW w:w="2143" w:type="dxa"/>
            <w:tcBorders>
              <w:left w:val="nil"/>
              <w:right w:val="nil"/>
            </w:tcBorders>
          </w:tcPr>
          <w:p>
            <w:pPr>
              <w:pStyle w:val="TableParagraph"/>
              <w:spacing w:before="16"/>
              <w:ind w:left="16"/>
              <w:jc w:val="left"/>
              <w:rPr>
                <w:sz w:val="8"/>
              </w:rPr>
            </w:pPr>
            <w:r>
              <w:rPr>
                <w:w w:val="110"/>
                <w:sz w:val="8"/>
              </w:rPr>
              <w:t>GELIC SRL - RIST.IL CAVALLINO</w:t>
            </w:r>
          </w:p>
        </w:tc>
        <w:tc>
          <w:tcPr>
            <w:tcW w:w="740" w:type="dxa"/>
            <w:tcBorders>
              <w:left w:val="nil"/>
              <w:right w:val="nil"/>
            </w:tcBorders>
          </w:tcPr>
          <w:p>
            <w:pPr>
              <w:pStyle w:val="TableParagraph"/>
              <w:spacing w:before="16"/>
              <w:ind w:right="71"/>
              <w:rPr>
                <w:sz w:val="8"/>
              </w:rPr>
            </w:pPr>
            <w:r>
              <w:rPr>
                <w:w w:val="105"/>
                <w:sz w:val="8"/>
              </w:rPr>
              <w:t>334,00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191" w:val="left" w:leader="none"/>
              </w:tabs>
              <w:spacing w:before="16"/>
              <w:ind w:left="517"/>
              <w:jc w:val="left"/>
              <w:rPr>
                <w:sz w:val="8"/>
              </w:rPr>
            </w:pPr>
            <w:r>
              <w:rPr>
                <w:w w:val="110"/>
                <w:sz w:val="8"/>
              </w:rPr>
              <w:t>-</w:t>
              <w:tab/>
              <w:t>334,00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117599</w:t>
            </w:r>
          </w:p>
        </w:tc>
        <w:tc>
          <w:tcPr>
            <w:tcW w:w="2143" w:type="dxa"/>
            <w:tcBorders>
              <w:left w:val="nil"/>
              <w:right w:val="nil"/>
            </w:tcBorders>
          </w:tcPr>
          <w:p>
            <w:pPr>
              <w:pStyle w:val="TableParagraph"/>
              <w:spacing w:before="16"/>
              <w:ind w:left="16"/>
              <w:jc w:val="left"/>
              <w:rPr>
                <w:sz w:val="8"/>
              </w:rPr>
            </w:pPr>
            <w:r>
              <w:rPr>
                <w:w w:val="110"/>
                <w:sz w:val="8"/>
              </w:rPr>
              <w:t>BI.ERRE.DI S.P.A.</w:t>
            </w:r>
          </w:p>
        </w:tc>
        <w:tc>
          <w:tcPr>
            <w:tcW w:w="740" w:type="dxa"/>
            <w:tcBorders>
              <w:left w:val="nil"/>
              <w:right w:val="nil"/>
            </w:tcBorders>
          </w:tcPr>
          <w:p>
            <w:pPr>
              <w:pStyle w:val="TableParagraph"/>
              <w:spacing w:before="16"/>
              <w:ind w:right="67"/>
              <w:rPr>
                <w:sz w:val="8"/>
              </w:rPr>
            </w:pPr>
            <w:r>
              <w:rPr>
                <w:w w:val="105"/>
                <w:sz w:val="8"/>
              </w:rPr>
              <w:t>(11.770,00)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(11.770,00)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118060</w:t>
            </w:r>
          </w:p>
        </w:tc>
        <w:tc>
          <w:tcPr>
            <w:tcW w:w="2143" w:type="dxa"/>
            <w:tcBorders>
              <w:left w:val="nil"/>
              <w:right w:val="nil"/>
            </w:tcBorders>
          </w:tcPr>
          <w:p>
            <w:pPr>
              <w:pStyle w:val="TableParagraph"/>
              <w:spacing w:before="16"/>
              <w:ind w:left="16"/>
              <w:jc w:val="left"/>
              <w:rPr>
                <w:sz w:val="8"/>
              </w:rPr>
            </w:pPr>
            <w:r>
              <w:rPr>
                <w:w w:val="110"/>
                <w:sz w:val="8"/>
              </w:rPr>
              <w:t>DICKOW PUMPEN KG</w:t>
            </w:r>
          </w:p>
        </w:tc>
        <w:tc>
          <w:tcPr>
            <w:tcW w:w="740" w:type="dxa"/>
            <w:tcBorders>
              <w:left w:val="nil"/>
              <w:right w:val="nil"/>
            </w:tcBorders>
          </w:tcPr>
          <w:p>
            <w:pPr>
              <w:pStyle w:val="TableParagraph"/>
              <w:spacing w:before="16"/>
              <w:ind w:right="67"/>
              <w:rPr>
                <w:sz w:val="8"/>
              </w:rPr>
            </w:pPr>
            <w:r>
              <w:rPr>
                <w:w w:val="105"/>
                <w:sz w:val="8"/>
              </w:rPr>
              <w:t>(248.784,98)</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(248.784,98)</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118252</w:t>
            </w:r>
          </w:p>
        </w:tc>
        <w:tc>
          <w:tcPr>
            <w:tcW w:w="2143" w:type="dxa"/>
            <w:tcBorders>
              <w:left w:val="nil"/>
              <w:right w:val="nil"/>
            </w:tcBorders>
          </w:tcPr>
          <w:p>
            <w:pPr>
              <w:pStyle w:val="TableParagraph"/>
              <w:spacing w:before="16"/>
              <w:ind w:left="16"/>
              <w:jc w:val="left"/>
              <w:rPr>
                <w:sz w:val="8"/>
              </w:rPr>
            </w:pPr>
            <w:r>
              <w:rPr>
                <w:w w:val="105"/>
                <w:sz w:val="8"/>
              </w:rPr>
              <w:t>EKATO  CORPORATION</w:t>
            </w:r>
          </w:p>
        </w:tc>
        <w:tc>
          <w:tcPr>
            <w:tcW w:w="740" w:type="dxa"/>
            <w:tcBorders>
              <w:left w:val="nil"/>
              <w:right w:val="nil"/>
            </w:tcBorders>
          </w:tcPr>
          <w:p>
            <w:pPr>
              <w:pStyle w:val="TableParagraph"/>
              <w:spacing w:before="16"/>
              <w:ind w:right="67"/>
              <w:rPr>
                <w:sz w:val="8"/>
              </w:rPr>
            </w:pPr>
            <w:r>
              <w:rPr>
                <w:w w:val="105"/>
                <w:sz w:val="8"/>
              </w:rPr>
              <w:t>(42.506,80)</w:t>
            </w:r>
          </w:p>
        </w:tc>
        <w:tc>
          <w:tcPr>
            <w:tcW w:w="562" w:type="dxa"/>
            <w:tcBorders>
              <w:left w:val="nil"/>
              <w:right w:val="nil"/>
            </w:tcBorders>
          </w:tcPr>
          <w:p>
            <w:pPr>
              <w:pStyle w:val="TableParagraph"/>
              <w:spacing w:before="16"/>
              <w:ind w:right="40"/>
              <w:rPr>
                <w:sz w:val="8"/>
              </w:rPr>
            </w:pPr>
            <w:r>
              <w:rPr>
                <w:w w:val="105"/>
                <w:sz w:val="8"/>
              </w:rPr>
              <w:t>4.128,31</w:t>
            </w: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(38.378,49)</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118573</w:t>
            </w:r>
          </w:p>
        </w:tc>
        <w:tc>
          <w:tcPr>
            <w:tcW w:w="2143" w:type="dxa"/>
            <w:tcBorders>
              <w:left w:val="nil"/>
              <w:right w:val="nil"/>
            </w:tcBorders>
          </w:tcPr>
          <w:p>
            <w:pPr>
              <w:pStyle w:val="TableParagraph"/>
              <w:spacing w:before="16"/>
              <w:ind w:left="16"/>
              <w:jc w:val="left"/>
              <w:rPr>
                <w:sz w:val="8"/>
              </w:rPr>
            </w:pPr>
            <w:r>
              <w:rPr>
                <w:w w:val="110"/>
                <w:sz w:val="8"/>
              </w:rPr>
              <w:t>BARETTI MEFE S.R.L.</w:t>
            </w:r>
          </w:p>
        </w:tc>
        <w:tc>
          <w:tcPr>
            <w:tcW w:w="740" w:type="dxa"/>
            <w:tcBorders>
              <w:left w:val="nil"/>
              <w:right w:val="nil"/>
            </w:tcBorders>
          </w:tcPr>
          <w:p>
            <w:pPr>
              <w:pStyle w:val="TableParagraph"/>
              <w:spacing w:before="16"/>
              <w:ind w:right="67"/>
              <w:rPr>
                <w:sz w:val="8"/>
              </w:rPr>
            </w:pPr>
            <w:r>
              <w:rPr>
                <w:w w:val="105"/>
                <w:sz w:val="8"/>
              </w:rPr>
              <w:t>(15.000,00)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(15.000,00)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119883</w:t>
            </w:r>
          </w:p>
        </w:tc>
        <w:tc>
          <w:tcPr>
            <w:tcW w:w="2143" w:type="dxa"/>
            <w:tcBorders>
              <w:left w:val="nil"/>
              <w:right w:val="nil"/>
            </w:tcBorders>
          </w:tcPr>
          <w:p>
            <w:pPr>
              <w:pStyle w:val="TableParagraph"/>
              <w:spacing w:before="16"/>
              <w:ind w:left="16"/>
              <w:jc w:val="left"/>
              <w:rPr>
                <w:sz w:val="8"/>
              </w:rPr>
            </w:pPr>
            <w:r>
              <w:rPr>
                <w:w w:val="110"/>
                <w:sz w:val="8"/>
              </w:rPr>
              <w:t>Bosch Rexroth S.p.A.</w:t>
            </w:r>
          </w:p>
        </w:tc>
        <w:tc>
          <w:tcPr>
            <w:tcW w:w="740" w:type="dxa"/>
            <w:tcBorders>
              <w:left w:val="nil"/>
              <w:right w:val="nil"/>
            </w:tcBorders>
          </w:tcPr>
          <w:p>
            <w:pPr>
              <w:pStyle w:val="TableParagraph"/>
              <w:spacing w:before="16"/>
              <w:ind w:right="67"/>
              <w:rPr>
                <w:sz w:val="8"/>
              </w:rPr>
            </w:pPr>
            <w:r>
              <w:rPr>
                <w:w w:val="105"/>
                <w:sz w:val="8"/>
              </w:rPr>
              <w:t>(117.739,95)</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(117.739,95)</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120174</w:t>
            </w:r>
          </w:p>
        </w:tc>
        <w:tc>
          <w:tcPr>
            <w:tcW w:w="2143" w:type="dxa"/>
            <w:tcBorders>
              <w:left w:val="nil"/>
              <w:right w:val="nil"/>
            </w:tcBorders>
          </w:tcPr>
          <w:p>
            <w:pPr>
              <w:pStyle w:val="TableParagraph"/>
              <w:spacing w:before="16"/>
              <w:ind w:left="16"/>
              <w:jc w:val="left"/>
              <w:rPr>
                <w:sz w:val="8"/>
              </w:rPr>
            </w:pPr>
            <w:r>
              <w:rPr>
                <w:w w:val="110"/>
                <w:sz w:val="8"/>
              </w:rPr>
              <w:t>SO.GE.DI DI RATTI FRANCESCO &amp; C. S.</w:t>
            </w:r>
          </w:p>
        </w:tc>
        <w:tc>
          <w:tcPr>
            <w:tcW w:w="740" w:type="dxa"/>
            <w:tcBorders>
              <w:left w:val="nil"/>
              <w:right w:val="nil"/>
            </w:tcBorders>
          </w:tcPr>
          <w:p>
            <w:pPr>
              <w:pStyle w:val="TableParagraph"/>
              <w:spacing w:before="16"/>
              <w:ind w:right="67"/>
              <w:rPr>
                <w:sz w:val="8"/>
              </w:rPr>
            </w:pPr>
            <w:r>
              <w:rPr>
                <w:w w:val="105"/>
                <w:sz w:val="8"/>
              </w:rPr>
              <w:t>(6.546,17)</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104" w:val="left" w:leader="none"/>
              </w:tabs>
              <w:spacing w:before="16"/>
              <w:ind w:left="403"/>
              <w:jc w:val="left"/>
              <w:rPr>
                <w:sz w:val="8"/>
              </w:rPr>
            </w:pPr>
            <w:r>
              <w:rPr>
                <w:w w:val="110"/>
                <w:sz w:val="8"/>
              </w:rPr>
              <w:t>412,84</w:t>
              <w:tab/>
              <w:t>(6.133,33)</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120267</w:t>
            </w:r>
          </w:p>
        </w:tc>
        <w:tc>
          <w:tcPr>
            <w:tcW w:w="2143" w:type="dxa"/>
            <w:tcBorders>
              <w:left w:val="nil"/>
              <w:right w:val="nil"/>
            </w:tcBorders>
          </w:tcPr>
          <w:p>
            <w:pPr>
              <w:pStyle w:val="TableParagraph"/>
              <w:spacing w:before="9"/>
              <w:ind w:left="16"/>
              <w:jc w:val="left"/>
              <w:rPr>
                <w:sz w:val="8"/>
              </w:rPr>
            </w:pPr>
            <w:r>
              <w:rPr>
                <w:w w:val="110"/>
                <w:sz w:val="8"/>
              </w:rPr>
              <w:t>BILFINGER WATER TECHNOLOGIES SRL</w:t>
            </w:r>
          </w:p>
        </w:tc>
        <w:tc>
          <w:tcPr>
            <w:tcW w:w="740" w:type="dxa"/>
            <w:tcBorders>
              <w:left w:val="nil"/>
              <w:right w:val="nil"/>
            </w:tcBorders>
          </w:tcPr>
          <w:p>
            <w:pPr>
              <w:pStyle w:val="TableParagraph"/>
              <w:spacing w:before="9"/>
              <w:ind w:right="67"/>
              <w:rPr>
                <w:sz w:val="8"/>
              </w:rPr>
            </w:pPr>
            <w:r>
              <w:rPr>
                <w:w w:val="105"/>
                <w:sz w:val="8"/>
              </w:rPr>
              <w:t>(50.000,00)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9"/>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(50.000,00)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120420</w:t>
            </w:r>
          </w:p>
        </w:tc>
        <w:tc>
          <w:tcPr>
            <w:tcW w:w="2143" w:type="dxa"/>
            <w:tcBorders>
              <w:left w:val="nil"/>
              <w:right w:val="nil"/>
            </w:tcBorders>
          </w:tcPr>
          <w:p>
            <w:pPr>
              <w:pStyle w:val="TableParagraph"/>
              <w:spacing w:before="16"/>
              <w:ind w:left="16"/>
              <w:jc w:val="left"/>
              <w:rPr>
                <w:sz w:val="8"/>
              </w:rPr>
            </w:pPr>
            <w:r>
              <w:rPr>
                <w:w w:val="105"/>
                <w:sz w:val="8"/>
              </w:rPr>
              <w:t>PROMATEC SPA</w:t>
            </w:r>
          </w:p>
        </w:tc>
        <w:tc>
          <w:tcPr>
            <w:tcW w:w="740" w:type="dxa"/>
            <w:tcBorders>
              <w:left w:val="nil"/>
              <w:right w:val="nil"/>
            </w:tcBorders>
          </w:tcPr>
          <w:p>
            <w:pPr>
              <w:pStyle w:val="TableParagraph"/>
              <w:spacing w:before="16"/>
              <w:ind w:right="151"/>
              <w:rPr>
                <w:sz w:val="8"/>
              </w:rPr>
            </w:pPr>
            <w:r>
              <w:rPr>
                <w:w w:val="108"/>
                <w:sz w:val="8"/>
              </w:rPr>
              <w:t>-</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304" w:val="left" w:leader="none"/>
              </w:tabs>
              <w:spacing w:before="16"/>
              <w:ind w:left="517"/>
              <w:jc w:val="left"/>
              <w:rPr>
                <w:sz w:val="8"/>
              </w:rPr>
            </w:pPr>
            <w:r>
              <w:rPr>
                <w:w w:val="110"/>
                <w:sz w:val="8"/>
              </w:rPr>
              <w:t>-</w:t>
              <w:tab/>
              <w:t>-</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120710</w:t>
            </w:r>
          </w:p>
        </w:tc>
        <w:tc>
          <w:tcPr>
            <w:tcW w:w="2143" w:type="dxa"/>
            <w:tcBorders>
              <w:left w:val="nil"/>
              <w:right w:val="nil"/>
            </w:tcBorders>
          </w:tcPr>
          <w:p>
            <w:pPr>
              <w:pStyle w:val="TableParagraph"/>
              <w:spacing w:before="16"/>
              <w:ind w:left="16"/>
              <w:jc w:val="left"/>
              <w:rPr>
                <w:sz w:val="8"/>
              </w:rPr>
            </w:pPr>
            <w:r>
              <w:rPr>
                <w:w w:val="110"/>
                <w:sz w:val="8"/>
              </w:rPr>
              <w:t>VIDA SRL</w:t>
            </w:r>
          </w:p>
        </w:tc>
        <w:tc>
          <w:tcPr>
            <w:tcW w:w="740" w:type="dxa"/>
            <w:tcBorders>
              <w:left w:val="nil"/>
              <w:right w:val="nil"/>
            </w:tcBorders>
          </w:tcPr>
          <w:p>
            <w:pPr>
              <w:pStyle w:val="TableParagraph"/>
              <w:spacing w:before="16"/>
              <w:ind w:right="67"/>
              <w:rPr>
                <w:sz w:val="8"/>
              </w:rPr>
            </w:pPr>
            <w:r>
              <w:rPr>
                <w:w w:val="105"/>
                <w:sz w:val="8"/>
              </w:rPr>
              <w:t>(5.259,91)</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(5.259,91)</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120839</w:t>
            </w:r>
          </w:p>
        </w:tc>
        <w:tc>
          <w:tcPr>
            <w:tcW w:w="2143" w:type="dxa"/>
            <w:tcBorders>
              <w:left w:val="nil"/>
              <w:right w:val="nil"/>
            </w:tcBorders>
          </w:tcPr>
          <w:p>
            <w:pPr>
              <w:pStyle w:val="TableParagraph"/>
              <w:spacing w:before="16"/>
              <w:ind w:left="16"/>
              <w:jc w:val="left"/>
              <w:rPr>
                <w:sz w:val="8"/>
              </w:rPr>
            </w:pPr>
            <w:r>
              <w:rPr>
                <w:w w:val="110"/>
                <w:sz w:val="8"/>
              </w:rPr>
              <w:t>BOTTI &amp; FERRARI S.R.L.</w:t>
            </w:r>
          </w:p>
        </w:tc>
        <w:tc>
          <w:tcPr>
            <w:tcW w:w="740" w:type="dxa"/>
            <w:tcBorders>
              <w:left w:val="nil"/>
              <w:right w:val="nil"/>
            </w:tcBorders>
          </w:tcPr>
          <w:p>
            <w:pPr>
              <w:pStyle w:val="TableParagraph"/>
              <w:spacing w:before="16"/>
              <w:ind w:right="67"/>
              <w:rPr>
                <w:sz w:val="8"/>
              </w:rPr>
            </w:pPr>
            <w:r>
              <w:rPr>
                <w:w w:val="105"/>
                <w:sz w:val="8"/>
              </w:rPr>
              <w:t>(98.185,80)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(98.185,80)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121040</w:t>
            </w:r>
          </w:p>
        </w:tc>
        <w:tc>
          <w:tcPr>
            <w:tcW w:w="2143" w:type="dxa"/>
            <w:tcBorders>
              <w:left w:val="nil"/>
              <w:right w:val="nil"/>
            </w:tcBorders>
          </w:tcPr>
          <w:p>
            <w:pPr>
              <w:pStyle w:val="TableParagraph"/>
              <w:spacing w:before="16"/>
              <w:ind w:left="16"/>
              <w:jc w:val="left"/>
              <w:rPr>
                <w:sz w:val="8"/>
              </w:rPr>
            </w:pPr>
            <w:r>
              <w:rPr>
                <w:w w:val="110"/>
                <w:sz w:val="8"/>
              </w:rPr>
              <w:t>ISTITUTI DI VIGILANZA RIUNITI D'ITA</w:t>
            </w:r>
          </w:p>
        </w:tc>
        <w:tc>
          <w:tcPr>
            <w:tcW w:w="740" w:type="dxa"/>
            <w:tcBorders>
              <w:left w:val="nil"/>
              <w:right w:val="nil"/>
            </w:tcBorders>
          </w:tcPr>
          <w:p>
            <w:pPr>
              <w:pStyle w:val="TableParagraph"/>
              <w:spacing w:before="16"/>
              <w:ind w:right="67"/>
              <w:rPr>
                <w:sz w:val="8"/>
              </w:rPr>
            </w:pPr>
            <w:r>
              <w:rPr>
                <w:w w:val="105"/>
                <w:sz w:val="8"/>
              </w:rPr>
              <w:t>(20.565,54)</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(20.565,54)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121072</w:t>
            </w:r>
          </w:p>
        </w:tc>
        <w:tc>
          <w:tcPr>
            <w:tcW w:w="2143" w:type="dxa"/>
            <w:tcBorders>
              <w:left w:val="nil"/>
              <w:right w:val="nil"/>
            </w:tcBorders>
          </w:tcPr>
          <w:p>
            <w:pPr>
              <w:pStyle w:val="TableParagraph"/>
              <w:spacing w:before="16"/>
              <w:ind w:left="16"/>
              <w:jc w:val="left"/>
              <w:rPr>
                <w:sz w:val="8"/>
              </w:rPr>
            </w:pPr>
            <w:r>
              <w:rPr>
                <w:w w:val="110"/>
                <w:sz w:val="8"/>
              </w:rPr>
              <w:t>BEIJING CENTOP AUTOMATIC EQUIP. CO.</w:t>
            </w:r>
          </w:p>
        </w:tc>
        <w:tc>
          <w:tcPr>
            <w:tcW w:w="740" w:type="dxa"/>
            <w:tcBorders>
              <w:left w:val="nil"/>
              <w:right w:val="nil"/>
            </w:tcBorders>
          </w:tcPr>
          <w:p>
            <w:pPr>
              <w:pStyle w:val="TableParagraph"/>
              <w:spacing w:before="16"/>
              <w:ind w:right="67"/>
              <w:rPr>
                <w:sz w:val="8"/>
              </w:rPr>
            </w:pPr>
            <w:r>
              <w:rPr>
                <w:w w:val="105"/>
                <w:sz w:val="8"/>
              </w:rPr>
              <w:t>(6.901,62)</w:t>
            </w:r>
          </w:p>
        </w:tc>
        <w:tc>
          <w:tcPr>
            <w:tcW w:w="562" w:type="dxa"/>
            <w:tcBorders>
              <w:left w:val="nil"/>
              <w:right w:val="nil"/>
            </w:tcBorders>
          </w:tcPr>
          <w:p>
            <w:pPr>
              <w:pStyle w:val="TableParagraph"/>
              <w:spacing w:before="16"/>
              <w:ind w:right="16"/>
              <w:rPr>
                <w:sz w:val="8"/>
              </w:rPr>
            </w:pPr>
            <w:r>
              <w:rPr>
                <w:w w:val="105"/>
                <w:sz w:val="8"/>
              </w:rPr>
              <w:t>(1.057,74)</w:t>
            </w: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(7.959,36)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121105</w:t>
            </w:r>
          </w:p>
        </w:tc>
        <w:tc>
          <w:tcPr>
            <w:tcW w:w="2143" w:type="dxa"/>
            <w:tcBorders>
              <w:left w:val="nil"/>
              <w:right w:val="nil"/>
            </w:tcBorders>
          </w:tcPr>
          <w:p>
            <w:pPr>
              <w:pStyle w:val="TableParagraph"/>
              <w:spacing w:before="16"/>
              <w:ind w:left="16"/>
              <w:jc w:val="left"/>
              <w:rPr>
                <w:sz w:val="8"/>
              </w:rPr>
            </w:pPr>
            <w:r>
              <w:rPr>
                <w:w w:val="110"/>
                <w:sz w:val="8"/>
              </w:rPr>
              <w:t>SMART GREEN SRL</w:t>
            </w:r>
          </w:p>
        </w:tc>
        <w:tc>
          <w:tcPr>
            <w:tcW w:w="740" w:type="dxa"/>
            <w:tcBorders>
              <w:left w:val="nil"/>
              <w:right w:val="nil"/>
            </w:tcBorders>
          </w:tcPr>
          <w:p>
            <w:pPr>
              <w:pStyle w:val="TableParagraph"/>
              <w:spacing w:before="16"/>
              <w:ind w:right="67"/>
              <w:rPr>
                <w:sz w:val="8"/>
              </w:rPr>
            </w:pPr>
            <w:r>
              <w:rPr>
                <w:w w:val="105"/>
                <w:sz w:val="8"/>
              </w:rPr>
              <w:t>(36.600,00)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(36.600,00)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121525</w:t>
            </w:r>
          </w:p>
        </w:tc>
        <w:tc>
          <w:tcPr>
            <w:tcW w:w="2143" w:type="dxa"/>
            <w:tcBorders>
              <w:left w:val="nil"/>
              <w:right w:val="nil"/>
            </w:tcBorders>
          </w:tcPr>
          <w:p>
            <w:pPr>
              <w:pStyle w:val="TableParagraph"/>
              <w:spacing w:before="16"/>
              <w:ind w:left="16"/>
              <w:jc w:val="left"/>
              <w:rPr>
                <w:sz w:val="8"/>
              </w:rPr>
            </w:pPr>
            <w:r>
              <w:rPr>
                <w:w w:val="105"/>
                <w:sz w:val="8"/>
              </w:rPr>
              <w:t>Sulcis Legnami</w:t>
            </w:r>
          </w:p>
        </w:tc>
        <w:tc>
          <w:tcPr>
            <w:tcW w:w="740" w:type="dxa"/>
            <w:tcBorders>
              <w:left w:val="nil"/>
              <w:right w:val="nil"/>
            </w:tcBorders>
          </w:tcPr>
          <w:p>
            <w:pPr>
              <w:pStyle w:val="TableParagraph"/>
              <w:spacing w:before="16"/>
              <w:ind w:right="67"/>
              <w:rPr>
                <w:sz w:val="8"/>
              </w:rPr>
            </w:pPr>
            <w:r>
              <w:rPr>
                <w:w w:val="105"/>
                <w:sz w:val="8"/>
              </w:rPr>
              <w:t>(5.709,60)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(5.709,60)</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121601</w:t>
            </w:r>
          </w:p>
        </w:tc>
        <w:tc>
          <w:tcPr>
            <w:tcW w:w="2143" w:type="dxa"/>
            <w:tcBorders>
              <w:left w:val="nil"/>
              <w:right w:val="nil"/>
            </w:tcBorders>
          </w:tcPr>
          <w:p>
            <w:pPr>
              <w:pStyle w:val="TableParagraph"/>
              <w:spacing w:before="9"/>
              <w:ind w:left="16"/>
              <w:jc w:val="left"/>
              <w:rPr>
                <w:sz w:val="8"/>
              </w:rPr>
            </w:pPr>
            <w:r>
              <w:rPr>
                <w:w w:val="110"/>
                <w:sz w:val="8"/>
              </w:rPr>
              <w:t>VELOSI PSC SRL</w:t>
            </w:r>
          </w:p>
        </w:tc>
        <w:tc>
          <w:tcPr>
            <w:tcW w:w="740" w:type="dxa"/>
            <w:tcBorders>
              <w:left w:val="nil"/>
              <w:right w:val="nil"/>
            </w:tcBorders>
          </w:tcPr>
          <w:p>
            <w:pPr>
              <w:pStyle w:val="TableParagraph"/>
              <w:spacing w:before="9"/>
              <w:ind w:right="67"/>
              <w:rPr>
                <w:sz w:val="8"/>
              </w:rPr>
            </w:pPr>
            <w:r>
              <w:rPr>
                <w:w w:val="105"/>
                <w:sz w:val="8"/>
              </w:rPr>
              <w:t>(12.360,31)</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9"/>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(12.360,31)</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121856</w:t>
            </w:r>
          </w:p>
        </w:tc>
        <w:tc>
          <w:tcPr>
            <w:tcW w:w="2143" w:type="dxa"/>
            <w:tcBorders>
              <w:left w:val="nil"/>
              <w:right w:val="nil"/>
            </w:tcBorders>
          </w:tcPr>
          <w:p>
            <w:pPr>
              <w:pStyle w:val="TableParagraph"/>
              <w:spacing w:before="16"/>
              <w:ind w:left="16"/>
              <w:jc w:val="left"/>
              <w:rPr>
                <w:sz w:val="8"/>
              </w:rPr>
            </w:pPr>
            <w:r>
              <w:rPr>
                <w:w w:val="110"/>
                <w:sz w:val="8"/>
              </w:rPr>
              <w:t>MO.TRI.DAL SPA</w:t>
            </w:r>
          </w:p>
        </w:tc>
        <w:tc>
          <w:tcPr>
            <w:tcW w:w="740" w:type="dxa"/>
            <w:tcBorders>
              <w:left w:val="nil"/>
              <w:right w:val="nil"/>
            </w:tcBorders>
          </w:tcPr>
          <w:p>
            <w:pPr>
              <w:pStyle w:val="TableParagraph"/>
              <w:spacing w:before="16"/>
              <w:ind w:right="67"/>
              <w:rPr>
                <w:sz w:val="8"/>
              </w:rPr>
            </w:pPr>
            <w:r>
              <w:rPr>
                <w:w w:val="105"/>
                <w:sz w:val="8"/>
              </w:rPr>
              <w:t>(200.380,00)</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(200.380,00)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122229</w:t>
            </w:r>
          </w:p>
        </w:tc>
        <w:tc>
          <w:tcPr>
            <w:tcW w:w="2143" w:type="dxa"/>
            <w:tcBorders>
              <w:left w:val="nil"/>
              <w:right w:val="nil"/>
            </w:tcBorders>
          </w:tcPr>
          <w:p>
            <w:pPr>
              <w:pStyle w:val="TableParagraph"/>
              <w:spacing w:before="16"/>
              <w:ind w:left="16"/>
              <w:jc w:val="left"/>
              <w:rPr>
                <w:sz w:val="8"/>
              </w:rPr>
            </w:pPr>
            <w:r>
              <w:rPr>
                <w:w w:val="110"/>
                <w:sz w:val="8"/>
              </w:rPr>
              <w:t>LAMEC-NUOVA C.M.C. GROUP SRL</w:t>
            </w:r>
          </w:p>
        </w:tc>
        <w:tc>
          <w:tcPr>
            <w:tcW w:w="740" w:type="dxa"/>
            <w:tcBorders>
              <w:left w:val="nil"/>
              <w:right w:val="nil"/>
            </w:tcBorders>
          </w:tcPr>
          <w:p>
            <w:pPr>
              <w:pStyle w:val="TableParagraph"/>
              <w:spacing w:before="16"/>
              <w:ind w:right="67"/>
              <w:rPr>
                <w:sz w:val="8"/>
              </w:rPr>
            </w:pPr>
            <w:r>
              <w:rPr>
                <w:w w:val="105"/>
                <w:sz w:val="8"/>
              </w:rPr>
              <w:t>(87.117,50)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(87.117,50)</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122287</w:t>
            </w:r>
          </w:p>
        </w:tc>
        <w:tc>
          <w:tcPr>
            <w:tcW w:w="2143" w:type="dxa"/>
            <w:tcBorders>
              <w:left w:val="nil"/>
              <w:right w:val="nil"/>
            </w:tcBorders>
          </w:tcPr>
          <w:p>
            <w:pPr>
              <w:pStyle w:val="TableParagraph"/>
              <w:spacing w:before="9"/>
              <w:ind w:left="16"/>
              <w:jc w:val="left"/>
              <w:rPr>
                <w:sz w:val="8"/>
              </w:rPr>
            </w:pPr>
            <w:r>
              <w:rPr>
                <w:w w:val="110"/>
                <w:sz w:val="8"/>
              </w:rPr>
              <w:t>ENTSORGA ITALIA SPA</w:t>
            </w:r>
          </w:p>
        </w:tc>
        <w:tc>
          <w:tcPr>
            <w:tcW w:w="740" w:type="dxa"/>
            <w:tcBorders>
              <w:left w:val="nil"/>
              <w:right w:val="nil"/>
            </w:tcBorders>
          </w:tcPr>
          <w:p>
            <w:pPr>
              <w:pStyle w:val="TableParagraph"/>
              <w:spacing w:before="9"/>
              <w:ind w:right="67"/>
              <w:rPr>
                <w:sz w:val="8"/>
              </w:rPr>
            </w:pPr>
            <w:r>
              <w:rPr>
                <w:w w:val="105"/>
                <w:sz w:val="8"/>
              </w:rPr>
              <w:t>(1.185.515,26)</w:t>
            </w:r>
          </w:p>
        </w:tc>
        <w:tc>
          <w:tcPr>
            <w:tcW w:w="562" w:type="dxa"/>
            <w:tcBorders>
              <w:left w:val="nil"/>
              <w:right w:val="nil"/>
            </w:tcBorders>
          </w:tcPr>
          <w:p>
            <w:pPr>
              <w:pStyle w:val="TableParagraph"/>
              <w:spacing w:before="16"/>
              <w:ind w:right="41"/>
              <w:rPr>
                <w:sz w:val="8"/>
              </w:rPr>
            </w:pPr>
            <w:r>
              <w:rPr>
                <w:w w:val="105"/>
                <w:sz w:val="8"/>
              </w:rPr>
              <w:t>95.002,55</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9"/>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964" w:val="left" w:leader="none"/>
              </w:tabs>
              <w:spacing w:before="6"/>
              <w:ind w:left="517"/>
              <w:jc w:val="left"/>
              <w:rPr>
                <w:sz w:val="8"/>
              </w:rPr>
            </w:pPr>
            <w:r>
              <w:rPr>
                <w:w w:val="110"/>
                <w:position w:val="1"/>
                <w:sz w:val="8"/>
              </w:rPr>
              <w:t>-</w:t>
              <w:tab/>
            </w:r>
            <w:r>
              <w:rPr>
                <w:w w:val="110"/>
                <w:sz w:val="8"/>
              </w:rPr>
              <w:t>(1.090.512,71)</w:t>
            </w:r>
          </w:p>
        </w:tc>
      </w:tr>
      <w:tr>
        <w:trPr>
          <w:trHeight w:val="115" w:hRule="exact"/>
        </w:trPr>
        <w:tc>
          <w:tcPr>
            <w:tcW w:w="441" w:type="dxa"/>
            <w:tcBorders>
              <w:left w:val="single" w:sz="3" w:space="0" w:color="000000"/>
              <w:right w:val="nil"/>
            </w:tcBorders>
          </w:tcPr>
          <w:p>
            <w:pPr>
              <w:pStyle w:val="TableParagraph"/>
              <w:spacing w:before="10"/>
              <w:ind w:left="13"/>
              <w:jc w:val="left"/>
              <w:rPr>
                <w:sz w:val="8"/>
              </w:rPr>
            </w:pPr>
            <w:r>
              <w:rPr>
                <w:w w:val="110"/>
                <w:sz w:val="8"/>
              </w:rPr>
              <w:t>122616</w:t>
            </w:r>
          </w:p>
        </w:tc>
        <w:tc>
          <w:tcPr>
            <w:tcW w:w="2143" w:type="dxa"/>
            <w:tcBorders>
              <w:left w:val="nil"/>
              <w:right w:val="nil"/>
            </w:tcBorders>
          </w:tcPr>
          <w:p>
            <w:pPr>
              <w:pStyle w:val="TableParagraph"/>
              <w:spacing w:before="10"/>
              <w:ind w:left="16"/>
              <w:jc w:val="left"/>
              <w:rPr>
                <w:sz w:val="8"/>
              </w:rPr>
            </w:pPr>
            <w:r>
              <w:rPr>
                <w:w w:val="110"/>
                <w:sz w:val="8"/>
              </w:rPr>
              <w:t>TECNO GROUP S.R.L.</w:t>
            </w:r>
          </w:p>
        </w:tc>
        <w:tc>
          <w:tcPr>
            <w:tcW w:w="740" w:type="dxa"/>
            <w:tcBorders>
              <w:left w:val="nil"/>
              <w:right w:val="nil"/>
            </w:tcBorders>
          </w:tcPr>
          <w:p>
            <w:pPr>
              <w:pStyle w:val="TableParagraph"/>
              <w:spacing w:before="10"/>
              <w:ind w:right="67"/>
              <w:rPr>
                <w:sz w:val="8"/>
              </w:rPr>
            </w:pPr>
            <w:r>
              <w:rPr>
                <w:w w:val="105"/>
                <w:sz w:val="8"/>
              </w:rPr>
              <w:t>(467.582,00)</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0"/>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(467.582,00)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122660</w:t>
            </w:r>
          </w:p>
        </w:tc>
        <w:tc>
          <w:tcPr>
            <w:tcW w:w="2143" w:type="dxa"/>
            <w:tcBorders>
              <w:left w:val="nil"/>
              <w:right w:val="nil"/>
            </w:tcBorders>
          </w:tcPr>
          <w:p>
            <w:pPr>
              <w:pStyle w:val="TableParagraph"/>
              <w:spacing w:before="16"/>
              <w:ind w:left="16"/>
              <w:jc w:val="left"/>
              <w:rPr>
                <w:sz w:val="8"/>
              </w:rPr>
            </w:pPr>
            <w:r>
              <w:rPr>
                <w:w w:val="110"/>
                <w:sz w:val="8"/>
              </w:rPr>
              <w:t>UNIGROUP WORLDWIDE</w:t>
            </w:r>
          </w:p>
        </w:tc>
        <w:tc>
          <w:tcPr>
            <w:tcW w:w="740" w:type="dxa"/>
            <w:tcBorders>
              <w:left w:val="nil"/>
              <w:right w:val="nil"/>
            </w:tcBorders>
          </w:tcPr>
          <w:p>
            <w:pPr>
              <w:pStyle w:val="TableParagraph"/>
              <w:spacing w:before="16"/>
              <w:ind w:right="67"/>
              <w:rPr>
                <w:sz w:val="8"/>
              </w:rPr>
            </w:pPr>
            <w:r>
              <w:rPr>
                <w:w w:val="105"/>
                <w:sz w:val="8"/>
              </w:rPr>
              <w:t>(17.100,13)</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(17.100,13)</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123358</w:t>
            </w:r>
          </w:p>
        </w:tc>
        <w:tc>
          <w:tcPr>
            <w:tcW w:w="2143" w:type="dxa"/>
            <w:tcBorders>
              <w:left w:val="nil"/>
              <w:right w:val="nil"/>
            </w:tcBorders>
          </w:tcPr>
          <w:p>
            <w:pPr>
              <w:pStyle w:val="TableParagraph"/>
              <w:spacing w:before="16"/>
              <w:ind w:left="16"/>
              <w:jc w:val="left"/>
              <w:rPr>
                <w:sz w:val="8"/>
              </w:rPr>
            </w:pPr>
            <w:r>
              <w:rPr>
                <w:w w:val="110"/>
                <w:sz w:val="8"/>
              </w:rPr>
              <w:t>ATLANTECH DISTRIBUTION INC</w:t>
            </w:r>
          </w:p>
        </w:tc>
        <w:tc>
          <w:tcPr>
            <w:tcW w:w="740" w:type="dxa"/>
            <w:tcBorders>
              <w:left w:val="nil"/>
              <w:right w:val="nil"/>
            </w:tcBorders>
          </w:tcPr>
          <w:p>
            <w:pPr>
              <w:pStyle w:val="TableParagraph"/>
              <w:spacing w:before="16"/>
              <w:ind w:right="67"/>
              <w:rPr>
                <w:sz w:val="8"/>
              </w:rPr>
            </w:pPr>
            <w:r>
              <w:rPr>
                <w:w w:val="105"/>
                <w:sz w:val="8"/>
              </w:rPr>
              <w:t>(7.340,63)</w:t>
            </w:r>
          </w:p>
        </w:tc>
        <w:tc>
          <w:tcPr>
            <w:tcW w:w="562" w:type="dxa"/>
            <w:tcBorders>
              <w:left w:val="nil"/>
              <w:right w:val="nil"/>
            </w:tcBorders>
          </w:tcPr>
          <w:p>
            <w:pPr>
              <w:pStyle w:val="TableParagraph"/>
              <w:spacing w:before="16"/>
              <w:ind w:right="40"/>
              <w:rPr>
                <w:sz w:val="8"/>
              </w:rPr>
            </w:pPr>
            <w:r>
              <w:rPr>
                <w:w w:val="105"/>
                <w:sz w:val="8"/>
              </w:rPr>
              <w:t>533,63</w:t>
            </w: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(6.807,00)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123845</w:t>
            </w:r>
          </w:p>
        </w:tc>
        <w:tc>
          <w:tcPr>
            <w:tcW w:w="2143" w:type="dxa"/>
            <w:tcBorders>
              <w:left w:val="nil"/>
              <w:right w:val="nil"/>
            </w:tcBorders>
          </w:tcPr>
          <w:p>
            <w:pPr>
              <w:pStyle w:val="TableParagraph"/>
              <w:spacing w:before="16"/>
              <w:ind w:left="16"/>
              <w:jc w:val="left"/>
              <w:rPr>
                <w:sz w:val="8"/>
              </w:rPr>
            </w:pPr>
            <w:r>
              <w:rPr>
                <w:w w:val="110"/>
                <w:sz w:val="8"/>
              </w:rPr>
              <w:t>UEXKULL &amp; STOLBERG PATENTANWALTE</w:t>
            </w:r>
          </w:p>
        </w:tc>
        <w:tc>
          <w:tcPr>
            <w:tcW w:w="740" w:type="dxa"/>
            <w:tcBorders>
              <w:left w:val="nil"/>
              <w:right w:val="nil"/>
            </w:tcBorders>
          </w:tcPr>
          <w:p>
            <w:pPr>
              <w:pStyle w:val="TableParagraph"/>
              <w:spacing w:before="16"/>
              <w:ind w:right="67"/>
              <w:rPr>
                <w:sz w:val="8"/>
              </w:rPr>
            </w:pPr>
            <w:r>
              <w:rPr>
                <w:w w:val="105"/>
                <w:sz w:val="8"/>
              </w:rPr>
              <w:t>(46.349,00)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(46.349,00)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123988</w:t>
            </w:r>
          </w:p>
        </w:tc>
        <w:tc>
          <w:tcPr>
            <w:tcW w:w="2143" w:type="dxa"/>
            <w:tcBorders>
              <w:left w:val="nil"/>
              <w:right w:val="nil"/>
            </w:tcBorders>
          </w:tcPr>
          <w:p>
            <w:pPr>
              <w:pStyle w:val="TableParagraph"/>
              <w:spacing w:before="16"/>
              <w:ind w:left="16"/>
              <w:jc w:val="left"/>
              <w:rPr>
                <w:sz w:val="8"/>
              </w:rPr>
            </w:pPr>
            <w:r>
              <w:rPr>
                <w:w w:val="110"/>
                <w:sz w:val="8"/>
              </w:rPr>
              <w:t>NV PNO INNOVATION</w:t>
            </w:r>
          </w:p>
        </w:tc>
        <w:tc>
          <w:tcPr>
            <w:tcW w:w="740" w:type="dxa"/>
            <w:tcBorders>
              <w:left w:val="nil"/>
              <w:right w:val="nil"/>
            </w:tcBorders>
          </w:tcPr>
          <w:p>
            <w:pPr>
              <w:pStyle w:val="TableParagraph"/>
              <w:spacing w:before="16"/>
              <w:ind w:right="67"/>
              <w:rPr>
                <w:sz w:val="8"/>
              </w:rPr>
            </w:pPr>
            <w:r>
              <w:rPr>
                <w:w w:val="105"/>
                <w:sz w:val="8"/>
              </w:rPr>
              <w:t>(27.065,58)</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(27.065,58)</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124213</w:t>
            </w:r>
          </w:p>
        </w:tc>
        <w:tc>
          <w:tcPr>
            <w:tcW w:w="2143" w:type="dxa"/>
            <w:tcBorders>
              <w:left w:val="nil"/>
              <w:right w:val="nil"/>
            </w:tcBorders>
          </w:tcPr>
          <w:p>
            <w:pPr>
              <w:pStyle w:val="TableParagraph"/>
              <w:spacing w:before="16"/>
              <w:ind w:left="16"/>
              <w:jc w:val="left"/>
              <w:rPr>
                <w:sz w:val="8"/>
              </w:rPr>
            </w:pPr>
            <w:r>
              <w:rPr>
                <w:w w:val="110"/>
                <w:sz w:val="8"/>
              </w:rPr>
              <w:t>SIMECOM SRL</w:t>
            </w:r>
          </w:p>
        </w:tc>
        <w:tc>
          <w:tcPr>
            <w:tcW w:w="740" w:type="dxa"/>
            <w:tcBorders>
              <w:left w:val="nil"/>
              <w:right w:val="nil"/>
            </w:tcBorders>
          </w:tcPr>
          <w:p>
            <w:pPr>
              <w:pStyle w:val="TableParagraph"/>
              <w:spacing w:before="16"/>
              <w:ind w:right="67"/>
              <w:rPr>
                <w:sz w:val="8"/>
              </w:rPr>
            </w:pPr>
            <w:r>
              <w:rPr>
                <w:w w:val="105"/>
                <w:sz w:val="8"/>
              </w:rPr>
              <w:t>(6.666,04)</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(6.666,04)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124264</w:t>
            </w:r>
          </w:p>
        </w:tc>
        <w:tc>
          <w:tcPr>
            <w:tcW w:w="2143" w:type="dxa"/>
            <w:tcBorders>
              <w:left w:val="nil"/>
              <w:right w:val="nil"/>
            </w:tcBorders>
          </w:tcPr>
          <w:p>
            <w:pPr>
              <w:pStyle w:val="TableParagraph"/>
              <w:spacing w:before="16"/>
              <w:ind w:left="16"/>
              <w:jc w:val="left"/>
              <w:rPr>
                <w:sz w:val="8"/>
              </w:rPr>
            </w:pPr>
            <w:r>
              <w:rPr>
                <w:w w:val="110"/>
                <w:sz w:val="8"/>
              </w:rPr>
              <w:t>ENTSORGA FIN SPA</w:t>
            </w:r>
          </w:p>
        </w:tc>
        <w:tc>
          <w:tcPr>
            <w:tcW w:w="740" w:type="dxa"/>
            <w:tcBorders>
              <w:left w:val="nil"/>
              <w:right w:val="nil"/>
            </w:tcBorders>
          </w:tcPr>
          <w:p>
            <w:pPr>
              <w:pStyle w:val="TableParagraph"/>
              <w:spacing w:before="16"/>
              <w:ind w:right="67"/>
              <w:rPr>
                <w:sz w:val="8"/>
              </w:rPr>
            </w:pPr>
            <w:r>
              <w:rPr>
                <w:w w:val="105"/>
                <w:sz w:val="8"/>
              </w:rPr>
              <w:t>(156.729,23)</w:t>
            </w:r>
          </w:p>
        </w:tc>
        <w:tc>
          <w:tcPr>
            <w:tcW w:w="562" w:type="dxa"/>
            <w:tcBorders>
              <w:left w:val="nil"/>
              <w:right w:val="nil"/>
            </w:tcBorders>
          </w:tcPr>
          <w:p>
            <w:pPr>
              <w:pStyle w:val="TableParagraph"/>
              <w:spacing w:before="16"/>
              <w:ind w:right="41"/>
              <w:rPr>
                <w:sz w:val="8"/>
              </w:rPr>
            </w:pPr>
            <w:r>
              <w:rPr>
                <w:w w:val="105"/>
                <w:sz w:val="8"/>
              </w:rPr>
              <w:t>14.969,57</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(141.759,66)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124392</w:t>
            </w:r>
          </w:p>
        </w:tc>
        <w:tc>
          <w:tcPr>
            <w:tcW w:w="2143" w:type="dxa"/>
            <w:tcBorders>
              <w:left w:val="nil"/>
              <w:right w:val="nil"/>
            </w:tcBorders>
          </w:tcPr>
          <w:p>
            <w:pPr>
              <w:pStyle w:val="TableParagraph"/>
              <w:spacing w:before="16"/>
              <w:ind w:left="16"/>
              <w:jc w:val="left"/>
              <w:rPr>
                <w:sz w:val="8"/>
              </w:rPr>
            </w:pPr>
            <w:r>
              <w:rPr>
                <w:w w:val="105"/>
                <w:sz w:val="8"/>
              </w:rPr>
              <w:t>TRANSPERFECT  TRANSLATION LTD</w:t>
            </w:r>
          </w:p>
        </w:tc>
        <w:tc>
          <w:tcPr>
            <w:tcW w:w="740" w:type="dxa"/>
            <w:tcBorders>
              <w:left w:val="nil"/>
              <w:right w:val="nil"/>
            </w:tcBorders>
          </w:tcPr>
          <w:p>
            <w:pPr>
              <w:pStyle w:val="TableParagraph"/>
              <w:spacing w:before="16"/>
              <w:ind w:right="67"/>
              <w:rPr>
                <w:sz w:val="8"/>
              </w:rPr>
            </w:pPr>
            <w:r>
              <w:rPr>
                <w:w w:val="105"/>
                <w:sz w:val="8"/>
              </w:rPr>
              <w:t>(7.179,65)</w:t>
            </w:r>
          </w:p>
        </w:tc>
        <w:tc>
          <w:tcPr>
            <w:tcW w:w="562" w:type="dxa"/>
            <w:tcBorders>
              <w:left w:val="nil"/>
              <w:right w:val="nil"/>
            </w:tcBorders>
          </w:tcPr>
          <w:p>
            <w:pPr>
              <w:pStyle w:val="TableParagraph"/>
              <w:spacing w:before="16"/>
              <w:ind w:right="40"/>
              <w:rPr>
                <w:sz w:val="8"/>
              </w:rPr>
            </w:pPr>
            <w:r>
              <w:rPr>
                <w:w w:val="105"/>
                <w:sz w:val="8"/>
              </w:rPr>
              <w:t>85,84</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(7.093,81)</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124402</w:t>
            </w:r>
          </w:p>
        </w:tc>
        <w:tc>
          <w:tcPr>
            <w:tcW w:w="2143" w:type="dxa"/>
            <w:tcBorders>
              <w:left w:val="nil"/>
              <w:right w:val="nil"/>
            </w:tcBorders>
          </w:tcPr>
          <w:p>
            <w:pPr>
              <w:pStyle w:val="TableParagraph"/>
              <w:spacing w:before="9"/>
              <w:ind w:left="16"/>
              <w:jc w:val="left"/>
              <w:rPr>
                <w:sz w:val="8"/>
              </w:rPr>
            </w:pPr>
            <w:r>
              <w:rPr>
                <w:w w:val="105"/>
                <w:sz w:val="8"/>
              </w:rPr>
              <w:t>LEMARTEC  CORPORATION</w:t>
            </w:r>
          </w:p>
        </w:tc>
        <w:tc>
          <w:tcPr>
            <w:tcW w:w="740" w:type="dxa"/>
            <w:tcBorders>
              <w:left w:val="nil"/>
              <w:right w:val="nil"/>
            </w:tcBorders>
          </w:tcPr>
          <w:p>
            <w:pPr>
              <w:pStyle w:val="TableParagraph"/>
              <w:spacing w:before="9"/>
              <w:ind w:right="67"/>
              <w:rPr>
                <w:sz w:val="8"/>
              </w:rPr>
            </w:pPr>
            <w:r>
              <w:rPr>
                <w:w w:val="105"/>
                <w:sz w:val="8"/>
              </w:rPr>
              <w:t>(820.993,83)</w:t>
            </w:r>
          </w:p>
        </w:tc>
        <w:tc>
          <w:tcPr>
            <w:tcW w:w="562" w:type="dxa"/>
            <w:tcBorders>
              <w:left w:val="nil"/>
              <w:right w:val="nil"/>
            </w:tcBorders>
          </w:tcPr>
          <w:p>
            <w:pPr>
              <w:pStyle w:val="TableParagraph"/>
              <w:spacing w:before="16"/>
              <w:ind w:right="41"/>
              <w:rPr>
                <w:sz w:val="8"/>
              </w:rPr>
            </w:pPr>
            <w:r>
              <w:rPr>
                <w:w w:val="105"/>
                <w:sz w:val="8"/>
              </w:rPr>
              <w:t>40.595,03</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9"/>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(780.398,80)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124419</w:t>
            </w:r>
          </w:p>
        </w:tc>
        <w:tc>
          <w:tcPr>
            <w:tcW w:w="2143" w:type="dxa"/>
            <w:tcBorders>
              <w:left w:val="nil"/>
              <w:right w:val="nil"/>
            </w:tcBorders>
          </w:tcPr>
          <w:p>
            <w:pPr>
              <w:pStyle w:val="TableParagraph"/>
              <w:spacing w:before="16"/>
              <w:ind w:left="16"/>
              <w:jc w:val="left"/>
              <w:rPr>
                <w:sz w:val="8"/>
              </w:rPr>
            </w:pPr>
            <w:r>
              <w:rPr>
                <w:w w:val="110"/>
                <w:sz w:val="8"/>
              </w:rPr>
              <w:t>SOC.SEMP. AGR. SCHIAVO DEI F.LLI SC</w:t>
            </w:r>
          </w:p>
        </w:tc>
        <w:tc>
          <w:tcPr>
            <w:tcW w:w="740" w:type="dxa"/>
            <w:tcBorders>
              <w:left w:val="nil"/>
              <w:right w:val="nil"/>
            </w:tcBorders>
          </w:tcPr>
          <w:p>
            <w:pPr>
              <w:pStyle w:val="TableParagraph"/>
              <w:spacing w:before="16"/>
              <w:ind w:right="67"/>
              <w:rPr>
                <w:sz w:val="8"/>
              </w:rPr>
            </w:pPr>
            <w:r>
              <w:rPr>
                <w:w w:val="105"/>
                <w:sz w:val="8"/>
              </w:rPr>
              <w:t>(7.646,96)</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(7.646,96)</w:t>
            </w:r>
          </w:p>
        </w:tc>
      </w:tr>
      <w:tr>
        <w:trPr>
          <w:trHeight w:val="115" w:hRule="exact"/>
        </w:trPr>
        <w:tc>
          <w:tcPr>
            <w:tcW w:w="441" w:type="dxa"/>
            <w:tcBorders>
              <w:left w:val="single" w:sz="3" w:space="0" w:color="000000"/>
              <w:right w:val="nil"/>
            </w:tcBorders>
          </w:tcPr>
          <w:p>
            <w:pPr>
              <w:pStyle w:val="TableParagraph"/>
              <w:spacing w:before="9"/>
              <w:ind w:left="13"/>
              <w:jc w:val="left"/>
              <w:rPr>
                <w:sz w:val="8"/>
              </w:rPr>
            </w:pPr>
            <w:r>
              <w:rPr>
                <w:w w:val="110"/>
                <w:sz w:val="8"/>
              </w:rPr>
              <w:t>124681</w:t>
            </w:r>
          </w:p>
        </w:tc>
        <w:tc>
          <w:tcPr>
            <w:tcW w:w="2143" w:type="dxa"/>
            <w:tcBorders>
              <w:left w:val="nil"/>
              <w:right w:val="nil"/>
            </w:tcBorders>
          </w:tcPr>
          <w:p>
            <w:pPr>
              <w:pStyle w:val="TableParagraph"/>
              <w:spacing w:before="9"/>
              <w:ind w:left="16"/>
              <w:jc w:val="left"/>
              <w:rPr>
                <w:sz w:val="8"/>
              </w:rPr>
            </w:pPr>
            <w:r>
              <w:rPr>
                <w:w w:val="110"/>
                <w:sz w:val="8"/>
              </w:rPr>
              <w:t>CTCI Beijing Co., Ltd.</w:t>
            </w:r>
          </w:p>
        </w:tc>
        <w:tc>
          <w:tcPr>
            <w:tcW w:w="740" w:type="dxa"/>
            <w:tcBorders>
              <w:left w:val="nil"/>
              <w:right w:val="nil"/>
            </w:tcBorders>
          </w:tcPr>
          <w:p>
            <w:pPr>
              <w:pStyle w:val="TableParagraph"/>
              <w:spacing w:before="9"/>
              <w:ind w:right="67"/>
              <w:rPr>
                <w:sz w:val="8"/>
              </w:rPr>
            </w:pPr>
            <w:r>
              <w:rPr>
                <w:w w:val="105"/>
                <w:sz w:val="8"/>
              </w:rPr>
              <w:t>(1.173.280,10)</w:t>
            </w:r>
          </w:p>
        </w:tc>
        <w:tc>
          <w:tcPr>
            <w:tcW w:w="562" w:type="dxa"/>
            <w:tcBorders>
              <w:left w:val="nil"/>
              <w:right w:val="nil"/>
            </w:tcBorders>
          </w:tcPr>
          <w:p>
            <w:pPr>
              <w:pStyle w:val="TableParagraph"/>
              <w:spacing w:before="16"/>
              <w:ind w:right="42"/>
              <w:rPr>
                <w:sz w:val="8"/>
              </w:rPr>
            </w:pPr>
            <w:r>
              <w:rPr>
                <w:w w:val="105"/>
                <w:sz w:val="8"/>
              </w:rPr>
              <w:t>102.282,65</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9"/>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964" w:val="left" w:leader="none"/>
              </w:tabs>
              <w:spacing w:before="16"/>
              <w:ind w:left="517"/>
              <w:jc w:val="left"/>
              <w:rPr>
                <w:sz w:val="8"/>
              </w:rPr>
            </w:pPr>
            <w:r>
              <w:rPr>
                <w:w w:val="110"/>
                <w:sz w:val="8"/>
              </w:rPr>
              <w:t>-</w:t>
              <w:tab/>
              <w:t>(1.070.997,45)</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124814</w:t>
            </w:r>
          </w:p>
        </w:tc>
        <w:tc>
          <w:tcPr>
            <w:tcW w:w="2143" w:type="dxa"/>
            <w:tcBorders>
              <w:left w:val="nil"/>
              <w:right w:val="nil"/>
            </w:tcBorders>
          </w:tcPr>
          <w:p>
            <w:pPr>
              <w:pStyle w:val="TableParagraph"/>
              <w:spacing w:before="16"/>
              <w:ind w:left="16"/>
              <w:jc w:val="left"/>
              <w:rPr>
                <w:sz w:val="8"/>
              </w:rPr>
            </w:pPr>
            <w:r>
              <w:rPr>
                <w:w w:val="105"/>
                <w:sz w:val="8"/>
              </w:rPr>
              <w:t>F.M. SRL UNIPERSONALE</w:t>
            </w:r>
          </w:p>
        </w:tc>
        <w:tc>
          <w:tcPr>
            <w:tcW w:w="740" w:type="dxa"/>
            <w:tcBorders>
              <w:left w:val="nil"/>
              <w:right w:val="nil"/>
            </w:tcBorders>
          </w:tcPr>
          <w:p>
            <w:pPr>
              <w:pStyle w:val="TableParagraph"/>
              <w:spacing w:before="16"/>
              <w:ind w:right="67"/>
              <w:rPr>
                <w:sz w:val="8"/>
              </w:rPr>
            </w:pPr>
            <w:r>
              <w:rPr>
                <w:w w:val="105"/>
                <w:sz w:val="8"/>
              </w:rPr>
              <w:t>(7.911,70)</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(7.911,70)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125315</w:t>
            </w:r>
          </w:p>
        </w:tc>
        <w:tc>
          <w:tcPr>
            <w:tcW w:w="2143" w:type="dxa"/>
            <w:tcBorders>
              <w:left w:val="nil"/>
              <w:right w:val="nil"/>
            </w:tcBorders>
          </w:tcPr>
          <w:p>
            <w:pPr>
              <w:pStyle w:val="TableParagraph"/>
              <w:spacing w:before="16"/>
              <w:ind w:left="16"/>
              <w:jc w:val="left"/>
              <w:rPr>
                <w:sz w:val="8"/>
              </w:rPr>
            </w:pPr>
            <w:r>
              <w:rPr>
                <w:w w:val="110"/>
                <w:sz w:val="8"/>
              </w:rPr>
              <w:t>HANDLING &amp; MANAGING CLAIMS SRLS Uni</w:t>
            </w:r>
          </w:p>
        </w:tc>
        <w:tc>
          <w:tcPr>
            <w:tcW w:w="740" w:type="dxa"/>
            <w:tcBorders>
              <w:left w:val="nil"/>
              <w:right w:val="nil"/>
            </w:tcBorders>
          </w:tcPr>
          <w:p>
            <w:pPr>
              <w:pStyle w:val="TableParagraph"/>
              <w:spacing w:before="16"/>
              <w:ind w:right="67"/>
              <w:rPr>
                <w:sz w:val="8"/>
              </w:rPr>
            </w:pPr>
            <w:r>
              <w:rPr>
                <w:w w:val="105"/>
                <w:sz w:val="8"/>
              </w:rPr>
              <w:t>(38.847,24)</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(38.847,24)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125317</w:t>
            </w:r>
          </w:p>
        </w:tc>
        <w:tc>
          <w:tcPr>
            <w:tcW w:w="2143" w:type="dxa"/>
            <w:tcBorders>
              <w:left w:val="nil"/>
              <w:right w:val="nil"/>
            </w:tcBorders>
          </w:tcPr>
          <w:p>
            <w:pPr>
              <w:pStyle w:val="TableParagraph"/>
              <w:spacing w:before="16"/>
              <w:ind w:left="16"/>
              <w:jc w:val="left"/>
              <w:rPr>
                <w:sz w:val="8"/>
              </w:rPr>
            </w:pPr>
            <w:r>
              <w:rPr>
                <w:w w:val="105"/>
                <w:sz w:val="8"/>
              </w:rPr>
              <w:t>DURING SPA</w:t>
            </w:r>
          </w:p>
        </w:tc>
        <w:tc>
          <w:tcPr>
            <w:tcW w:w="740" w:type="dxa"/>
            <w:tcBorders>
              <w:left w:val="nil"/>
              <w:right w:val="nil"/>
            </w:tcBorders>
          </w:tcPr>
          <w:p>
            <w:pPr>
              <w:pStyle w:val="TableParagraph"/>
              <w:spacing w:before="16"/>
              <w:ind w:right="67"/>
              <w:rPr>
                <w:sz w:val="8"/>
              </w:rPr>
            </w:pPr>
            <w:r>
              <w:rPr>
                <w:w w:val="105"/>
                <w:sz w:val="8"/>
              </w:rPr>
              <w:t>(22.234,55)</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(22.234,55)</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125382</w:t>
            </w:r>
          </w:p>
        </w:tc>
        <w:tc>
          <w:tcPr>
            <w:tcW w:w="2143" w:type="dxa"/>
            <w:tcBorders>
              <w:left w:val="nil"/>
              <w:right w:val="nil"/>
            </w:tcBorders>
          </w:tcPr>
          <w:p>
            <w:pPr>
              <w:pStyle w:val="TableParagraph"/>
              <w:spacing w:before="16"/>
              <w:ind w:left="16"/>
              <w:jc w:val="left"/>
              <w:rPr>
                <w:sz w:val="8"/>
              </w:rPr>
            </w:pPr>
            <w:r>
              <w:rPr>
                <w:w w:val="110"/>
                <w:sz w:val="8"/>
              </w:rPr>
              <w:t>VENABLE LLP</w:t>
            </w:r>
          </w:p>
        </w:tc>
        <w:tc>
          <w:tcPr>
            <w:tcW w:w="740" w:type="dxa"/>
            <w:tcBorders>
              <w:left w:val="nil"/>
              <w:right w:val="nil"/>
            </w:tcBorders>
          </w:tcPr>
          <w:p>
            <w:pPr>
              <w:pStyle w:val="TableParagraph"/>
              <w:spacing w:before="16"/>
              <w:ind w:right="67"/>
              <w:rPr>
                <w:sz w:val="8"/>
              </w:rPr>
            </w:pPr>
            <w:r>
              <w:rPr>
                <w:w w:val="105"/>
                <w:sz w:val="8"/>
              </w:rPr>
              <w:t>(60.481,07)</w:t>
            </w:r>
          </w:p>
        </w:tc>
        <w:tc>
          <w:tcPr>
            <w:tcW w:w="562" w:type="dxa"/>
            <w:tcBorders>
              <w:left w:val="nil"/>
              <w:right w:val="nil"/>
            </w:tcBorders>
          </w:tcPr>
          <w:p>
            <w:pPr>
              <w:pStyle w:val="TableParagraph"/>
              <w:spacing w:before="16"/>
              <w:ind w:right="40"/>
              <w:rPr>
                <w:sz w:val="8"/>
              </w:rPr>
            </w:pPr>
            <w:r>
              <w:rPr>
                <w:w w:val="105"/>
                <w:sz w:val="8"/>
              </w:rPr>
              <w:t>3.103,54</w:t>
            </w: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24" w:val="left" w:leader="none"/>
              </w:tabs>
              <w:spacing w:before="6"/>
              <w:ind w:left="256"/>
              <w:jc w:val="left"/>
              <w:rPr>
                <w:sz w:val="8"/>
              </w:rPr>
            </w:pPr>
            <w:r>
              <w:rPr>
                <w:w w:val="110"/>
                <w:position w:val="1"/>
                <w:sz w:val="8"/>
              </w:rPr>
              <w:t>(82.813,81)</w:t>
              <w:tab/>
            </w:r>
            <w:r>
              <w:rPr>
                <w:w w:val="110"/>
                <w:sz w:val="8"/>
              </w:rPr>
              <w:t>(140.191,34)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125402</w:t>
            </w:r>
          </w:p>
        </w:tc>
        <w:tc>
          <w:tcPr>
            <w:tcW w:w="2143" w:type="dxa"/>
            <w:tcBorders>
              <w:left w:val="nil"/>
              <w:right w:val="nil"/>
            </w:tcBorders>
          </w:tcPr>
          <w:p>
            <w:pPr>
              <w:pStyle w:val="TableParagraph"/>
              <w:spacing w:before="16"/>
              <w:ind w:left="16"/>
              <w:jc w:val="left"/>
              <w:rPr>
                <w:sz w:val="8"/>
              </w:rPr>
            </w:pPr>
            <w:r>
              <w:rPr>
                <w:w w:val="110"/>
                <w:sz w:val="8"/>
              </w:rPr>
              <w:t>UNICREDIT SPA</w:t>
            </w:r>
          </w:p>
        </w:tc>
        <w:tc>
          <w:tcPr>
            <w:tcW w:w="740" w:type="dxa"/>
            <w:tcBorders>
              <w:left w:val="nil"/>
              <w:right w:val="nil"/>
            </w:tcBorders>
          </w:tcPr>
          <w:p>
            <w:pPr>
              <w:pStyle w:val="TableParagraph"/>
              <w:spacing w:before="16"/>
              <w:ind w:right="151"/>
              <w:rPr>
                <w:sz w:val="8"/>
              </w:rPr>
            </w:pPr>
            <w:r>
              <w:rPr>
                <w:w w:val="108"/>
                <w:sz w:val="8"/>
              </w:rPr>
              <w:t>-</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304" w:val="left" w:leader="none"/>
              </w:tabs>
              <w:spacing w:before="16"/>
              <w:ind w:left="517"/>
              <w:jc w:val="left"/>
              <w:rPr>
                <w:sz w:val="8"/>
              </w:rPr>
            </w:pPr>
            <w:r>
              <w:rPr>
                <w:w w:val="110"/>
                <w:sz w:val="8"/>
              </w:rPr>
              <w:t>-</w:t>
              <w:tab/>
              <w:t>-</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200040</w:t>
            </w:r>
          </w:p>
        </w:tc>
        <w:tc>
          <w:tcPr>
            <w:tcW w:w="2143" w:type="dxa"/>
            <w:tcBorders>
              <w:left w:val="nil"/>
              <w:right w:val="nil"/>
            </w:tcBorders>
          </w:tcPr>
          <w:p>
            <w:pPr>
              <w:pStyle w:val="TableParagraph"/>
              <w:spacing w:before="16"/>
              <w:ind w:left="16"/>
              <w:jc w:val="left"/>
              <w:rPr>
                <w:sz w:val="8"/>
              </w:rPr>
            </w:pPr>
            <w:r>
              <w:rPr>
                <w:w w:val="110"/>
                <w:sz w:val="8"/>
              </w:rPr>
              <w:t>STUDIO LEGALE TRIBUTARIO ERNST &amp; YOUNG</w:t>
            </w:r>
          </w:p>
        </w:tc>
        <w:tc>
          <w:tcPr>
            <w:tcW w:w="740" w:type="dxa"/>
            <w:tcBorders>
              <w:left w:val="nil"/>
              <w:right w:val="nil"/>
            </w:tcBorders>
          </w:tcPr>
          <w:p>
            <w:pPr>
              <w:pStyle w:val="TableParagraph"/>
              <w:spacing w:before="16"/>
              <w:ind w:right="67"/>
              <w:rPr>
                <w:sz w:val="8"/>
              </w:rPr>
            </w:pPr>
            <w:r>
              <w:rPr>
                <w:w w:val="105"/>
                <w:sz w:val="8"/>
              </w:rPr>
              <w:t>(41.739,20)</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(41.739,20)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200062</w:t>
            </w:r>
          </w:p>
        </w:tc>
        <w:tc>
          <w:tcPr>
            <w:tcW w:w="2143" w:type="dxa"/>
            <w:tcBorders>
              <w:left w:val="nil"/>
              <w:right w:val="nil"/>
            </w:tcBorders>
          </w:tcPr>
          <w:p>
            <w:pPr>
              <w:pStyle w:val="TableParagraph"/>
              <w:spacing w:before="16"/>
              <w:ind w:left="16"/>
              <w:jc w:val="left"/>
              <w:rPr>
                <w:sz w:val="8"/>
              </w:rPr>
            </w:pPr>
            <w:r>
              <w:rPr>
                <w:w w:val="110"/>
                <w:sz w:val="8"/>
              </w:rPr>
              <w:t>STUDIO GAVIO</w:t>
            </w:r>
          </w:p>
        </w:tc>
        <w:tc>
          <w:tcPr>
            <w:tcW w:w="740" w:type="dxa"/>
            <w:tcBorders>
              <w:left w:val="nil"/>
              <w:right w:val="nil"/>
            </w:tcBorders>
          </w:tcPr>
          <w:p>
            <w:pPr>
              <w:pStyle w:val="TableParagraph"/>
              <w:spacing w:before="16"/>
              <w:ind w:right="67"/>
              <w:rPr>
                <w:sz w:val="8"/>
              </w:rPr>
            </w:pPr>
            <w:r>
              <w:rPr>
                <w:w w:val="105"/>
                <w:sz w:val="8"/>
              </w:rPr>
              <w:t>(51.627,43)</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64" w:val="left" w:leader="none"/>
              </w:tabs>
              <w:spacing w:before="16"/>
              <w:ind w:left="297"/>
              <w:jc w:val="left"/>
              <w:rPr>
                <w:sz w:val="8"/>
              </w:rPr>
            </w:pPr>
            <w:r>
              <w:rPr>
                <w:w w:val="110"/>
                <w:sz w:val="8"/>
              </w:rPr>
              <w:t>(1.142,91)</w:t>
              <w:tab/>
              <w:t>(52.770,34)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200216</w:t>
            </w:r>
          </w:p>
        </w:tc>
        <w:tc>
          <w:tcPr>
            <w:tcW w:w="2143" w:type="dxa"/>
            <w:tcBorders>
              <w:left w:val="nil"/>
              <w:right w:val="nil"/>
            </w:tcBorders>
          </w:tcPr>
          <w:p>
            <w:pPr>
              <w:pStyle w:val="TableParagraph"/>
              <w:spacing w:before="16"/>
              <w:ind w:left="16"/>
              <w:jc w:val="left"/>
              <w:rPr>
                <w:sz w:val="8"/>
              </w:rPr>
            </w:pPr>
            <w:r>
              <w:rPr>
                <w:w w:val="110"/>
                <w:sz w:val="8"/>
              </w:rPr>
              <w:t>GIANELLI</w:t>
            </w:r>
          </w:p>
        </w:tc>
        <w:tc>
          <w:tcPr>
            <w:tcW w:w="740" w:type="dxa"/>
            <w:tcBorders>
              <w:left w:val="nil"/>
              <w:right w:val="nil"/>
            </w:tcBorders>
          </w:tcPr>
          <w:p>
            <w:pPr>
              <w:pStyle w:val="TableParagraph"/>
              <w:spacing w:before="16"/>
              <w:ind w:right="67"/>
              <w:rPr>
                <w:sz w:val="8"/>
              </w:rPr>
            </w:pPr>
            <w:r>
              <w:rPr>
                <w:w w:val="105"/>
                <w:sz w:val="8"/>
              </w:rPr>
              <w:t>(34.418,29)</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(34.418,29)</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200254</w:t>
            </w:r>
          </w:p>
        </w:tc>
        <w:tc>
          <w:tcPr>
            <w:tcW w:w="2143" w:type="dxa"/>
            <w:tcBorders>
              <w:left w:val="nil"/>
              <w:right w:val="nil"/>
            </w:tcBorders>
          </w:tcPr>
          <w:p>
            <w:pPr>
              <w:pStyle w:val="TableParagraph"/>
              <w:spacing w:before="16"/>
              <w:ind w:left="16"/>
              <w:jc w:val="left"/>
              <w:rPr>
                <w:sz w:val="8"/>
              </w:rPr>
            </w:pPr>
            <w:r>
              <w:rPr>
                <w:w w:val="110"/>
                <w:sz w:val="8"/>
              </w:rPr>
              <w:t>PIER VITO LEONE E ASSOCIATI</w:t>
            </w:r>
          </w:p>
        </w:tc>
        <w:tc>
          <w:tcPr>
            <w:tcW w:w="740" w:type="dxa"/>
            <w:tcBorders>
              <w:left w:val="nil"/>
              <w:right w:val="nil"/>
            </w:tcBorders>
          </w:tcPr>
          <w:p>
            <w:pPr>
              <w:pStyle w:val="TableParagraph"/>
              <w:spacing w:before="16"/>
              <w:ind w:right="67"/>
              <w:rPr>
                <w:sz w:val="8"/>
              </w:rPr>
            </w:pPr>
            <w:r>
              <w:rPr>
                <w:w w:val="105"/>
                <w:sz w:val="8"/>
              </w:rPr>
              <w:t>(184.792,84)</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(184.792,84)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200259</w:t>
            </w:r>
          </w:p>
        </w:tc>
        <w:tc>
          <w:tcPr>
            <w:tcW w:w="2143" w:type="dxa"/>
            <w:tcBorders>
              <w:left w:val="nil"/>
              <w:right w:val="nil"/>
            </w:tcBorders>
          </w:tcPr>
          <w:p>
            <w:pPr>
              <w:pStyle w:val="TableParagraph"/>
              <w:spacing w:before="16"/>
              <w:ind w:left="16"/>
              <w:jc w:val="left"/>
              <w:rPr>
                <w:sz w:val="8"/>
              </w:rPr>
            </w:pPr>
            <w:r>
              <w:rPr>
                <w:w w:val="110"/>
                <w:sz w:val="8"/>
              </w:rPr>
              <w:t>STUDIO LEGALE BIANCHI</w:t>
            </w:r>
          </w:p>
        </w:tc>
        <w:tc>
          <w:tcPr>
            <w:tcW w:w="740" w:type="dxa"/>
            <w:tcBorders>
              <w:left w:val="nil"/>
              <w:right w:val="nil"/>
            </w:tcBorders>
          </w:tcPr>
          <w:p>
            <w:pPr>
              <w:pStyle w:val="TableParagraph"/>
              <w:spacing w:before="16"/>
              <w:ind w:right="67"/>
              <w:rPr>
                <w:sz w:val="8"/>
              </w:rPr>
            </w:pPr>
            <w:r>
              <w:rPr>
                <w:w w:val="105"/>
                <w:sz w:val="8"/>
              </w:rPr>
              <w:t>(34.418,29)</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(34.418,29)</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200284</w:t>
            </w:r>
          </w:p>
        </w:tc>
        <w:tc>
          <w:tcPr>
            <w:tcW w:w="2143" w:type="dxa"/>
            <w:tcBorders>
              <w:left w:val="nil"/>
              <w:right w:val="nil"/>
            </w:tcBorders>
          </w:tcPr>
          <w:p>
            <w:pPr>
              <w:pStyle w:val="TableParagraph"/>
              <w:spacing w:before="16"/>
              <w:ind w:left="16"/>
              <w:jc w:val="left"/>
              <w:rPr>
                <w:sz w:val="8"/>
              </w:rPr>
            </w:pPr>
            <w:r>
              <w:rPr>
                <w:w w:val="110"/>
                <w:sz w:val="8"/>
              </w:rPr>
              <w:t>LABLAW STUDIO LEGALE FAILLA ROTONDI</w:t>
            </w:r>
          </w:p>
        </w:tc>
        <w:tc>
          <w:tcPr>
            <w:tcW w:w="740" w:type="dxa"/>
            <w:tcBorders>
              <w:left w:val="nil"/>
              <w:right w:val="nil"/>
            </w:tcBorders>
          </w:tcPr>
          <w:p>
            <w:pPr>
              <w:pStyle w:val="TableParagraph"/>
              <w:spacing w:before="16"/>
              <w:ind w:right="67"/>
              <w:rPr>
                <w:sz w:val="8"/>
              </w:rPr>
            </w:pPr>
            <w:r>
              <w:rPr>
                <w:w w:val="105"/>
                <w:sz w:val="8"/>
              </w:rPr>
              <w:t>(20.029,84)</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(20.029,84)</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200304</w:t>
            </w:r>
          </w:p>
        </w:tc>
        <w:tc>
          <w:tcPr>
            <w:tcW w:w="2143" w:type="dxa"/>
            <w:tcBorders>
              <w:left w:val="nil"/>
              <w:right w:val="nil"/>
            </w:tcBorders>
          </w:tcPr>
          <w:p>
            <w:pPr>
              <w:pStyle w:val="TableParagraph"/>
              <w:spacing w:before="16"/>
              <w:ind w:left="16"/>
              <w:jc w:val="left"/>
              <w:rPr>
                <w:sz w:val="8"/>
              </w:rPr>
            </w:pPr>
            <w:r>
              <w:rPr>
                <w:w w:val="110"/>
                <w:sz w:val="8"/>
              </w:rPr>
              <w:t>CHIARAMONTI ING. DAVID</w:t>
            </w:r>
          </w:p>
        </w:tc>
        <w:tc>
          <w:tcPr>
            <w:tcW w:w="740" w:type="dxa"/>
            <w:tcBorders>
              <w:left w:val="nil"/>
              <w:right w:val="nil"/>
            </w:tcBorders>
          </w:tcPr>
          <w:p>
            <w:pPr>
              <w:pStyle w:val="TableParagraph"/>
              <w:spacing w:before="16"/>
              <w:ind w:right="67"/>
              <w:rPr>
                <w:sz w:val="8"/>
              </w:rPr>
            </w:pPr>
            <w:r>
              <w:rPr>
                <w:w w:val="105"/>
                <w:sz w:val="8"/>
              </w:rPr>
              <w:t>(39.650,00)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(39.650,00)</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200564</w:t>
            </w:r>
          </w:p>
        </w:tc>
        <w:tc>
          <w:tcPr>
            <w:tcW w:w="2143" w:type="dxa"/>
            <w:tcBorders>
              <w:left w:val="nil"/>
              <w:right w:val="nil"/>
            </w:tcBorders>
          </w:tcPr>
          <w:p>
            <w:pPr>
              <w:pStyle w:val="TableParagraph"/>
              <w:spacing w:before="16"/>
              <w:ind w:left="16"/>
              <w:jc w:val="left"/>
              <w:rPr>
                <w:sz w:val="8"/>
              </w:rPr>
            </w:pPr>
            <w:r>
              <w:rPr>
                <w:w w:val="110"/>
                <w:sz w:val="8"/>
              </w:rPr>
              <w:t>MASI MAURIZIO</w:t>
            </w:r>
          </w:p>
        </w:tc>
        <w:tc>
          <w:tcPr>
            <w:tcW w:w="740" w:type="dxa"/>
            <w:tcBorders>
              <w:left w:val="nil"/>
              <w:right w:val="nil"/>
            </w:tcBorders>
          </w:tcPr>
          <w:p>
            <w:pPr>
              <w:pStyle w:val="TableParagraph"/>
              <w:spacing w:before="16"/>
              <w:ind w:right="71"/>
              <w:rPr>
                <w:sz w:val="8"/>
              </w:rPr>
            </w:pPr>
            <w:r>
              <w:rPr>
                <w:w w:val="105"/>
                <w:sz w:val="8"/>
              </w:rPr>
              <w:t>21.216,00</w:t>
            </w:r>
          </w:p>
        </w:tc>
        <w:tc>
          <w:tcPr>
            <w:tcW w:w="562" w:type="dxa"/>
            <w:tcBorders>
              <w:left w:val="nil"/>
              <w:right w:val="nil"/>
            </w:tcBorders>
          </w:tcPr>
          <w:p>
            <w:pPr/>
          </w:p>
        </w:tc>
        <w:tc>
          <w:tcPr>
            <w:tcW w:w="515" w:type="dxa"/>
            <w:tcBorders>
              <w:left w:val="nil"/>
              <w:right w:val="nil"/>
            </w:tcBorders>
          </w:tcPr>
          <w:p>
            <w:pPr/>
          </w:p>
        </w:tc>
        <w:tc>
          <w:tcPr>
            <w:tcW w:w="1041" w:type="dxa"/>
            <w:tcBorders>
              <w:left w:val="nil"/>
              <w:right w:val="nil"/>
            </w:tcBorders>
          </w:tcPr>
          <w:p>
            <w:pPr>
              <w:pStyle w:val="TableParagraph"/>
              <w:spacing w:before="16"/>
              <w:ind w:left="82"/>
              <w:jc w:val="left"/>
              <w:rPr>
                <w:sz w:val="8"/>
              </w:rPr>
            </w:pPr>
            <w:r>
              <w:rPr>
                <w:w w:val="105"/>
                <w:sz w:val="8"/>
              </w:rPr>
              <w:t>Procedura alternativa</w:t>
            </w:r>
          </w:p>
        </w:tc>
        <w:tc>
          <w:tcPr>
            <w:tcW w:w="1458" w:type="dxa"/>
            <w:gridSpan w:val="2"/>
            <w:tcBorders>
              <w:left w:val="nil"/>
              <w:right w:val="single" w:sz="3" w:space="0" w:color="000000"/>
            </w:tcBorders>
          </w:tcPr>
          <w:p>
            <w:pPr>
              <w:pStyle w:val="TableParagraph"/>
              <w:tabs>
                <w:tab w:pos="1304" w:val="left" w:leader="none"/>
              </w:tabs>
              <w:spacing w:before="16"/>
              <w:ind w:left="256"/>
              <w:jc w:val="left"/>
              <w:rPr>
                <w:sz w:val="8"/>
              </w:rPr>
            </w:pPr>
            <w:r>
              <w:rPr>
                <w:w w:val="110"/>
                <w:sz w:val="8"/>
              </w:rPr>
              <w:t>(21.216,00)</w:t>
              <w:tab/>
              <w:t>-</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200814</w:t>
            </w:r>
          </w:p>
        </w:tc>
        <w:tc>
          <w:tcPr>
            <w:tcW w:w="2143" w:type="dxa"/>
            <w:tcBorders>
              <w:left w:val="nil"/>
              <w:right w:val="nil"/>
            </w:tcBorders>
          </w:tcPr>
          <w:p>
            <w:pPr>
              <w:pStyle w:val="TableParagraph"/>
              <w:spacing w:before="16"/>
              <w:ind w:left="16"/>
              <w:jc w:val="left"/>
              <w:rPr>
                <w:sz w:val="8"/>
              </w:rPr>
            </w:pPr>
            <w:r>
              <w:rPr>
                <w:w w:val="110"/>
                <w:sz w:val="8"/>
              </w:rPr>
              <w:t>INVISTA TECHNOLOGIES Sarl</w:t>
            </w:r>
          </w:p>
        </w:tc>
        <w:tc>
          <w:tcPr>
            <w:tcW w:w="740" w:type="dxa"/>
            <w:tcBorders>
              <w:left w:val="nil"/>
              <w:right w:val="nil"/>
            </w:tcBorders>
          </w:tcPr>
          <w:p>
            <w:pPr>
              <w:pStyle w:val="TableParagraph"/>
              <w:spacing w:before="16"/>
              <w:ind w:right="67"/>
              <w:rPr>
                <w:sz w:val="8"/>
              </w:rPr>
            </w:pPr>
            <w:r>
              <w:rPr>
                <w:w w:val="105"/>
                <w:sz w:val="8"/>
              </w:rPr>
              <w:t>(249.944,85)</w:t>
            </w:r>
          </w:p>
        </w:tc>
        <w:tc>
          <w:tcPr>
            <w:tcW w:w="562" w:type="dxa"/>
            <w:tcBorders>
              <w:left w:val="nil"/>
              <w:right w:val="nil"/>
            </w:tcBorders>
          </w:tcPr>
          <w:p>
            <w:pPr>
              <w:pStyle w:val="TableParagraph"/>
              <w:spacing w:before="16"/>
              <w:ind w:right="41"/>
              <w:rPr>
                <w:sz w:val="8"/>
              </w:rPr>
            </w:pPr>
            <w:r>
              <w:rPr>
                <w:w w:val="105"/>
                <w:sz w:val="8"/>
              </w:rPr>
              <w:t>15.821,23</w:t>
            </w: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(234.123,62)</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201259</w:t>
            </w:r>
          </w:p>
        </w:tc>
        <w:tc>
          <w:tcPr>
            <w:tcW w:w="2143" w:type="dxa"/>
            <w:tcBorders>
              <w:left w:val="nil"/>
              <w:right w:val="nil"/>
            </w:tcBorders>
          </w:tcPr>
          <w:p>
            <w:pPr>
              <w:pStyle w:val="TableParagraph"/>
              <w:spacing w:before="16"/>
              <w:ind w:left="16"/>
              <w:jc w:val="left"/>
              <w:rPr>
                <w:sz w:val="8"/>
              </w:rPr>
            </w:pPr>
            <w:r>
              <w:rPr>
                <w:w w:val="110"/>
                <w:sz w:val="8"/>
              </w:rPr>
              <w:t>INVISTA TEXTILES (UK)</w:t>
            </w:r>
          </w:p>
        </w:tc>
        <w:tc>
          <w:tcPr>
            <w:tcW w:w="740" w:type="dxa"/>
            <w:tcBorders>
              <w:left w:val="nil"/>
              <w:right w:val="nil"/>
            </w:tcBorders>
          </w:tcPr>
          <w:p>
            <w:pPr>
              <w:pStyle w:val="TableParagraph"/>
              <w:spacing w:before="16"/>
              <w:ind w:right="67"/>
              <w:rPr>
                <w:sz w:val="8"/>
              </w:rPr>
            </w:pPr>
            <w:r>
              <w:rPr>
                <w:w w:val="105"/>
                <w:sz w:val="8"/>
              </w:rPr>
              <w:t>(353.638,05)</w:t>
            </w:r>
          </w:p>
        </w:tc>
        <w:tc>
          <w:tcPr>
            <w:tcW w:w="562" w:type="dxa"/>
            <w:tcBorders>
              <w:left w:val="nil"/>
              <w:right w:val="nil"/>
            </w:tcBorders>
          </w:tcPr>
          <w:p>
            <w:pPr/>
          </w:p>
        </w:tc>
        <w:tc>
          <w:tcPr>
            <w:tcW w:w="515" w:type="dxa"/>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Riconciliato</w:t>
            </w:r>
          </w:p>
        </w:tc>
        <w:tc>
          <w:tcPr>
            <w:tcW w:w="1458" w:type="dxa"/>
            <w:gridSpan w:val="2"/>
            <w:tcBorders>
              <w:left w:val="nil"/>
              <w:right w:val="single" w:sz="3" w:space="0" w:color="000000"/>
            </w:tcBorders>
          </w:tcPr>
          <w:p>
            <w:pPr>
              <w:pStyle w:val="TableParagraph"/>
              <w:tabs>
                <w:tab w:pos="1024" w:val="left" w:leader="none"/>
              </w:tabs>
              <w:spacing w:before="16"/>
              <w:ind w:left="517"/>
              <w:jc w:val="left"/>
              <w:rPr>
                <w:sz w:val="8"/>
              </w:rPr>
            </w:pPr>
            <w:r>
              <w:rPr>
                <w:w w:val="110"/>
                <w:sz w:val="8"/>
              </w:rPr>
              <w:t>-</w:t>
              <w:tab/>
              <w:t>(353.638,05)</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109644</w:t>
            </w:r>
          </w:p>
        </w:tc>
        <w:tc>
          <w:tcPr>
            <w:tcW w:w="2143" w:type="dxa"/>
            <w:tcBorders>
              <w:left w:val="nil"/>
              <w:right w:val="nil"/>
            </w:tcBorders>
          </w:tcPr>
          <w:p>
            <w:pPr>
              <w:pStyle w:val="TableParagraph"/>
              <w:spacing w:before="16"/>
              <w:ind w:left="16"/>
              <w:jc w:val="left"/>
              <w:rPr>
                <w:sz w:val="8"/>
              </w:rPr>
            </w:pPr>
            <w:r>
              <w:rPr>
                <w:w w:val="105"/>
                <w:sz w:val="8"/>
              </w:rPr>
              <w:t>SUPERCHROM  RESTEK</w:t>
            </w:r>
          </w:p>
        </w:tc>
        <w:tc>
          <w:tcPr>
            <w:tcW w:w="740" w:type="dxa"/>
            <w:tcBorders>
              <w:left w:val="nil"/>
              <w:right w:val="nil"/>
            </w:tcBorders>
          </w:tcPr>
          <w:p>
            <w:pPr>
              <w:pStyle w:val="TableParagraph"/>
              <w:spacing w:before="16"/>
              <w:ind w:right="67"/>
              <w:rPr>
                <w:sz w:val="8"/>
              </w:rPr>
            </w:pPr>
            <w:r>
              <w:rPr>
                <w:w w:val="105"/>
                <w:sz w:val="8"/>
              </w:rPr>
              <w:t>(1.861,39)</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(1.861,39)</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100557</w:t>
            </w:r>
          </w:p>
        </w:tc>
        <w:tc>
          <w:tcPr>
            <w:tcW w:w="2143" w:type="dxa"/>
            <w:tcBorders>
              <w:left w:val="nil"/>
              <w:right w:val="nil"/>
            </w:tcBorders>
          </w:tcPr>
          <w:p>
            <w:pPr>
              <w:pStyle w:val="TableParagraph"/>
              <w:spacing w:before="16"/>
              <w:ind w:left="16"/>
              <w:jc w:val="left"/>
              <w:rPr>
                <w:sz w:val="8"/>
              </w:rPr>
            </w:pPr>
            <w:r>
              <w:rPr>
                <w:w w:val="110"/>
                <w:sz w:val="8"/>
              </w:rPr>
              <w:t>DURANTE S.P.A.</w:t>
            </w:r>
          </w:p>
        </w:tc>
        <w:tc>
          <w:tcPr>
            <w:tcW w:w="740" w:type="dxa"/>
            <w:tcBorders>
              <w:left w:val="nil"/>
              <w:right w:val="nil"/>
            </w:tcBorders>
          </w:tcPr>
          <w:p>
            <w:pPr>
              <w:pStyle w:val="TableParagraph"/>
              <w:spacing w:before="16"/>
              <w:ind w:right="67"/>
              <w:rPr>
                <w:sz w:val="8"/>
              </w:rPr>
            </w:pPr>
            <w:r>
              <w:rPr>
                <w:w w:val="105"/>
                <w:sz w:val="8"/>
              </w:rPr>
              <w:t>(1.309,06)</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4" w:val="left" w:leader="none"/>
              </w:tabs>
              <w:spacing w:before="16"/>
              <w:ind w:left="517"/>
              <w:jc w:val="left"/>
              <w:rPr>
                <w:sz w:val="8"/>
              </w:rPr>
            </w:pPr>
            <w:r>
              <w:rPr>
                <w:w w:val="110"/>
                <w:sz w:val="8"/>
              </w:rPr>
              <w:t>-</w:t>
              <w:tab/>
              <w:t>(1.309,06)</w:t>
            </w:r>
          </w:p>
        </w:tc>
      </w:tr>
      <w:tr>
        <w:trPr>
          <w:trHeight w:val="115" w:hRule="exact"/>
        </w:trPr>
        <w:tc>
          <w:tcPr>
            <w:tcW w:w="441" w:type="dxa"/>
            <w:tcBorders>
              <w:left w:val="single" w:sz="3" w:space="0" w:color="000000"/>
              <w:right w:val="nil"/>
            </w:tcBorders>
          </w:tcPr>
          <w:p>
            <w:pPr>
              <w:pStyle w:val="TableParagraph"/>
              <w:spacing w:before="16"/>
              <w:ind w:left="13"/>
              <w:jc w:val="left"/>
              <w:rPr>
                <w:sz w:val="8"/>
              </w:rPr>
            </w:pPr>
            <w:r>
              <w:rPr>
                <w:w w:val="110"/>
                <w:sz w:val="8"/>
              </w:rPr>
              <w:t>119982</w:t>
            </w:r>
          </w:p>
        </w:tc>
        <w:tc>
          <w:tcPr>
            <w:tcW w:w="2143" w:type="dxa"/>
            <w:tcBorders>
              <w:left w:val="nil"/>
              <w:right w:val="nil"/>
            </w:tcBorders>
          </w:tcPr>
          <w:p>
            <w:pPr>
              <w:pStyle w:val="TableParagraph"/>
              <w:spacing w:before="16"/>
              <w:ind w:left="16"/>
              <w:jc w:val="left"/>
              <w:rPr>
                <w:sz w:val="8"/>
              </w:rPr>
            </w:pPr>
            <w:r>
              <w:rPr>
                <w:w w:val="105"/>
                <w:sz w:val="8"/>
              </w:rPr>
              <w:t>OLEODINAMICA  COMMERCIALE</w:t>
            </w:r>
          </w:p>
        </w:tc>
        <w:tc>
          <w:tcPr>
            <w:tcW w:w="740" w:type="dxa"/>
            <w:tcBorders>
              <w:left w:val="nil"/>
              <w:right w:val="nil"/>
            </w:tcBorders>
          </w:tcPr>
          <w:p>
            <w:pPr>
              <w:pStyle w:val="TableParagraph"/>
              <w:spacing w:before="16"/>
              <w:ind w:right="67"/>
              <w:rPr>
                <w:sz w:val="8"/>
              </w:rPr>
            </w:pPr>
            <w:r>
              <w:rPr>
                <w:w w:val="105"/>
                <w:sz w:val="8"/>
              </w:rPr>
              <w:t>(21.787,61)</w:t>
            </w:r>
          </w:p>
        </w:tc>
        <w:tc>
          <w:tcPr>
            <w:tcW w:w="562" w:type="dxa"/>
            <w:tcBorders>
              <w:left w:val="nil"/>
              <w:right w:val="nil"/>
            </w:tcBorders>
          </w:tcPr>
          <w:p>
            <w:pPr/>
          </w:p>
        </w:tc>
        <w:tc>
          <w:tcPr>
            <w:tcW w:w="515" w:type="dxa"/>
            <w:tcBorders>
              <w:left w:val="nil"/>
              <w:right w:val="nil"/>
            </w:tcBorders>
          </w:tcPr>
          <w:p>
            <w:pPr>
              <w:pStyle w:val="TableParagraph"/>
              <w:spacing w:before="14"/>
              <w:ind w:left="45"/>
              <w:jc w:val="center"/>
              <w:rPr>
                <w:rFonts w:ascii="Webdings" w:hAnsi="Webdings"/>
                <w:sz w:val="8"/>
              </w:rPr>
            </w:pPr>
            <w:r>
              <w:rPr>
                <w:rFonts w:ascii="Webdings" w:hAnsi="Webdings"/>
                <w:w w:val="108"/>
                <w:sz w:val="8"/>
              </w:rPr>
              <w:t></w:t>
            </w:r>
          </w:p>
        </w:tc>
        <w:tc>
          <w:tcPr>
            <w:tcW w:w="1041" w:type="dxa"/>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064" w:val="left" w:leader="none"/>
              </w:tabs>
              <w:spacing w:before="16"/>
              <w:ind w:left="517"/>
              <w:jc w:val="left"/>
              <w:rPr>
                <w:sz w:val="8"/>
              </w:rPr>
            </w:pPr>
            <w:r>
              <w:rPr>
                <w:w w:val="110"/>
                <w:sz w:val="8"/>
              </w:rPr>
              <w:t>-</w:t>
              <w:tab/>
              <w:t>(21.787,61)</w:t>
            </w:r>
          </w:p>
        </w:tc>
      </w:tr>
      <w:tr>
        <w:trPr>
          <w:trHeight w:val="115" w:hRule="exact"/>
        </w:trPr>
        <w:tc>
          <w:tcPr>
            <w:tcW w:w="441" w:type="dxa"/>
            <w:vMerge w:val="restart"/>
            <w:tcBorders>
              <w:left w:val="single" w:sz="3" w:space="0" w:color="000000"/>
              <w:right w:val="nil"/>
            </w:tcBorders>
          </w:tcPr>
          <w:p>
            <w:pPr>
              <w:pStyle w:val="TableParagraph"/>
              <w:spacing w:before="16"/>
              <w:ind w:left="13"/>
              <w:jc w:val="left"/>
              <w:rPr>
                <w:sz w:val="8"/>
              </w:rPr>
            </w:pPr>
            <w:r>
              <w:rPr>
                <w:w w:val="110"/>
                <w:sz w:val="8"/>
              </w:rPr>
              <w:t>122369</w:t>
            </w:r>
          </w:p>
        </w:tc>
        <w:tc>
          <w:tcPr>
            <w:tcW w:w="2143" w:type="dxa"/>
            <w:vMerge w:val="restart"/>
            <w:tcBorders>
              <w:left w:val="nil"/>
              <w:right w:val="nil"/>
            </w:tcBorders>
          </w:tcPr>
          <w:p>
            <w:pPr>
              <w:pStyle w:val="TableParagraph"/>
              <w:spacing w:before="16"/>
              <w:ind w:left="16"/>
              <w:jc w:val="left"/>
              <w:rPr>
                <w:sz w:val="8"/>
              </w:rPr>
            </w:pPr>
            <w:r>
              <w:rPr>
                <w:w w:val="110"/>
                <w:sz w:val="8"/>
              </w:rPr>
              <w:t>ASSIMPIANTI SRL</w:t>
            </w:r>
          </w:p>
          <w:p>
            <w:pPr>
              <w:pStyle w:val="TableParagraph"/>
              <w:spacing w:before="19"/>
              <w:ind w:left="16"/>
              <w:jc w:val="left"/>
              <w:rPr>
                <w:b/>
                <w:sz w:val="8"/>
              </w:rPr>
            </w:pPr>
            <w:r>
              <w:rPr>
                <w:b/>
                <w:w w:val="110"/>
                <w:sz w:val="8"/>
              </w:rPr>
              <w:t>2320010 - Totale fornitori circolarizzati</w:t>
            </w:r>
          </w:p>
        </w:tc>
        <w:tc>
          <w:tcPr>
            <w:tcW w:w="740" w:type="dxa"/>
            <w:vMerge w:val="restart"/>
            <w:tcBorders>
              <w:left w:val="nil"/>
              <w:right w:val="nil"/>
            </w:tcBorders>
          </w:tcPr>
          <w:p>
            <w:pPr>
              <w:pStyle w:val="TableParagraph"/>
              <w:tabs>
                <w:tab w:pos="338" w:val="left" w:leader="none"/>
                <w:tab w:pos="1306" w:val="left" w:leader="none"/>
              </w:tabs>
              <w:spacing w:before="16"/>
              <w:ind w:left="-2" w:right="-567"/>
              <w:jc w:val="left"/>
              <w:rPr>
                <w:sz w:val="8"/>
              </w:rPr>
            </w:pPr>
            <w:r>
              <w:rPr>
                <w:w w:val="108"/>
                <w:sz w:val="8"/>
                <w:u w:val="single"/>
              </w:rPr>
              <w:t> </w:t>
            </w:r>
            <w:r>
              <w:rPr>
                <w:sz w:val="8"/>
                <w:u w:val="single"/>
              </w:rPr>
              <w:tab/>
            </w:r>
            <w:r>
              <w:rPr>
                <w:w w:val="110"/>
                <w:sz w:val="8"/>
                <w:u w:val="single"/>
              </w:rPr>
              <w:t>(1.354,20)</w:t>
            </w:r>
            <w:r>
              <w:rPr>
                <w:sz w:val="8"/>
                <w:u w:val="single"/>
              </w:rPr>
              <w:tab/>
            </w:r>
          </w:p>
          <w:p>
            <w:pPr>
              <w:pStyle w:val="TableParagraph"/>
              <w:spacing w:before="19"/>
              <w:ind w:left="191"/>
              <w:jc w:val="left"/>
              <w:rPr>
                <w:b/>
                <w:sz w:val="8"/>
              </w:rPr>
            </w:pPr>
            <w:r>
              <w:rPr>
                <w:b/>
                <w:w w:val="110"/>
                <w:sz w:val="8"/>
              </w:rPr>
              <w:t>(9.450.597,61)</w:t>
            </w:r>
          </w:p>
        </w:tc>
        <w:tc>
          <w:tcPr>
            <w:tcW w:w="562" w:type="dxa"/>
            <w:vMerge w:val="restart"/>
            <w:tcBorders>
              <w:left w:val="nil"/>
              <w:right w:val="nil"/>
            </w:tcBorders>
          </w:tcPr>
          <w:p>
            <w:pPr>
              <w:pStyle w:val="TableParagraph"/>
              <w:spacing w:before="10"/>
              <w:jc w:val="left"/>
              <w:rPr>
                <w:rFonts w:ascii="Times New Roman"/>
                <w:sz w:val="10"/>
              </w:rPr>
            </w:pPr>
          </w:p>
          <w:p>
            <w:pPr>
              <w:pStyle w:val="TableParagraph"/>
              <w:spacing w:before="0"/>
              <w:ind w:left="150"/>
              <w:jc w:val="left"/>
              <w:rPr>
                <w:b/>
                <w:sz w:val="8"/>
              </w:rPr>
            </w:pPr>
            <w:r>
              <w:rPr>
                <w:b/>
                <w:w w:val="110"/>
                <w:sz w:val="8"/>
              </w:rPr>
              <w:t>436.340,76</w:t>
            </w:r>
          </w:p>
        </w:tc>
        <w:tc>
          <w:tcPr>
            <w:tcW w:w="515" w:type="dxa"/>
            <w:vMerge w:val="restart"/>
            <w:tcBorders>
              <w:left w:val="nil"/>
              <w:right w:val="nil"/>
            </w:tcBorders>
          </w:tcPr>
          <w:p>
            <w:pPr>
              <w:pStyle w:val="TableParagraph"/>
              <w:spacing w:before="15"/>
              <w:ind w:left="45"/>
              <w:jc w:val="center"/>
              <w:rPr>
                <w:rFonts w:ascii="Webdings" w:hAnsi="Webdings"/>
                <w:sz w:val="8"/>
              </w:rPr>
            </w:pPr>
            <w:r>
              <w:rPr>
                <w:rFonts w:ascii="Webdings" w:hAnsi="Webdings"/>
                <w:w w:val="108"/>
                <w:sz w:val="8"/>
              </w:rPr>
              <w:t></w:t>
            </w:r>
          </w:p>
        </w:tc>
        <w:tc>
          <w:tcPr>
            <w:tcW w:w="1041" w:type="dxa"/>
            <w:vMerge w:val="restart"/>
            <w:tcBorders>
              <w:left w:val="nil"/>
              <w:right w:val="nil"/>
            </w:tcBorders>
          </w:tcPr>
          <w:p>
            <w:pPr>
              <w:pStyle w:val="TableParagraph"/>
              <w:spacing w:before="16"/>
              <w:ind w:left="82"/>
              <w:jc w:val="left"/>
              <w:rPr>
                <w:sz w:val="8"/>
              </w:rPr>
            </w:pPr>
            <w:r>
              <w:rPr>
                <w:w w:val="110"/>
                <w:sz w:val="8"/>
              </w:rPr>
              <w:t>In accordo</w:t>
            </w:r>
          </w:p>
        </w:tc>
        <w:tc>
          <w:tcPr>
            <w:tcW w:w="1458" w:type="dxa"/>
            <w:gridSpan w:val="2"/>
            <w:tcBorders>
              <w:left w:val="nil"/>
              <w:right w:val="single" w:sz="3" w:space="0" w:color="000000"/>
            </w:tcBorders>
          </w:tcPr>
          <w:p>
            <w:pPr>
              <w:pStyle w:val="TableParagraph"/>
              <w:tabs>
                <w:tab w:pos="1108" w:val="left" w:leader="none"/>
              </w:tabs>
              <w:spacing w:before="16"/>
              <w:ind w:left="520"/>
              <w:jc w:val="left"/>
              <w:rPr>
                <w:sz w:val="8"/>
              </w:rPr>
            </w:pPr>
            <w:r>
              <w:rPr>
                <w:w w:val="110"/>
                <w:sz w:val="8"/>
              </w:rPr>
              <w:t>-</w:t>
              <w:tab/>
              <w:t>(1.354,20)</w:t>
            </w:r>
          </w:p>
        </w:tc>
      </w:tr>
      <w:tr>
        <w:trPr>
          <w:trHeight w:val="103" w:hRule="exact"/>
        </w:trPr>
        <w:tc>
          <w:tcPr>
            <w:tcW w:w="441" w:type="dxa"/>
            <w:vMerge/>
            <w:tcBorders>
              <w:left w:val="single" w:sz="3" w:space="0" w:color="000000"/>
              <w:right w:val="nil"/>
            </w:tcBorders>
          </w:tcPr>
          <w:p>
            <w:pPr/>
          </w:p>
        </w:tc>
        <w:tc>
          <w:tcPr>
            <w:tcW w:w="2143" w:type="dxa"/>
            <w:vMerge/>
            <w:tcBorders>
              <w:left w:val="nil"/>
              <w:right w:val="nil"/>
            </w:tcBorders>
          </w:tcPr>
          <w:p>
            <w:pPr/>
          </w:p>
        </w:tc>
        <w:tc>
          <w:tcPr>
            <w:tcW w:w="740" w:type="dxa"/>
            <w:vMerge/>
            <w:tcBorders>
              <w:left w:val="nil"/>
              <w:right w:val="nil"/>
            </w:tcBorders>
          </w:tcPr>
          <w:p>
            <w:pPr/>
          </w:p>
        </w:tc>
        <w:tc>
          <w:tcPr>
            <w:tcW w:w="562" w:type="dxa"/>
            <w:vMerge/>
            <w:tcBorders>
              <w:left w:val="nil"/>
              <w:right w:val="nil"/>
            </w:tcBorders>
          </w:tcPr>
          <w:p>
            <w:pPr/>
          </w:p>
        </w:tc>
        <w:tc>
          <w:tcPr>
            <w:tcW w:w="515" w:type="dxa"/>
            <w:vMerge/>
            <w:tcBorders>
              <w:left w:val="nil"/>
              <w:right w:val="nil"/>
            </w:tcBorders>
          </w:tcPr>
          <w:p>
            <w:pPr/>
          </w:p>
        </w:tc>
        <w:tc>
          <w:tcPr>
            <w:tcW w:w="1041" w:type="dxa"/>
            <w:vMerge/>
            <w:tcBorders>
              <w:left w:val="nil"/>
              <w:right w:val="nil"/>
            </w:tcBorders>
          </w:tcPr>
          <w:p>
            <w:pPr/>
          </w:p>
        </w:tc>
        <w:tc>
          <w:tcPr>
            <w:tcW w:w="1458" w:type="dxa"/>
            <w:gridSpan w:val="2"/>
            <w:tcBorders>
              <w:left w:val="nil"/>
              <w:right w:val="single" w:sz="3" w:space="0" w:color="000000"/>
            </w:tcBorders>
          </w:tcPr>
          <w:p>
            <w:pPr>
              <w:pStyle w:val="TableParagraph"/>
              <w:tabs>
                <w:tab w:pos="941" w:val="left" w:leader="none"/>
              </w:tabs>
              <w:spacing w:before="9"/>
              <w:ind w:left="227"/>
              <w:jc w:val="left"/>
              <w:rPr>
                <w:b/>
                <w:sz w:val="8"/>
              </w:rPr>
            </w:pPr>
            <w:r>
              <w:rPr>
                <w:b/>
                <w:w w:val="110"/>
                <w:sz w:val="8"/>
              </w:rPr>
              <w:t>(131.578,19)</w:t>
              <w:tab/>
              <w:t>(9.145.835,04)</w:t>
            </w:r>
          </w:p>
        </w:tc>
      </w:tr>
      <w:tr>
        <w:trPr>
          <w:trHeight w:val="106" w:hRule="exact"/>
        </w:trPr>
        <w:tc>
          <w:tcPr>
            <w:tcW w:w="6899" w:type="dxa"/>
            <w:gridSpan w:val="8"/>
            <w:tcBorders>
              <w:left w:val="nil"/>
              <w:bottom w:val="nil"/>
              <w:right w:val="single" w:sz="3" w:space="0" w:color="000000"/>
            </w:tcBorders>
          </w:tcPr>
          <w:p>
            <w:pPr/>
          </w:p>
        </w:tc>
      </w:tr>
    </w:tbl>
    <w:p>
      <w:pPr>
        <w:spacing w:after="0"/>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10"/>
        <w:rPr>
          <w:rFonts w:ascii="Times New Roman"/>
          <w:sz w:val="29"/>
        </w:rPr>
      </w:pPr>
    </w:p>
    <w:p>
      <w:pPr>
        <w:pStyle w:val="BodyText"/>
        <w:spacing w:line="480" w:lineRule="auto" w:before="100"/>
        <w:ind w:left="1418" w:right="2161"/>
      </w:pPr>
      <w:r>
        <w:rPr/>
        <w:t>Di seguito si riporta la tabella riepilogativa delle circolarizzazione effettuata dalla Società e riportata nei </w:t>
      </w:r>
      <w:r>
        <w:rPr>
          <w:i/>
        </w:rPr>
        <w:t>Deliverable</w:t>
      </w:r>
      <w:r>
        <w:rPr/>
        <w:t>s di Deloitte:</w:t>
      </w:r>
    </w:p>
    <w:p>
      <w:pPr>
        <w:pStyle w:val="BodyText"/>
        <w:spacing w:before="3"/>
        <w:rPr>
          <w:sz w:val="16"/>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1"/>
        <w:gridCol w:w="3457"/>
        <w:gridCol w:w="1142"/>
        <w:gridCol w:w="1120"/>
        <w:gridCol w:w="1131"/>
        <w:gridCol w:w="1486"/>
      </w:tblGrid>
      <w:tr>
        <w:trPr>
          <w:trHeight w:val="226" w:hRule="exact"/>
        </w:trPr>
        <w:tc>
          <w:tcPr>
            <w:tcW w:w="711" w:type="dxa"/>
            <w:vMerge w:val="restart"/>
            <w:tcBorders>
              <w:left w:val="single" w:sz="4" w:space="0" w:color="000000"/>
              <w:right w:val="single" w:sz="4" w:space="0" w:color="000000"/>
            </w:tcBorders>
            <w:shd w:val="clear" w:color="auto" w:fill="85BB24"/>
          </w:tcPr>
          <w:p>
            <w:pPr>
              <w:pStyle w:val="TableParagraph"/>
              <w:spacing w:before="0"/>
              <w:jc w:val="left"/>
              <w:rPr>
                <w:sz w:val="18"/>
              </w:rPr>
            </w:pPr>
          </w:p>
          <w:p>
            <w:pPr>
              <w:pStyle w:val="TableParagraph"/>
              <w:spacing w:line="283" w:lineRule="auto" w:before="135"/>
              <w:ind w:left="96" w:right="88" w:firstLine="32"/>
              <w:jc w:val="left"/>
              <w:rPr>
                <w:b/>
                <w:sz w:val="17"/>
              </w:rPr>
            </w:pPr>
            <w:r>
              <w:rPr>
                <w:b/>
                <w:color w:val="FFFFFF"/>
                <w:sz w:val="17"/>
              </w:rPr>
              <w:t>Conto Co.Ge.</w:t>
            </w:r>
          </w:p>
        </w:tc>
        <w:tc>
          <w:tcPr>
            <w:tcW w:w="3457" w:type="dxa"/>
            <w:vMerge w:val="restart"/>
            <w:tcBorders>
              <w:left w:val="single" w:sz="4" w:space="0" w:color="000000"/>
              <w:right w:val="single" w:sz="4" w:space="0" w:color="000000"/>
            </w:tcBorders>
            <w:shd w:val="clear" w:color="auto" w:fill="85BB24"/>
          </w:tcPr>
          <w:p>
            <w:pPr>
              <w:pStyle w:val="TableParagraph"/>
              <w:spacing w:before="0"/>
              <w:jc w:val="left"/>
              <w:rPr>
                <w:sz w:val="18"/>
              </w:rPr>
            </w:pPr>
          </w:p>
          <w:p>
            <w:pPr>
              <w:pStyle w:val="TableParagraph"/>
              <w:spacing w:before="6"/>
              <w:jc w:val="left"/>
              <w:rPr>
                <w:sz w:val="22"/>
              </w:rPr>
            </w:pPr>
          </w:p>
          <w:p>
            <w:pPr>
              <w:pStyle w:val="TableParagraph"/>
              <w:spacing w:before="0"/>
              <w:ind w:left="1266" w:right="1281"/>
              <w:jc w:val="center"/>
              <w:rPr>
                <w:b/>
                <w:sz w:val="17"/>
              </w:rPr>
            </w:pPr>
            <w:r>
              <w:rPr>
                <w:b/>
                <w:color w:val="FFFFFF"/>
                <w:sz w:val="17"/>
              </w:rPr>
              <w:t>Descrizione</w:t>
            </w:r>
          </w:p>
        </w:tc>
        <w:tc>
          <w:tcPr>
            <w:tcW w:w="1142" w:type="dxa"/>
            <w:vMerge w:val="restart"/>
            <w:tcBorders>
              <w:left w:val="single" w:sz="4" w:space="0" w:color="000000"/>
              <w:right w:val="single" w:sz="4" w:space="0" w:color="000000"/>
            </w:tcBorders>
            <w:shd w:val="clear" w:color="auto" w:fill="85BB24"/>
          </w:tcPr>
          <w:p>
            <w:pPr>
              <w:pStyle w:val="TableParagraph"/>
              <w:spacing w:before="0"/>
              <w:jc w:val="left"/>
              <w:rPr>
                <w:sz w:val="18"/>
              </w:rPr>
            </w:pPr>
          </w:p>
          <w:p>
            <w:pPr>
              <w:pStyle w:val="TableParagraph"/>
              <w:spacing w:line="283" w:lineRule="auto" w:before="135"/>
              <w:ind w:left="150" w:firstLine="129"/>
              <w:jc w:val="left"/>
              <w:rPr>
                <w:b/>
                <w:sz w:val="17"/>
              </w:rPr>
            </w:pPr>
            <w:r>
              <w:rPr>
                <w:b/>
                <w:color w:val="FFFFFF"/>
                <w:sz w:val="17"/>
              </w:rPr>
              <w:t>Saldo al 15/10/2017</w:t>
            </w:r>
          </w:p>
        </w:tc>
        <w:tc>
          <w:tcPr>
            <w:tcW w:w="3737" w:type="dxa"/>
            <w:gridSpan w:val="3"/>
            <w:tcBorders>
              <w:left w:val="single" w:sz="4" w:space="0" w:color="000000"/>
              <w:right w:val="single" w:sz="4" w:space="0" w:color="000000"/>
            </w:tcBorders>
            <w:shd w:val="clear" w:color="auto" w:fill="85BB24"/>
          </w:tcPr>
          <w:p>
            <w:pPr>
              <w:pStyle w:val="TableParagraph"/>
              <w:spacing w:before="25"/>
              <w:ind w:left="1238"/>
              <w:jc w:val="left"/>
              <w:rPr>
                <w:b/>
                <w:sz w:val="17"/>
              </w:rPr>
            </w:pPr>
            <w:r>
              <w:rPr>
                <w:b/>
                <w:color w:val="FFFFFF"/>
                <w:sz w:val="17"/>
              </w:rPr>
              <w:t>Circolarizzazioni</w:t>
            </w:r>
          </w:p>
        </w:tc>
      </w:tr>
      <w:tr>
        <w:trPr>
          <w:trHeight w:val="872" w:hRule="exact"/>
        </w:trPr>
        <w:tc>
          <w:tcPr>
            <w:tcW w:w="711" w:type="dxa"/>
            <w:vMerge/>
            <w:tcBorders>
              <w:left w:val="single" w:sz="4" w:space="0" w:color="000000"/>
              <w:bottom w:val="single" w:sz="4" w:space="0" w:color="000000"/>
              <w:right w:val="single" w:sz="4" w:space="0" w:color="000000"/>
            </w:tcBorders>
            <w:shd w:val="clear" w:color="auto" w:fill="85BB24"/>
          </w:tcPr>
          <w:p>
            <w:pPr/>
          </w:p>
        </w:tc>
        <w:tc>
          <w:tcPr>
            <w:tcW w:w="3457" w:type="dxa"/>
            <w:vMerge/>
            <w:tcBorders>
              <w:left w:val="single" w:sz="4" w:space="0" w:color="000000"/>
              <w:bottom w:val="single" w:sz="4" w:space="0" w:color="000000"/>
              <w:right w:val="single" w:sz="4" w:space="0" w:color="000000"/>
            </w:tcBorders>
            <w:shd w:val="clear" w:color="auto" w:fill="85BB24"/>
          </w:tcPr>
          <w:p>
            <w:pPr/>
          </w:p>
        </w:tc>
        <w:tc>
          <w:tcPr>
            <w:tcW w:w="1142" w:type="dxa"/>
            <w:vMerge/>
            <w:tcBorders>
              <w:left w:val="single" w:sz="4" w:space="0" w:color="000000"/>
              <w:bottom w:val="single" w:sz="4" w:space="0" w:color="000000"/>
              <w:right w:val="single" w:sz="4" w:space="0" w:color="000000"/>
            </w:tcBorders>
            <w:shd w:val="clear" w:color="auto" w:fill="85BB24"/>
          </w:tcPr>
          <w:p>
            <w:pPr/>
          </w:p>
        </w:tc>
        <w:tc>
          <w:tcPr>
            <w:tcW w:w="1120" w:type="dxa"/>
            <w:tcBorders>
              <w:left w:val="single" w:sz="4" w:space="0" w:color="000000"/>
              <w:bottom w:val="single" w:sz="4" w:space="0" w:color="000000"/>
              <w:right w:val="single" w:sz="4" w:space="0" w:color="000000"/>
            </w:tcBorders>
            <w:shd w:val="clear" w:color="auto" w:fill="85BB24"/>
          </w:tcPr>
          <w:p>
            <w:pPr>
              <w:pStyle w:val="TableParagraph"/>
              <w:spacing w:before="5"/>
              <w:jc w:val="left"/>
              <w:rPr>
                <w:sz w:val="20"/>
              </w:rPr>
            </w:pPr>
          </w:p>
          <w:p>
            <w:pPr>
              <w:pStyle w:val="TableParagraph"/>
              <w:spacing w:line="283" w:lineRule="auto" w:before="0"/>
              <w:ind w:left="75" w:firstLine="86"/>
              <w:jc w:val="left"/>
              <w:rPr>
                <w:b/>
                <w:sz w:val="17"/>
              </w:rPr>
            </w:pPr>
            <w:r>
              <w:rPr>
                <w:b/>
                <w:color w:val="FFFFFF"/>
                <w:sz w:val="17"/>
              </w:rPr>
              <w:t>n° soggetti circolarizzati</w:t>
            </w:r>
          </w:p>
        </w:tc>
        <w:tc>
          <w:tcPr>
            <w:tcW w:w="1131" w:type="dxa"/>
            <w:tcBorders>
              <w:left w:val="single" w:sz="4" w:space="0" w:color="000000"/>
              <w:bottom w:val="single" w:sz="4" w:space="0" w:color="000000"/>
              <w:right w:val="single" w:sz="4" w:space="0" w:color="000000"/>
            </w:tcBorders>
            <w:shd w:val="clear" w:color="auto" w:fill="85BB24"/>
          </w:tcPr>
          <w:p>
            <w:pPr>
              <w:pStyle w:val="TableParagraph"/>
              <w:spacing w:before="5"/>
              <w:jc w:val="left"/>
              <w:rPr>
                <w:sz w:val="20"/>
              </w:rPr>
            </w:pPr>
          </w:p>
          <w:p>
            <w:pPr>
              <w:pStyle w:val="TableParagraph"/>
              <w:spacing w:line="283" w:lineRule="auto" w:before="0"/>
              <w:ind w:left="53" w:firstLine="54"/>
              <w:jc w:val="left"/>
              <w:rPr>
                <w:b/>
                <w:sz w:val="17"/>
              </w:rPr>
            </w:pPr>
            <w:r>
              <w:rPr>
                <w:b/>
                <w:color w:val="FFFFFF"/>
                <w:sz w:val="17"/>
              </w:rPr>
              <w:t>Ammontare circolarizzato</w:t>
            </w:r>
          </w:p>
        </w:tc>
        <w:tc>
          <w:tcPr>
            <w:tcW w:w="1486" w:type="dxa"/>
            <w:tcBorders>
              <w:left w:val="single" w:sz="4" w:space="0" w:color="000000"/>
              <w:bottom w:val="single" w:sz="4" w:space="0" w:color="000000"/>
              <w:right w:val="single" w:sz="4" w:space="0" w:color="000000"/>
            </w:tcBorders>
            <w:shd w:val="clear" w:color="auto" w:fill="85BB24"/>
          </w:tcPr>
          <w:p>
            <w:pPr>
              <w:pStyle w:val="TableParagraph"/>
              <w:spacing w:before="5"/>
              <w:jc w:val="left"/>
              <w:rPr>
                <w:sz w:val="20"/>
              </w:rPr>
            </w:pPr>
          </w:p>
          <w:p>
            <w:pPr>
              <w:pStyle w:val="TableParagraph"/>
              <w:spacing w:line="283" w:lineRule="auto" w:before="0"/>
              <w:ind w:left="333" w:hanging="97"/>
              <w:jc w:val="left"/>
              <w:rPr>
                <w:b/>
                <w:sz w:val="17"/>
              </w:rPr>
            </w:pPr>
            <w:r>
              <w:rPr>
                <w:b/>
                <w:color w:val="FFFFFF"/>
                <w:sz w:val="17"/>
              </w:rPr>
              <w:t>% sul saldo al 15/10/2017</w:t>
            </w:r>
          </w:p>
        </w:tc>
      </w:tr>
      <w:tr>
        <w:trPr>
          <w:trHeight w:val="452" w:hRule="exact"/>
        </w:trPr>
        <w:tc>
          <w:tcPr>
            <w:tcW w:w="711" w:type="dxa"/>
            <w:tcBorders>
              <w:top w:val="single" w:sz="4" w:space="0" w:color="000000"/>
              <w:left w:val="single" w:sz="4" w:space="0" w:color="000000"/>
              <w:bottom w:val="single" w:sz="4" w:space="0" w:color="000000"/>
              <w:right w:val="single" w:sz="4" w:space="0" w:color="000000"/>
            </w:tcBorders>
          </w:tcPr>
          <w:p>
            <w:pPr>
              <w:pStyle w:val="TableParagraph"/>
              <w:spacing w:before="26"/>
              <w:ind w:left="21"/>
              <w:jc w:val="left"/>
              <w:rPr>
                <w:sz w:val="17"/>
              </w:rPr>
            </w:pPr>
            <w:r>
              <w:rPr>
                <w:sz w:val="17"/>
              </w:rPr>
              <w:t>2320010</w:t>
            </w:r>
          </w:p>
          <w:p>
            <w:pPr>
              <w:pStyle w:val="TableParagraph"/>
              <w:spacing w:before="35"/>
              <w:ind w:left="21"/>
              <w:jc w:val="left"/>
              <w:rPr>
                <w:sz w:val="17"/>
              </w:rPr>
            </w:pPr>
            <w:r>
              <w:rPr>
                <w:sz w:val="17"/>
              </w:rPr>
              <w:t>2330010</w:t>
            </w:r>
          </w:p>
        </w:tc>
        <w:tc>
          <w:tcPr>
            <w:tcW w:w="3457" w:type="dxa"/>
            <w:tcBorders>
              <w:top w:val="single" w:sz="4" w:space="0" w:color="000000"/>
              <w:left w:val="single" w:sz="4" w:space="0" w:color="000000"/>
              <w:bottom w:val="single" w:sz="4" w:space="0" w:color="000000"/>
              <w:right w:val="single" w:sz="4" w:space="0" w:color="000000"/>
            </w:tcBorders>
          </w:tcPr>
          <w:p>
            <w:pPr>
              <w:pStyle w:val="TableParagraph"/>
              <w:spacing w:line="283" w:lineRule="auto" w:before="26"/>
              <w:ind w:left="21" w:right="1331"/>
              <w:jc w:val="left"/>
              <w:rPr>
                <w:sz w:val="17"/>
              </w:rPr>
            </w:pPr>
            <w:r>
              <w:rPr>
                <w:sz w:val="17"/>
              </w:rPr>
              <w:t>Debiti verso fornitori terzi debiti diversi verso fornitori</w:t>
            </w:r>
          </w:p>
        </w:tc>
        <w:tc>
          <w:tcPr>
            <w:tcW w:w="1142" w:type="dxa"/>
            <w:tcBorders>
              <w:top w:val="single" w:sz="4" w:space="0" w:color="000000"/>
              <w:left w:val="single" w:sz="4" w:space="0" w:color="000000"/>
              <w:bottom w:val="single" w:sz="4" w:space="0" w:color="000000"/>
              <w:right w:val="single" w:sz="4" w:space="0" w:color="000000"/>
            </w:tcBorders>
          </w:tcPr>
          <w:p>
            <w:pPr>
              <w:pStyle w:val="TableParagraph"/>
              <w:spacing w:before="26"/>
              <w:ind w:left="226"/>
              <w:jc w:val="left"/>
              <w:rPr>
                <w:sz w:val="17"/>
              </w:rPr>
            </w:pPr>
            <w:r>
              <w:rPr>
                <w:sz w:val="17"/>
              </w:rPr>
              <w:t>(10.250.361)</w:t>
            </w:r>
          </w:p>
          <w:p>
            <w:pPr>
              <w:pStyle w:val="TableParagraph"/>
              <w:spacing w:before="35"/>
              <w:ind w:left="527"/>
              <w:jc w:val="left"/>
              <w:rPr>
                <w:sz w:val="17"/>
              </w:rPr>
            </w:pPr>
            <w:r>
              <w:rPr>
                <w:sz w:val="17"/>
              </w:rPr>
              <w:t>(37.503)</w:t>
            </w:r>
          </w:p>
        </w:tc>
        <w:tc>
          <w:tcPr>
            <w:tcW w:w="1120" w:type="dxa"/>
            <w:tcBorders>
              <w:top w:val="single" w:sz="4" w:space="0" w:color="000000"/>
              <w:left w:val="single" w:sz="4" w:space="0" w:color="000000"/>
              <w:bottom w:val="single" w:sz="4" w:space="0" w:color="000000"/>
              <w:right w:val="single" w:sz="4" w:space="0" w:color="000000"/>
            </w:tcBorders>
          </w:tcPr>
          <w:p>
            <w:pPr>
              <w:pStyle w:val="TableParagraph"/>
              <w:spacing w:before="26"/>
              <w:ind w:left="407" w:right="421"/>
              <w:jc w:val="center"/>
              <w:rPr>
                <w:sz w:val="17"/>
              </w:rPr>
            </w:pPr>
            <w:r>
              <w:rPr>
                <w:sz w:val="17"/>
              </w:rPr>
              <w:t>103</w:t>
            </w:r>
          </w:p>
          <w:p>
            <w:pPr>
              <w:pStyle w:val="TableParagraph"/>
              <w:spacing w:before="35"/>
              <w:ind w:right="14"/>
              <w:jc w:val="center"/>
              <w:rPr>
                <w:sz w:val="17"/>
              </w:rPr>
            </w:pPr>
            <w:r>
              <w:rPr>
                <w:w w:val="101"/>
                <w:sz w:val="17"/>
              </w:rPr>
              <w:t>2</w:t>
            </w:r>
          </w:p>
        </w:tc>
        <w:tc>
          <w:tcPr>
            <w:tcW w:w="1131" w:type="dxa"/>
            <w:tcBorders>
              <w:top w:val="single" w:sz="4" w:space="0" w:color="000000"/>
              <w:left w:val="single" w:sz="4" w:space="0" w:color="000000"/>
              <w:bottom w:val="single" w:sz="4" w:space="0" w:color="000000"/>
              <w:right w:val="single" w:sz="4" w:space="0" w:color="000000"/>
            </w:tcBorders>
          </w:tcPr>
          <w:p>
            <w:pPr>
              <w:pStyle w:val="TableParagraph"/>
              <w:spacing w:before="26"/>
              <w:ind w:left="301"/>
              <w:jc w:val="left"/>
              <w:rPr>
                <w:sz w:val="17"/>
              </w:rPr>
            </w:pPr>
            <w:r>
              <w:rPr>
                <w:sz w:val="17"/>
              </w:rPr>
              <w:t>(9.582.176)</w:t>
            </w:r>
          </w:p>
          <w:p>
            <w:pPr>
              <w:pStyle w:val="TableParagraph"/>
              <w:spacing w:before="35"/>
              <w:ind w:left="517"/>
              <w:jc w:val="left"/>
              <w:rPr>
                <w:sz w:val="17"/>
              </w:rPr>
            </w:pPr>
            <w:r>
              <w:rPr>
                <w:sz w:val="17"/>
              </w:rPr>
              <w:t>(37.503)</w:t>
            </w:r>
          </w:p>
        </w:tc>
        <w:tc>
          <w:tcPr>
            <w:tcW w:w="1486" w:type="dxa"/>
            <w:tcBorders>
              <w:top w:val="single" w:sz="4" w:space="0" w:color="000000"/>
              <w:left w:val="single" w:sz="4" w:space="0" w:color="000000"/>
              <w:bottom w:val="single" w:sz="4" w:space="0" w:color="000000"/>
              <w:right w:val="single" w:sz="4" w:space="0" w:color="000000"/>
            </w:tcBorders>
          </w:tcPr>
          <w:p>
            <w:pPr>
              <w:pStyle w:val="TableParagraph"/>
              <w:spacing w:before="26"/>
              <w:ind w:left="531" w:right="525"/>
              <w:jc w:val="center"/>
              <w:rPr>
                <w:sz w:val="17"/>
              </w:rPr>
            </w:pPr>
            <w:r>
              <w:rPr>
                <w:sz w:val="17"/>
              </w:rPr>
              <w:t>93%</w:t>
            </w:r>
          </w:p>
          <w:p>
            <w:pPr>
              <w:pStyle w:val="TableParagraph"/>
              <w:spacing w:before="35"/>
              <w:ind w:left="531" w:right="525"/>
              <w:jc w:val="center"/>
              <w:rPr>
                <w:sz w:val="17"/>
              </w:rPr>
            </w:pPr>
            <w:r>
              <w:rPr>
                <w:sz w:val="17"/>
              </w:rPr>
              <w:t>100%</w:t>
            </w:r>
          </w:p>
        </w:tc>
      </w:tr>
      <w:tr>
        <w:trPr>
          <w:trHeight w:val="226" w:hRule="exact"/>
        </w:trPr>
        <w:tc>
          <w:tcPr>
            <w:tcW w:w="4168" w:type="dxa"/>
            <w:gridSpan w:val="2"/>
            <w:tcBorders>
              <w:top w:val="single" w:sz="4" w:space="0" w:color="000000"/>
              <w:left w:val="single" w:sz="4" w:space="0" w:color="000000"/>
              <w:bottom w:val="single" w:sz="4" w:space="0" w:color="000000"/>
              <w:right w:val="single" w:sz="4" w:space="0" w:color="000000"/>
            </w:tcBorders>
          </w:tcPr>
          <w:p>
            <w:pPr>
              <w:pStyle w:val="TableParagraph"/>
              <w:spacing w:before="26"/>
              <w:ind w:left="21"/>
              <w:jc w:val="left"/>
              <w:rPr>
                <w:b/>
                <w:sz w:val="17"/>
              </w:rPr>
            </w:pPr>
            <w:r>
              <w:rPr>
                <w:b/>
                <w:sz w:val="17"/>
              </w:rPr>
              <w:t>TOTALE</w:t>
            </w:r>
          </w:p>
        </w:tc>
        <w:tc>
          <w:tcPr>
            <w:tcW w:w="1142" w:type="dxa"/>
            <w:tcBorders>
              <w:top w:val="single" w:sz="4" w:space="0" w:color="000000"/>
              <w:left w:val="single" w:sz="4" w:space="0" w:color="000000"/>
              <w:bottom w:val="single" w:sz="4" w:space="0" w:color="000000"/>
              <w:right w:val="single" w:sz="4" w:space="0" w:color="000000"/>
            </w:tcBorders>
          </w:tcPr>
          <w:p>
            <w:pPr>
              <w:pStyle w:val="TableParagraph"/>
              <w:spacing w:before="26"/>
              <w:ind w:left="226"/>
              <w:jc w:val="left"/>
              <w:rPr>
                <w:b/>
                <w:sz w:val="17"/>
              </w:rPr>
            </w:pPr>
            <w:r>
              <w:rPr>
                <w:b/>
                <w:sz w:val="17"/>
              </w:rPr>
              <w:t>(10.287.864)</w:t>
            </w:r>
          </w:p>
        </w:tc>
        <w:tc>
          <w:tcPr>
            <w:tcW w:w="1120" w:type="dxa"/>
            <w:tcBorders>
              <w:top w:val="single" w:sz="4" w:space="0" w:color="000000"/>
              <w:left w:val="single" w:sz="4" w:space="0" w:color="000000"/>
              <w:bottom w:val="single" w:sz="4" w:space="0" w:color="000000"/>
              <w:right w:val="single" w:sz="4" w:space="0" w:color="000000"/>
            </w:tcBorders>
          </w:tcPr>
          <w:p>
            <w:pPr>
              <w:pStyle w:val="TableParagraph"/>
              <w:spacing w:before="26"/>
              <w:ind w:left="407" w:right="421"/>
              <w:jc w:val="center"/>
              <w:rPr>
                <w:b/>
                <w:sz w:val="17"/>
              </w:rPr>
            </w:pPr>
            <w:r>
              <w:rPr>
                <w:b/>
                <w:sz w:val="17"/>
              </w:rPr>
              <w:t>105</w:t>
            </w:r>
          </w:p>
        </w:tc>
        <w:tc>
          <w:tcPr>
            <w:tcW w:w="1131" w:type="dxa"/>
            <w:tcBorders>
              <w:top w:val="single" w:sz="4" w:space="0" w:color="000000"/>
              <w:left w:val="single" w:sz="4" w:space="0" w:color="000000"/>
              <w:bottom w:val="single" w:sz="4" w:space="0" w:color="000000"/>
              <w:right w:val="single" w:sz="4" w:space="0" w:color="000000"/>
            </w:tcBorders>
          </w:tcPr>
          <w:p>
            <w:pPr>
              <w:pStyle w:val="TableParagraph"/>
              <w:spacing w:before="26"/>
              <w:ind w:left="301"/>
              <w:jc w:val="left"/>
              <w:rPr>
                <w:b/>
                <w:sz w:val="17"/>
              </w:rPr>
            </w:pPr>
            <w:r>
              <w:rPr>
                <w:b/>
                <w:sz w:val="17"/>
              </w:rPr>
              <w:t>(9.619.679)</w:t>
            </w:r>
          </w:p>
        </w:tc>
        <w:tc>
          <w:tcPr>
            <w:tcW w:w="1486" w:type="dxa"/>
            <w:tcBorders>
              <w:top w:val="single" w:sz="4" w:space="0" w:color="000000"/>
              <w:left w:val="single" w:sz="4" w:space="0" w:color="000000"/>
              <w:bottom w:val="single" w:sz="4" w:space="0" w:color="000000"/>
              <w:right w:val="single" w:sz="4" w:space="0" w:color="000000"/>
            </w:tcBorders>
          </w:tcPr>
          <w:p>
            <w:pPr>
              <w:pStyle w:val="TableParagraph"/>
              <w:spacing w:before="26"/>
              <w:ind w:left="531" w:right="523"/>
              <w:jc w:val="center"/>
              <w:rPr>
                <w:b/>
                <w:sz w:val="17"/>
              </w:rPr>
            </w:pPr>
            <w:r>
              <w:rPr>
                <w:b/>
                <w:sz w:val="17"/>
              </w:rPr>
              <w:t>94%</w:t>
            </w:r>
          </w:p>
        </w:tc>
      </w:tr>
    </w:tbl>
    <w:p>
      <w:pPr>
        <w:pStyle w:val="BodyText"/>
        <w:rPr>
          <w:sz w:val="20"/>
        </w:rPr>
      </w:pPr>
    </w:p>
    <w:p>
      <w:pPr>
        <w:pStyle w:val="BodyText"/>
        <w:spacing w:before="6"/>
        <w:rPr>
          <w:sz w:val="21"/>
        </w:rPr>
      </w:pPr>
    </w:p>
    <w:p>
      <w:pPr>
        <w:pStyle w:val="BodyText"/>
        <w:ind w:left="1418"/>
      </w:pPr>
      <w:r>
        <w:rPr/>
        <w:t>Di seguito si riporta la tabella riepilogativa dell’esito delle risposte alle lettere di circolarizzazione:</w:t>
      </w:r>
    </w:p>
    <w:p>
      <w:pPr>
        <w:pStyle w:val="BodyText"/>
        <w:rPr>
          <w:sz w:val="20"/>
        </w:rPr>
      </w:pPr>
    </w:p>
    <w:p>
      <w:pPr>
        <w:pStyle w:val="BodyText"/>
        <w:spacing w:before="4"/>
        <w:rPr>
          <w:sz w:val="19"/>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95"/>
        <w:gridCol w:w="1122"/>
        <w:gridCol w:w="1060"/>
        <w:gridCol w:w="905"/>
        <w:gridCol w:w="978"/>
        <w:gridCol w:w="1080"/>
        <w:gridCol w:w="977"/>
        <w:gridCol w:w="916"/>
        <w:gridCol w:w="1121"/>
      </w:tblGrid>
      <w:tr>
        <w:trPr>
          <w:trHeight w:val="216" w:hRule="exact"/>
        </w:trPr>
        <w:tc>
          <w:tcPr>
            <w:tcW w:w="3076" w:type="dxa"/>
            <w:gridSpan w:val="3"/>
            <w:tcBorders>
              <w:left w:val="single" w:sz="4" w:space="0" w:color="000000"/>
              <w:right w:val="single" w:sz="4" w:space="0" w:color="000000"/>
            </w:tcBorders>
            <w:shd w:val="clear" w:color="auto" w:fill="85BB24"/>
          </w:tcPr>
          <w:p>
            <w:pPr>
              <w:pStyle w:val="TableParagraph"/>
              <w:spacing w:before="26"/>
              <w:ind w:left="751"/>
              <w:jc w:val="left"/>
              <w:rPr>
                <w:b/>
                <w:sz w:val="16"/>
              </w:rPr>
            </w:pPr>
            <w:r>
              <w:rPr>
                <w:b/>
                <w:color w:val="FFFFFF"/>
                <w:w w:val="105"/>
                <w:sz w:val="16"/>
              </w:rPr>
              <w:t>Risposte "in accordo"</w:t>
            </w:r>
          </w:p>
        </w:tc>
        <w:tc>
          <w:tcPr>
            <w:tcW w:w="2963" w:type="dxa"/>
            <w:gridSpan w:val="3"/>
            <w:tcBorders>
              <w:left w:val="single" w:sz="4" w:space="0" w:color="000000"/>
              <w:right w:val="single" w:sz="4" w:space="0" w:color="000000"/>
            </w:tcBorders>
            <w:shd w:val="clear" w:color="auto" w:fill="85BB24"/>
          </w:tcPr>
          <w:p>
            <w:pPr>
              <w:pStyle w:val="TableParagraph"/>
              <w:spacing w:before="26"/>
              <w:ind w:left="669"/>
              <w:jc w:val="left"/>
              <w:rPr>
                <w:b/>
                <w:sz w:val="16"/>
              </w:rPr>
            </w:pPr>
            <w:r>
              <w:rPr>
                <w:b/>
                <w:color w:val="FFFFFF"/>
                <w:sz w:val="16"/>
              </w:rPr>
              <w:t>Risposte  "riconciliate"</w:t>
            </w:r>
          </w:p>
        </w:tc>
        <w:tc>
          <w:tcPr>
            <w:tcW w:w="3015" w:type="dxa"/>
            <w:gridSpan w:val="3"/>
            <w:tcBorders>
              <w:left w:val="single" w:sz="4" w:space="0" w:color="000000"/>
              <w:right w:val="single" w:sz="4" w:space="0" w:color="000000"/>
            </w:tcBorders>
            <w:shd w:val="clear" w:color="auto" w:fill="85BB24"/>
          </w:tcPr>
          <w:p>
            <w:pPr>
              <w:pStyle w:val="TableParagraph"/>
              <w:spacing w:before="26"/>
              <w:ind w:left="741"/>
              <w:jc w:val="left"/>
              <w:rPr>
                <w:b/>
                <w:sz w:val="16"/>
              </w:rPr>
            </w:pPr>
            <w:r>
              <w:rPr>
                <w:b/>
                <w:color w:val="FFFFFF"/>
                <w:w w:val="105"/>
                <w:sz w:val="16"/>
              </w:rPr>
              <w:t>Procedure alternative</w:t>
            </w:r>
          </w:p>
        </w:tc>
      </w:tr>
      <w:tr>
        <w:trPr>
          <w:trHeight w:val="834" w:hRule="exact"/>
        </w:trPr>
        <w:tc>
          <w:tcPr>
            <w:tcW w:w="895" w:type="dxa"/>
            <w:tcBorders>
              <w:left w:val="single" w:sz="4" w:space="0" w:color="000000"/>
              <w:bottom w:val="single" w:sz="4" w:space="0" w:color="000000"/>
              <w:right w:val="single" w:sz="4" w:space="0" w:color="000000"/>
            </w:tcBorders>
            <w:shd w:val="clear" w:color="auto" w:fill="85BB24"/>
          </w:tcPr>
          <w:p>
            <w:pPr>
              <w:pStyle w:val="TableParagraph"/>
              <w:spacing w:before="8"/>
              <w:jc w:val="left"/>
              <w:rPr>
                <w:sz w:val="19"/>
              </w:rPr>
            </w:pPr>
          </w:p>
          <w:p>
            <w:pPr>
              <w:pStyle w:val="TableParagraph"/>
              <w:spacing w:line="288" w:lineRule="auto" w:before="0"/>
              <w:ind w:left="154" w:hanging="93"/>
              <w:jc w:val="left"/>
              <w:rPr>
                <w:b/>
                <w:sz w:val="16"/>
              </w:rPr>
            </w:pPr>
            <w:r>
              <w:rPr>
                <w:b/>
                <w:color w:val="FFFFFF"/>
                <w:w w:val="105"/>
                <w:sz w:val="16"/>
              </w:rPr>
              <w:t>n° risposte ricevute</w:t>
            </w:r>
          </w:p>
        </w:tc>
        <w:tc>
          <w:tcPr>
            <w:tcW w:w="1122" w:type="dxa"/>
            <w:tcBorders>
              <w:left w:val="single" w:sz="4" w:space="0" w:color="000000"/>
              <w:bottom w:val="single" w:sz="4" w:space="0" w:color="000000"/>
              <w:right w:val="single" w:sz="4" w:space="0" w:color="000000"/>
            </w:tcBorders>
            <w:shd w:val="clear" w:color="auto" w:fill="85BB24"/>
          </w:tcPr>
          <w:p>
            <w:pPr>
              <w:pStyle w:val="TableParagraph"/>
              <w:spacing w:before="0"/>
              <w:jc w:val="left"/>
              <w:rPr>
                <w:sz w:val="18"/>
              </w:rPr>
            </w:pPr>
          </w:p>
          <w:p>
            <w:pPr>
              <w:pStyle w:val="TableParagraph"/>
              <w:spacing w:before="132"/>
              <w:ind w:left="106" w:right="121"/>
              <w:jc w:val="center"/>
              <w:rPr>
                <w:b/>
                <w:sz w:val="16"/>
              </w:rPr>
            </w:pPr>
            <w:r>
              <w:rPr>
                <w:b/>
                <w:color w:val="FFFFFF"/>
                <w:w w:val="105"/>
                <w:sz w:val="16"/>
              </w:rPr>
              <w:t>Ammontare</w:t>
            </w:r>
          </w:p>
        </w:tc>
        <w:tc>
          <w:tcPr>
            <w:tcW w:w="1060" w:type="dxa"/>
            <w:tcBorders>
              <w:left w:val="single" w:sz="4" w:space="0" w:color="000000"/>
              <w:bottom w:val="single" w:sz="4" w:space="0" w:color="000000"/>
              <w:right w:val="single" w:sz="4" w:space="0" w:color="000000"/>
            </w:tcBorders>
            <w:shd w:val="clear" w:color="auto" w:fill="85BB24"/>
          </w:tcPr>
          <w:p>
            <w:pPr>
              <w:pStyle w:val="TableParagraph"/>
              <w:spacing w:line="288" w:lineRule="auto" w:before="119"/>
              <w:ind w:left="41" w:right="47" w:hanging="4"/>
              <w:jc w:val="center"/>
              <w:rPr>
                <w:b/>
                <w:sz w:val="16"/>
              </w:rPr>
            </w:pPr>
            <w:r>
              <w:rPr>
                <w:b/>
                <w:color w:val="FFFFFF"/>
                <w:w w:val="105"/>
                <w:sz w:val="16"/>
              </w:rPr>
              <w:t>% su ammontare </w:t>
            </w:r>
            <w:r>
              <w:rPr>
                <w:b/>
                <w:color w:val="FFFFFF"/>
                <w:sz w:val="16"/>
              </w:rPr>
              <w:t>circolarizzato</w:t>
            </w:r>
          </w:p>
        </w:tc>
        <w:tc>
          <w:tcPr>
            <w:tcW w:w="905" w:type="dxa"/>
            <w:tcBorders>
              <w:left w:val="single" w:sz="4" w:space="0" w:color="000000"/>
              <w:bottom w:val="single" w:sz="4" w:space="0" w:color="000000"/>
              <w:right w:val="single" w:sz="4" w:space="0" w:color="000000"/>
            </w:tcBorders>
            <w:shd w:val="clear" w:color="auto" w:fill="85BB24"/>
          </w:tcPr>
          <w:p>
            <w:pPr>
              <w:pStyle w:val="TableParagraph"/>
              <w:spacing w:before="8"/>
              <w:jc w:val="left"/>
              <w:rPr>
                <w:sz w:val="19"/>
              </w:rPr>
            </w:pPr>
          </w:p>
          <w:p>
            <w:pPr>
              <w:pStyle w:val="TableParagraph"/>
              <w:spacing w:line="288" w:lineRule="auto" w:before="0"/>
              <w:ind w:left="164" w:hanging="93"/>
              <w:jc w:val="left"/>
              <w:rPr>
                <w:b/>
                <w:sz w:val="16"/>
              </w:rPr>
            </w:pPr>
            <w:r>
              <w:rPr>
                <w:b/>
                <w:color w:val="FFFFFF"/>
                <w:w w:val="105"/>
                <w:sz w:val="16"/>
              </w:rPr>
              <w:t>n° risposte ricevute</w:t>
            </w:r>
          </w:p>
        </w:tc>
        <w:tc>
          <w:tcPr>
            <w:tcW w:w="978" w:type="dxa"/>
            <w:tcBorders>
              <w:left w:val="single" w:sz="4" w:space="0" w:color="000000"/>
              <w:bottom w:val="single" w:sz="4" w:space="0" w:color="000000"/>
              <w:right w:val="single" w:sz="4" w:space="0" w:color="000000"/>
            </w:tcBorders>
            <w:shd w:val="clear" w:color="auto" w:fill="85BB24"/>
          </w:tcPr>
          <w:p>
            <w:pPr>
              <w:pStyle w:val="TableParagraph"/>
              <w:spacing w:before="0"/>
              <w:jc w:val="left"/>
              <w:rPr>
                <w:sz w:val="18"/>
              </w:rPr>
            </w:pPr>
          </w:p>
          <w:p>
            <w:pPr>
              <w:pStyle w:val="TableParagraph"/>
              <w:spacing w:before="132"/>
              <w:ind w:left="34" w:right="49"/>
              <w:jc w:val="center"/>
              <w:rPr>
                <w:b/>
                <w:sz w:val="16"/>
              </w:rPr>
            </w:pPr>
            <w:r>
              <w:rPr>
                <w:b/>
                <w:color w:val="FFFFFF"/>
                <w:w w:val="105"/>
                <w:sz w:val="16"/>
              </w:rPr>
              <w:t>Ammontare</w:t>
            </w:r>
          </w:p>
        </w:tc>
        <w:tc>
          <w:tcPr>
            <w:tcW w:w="1080" w:type="dxa"/>
            <w:tcBorders>
              <w:left w:val="single" w:sz="4" w:space="0" w:color="000000"/>
              <w:bottom w:val="single" w:sz="4" w:space="0" w:color="000000"/>
              <w:right w:val="single" w:sz="4" w:space="0" w:color="000000"/>
            </w:tcBorders>
            <w:shd w:val="clear" w:color="auto" w:fill="85BB24"/>
          </w:tcPr>
          <w:p>
            <w:pPr>
              <w:pStyle w:val="TableParagraph"/>
              <w:spacing w:line="288" w:lineRule="auto" w:before="119"/>
              <w:ind w:left="51" w:right="57" w:hanging="4"/>
              <w:jc w:val="center"/>
              <w:rPr>
                <w:b/>
                <w:sz w:val="16"/>
              </w:rPr>
            </w:pPr>
            <w:r>
              <w:rPr>
                <w:b/>
                <w:color w:val="FFFFFF"/>
                <w:w w:val="105"/>
                <w:sz w:val="16"/>
              </w:rPr>
              <w:t>% su ammontare </w:t>
            </w:r>
            <w:r>
              <w:rPr>
                <w:b/>
                <w:color w:val="FFFFFF"/>
                <w:sz w:val="16"/>
              </w:rPr>
              <w:t>circolarizzato</w:t>
            </w:r>
          </w:p>
        </w:tc>
        <w:tc>
          <w:tcPr>
            <w:tcW w:w="977" w:type="dxa"/>
            <w:tcBorders>
              <w:left w:val="single" w:sz="4" w:space="0" w:color="000000"/>
              <w:bottom w:val="single" w:sz="4" w:space="0" w:color="000000"/>
              <w:right w:val="single" w:sz="4" w:space="0" w:color="000000"/>
            </w:tcBorders>
            <w:shd w:val="clear" w:color="auto" w:fill="85BB24"/>
          </w:tcPr>
          <w:p>
            <w:pPr>
              <w:pStyle w:val="TableParagraph"/>
              <w:spacing w:before="8"/>
              <w:jc w:val="left"/>
              <w:rPr>
                <w:sz w:val="19"/>
              </w:rPr>
            </w:pPr>
          </w:p>
          <w:p>
            <w:pPr>
              <w:pStyle w:val="TableParagraph"/>
              <w:spacing w:line="288" w:lineRule="auto" w:before="0"/>
              <w:ind w:left="113" w:right="8" w:hanging="93"/>
              <w:jc w:val="left"/>
              <w:rPr>
                <w:b/>
                <w:sz w:val="16"/>
              </w:rPr>
            </w:pPr>
            <w:r>
              <w:rPr>
                <w:b/>
                <w:color w:val="FFFFFF"/>
                <w:w w:val="105"/>
                <w:sz w:val="16"/>
              </w:rPr>
              <w:t>n° procedure alternative</w:t>
            </w:r>
          </w:p>
        </w:tc>
        <w:tc>
          <w:tcPr>
            <w:tcW w:w="916" w:type="dxa"/>
            <w:tcBorders>
              <w:left w:val="single" w:sz="4" w:space="0" w:color="000000"/>
              <w:bottom w:val="single" w:sz="4" w:space="0" w:color="000000"/>
              <w:right w:val="single" w:sz="4" w:space="0" w:color="000000"/>
            </w:tcBorders>
            <w:shd w:val="clear" w:color="auto" w:fill="85BB24"/>
          </w:tcPr>
          <w:p>
            <w:pPr>
              <w:pStyle w:val="TableParagraph"/>
              <w:spacing w:before="0"/>
              <w:jc w:val="left"/>
              <w:rPr>
                <w:sz w:val="18"/>
              </w:rPr>
            </w:pPr>
          </w:p>
          <w:p>
            <w:pPr>
              <w:pStyle w:val="TableParagraph"/>
              <w:spacing w:before="132"/>
              <w:ind w:left="4" w:right="18"/>
              <w:jc w:val="center"/>
              <w:rPr>
                <w:b/>
                <w:sz w:val="16"/>
              </w:rPr>
            </w:pPr>
            <w:r>
              <w:rPr>
                <w:b/>
                <w:color w:val="FFFFFF"/>
                <w:w w:val="105"/>
                <w:sz w:val="16"/>
              </w:rPr>
              <w:t>Ammontare</w:t>
            </w:r>
          </w:p>
        </w:tc>
        <w:tc>
          <w:tcPr>
            <w:tcW w:w="1121" w:type="dxa"/>
            <w:tcBorders>
              <w:left w:val="single" w:sz="4" w:space="0" w:color="000000"/>
              <w:bottom w:val="single" w:sz="4" w:space="0" w:color="000000"/>
              <w:right w:val="single" w:sz="4" w:space="0" w:color="000000"/>
            </w:tcBorders>
            <w:shd w:val="clear" w:color="auto" w:fill="85BB24"/>
          </w:tcPr>
          <w:p>
            <w:pPr>
              <w:pStyle w:val="TableParagraph"/>
              <w:spacing w:line="288" w:lineRule="auto" w:before="119"/>
              <w:ind w:left="72" w:right="78" w:hanging="4"/>
              <w:jc w:val="center"/>
              <w:rPr>
                <w:b/>
                <w:sz w:val="16"/>
              </w:rPr>
            </w:pPr>
            <w:r>
              <w:rPr>
                <w:b/>
                <w:color w:val="FFFFFF"/>
                <w:w w:val="105"/>
                <w:sz w:val="16"/>
              </w:rPr>
              <w:t>% su ammontare </w:t>
            </w:r>
            <w:r>
              <w:rPr>
                <w:b/>
                <w:color w:val="FFFFFF"/>
                <w:sz w:val="16"/>
              </w:rPr>
              <w:t>circolarizzato</w:t>
            </w:r>
          </w:p>
        </w:tc>
      </w:tr>
      <w:tr>
        <w:trPr>
          <w:trHeight w:val="229" w:hRule="exact"/>
        </w:trPr>
        <w:tc>
          <w:tcPr>
            <w:tcW w:w="895" w:type="dxa"/>
            <w:tcBorders>
              <w:top w:val="single" w:sz="4" w:space="0" w:color="000000"/>
              <w:left w:val="single" w:sz="4" w:space="0" w:color="000000"/>
              <w:bottom w:val="nil"/>
              <w:right w:val="single" w:sz="4" w:space="0" w:color="000000"/>
            </w:tcBorders>
          </w:tcPr>
          <w:p>
            <w:pPr>
              <w:pStyle w:val="TableParagraph"/>
              <w:spacing w:before="27"/>
              <w:ind w:left="360"/>
              <w:jc w:val="left"/>
              <w:rPr>
                <w:sz w:val="16"/>
              </w:rPr>
            </w:pPr>
            <w:r>
              <w:rPr>
                <w:w w:val="105"/>
                <w:sz w:val="16"/>
              </w:rPr>
              <w:t>50</w:t>
            </w:r>
          </w:p>
        </w:tc>
        <w:tc>
          <w:tcPr>
            <w:tcW w:w="1122" w:type="dxa"/>
            <w:tcBorders>
              <w:top w:val="single" w:sz="4" w:space="0" w:color="000000"/>
              <w:left w:val="single" w:sz="4" w:space="0" w:color="000000"/>
              <w:bottom w:val="nil"/>
              <w:right w:val="single" w:sz="4" w:space="0" w:color="000000"/>
            </w:tcBorders>
          </w:tcPr>
          <w:p>
            <w:pPr>
              <w:pStyle w:val="TableParagraph"/>
              <w:spacing w:before="27"/>
              <w:ind w:left="106" w:right="109"/>
              <w:jc w:val="center"/>
              <w:rPr>
                <w:sz w:val="16"/>
              </w:rPr>
            </w:pPr>
            <w:r>
              <w:rPr>
                <w:w w:val="105"/>
                <w:sz w:val="16"/>
              </w:rPr>
              <w:t>(3.400.416)</w:t>
            </w:r>
          </w:p>
        </w:tc>
        <w:tc>
          <w:tcPr>
            <w:tcW w:w="1060" w:type="dxa"/>
            <w:tcBorders>
              <w:top w:val="single" w:sz="4" w:space="0" w:color="000000"/>
              <w:left w:val="single" w:sz="4" w:space="0" w:color="000000"/>
              <w:bottom w:val="nil"/>
              <w:right w:val="single" w:sz="4" w:space="0" w:color="000000"/>
            </w:tcBorders>
          </w:tcPr>
          <w:p>
            <w:pPr>
              <w:pStyle w:val="TableParagraph"/>
              <w:spacing w:before="27"/>
              <w:ind w:left="345" w:right="346"/>
              <w:jc w:val="center"/>
              <w:rPr>
                <w:sz w:val="16"/>
              </w:rPr>
            </w:pPr>
            <w:r>
              <w:rPr>
                <w:w w:val="105"/>
                <w:sz w:val="16"/>
              </w:rPr>
              <w:t>35%</w:t>
            </w:r>
          </w:p>
        </w:tc>
        <w:tc>
          <w:tcPr>
            <w:tcW w:w="905" w:type="dxa"/>
            <w:tcBorders>
              <w:top w:val="single" w:sz="4" w:space="0" w:color="000000"/>
              <w:left w:val="single" w:sz="4" w:space="0" w:color="000000"/>
              <w:bottom w:val="nil"/>
              <w:right w:val="single" w:sz="4" w:space="0" w:color="000000"/>
            </w:tcBorders>
          </w:tcPr>
          <w:p>
            <w:pPr>
              <w:pStyle w:val="TableParagraph"/>
              <w:spacing w:before="27"/>
              <w:ind w:left="360"/>
              <w:jc w:val="left"/>
              <w:rPr>
                <w:sz w:val="16"/>
              </w:rPr>
            </w:pPr>
            <w:r>
              <w:rPr>
                <w:w w:val="105"/>
                <w:sz w:val="16"/>
              </w:rPr>
              <w:t>22</w:t>
            </w:r>
          </w:p>
        </w:tc>
        <w:tc>
          <w:tcPr>
            <w:tcW w:w="978" w:type="dxa"/>
            <w:tcBorders>
              <w:top w:val="single" w:sz="4" w:space="0" w:color="000000"/>
              <w:left w:val="single" w:sz="4" w:space="0" w:color="000000"/>
              <w:bottom w:val="nil"/>
              <w:right w:val="single" w:sz="4" w:space="0" w:color="000000"/>
            </w:tcBorders>
          </w:tcPr>
          <w:p>
            <w:pPr>
              <w:pStyle w:val="TableParagraph"/>
              <w:spacing w:before="27"/>
              <w:ind w:left="34" w:right="37"/>
              <w:jc w:val="center"/>
              <w:rPr>
                <w:sz w:val="16"/>
              </w:rPr>
            </w:pPr>
            <w:r>
              <w:rPr>
                <w:w w:val="105"/>
                <w:sz w:val="16"/>
              </w:rPr>
              <w:t>(5.458.330)</w:t>
            </w:r>
          </w:p>
        </w:tc>
        <w:tc>
          <w:tcPr>
            <w:tcW w:w="1080" w:type="dxa"/>
            <w:tcBorders>
              <w:top w:val="single" w:sz="4" w:space="0" w:color="000000"/>
              <w:left w:val="single" w:sz="4" w:space="0" w:color="000000"/>
              <w:bottom w:val="nil"/>
              <w:right w:val="single" w:sz="4" w:space="0" w:color="000000"/>
            </w:tcBorders>
          </w:tcPr>
          <w:p>
            <w:pPr>
              <w:pStyle w:val="TableParagraph"/>
              <w:spacing w:before="27"/>
              <w:ind w:left="356" w:right="357"/>
              <w:jc w:val="center"/>
              <w:rPr>
                <w:sz w:val="16"/>
              </w:rPr>
            </w:pPr>
            <w:r>
              <w:rPr>
                <w:w w:val="105"/>
                <w:sz w:val="16"/>
              </w:rPr>
              <w:t>57%</w:t>
            </w:r>
          </w:p>
        </w:tc>
        <w:tc>
          <w:tcPr>
            <w:tcW w:w="977" w:type="dxa"/>
            <w:tcBorders>
              <w:top w:val="single" w:sz="4" w:space="0" w:color="000000"/>
              <w:left w:val="single" w:sz="4" w:space="0" w:color="000000"/>
              <w:bottom w:val="nil"/>
              <w:right w:val="single" w:sz="4" w:space="0" w:color="000000"/>
            </w:tcBorders>
          </w:tcPr>
          <w:p>
            <w:pPr>
              <w:pStyle w:val="TableParagraph"/>
              <w:spacing w:before="27"/>
              <w:ind w:left="401"/>
              <w:jc w:val="left"/>
              <w:rPr>
                <w:sz w:val="16"/>
              </w:rPr>
            </w:pPr>
            <w:r>
              <w:rPr>
                <w:w w:val="105"/>
                <w:sz w:val="16"/>
              </w:rPr>
              <w:t>31</w:t>
            </w:r>
          </w:p>
        </w:tc>
        <w:tc>
          <w:tcPr>
            <w:tcW w:w="916" w:type="dxa"/>
            <w:tcBorders>
              <w:top w:val="single" w:sz="4" w:space="0" w:color="000000"/>
              <w:left w:val="single" w:sz="4" w:space="0" w:color="000000"/>
              <w:bottom w:val="nil"/>
              <w:right w:val="single" w:sz="4" w:space="0" w:color="000000"/>
            </w:tcBorders>
          </w:tcPr>
          <w:p>
            <w:pPr>
              <w:pStyle w:val="TableParagraph"/>
              <w:spacing w:before="27"/>
              <w:ind w:left="4" w:right="7"/>
              <w:jc w:val="center"/>
              <w:rPr>
                <w:sz w:val="16"/>
              </w:rPr>
            </w:pPr>
            <w:r>
              <w:rPr>
                <w:w w:val="105"/>
                <w:sz w:val="16"/>
              </w:rPr>
              <w:t>(723.429)</w:t>
            </w:r>
          </w:p>
        </w:tc>
        <w:tc>
          <w:tcPr>
            <w:tcW w:w="1121" w:type="dxa"/>
            <w:tcBorders>
              <w:top w:val="single" w:sz="4" w:space="0" w:color="000000"/>
              <w:left w:val="single" w:sz="4" w:space="0" w:color="000000"/>
              <w:bottom w:val="nil"/>
              <w:right w:val="single" w:sz="4" w:space="0" w:color="000000"/>
            </w:tcBorders>
          </w:tcPr>
          <w:p>
            <w:pPr>
              <w:pStyle w:val="TableParagraph"/>
              <w:spacing w:before="27"/>
              <w:ind w:left="347" w:right="348"/>
              <w:jc w:val="center"/>
              <w:rPr>
                <w:sz w:val="16"/>
              </w:rPr>
            </w:pPr>
            <w:r>
              <w:rPr>
                <w:w w:val="105"/>
                <w:sz w:val="16"/>
              </w:rPr>
              <w:t>8%</w:t>
            </w:r>
          </w:p>
        </w:tc>
      </w:tr>
      <w:tr>
        <w:trPr>
          <w:trHeight w:val="203" w:hRule="exact"/>
        </w:trPr>
        <w:tc>
          <w:tcPr>
            <w:tcW w:w="895" w:type="dxa"/>
            <w:tcBorders>
              <w:top w:val="nil"/>
              <w:left w:val="single" w:sz="4" w:space="0" w:color="000000"/>
              <w:bottom w:val="single" w:sz="4" w:space="0" w:color="000000"/>
              <w:right w:val="single" w:sz="4" w:space="0" w:color="000000"/>
            </w:tcBorders>
          </w:tcPr>
          <w:p>
            <w:pPr>
              <w:pStyle w:val="TableParagraph"/>
              <w:spacing w:before="19"/>
              <w:ind w:left="401"/>
              <w:jc w:val="left"/>
              <w:rPr>
                <w:sz w:val="16"/>
              </w:rPr>
            </w:pPr>
            <w:r>
              <w:rPr>
                <w:w w:val="103"/>
                <w:sz w:val="16"/>
              </w:rPr>
              <w:t>0</w:t>
            </w:r>
          </w:p>
        </w:tc>
        <w:tc>
          <w:tcPr>
            <w:tcW w:w="1122" w:type="dxa"/>
            <w:tcBorders>
              <w:top w:val="nil"/>
              <w:left w:val="single" w:sz="4" w:space="0" w:color="000000"/>
              <w:bottom w:val="single" w:sz="4" w:space="0" w:color="000000"/>
              <w:right w:val="single" w:sz="4" w:space="0" w:color="000000"/>
            </w:tcBorders>
          </w:tcPr>
          <w:p>
            <w:pPr>
              <w:pStyle w:val="TableParagraph"/>
              <w:spacing w:before="19"/>
              <w:ind w:right="4"/>
              <w:jc w:val="center"/>
              <w:rPr>
                <w:sz w:val="16"/>
              </w:rPr>
            </w:pPr>
            <w:r>
              <w:rPr>
                <w:w w:val="103"/>
                <w:sz w:val="16"/>
              </w:rPr>
              <w:t>0</w:t>
            </w:r>
          </w:p>
        </w:tc>
        <w:tc>
          <w:tcPr>
            <w:tcW w:w="1060" w:type="dxa"/>
            <w:tcBorders>
              <w:top w:val="nil"/>
              <w:left w:val="single" w:sz="4" w:space="0" w:color="000000"/>
              <w:bottom w:val="single" w:sz="4" w:space="0" w:color="000000"/>
              <w:right w:val="single" w:sz="4" w:space="0" w:color="000000"/>
            </w:tcBorders>
          </w:tcPr>
          <w:p>
            <w:pPr>
              <w:pStyle w:val="TableParagraph"/>
              <w:spacing w:before="19"/>
              <w:ind w:left="345" w:right="346"/>
              <w:jc w:val="center"/>
              <w:rPr>
                <w:sz w:val="16"/>
              </w:rPr>
            </w:pPr>
            <w:r>
              <w:rPr>
                <w:w w:val="105"/>
                <w:sz w:val="16"/>
              </w:rPr>
              <w:t>0%</w:t>
            </w:r>
          </w:p>
        </w:tc>
        <w:tc>
          <w:tcPr>
            <w:tcW w:w="905" w:type="dxa"/>
            <w:tcBorders>
              <w:top w:val="nil"/>
              <w:left w:val="single" w:sz="4" w:space="0" w:color="000000"/>
              <w:bottom w:val="single" w:sz="4" w:space="0" w:color="000000"/>
              <w:right w:val="single" w:sz="4" w:space="0" w:color="000000"/>
            </w:tcBorders>
          </w:tcPr>
          <w:p>
            <w:pPr>
              <w:pStyle w:val="TableParagraph"/>
              <w:spacing w:before="19"/>
              <w:ind w:left="401"/>
              <w:jc w:val="left"/>
              <w:rPr>
                <w:sz w:val="16"/>
              </w:rPr>
            </w:pPr>
            <w:r>
              <w:rPr>
                <w:w w:val="103"/>
                <w:sz w:val="16"/>
              </w:rPr>
              <w:t>0</w:t>
            </w:r>
          </w:p>
        </w:tc>
        <w:tc>
          <w:tcPr>
            <w:tcW w:w="978" w:type="dxa"/>
            <w:tcBorders>
              <w:top w:val="nil"/>
              <w:left w:val="single" w:sz="4" w:space="0" w:color="000000"/>
              <w:bottom w:val="single" w:sz="4" w:space="0" w:color="000000"/>
              <w:right w:val="single" w:sz="4" w:space="0" w:color="000000"/>
            </w:tcBorders>
          </w:tcPr>
          <w:p>
            <w:pPr>
              <w:pStyle w:val="TableParagraph"/>
              <w:spacing w:before="19"/>
              <w:ind w:right="2"/>
              <w:jc w:val="center"/>
              <w:rPr>
                <w:sz w:val="16"/>
              </w:rPr>
            </w:pPr>
            <w:r>
              <w:rPr>
                <w:w w:val="103"/>
                <w:sz w:val="16"/>
              </w:rPr>
              <w:t>0</w:t>
            </w:r>
          </w:p>
        </w:tc>
        <w:tc>
          <w:tcPr>
            <w:tcW w:w="1080" w:type="dxa"/>
            <w:tcBorders>
              <w:top w:val="nil"/>
              <w:left w:val="single" w:sz="4" w:space="0" w:color="000000"/>
              <w:bottom w:val="single" w:sz="4" w:space="0" w:color="000000"/>
              <w:right w:val="single" w:sz="4" w:space="0" w:color="000000"/>
            </w:tcBorders>
          </w:tcPr>
          <w:p>
            <w:pPr>
              <w:pStyle w:val="TableParagraph"/>
              <w:spacing w:before="19"/>
              <w:ind w:left="356" w:right="357"/>
              <w:jc w:val="center"/>
              <w:rPr>
                <w:sz w:val="16"/>
              </w:rPr>
            </w:pPr>
            <w:r>
              <w:rPr>
                <w:w w:val="105"/>
                <w:sz w:val="16"/>
              </w:rPr>
              <w:t>0%</w:t>
            </w:r>
          </w:p>
        </w:tc>
        <w:tc>
          <w:tcPr>
            <w:tcW w:w="977" w:type="dxa"/>
            <w:tcBorders>
              <w:top w:val="nil"/>
              <w:left w:val="single" w:sz="4" w:space="0" w:color="000000"/>
              <w:bottom w:val="single" w:sz="4" w:space="0" w:color="000000"/>
              <w:right w:val="single" w:sz="4" w:space="0" w:color="000000"/>
            </w:tcBorders>
          </w:tcPr>
          <w:p>
            <w:pPr>
              <w:pStyle w:val="TableParagraph"/>
              <w:spacing w:before="19"/>
              <w:ind w:left="442"/>
              <w:jc w:val="left"/>
              <w:rPr>
                <w:sz w:val="16"/>
              </w:rPr>
            </w:pPr>
            <w:r>
              <w:rPr>
                <w:w w:val="103"/>
                <w:sz w:val="16"/>
              </w:rPr>
              <w:t>2</w:t>
            </w:r>
          </w:p>
        </w:tc>
        <w:tc>
          <w:tcPr>
            <w:tcW w:w="916" w:type="dxa"/>
            <w:tcBorders>
              <w:top w:val="nil"/>
              <w:left w:val="single" w:sz="4" w:space="0" w:color="000000"/>
              <w:bottom w:val="single" w:sz="4" w:space="0" w:color="000000"/>
              <w:right w:val="single" w:sz="4" w:space="0" w:color="000000"/>
            </w:tcBorders>
          </w:tcPr>
          <w:p>
            <w:pPr>
              <w:pStyle w:val="TableParagraph"/>
              <w:spacing w:before="19"/>
              <w:ind w:left="4" w:right="7"/>
              <w:jc w:val="center"/>
              <w:rPr>
                <w:sz w:val="16"/>
              </w:rPr>
            </w:pPr>
            <w:r>
              <w:rPr>
                <w:w w:val="105"/>
                <w:sz w:val="16"/>
              </w:rPr>
              <w:t>(37.503)</w:t>
            </w:r>
          </w:p>
        </w:tc>
        <w:tc>
          <w:tcPr>
            <w:tcW w:w="1121" w:type="dxa"/>
            <w:tcBorders>
              <w:top w:val="nil"/>
              <w:left w:val="single" w:sz="4" w:space="0" w:color="000000"/>
              <w:bottom w:val="single" w:sz="4" w:space="0" w:color="000000"/>
              <w:right w:val="single" w:sz="4" w:space="0" w:color="000000"/>
            </w:tcBorders>
          </w:tcPr>
          <w:p>
            <w:pPr>
              <w:pStyle w:val="TableParagraph"/>
              <w:spacing w:before="19"/>
              <w:ind w:left="347" w:right="348"/>
              <w:jc w:val="center"/>
              <w:rPr>
                <w:sz w:val="16"/>
              </w:rPr>
            </w:pPr>
            <w:r>
              <w:rPr>
                <w:w w:val="105"/>
                <w:sz w:val="16"/>
              </w:rPr>
              <w:t>100%</w:t>
            </w:r>
          </w:p>
        </w:tc>
      </w:tr>
      <w:tr>
        <w:trPr>
          <w:trHeight w:val="216" w:hRule="exact"/>
        </w:trPr>
        <w:tc>
          <w:tcPr>
            <w:tcW w:w="895" w:type="dxa"/>
            <w:tcBorders>
              <w:top w:val="single" w:sz="4" w:space="0" w:color="000000"/>
              <w:left w:val="single" w:sz="4" w:space="0" w:color="000000"/>
              <w:bottom w:val="single" w:sz="4" w:space="0" w:color="000000"/>
              <w:right w:val="single" w:sz="4" w:space="0" w:color="000000"/>
            </w:tcBorders>
          </w:tcPr>
          <w:p>
            <w:pPr>
              <w:pStyle w:val="TableParagraph"/>
              <w:spacing w:before="27"/>
              <w:ind w:left="360"/>
              <w:jc w:val="left"/>
              <w:rPr>
                <w:b/>
                <w:sz w:val="16"/>
              </w:rPr>
            </w:pPr>
            <w:r>
              <w:rPr>
                <w:b/>
                <w:w w:val="105"/>
                <w:sz w:val="16"/>
              </w:rPr>
              <w:t>50</w:t>
            </w:r>
          </w:p>
        </w:tc>
        <w:tc>
          <w:tcPr>
            <w:tcW w:w="1122" w:type="dxa"/>
            <w:tcBorders>
              <w:top w:val="single" w:sz="4" w:space="0" w:color="000000"/>
              <w:left w:val="single" w:sz="4" w:space="0" w:color="000000"/>
              <w:bottom w:val="single" w:sz="4" w:space="0" w:color="000000"/>
              <w:right w:val="single" w:sz="4" w:space="0" w:color="000000"/>
            </w:tcBorders>
          </w:tcPr>
          <w:p>
            <w:pPr>
              <w:pStyle w:val="TableParagraph"/>
              <w:spacing w:before="27"/>
              <w:ind w:left="106" w:right="109"/>
              <w:jc w:val="center"/>
              <w:rPr>
                <w:b/>
                <w:sz w:val="16"/>
              </w:rPr>
            </w:pPr>
            <w:r>
              <w:rPr>
                <w:b/>
                <w:w w:val="105"/>
                <w:sz w:val="16"/>
              </w:rPr>
              <w:t>(3.400.416)</w:t>
            </w:r>
          </w:p>
        </w:tc>
        <w:tc>
          <w:tcPr>
            <w:tcW w:w="1060" w:type="dxa"/>
            <w:tcBorders>
              <w:top w:val="single" w:sz="4" w:space="0" w:color="000000"/>
              <w:left w:val="single" w:sz="4" w:space="0" w:color="000000"/>
              <w:bottom w:val="single" w:sz="4" w:space="0" w:color="000000"/>
              <w:right w:val="single" w:sz="4" w:space="0" w:color="000000"/>
            </w:tcBorders>
          </w:tcPr>
          <w:p>
            <w:pPr>
              <w:pStyle w:val="TableParagraph"/>
              <w:spacing w:before="27"/>
              <w:ind w:left="356" w:right="338"/>
              <w:jc w:val="center"/>
              <w:rPr>
                <w:b/>
                <w:sz w:val="16"/>
              </w:rPr>
            </w:pPr>
            <w:r>
              <w:rPr>
                <w:b/>
                <w:w w:val="105"/>
                <w:sz w:val="16"/>
              </w:rPr>
              <w:t>35%</w:t>
            </w:r>
          </w:p>
        </w:tc>
        <w:tc>
          <w:tcPr>
            <w:tcW w:w="905" w:type="dxa"/>
            <w:tcBorders>
              <w:top w:val="single" w:sz="4" w:space="0" w:color="000000"/>
              <w:left w:val="single" w:sz="4" w:space="0" w:color="000000"/>
              <w:bottom w:val="single" w:sz="4" w:space="0" w:color="000000"/>
              <w:right w:val="single" w:sz="4" w:space="0" w:color="000000"/>
            </w:tcBorders>
          </w:tcPr>
          <w:p>
            <w:pPr>
              <w:pStyle w:val="TableParagraph"/>
              <w:spacing w:before="27"/>
              <w:ind w:left="360"/>
              <w:jc w:val="left"/>
              <w:rPr>
                <w:b/>
                <w:sz w:val="16"/>
              </w:rPr>
            </w:pPr>
            <w:r>
              <w:rPr>
                <w:b/>
                <w:w w:val="105"/>
                <w:sz w:val="16"/>
              </w:rPr>
              <w:t>22</w:t>
            </w:r>
          </w:p>
        </w:tc>
        <w:tc>
          <w:tcPr>
            <w:tcW w:w="978" w:type="dxa"/>
            <w:tcBorders>
              <w:top w:val="single" w:sz="4" w:space="0" w:color="000000"/>
              <w:left w:val="single" w:sz="4" w:space="0" w:color="000000"/>
              <w:bottom w:val="single" w:sz="4" w:space="0" w:color="000000"/>
              <w:right w:val="single" w:sz="4" w:space="0" w:color="000000"/>
            </w:tcBorders>
          </w:tcPr>
          <w:p>
            <w:pPr>
              <w:pStyle w:val="TableParagraph"/>
              <w:spacing w:before="27"/>
              <w:ind w:left="34" w:right="37"/>
              <w:jc w:val="center"/>
              <w:rPr>
                <w:b/>
                <w:sz w:val="16"/>
              </w:rPr>
            </w:pPr>
            <w:r>
              <w:rPr>
                <w:b/>
                <w:w w:val="105"/>
                <w:sz w:val="16"/>
              </w:rPr>
              <w:t>(5.458.330)</w:t>
            </w:r>
          </w:p>
        </w:tc>
        <w:tc>
          <w:tcPr>
            <w:tcW w:w="1080" w:type="dxa"/>
            <w:tcBorders>
              <w:top w:val="single" w:sz="4" w:space="0" w:color="000000"/>
              <w:left w:val="single" w:sz="4" w:space="0" w:color="000000"/>
              <w:bottom w:val="single" w:sz="4" w:space="0" w:color="000000"/>
              <w:right w:val="single" w:sz="4" w:space="0" w:color="000000"/>
            </w:tcBorders>
          </w:tcPr>
          <w:p>
            <w:pPr>
              <w:pStyle w:val="TableParagraph"/>
              <w:spacing w:before="27"/>
              <w:ind w:left="359" w:right="341"/>
              <w:jc w:val="center"/>
              <w:rPr>
                <w:b/>
                <w:sz w:val="16"/>
              </w:rPr>
            </w:pPr>
            <w:r>
              <w:rPr>
                <w:b/>
                <w:w w:val="105"/>
                <w:sz w:val="16"/>
              </w:rPr>
              <w:t>57%</w:t>
            </w:r>
          </w:p>
        </w:tc>
        <w:tc>
          <w:tcPr>
            <w:tcW w:w="977" w:type="dxa"/>
            <w:tcBorders>
              <w:top w:val="single" w:sz="4" w:space="0" w:color="000000"/>
              <w:left w:val="single" w:sz="4" w:space="0" w:color="000000"/>
              <w:bottom w:val="single" w:sz="4" w:space="0" w:color="000000"/>
              <w:right w:val="single" w:sz="4" w:space="0" w:color="000000"/>
            </w:tcBorders>
          </w:tcPr>
          <w:p>
            <w:pPr>
              <w:pStyle w:val="TableParagraph"/>
              <w:spacing w:before="27"/>
              <w:ind w:left="401"/>
              <w:jc w:val="left"/>
              <w:rPr>
                <w:b/>
                <w:sz w:val="16"/>
              </w:rPr>
            </w:pPr>
            <w:r>
              <w:rPr>
                <w:b/>
                <w:w w:val="105"/>
                <w:sz w:val="16"/>
              </w:rPr>
              <w:t>33</w:t>
            </w:r>
          </w:p>
        </w:tc>
        <w:tc>
          <w:tcPr>
            <w:tcW w:w="916" w:type="dxa"/>
            <w:tcBorders>
              <w:top w:val="single" w:sz="4" w:space="0" w:color="000000"/>
              <w:left w:val="single" w:sz="4" w:space="0" w:color="000000"/>
              <w:bottom w:val="single" w:sz="4" w:space="0" w:color="000000"/>
              <w:right w:val="single" w:sz="4" w:space="0" w:color="000000"/>
            </w:tcBorders>
          </w:tcPr>
          <w:p>
            <w:pPr>
              <w:pStyle w:val="TableParagraph"/>
              <w:spacing w:before="27"/>
              <w:ind w:left="4" w:right="7"/>
              <w:jc w:val="center"/>
              <w:rPr>
                <w:b/>
                <w:sz w:val="16"/>
              </w:rPr>
            </w:pPr>
            <w:r>
              <w:rPr>
                <w:b/>
                <w:w w:val="105"/>
                <w:sz w:val="16"/>
              </w:rPr>
              <w:t>(760.932)</w:t>
            </w:r>
          </w:p>
        </w:tc>
        <w:tc>
          <w:tcPr>
            <w:tcW w:w="1121" w:type="dxa"/>
            <w:tcBorders>
              <w:top w:val="single" w:sz="4" w:space="0" w:color="000000"/>
              <w:left w:val="single" w:sz="4" w:space="0" w:color="000000"/>
              <w:bottom w:val="single" w:sz="4" w:space="0" w:color="000000"/>
              <w:right w:val="single" w:sz="4" w:space="0" w:color="000000"/>
            </w:tcBorders>
          </w:tcPr>
          <w:p>
            <w:pPr>
              <w:pStyle w:val="TableParagraph"/>
              <w:spacing w:before="27"/>
              <w:ind w:left="347" w:right="329"/>
              <w:jc w:val="center"/>
              <w:rPr>
                <w:b/>
                <w:sz w:val="16"/>
              </w:rPr>
            </w:pPr>
            <w:r>
              <w:rPr>
                <w:b/>
                <w:w w:val="105"/>
                <w:sz w:val="16"/>
              </w:rPr>
              <w:t>8%</w:t>
            </w:r>
          </w:p>
        </w:tc>
      </w:tr>
    </w:tbl>
    <w:p>
      <w:pPr>
        <w:pStyle w:val="BodyText"/>
        <w:rPr>
          <w:sz w:val="20"/>
        </w:rPr>
      </w:pPr>
    </w:p>
    <w:p>
      <w:pPr>
        <w:pStyle w:val="BodyText"/>
        <w:spacing w:before="3"/>
        <w:rPr>
          <w:sz w:val="23"/>
        </w:rPr>
      </w:pPr>
    </w:p>
    <w:p>
      <w:pPr>
        <w:pStyle w:val="BodyText"/>
        <w:ind w:left="1418"/>
        <w:jc w:val="both"/>
      </w:pPr>
      <w:r>
        <w:rPr/>
        <w:t>Ai fini dell’analisi della veridicità dei dati, con riferimento ai creditori privilegiati ex art. 2751 bis</w:t>
      </w:r>
    </w:p>
    <w:p>
      <w:pPr>
        <w:pStyle w:val="BodyText"/>
        <w:spacing w:before="10"/>
        <w:rPr>
          <w:sz w:val="23"/>
        </w:rPr>
      </w:pPr>
    </w:p>
    <w:p>
      <w:pPr>
        <w:pStyle w:val="BodyText"/>
        <w:spacing w:line="480" w:lineRule="auto"/>
        <w:ind w:left="1418" w:right="1416"/>
        <w:jc w:val="both"/>
      </w:pPr>
      <w:r>
        <w:rPr/>
        <w:t>n. 2 c.c., gli scriventi hanno verificato che l’importo stanziato in via privilegiata corrispondesse ai compensi (e alla cassa professionale per i dottori commercialisti) relativi agli ultimi due anni di prestazione.</w:t>
      </w:r>
    </w:p>
    <w:p>
      <w:pPr>
        <w:pStyle w:val="BodyText"/>
        <w:spacing w:line="480" w:lineRule="auto"/>
        <w:ind w:left="1418" w:right="1414"/>
        <w:jc w:val="both"/>
      </w:pPr>
      <w:r>
        <w:rPr/>
        <w:t>Con riferimento ai creditori privilegiati ex art. 2751 bis n. 5 c.c., gli scriventi hanno verificato che l’importo stanziato in via privilegiata corrispondesse all’imponibile indicato nelle fatture e che l’importo stanziato in via chirografaria corrispondesse all’IVA. In particolare hanno verificato la sussistenza dei requisiti previsti dalla legge ai fini del riconoscimento del privilegio, ovvero hanno esaminato a campione le visure camerali (al fine di verificare l’iscrizione del creditore al registro imprese quale impresa artigiana, la tipologia di attività svolta e il numero di dipendenti   impiegati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presso le aziende), le dichiarazioni IVA (al fine di verificare l’importo del volume d’affari) nonché le note integrative (al fine di verificare lo scopo a mutualità prevalente delle società cooperative), qualora fornite dai creditori stessi.</w:t>
      </w:r>
    </w:p>
    <w:p>
      <w:pPr>
        <w:pStyle w:val="BodyText"/>
        <w:spacing w:line="480" w:lineRule="auto"/>
        <w:ind w:left="1418" w:right="1415"/>
        <w:jc w:val="both"/>
      </w:pPr>
      <w:r>
        <w:rPr/>
        <w:t>Per quanto riguarda gli interessi, si ricorda che gli stessi sono stati stanziati nel fondo interessi e si precisa che gli scriventi hanno verificato il calcolo degli interessi legali dal 16 ottobre 2017 alla data del 31 dicembre 2020. Si rimanda al paragrafo apposito sui fondi rischi concordatari di procedura.</w:t>
      </w:r>
    </w:p>
    <w:p>
      <w:pPr>
        <w:pStyle w:val="BodyText"/>
        <w:spacing w:line="480" w:lineRule="auto"/>
        <w:ind w:left="1418" w:right="1410"/>
        <w:jc w:val="both"/>
      </w:pPr>
      <w:r>
        <w:rPr/>
        <w:t>Infine, gli scriventi, come anche già per IBP, hanno analizzato i rapporti intercorsi tra la società e il fornitore Hepta SA, anche alla luce della ricostruzione effettuata dalla Società e riportata nei </w:t>
      </w:r>
      <w:r>
        <w:rPr>
          <w:i/>
        </w:rPr>
        <w:t>Deliverables </w:t>
      </w:r>
      <w:r>
        <w:rPr/>
        <w:t>di Deloitte e consegnata agli stessi dal management della Società. Gli scriventi, come anche precisato in IBP, non sono stati in grado di identificare i beneficiari effettivi della società Hepta Capital SA; hanno rilevato che in data 10 gennaio 2014 veniva sottoscritto un contratto avente ad oggetto prestazioni di consulenza e supervisione ingegneristica per il collaudo, l’avvio e il “</w:t>
      </w:r>
      <w:r>
        <w:rPr>
          <w:i/>
        </w:rPr>
        <w:t>test run</w:t>
      </w:r>
      <w:r>
        <w:rPr/>
        <w:t>” degli impianti di produzione di bioetanolo ed energia elettrica siti in Crescentino. Per tali prestazioni veniva riconosciuto a Hepta un corrispettivo mensile calcolato applicando le seguenti tariffe giornaliere:</w:t>
      </w:r>
    </w:p>
    <w:p>
      <w:pPr>
        <w:pStyle w:val="ListParagraph"/>
        <w:numPr>
          <w:ilvl w:val="0"/>
          <w:numId w:val="73"/>
        </w:numPr>
        <w:tabs>
          <w:tab w:pos="2126" w:val="left" w:leader="none"/>
          <w:tab w:pos="2127" w:val="left" w:leader="none"/>
        </w:tabs>
        <w:spacing w:line="240" w:lineRule="auto" w:before="0" w:after="0"/>
        <w:ind w:left="2126" w:right="0" w:hanging="348"/>
        <w:jc w:val="left"/>
        <w:rPr>
          <w:sz w:val="24"/>
        </w:rPr>
      </w:pPr>
      <w:r>
        <w:rPr>
          <w:sz w:val="24"/>
        </w:rPr>
        <w:t>Euro 2.400 per il signor</w:t>
      </w:r>
      <w:r>
        <w:rPr>
          <w:spacing w:val="-11"/>
          <w:sz w:val="24"/>
        </w:rPr>
        <w:t> </w:t>
      </w:r>
      <w:r>
        <w:rPr>
          <w:sz w:val="24"/>
        </w:rPr>
        <w:t>Bonaldi;</w:t>
      </w:r>
    </w:p>
    <w:p>
      <w:pPr>
        <w:pStyle w:val="BodyText"/>
        <w:spacing w:before="10"/>
        <w:rPr>
          <w:sz w:val="23"/>
        </w:rPr>
      </w:pPr>
    </w:p>
    <w:p>
      <w:pPr>
        <w:pStyle w:val="ListParagraph"/>
        <w:numPr>
          <w:ilvl w:val="0"/>
          <w:numId w:val="73"/>
        </w:numPr>
        <w:tabs>
          <w:tab w:pos="2126" w:val="left" w:leader="none"/>
          <w:tab w:pos="2127" w:val="left" w:leader="none"/>
        </w:tabs>
        <w:spacing w:line="240" w:lineRule="auto" w:before="0" w:after="0"/>
        <w:ind w:left="2126" w:right="0" w:hanging="348"/>
        <w:jc w:val="left"/>
        <w:rPr>
          <w:sz w:val="24"/>
        </w:rPr>
      </w:pPr>
      <w:r>
        <w:rPr>
          <w:sz w:val="24"/>
        </w:rPr>
        <w:t>Euro 1.200 per ogni altro soggetto</w:t>
      </w:r>
      <w:r>
        <w:rPr>
          <w:spacing w:val="-16"/>
          <w:sz w:val="24"/>
        </w:rPr>
        <w:t> </w:t>
      </w:r>
      <w:r>
        <w:rPr>
          <w:sz w:val="24"/>
        </w:rPr>
        <w:t>impegnato.</w:t>
      </w:r>
    </w:p>
    <w:p>
      <w:pPr>
        <w:pStyle w:val="BodyText"/>
        <w:spacing w:before="10"/>
        <w:rPr>
          <w:sz w:val="23"/>
        </w:rPr>
      </w:pPr>
    </w:p>
    <w:p>
      <w:pPr>
        <w:pStyle w:val="BodyText"/>
        <w:spacing w:line="480" w:lineRule="auto"/>
        <w:ind w:left="1418" w:right="1416"/>
        <w:jc w:val="both"/>
      </w:pPr>
      <w:r>
        <w:rPr/>
        <w:t>Nel corso del periodo 2011-2014 Biochemtex corrispondeva a Hepta complessivamente Euro 245.632 e nel periodo 2014 al 15 ottobre 2017 corrispondeva euro 4.253.000, il saldo verso il fornitore al 15 ottobre 2017 risulta pari a zero.</w:t>
      </w:r>
    </w:p>
    <w:p>
      <w:pPr>
        <w:pStyle w:val="BodyText"/>
        <w:ind w:left="1418"/>
        <w:jc w:val="both"/>
      </w:pPr>
      <w:r>
        <w:rPr>
          <w:u w:val="single"/>
        </w:rPr>
        <w:t>Valorizzazione concordataria</w:t>
      </w:r>
    </w:p>
    <w:p>
      <w:pPr>
        <w:spacing w:after="0"/>
        <w:jc w:val="both"/>
        <w:sectPr>
          <w:footerReference w:type="default" r:id="rId13"/>
          <w:pgSz w:w="11910" w:h="16840"/>
          <w:pgMar w:footer="1025" w:header="707"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Alla luce delle analisi effettuate, si precisa che i debiti verso fornitori sono stati inclusi nel piano concordatario cosi come da seguente dettaglio:</w:t>
      </w:r>
    </w:p>
    <w:p>
      <w:pPr>
        <w:pStyle w:val="ListParagraph"/>
        <w:numPr>
          <w:ilvl w:val="0"/>
          <w:numId w:val="73"/>
        </w:numPr>
        <w:tabs>
          <w:tab w:pos="2126" w:val="left" w:leader="none"/>
          <w:tab w:pos="2127" w:val="left" w:leader="none"/>
        </w:tabs>
        <w:spacing w:line="240" w:lineRule="auto" w:before="0" w:after="0"/>
        <w:ind w:left="2126" w:right="0" w:hanging="348"/>
        <w:jc w:val="left"/>
        <w:rPr>
          <w:sz w:val="24"/>
        </w:rPr>
      </w:pPr>
      <w:r>
        <w:rPr>
          <w:sz w:val="24"/>
        </w:rPr>
        <w:t>sono stati classificati in via chirografaria per Euro</w:t>
      </w:r>
      <w:r>
        <w:rPr>
          <w:spacing w:val="-21"/>
          <w:sz w:val="24"/>
        </w:rPr>
        <w:t> </w:t>
      </w:r>
      <w:r>
        <w:rPr>
          <w:sz w:val="24"/>
        </w:rPr>
        <w:t>9.409.219;</w:t>
      </w:r>
    </w:p>
    <w:p>
      <w:pPr>
        <w:pStyle w:val="BodyText"/>
        <w:spacing w:before="10"/>
        <w:rPr>
          <w:sz w:val="23"/>
        </w:rPr>
      </w:pPr>
    </w:p>
    <w:p>
      <w:pPr>
        <w:pStyle w:val="ListParagraph"/>
        <w:numPr>
          <w:ilvl w:val="0"/>
          <w:numId w:val="73"/>
        </w:numPr>
        <w:tabs>
          <w:tab w:pos="2126" w:val="left" w:leader="none"/>
          <w:tab w:pos="2127" w:val="left" w:leader="none"/>
        </w:tabs>
        <w:spacing w:line="240" w:lineRule="auto" w:before="0" w:after="0"/>
        <w:ind w:left="2126" w:right="0" w:hanging="348"/>
        <w:jc w:val="left"/>
        <w:rPr>
          <w:sz w:val="24"/>
        </w:rPr>
      </w:pPr>
      <w:r>
        <w:rPr>
          <w:sz w:val="24"/>
        </w:rPr>
        <w:t>sono stati classificati in via</w:t>
      </w:r>
      <w:r>
        <w:rPr>
          <w:spacing w:val="-15"/>
          <w:sz w:val="24"/>
        </w:rPr>
        <w:t> </w:t>
      </w:r>
      <w:r>
        <w:rPr>
          <w:sz w:val="24"/>
        </w:rPr>
        <w:t>privilegiata:</w:t>
      </w:r>
    </w:p>
    <w:p>
      <w:pPr>
        <w:pStyle w:val="BodyText"/>
        <w:spacing w:before="8"/>
        <w:rPr>
          <w:sz w:val="23"/>
        </w:rPr>
      </w:pPr>
    </w:p>
    <w:p>
      <w:pPr>
        <w:pStyle w:val="ListParagraph"/>
        <w:numPr>
          <w:ilvl w:val="1"/>
          <w:numId w:val="73"/>
        </w:numPr>
        <w:tabs>
          <w:tab w:pos="2894" w:val="left" w:leader="none"/>
          <w:tab w:pos="2895" w:val="left" w:leader="none"/>
        </w:tabs>
        <w:spacing w:line="240" w:lineRule="auto" w:before="0" w:after="0"/>
        <w:ind w:left="2894" w:right="0" w:hanging="396"/>
        <w:jc w:val="left"/>
        <w:rPr>
          <w:sz w:val="24"/>
        </w:rPr>
      </w:pPr>
      <w:r>
        <w:rPr>
          <w:sz w:val="24"/>
        </w:rPr>
        <w:t>ex art. 2751 bis n.2 cc per Euro</w:t>
      </w:r>
      <w:r>
        <w:rPr>
          <w:spacing w:val="-12"/>
          <w:sz w:val="24"/>
        </w:rPr>
        <w:t> </w:t>
      </w:r>
      <w:r>
        <w:rPr>
          <w:sz w:val="24"/>
        </w:rPr>
        <w:t>453.814;</w:t>
      </w:r>
    </w:p>
    <w:p>
      <w:pPr>
        <w:pStyle w:val="BodyText"/>
        <w:spacing w:before="1"/>
      </w:pPr>
    </w:p>
    <w:p>
      <w:pPr>
        <w:pStyle w:val="ListParagraph"/>
        <w:numPr>
          <w:ilvl w:val="1"/>
          <w:numId w:val="73"/>
        </w:numPr>
        <w:tabs>
          <w:tab w:pos="2835" w:val="left" w:leader="none"/>
        </w:tabs>
        <w:spacing w:line="240" w:lineRule="auto" w:before="0" w:after="0"/>
        <w:ind w:left="2834" w:right="0" w:hanging="336"/>
        <w:jc w:val="left"/>
        <w:rPr>
          <w:sz w:val="24"/>
        </w:rPr>
      </w:pPr>
      <w:r>
        <w:rPr>
          <w:sz w:val="24"/>
        </w:rPr>
        <w:t>ex art. 2751 bis n.4/5 bis cc per Euro</w:t>
      </w:r>
      <w:r>
        <w:rPr>
          <w:spacing w:val="-13"/>
          <w:sz w:val="24"/>
        </w:rPr>
        <w:t> </w:t>
      </w:r>
      <w:r>
        <w:rPr>
          <w:sz w:val="24"/>
        </w:rPr>
        <w:t>6.741;</w:t>
      </w:r>
    </w:p>
    <w:p>
      <w:pPr>
        <w:pStyle w:val="BodyText"/>
      </w:pPr>
    </w:p>
    <w:p>
      <w:pPr>
        <w:pStyle w:val="ListParagraph"/>
        <w:numPr>
          <w:ilvl w:val="1"/>
          <w:numId w:val="73"/>
        </w:numPr>
        <w:tabs>
          <w:tab w:pos="2835" w:val="left" w:leader="none"/>
        </w:tabs>
        <w:spacing w:line="240" w:lineRule="auto" w:before="0" w:after="0"/>
        <w:ind w:left="2834" w:right="0" w:hanging="336"/>
        <w:jc w:val="left"/>
        <w:rPr>
          <w:sz w:val="24"/>
        </w:rPr>
      </w:pPr>
      <w:r>
        <w:rPr>
          <w:sz w:val="24"/>
        </w:rPr>
        <w:t>ex art. 2751 bis n.5 cc per Euro</w:t>
      </w:r>
      <w:r>
        <w:rPr>
          <w:spacing w:val="-12"/>
          <w:sz w:val="24"/>
        </w:rPr>
        <w:t> </w:t>
      </w:r>
      <w:r>
        <w:rPr>
          <w:sz w:val="24"/>
        </w:rPr>
        <w:t>17.306.</w:t>
      </w:r>
    </w:p>
    <w:p>
      <w:pPr>
        <w:pStyle w:val="BodyText"/>
        <w:rPr>
          <w:sz w:val="28"/>
        </w:rPr>
      </w:pPr>
    </w:p>
    <w:p>
      <w:pPr>
        <w:pStyle w:val="Heading2"/>
        <w:spacing w:before="194"/>
      </w:pPr>
      <w:r>
        <w:rPr>
          <w:u w:val="single"/>
        </w:rPr>
        <w:t>DEBITI VERSO LE SOCIETA’ DEL GRUPPO</w:t>
      </w:r>
    </w:p>
    <w:p>
      <w:pPr>
        <w:pStyle w:val="BodyText"/>
        <w:spacing w:before="10"/>
        <w:rPr>
          <w:b/>
          <w:sz w:val="23"/>
        </w:rPr>
      </w:pPr>
    </w:p>
    <w:p>
      <w:pPr>
        <w:pStyle w:val="BodyText"/>
        <w:spacing w:before="1"/>
        <w:ind w:left="1418"/>
      </w:pPr>
      <w:r>
        <w:rPr/>
        <w:t>Nella  situazione  contabile  al  15  ottobre  2017  risultano  iscritti  debiti  infragruppo  per  Euro</w:t>
      </w:r>
    </w:p>
    <w:p>
      <w:pPr>
        <w:pStyle w:val="BodyText"/>
      </w:pPr>
    </w:p>
    <w:p>
      <w:pPr>
        <w:pStyle w:val="BodyText"/>
        <w:ind w:left="1418"/>
      </w:pPr>
      <w:r>
        <w:rPr/>
        <w:t>29.227.025 suddivisi come nella tabella di seguito:</w:t>
      </w:r>
    </w:p>
    <w:p>
      <w:pPr>
        <w:pStyle w:val="BodyText"/>
        <w:rPr>
          <w:sz w:val="20"/>
        </w:rPr>
      </w:pPr>
    </w:p>
    <w:p>
      <w:pPr>
        <w:pStyle w:val="BodyText"/>
        <w:spacing w:before="4"/>
        <w:rPr>
          <w:sz w:val="16"/>
        </w:rPr>
      </w:pPr>
    </w:p>
    <w:tbl>
      <w:tblPr>
        <w:tblW w:w="0" w:type="auto"/>
        <w:jc w:val="left"/>
        <w:tblInd w:w="11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1283"/>
        <w:gridCol w:w="3097"/>
        <w:gridCol w:w="812"/>
        <w:gridCol w:w="1060"/>
        <w:gridCol w:w="944"/>
        <w:gridCol w:w="687"/>
        <w:gridCol w:w="795"/>
        <w:gridCol w:w="977"/>
      </w:tblGrid>
      <w:tr>
        <w:trPr>
          <w:trHeight w:val="795" w:hRule="exact"/>
        </w:trPr>
        <w:tc>
          <w:tcPr>
            <w:tcW w:w="1283" w:type="dxa"/>
            <w:shd w:val="clear" w:color="auto" w:fill="BEBEBE"/>
          </w:tcPr>
          <w:p>
            <w:pPr>
              <w:pStyle w:val="TableParagraph"/>
              <w:spacing w:before="0"/>
              <w:jc w:val="left"/>
              <w:rPr>
                <w:sz w:val="14"/>
              </w:rPr>
            </w:pPr>
          </w:p>
          <w:p>
            <w:pPr>
              <w:pStyle w:val="TableParagraph"/>
              <w:spacing w:before="0"/>
              <w:jc w:val="left"/>
              <w:rPr>
                <w:sz w:val="15"/>
              </w:rPr>
            </w:pPr>
          </w:p>
          <w:p>
            <w:pPr>
              <w:pStyle w:val="TableParagraph"/>
              <w:spacing w:before="0"/>
              <w:ind w:left="380"/>
              <w:jc w:val="left"/>
              <w:rPr>
                <w:b/>
                <w:sz w:val="13"/>
              </w:rPr>
            </w:pPr>
            <w:r>
              <w:rPr>
                <w:b/>
                <w:sz w:val="13"/>
              </w:rPr>
              <w:t>CONTO</w:t>
            </w:r>
          </w:p>
        </w:tc>
        <w:tc>
          <w:tcPr>
            <w:tcW w:w="3097" w:type="dxa"/>
            <w:shd w:val="clear" w:color="auto" w:fill="BEBEBE"/>
          </w:tcPr>
          <w:p>
            <w:pPr>
              <w:pStyle w:val="TableParagraph"/>
              <w:spacing w:before="0"/>
              <w:jc w:val="left"/>
              <w:rPr>
                <w:sz w:val="14"/>
              </w:rPr>
            </w:pPr>
          </w:p>
          <w:p>
            <w:pPr>
              <w:pStyle w:val="TableParagraph"/>
              <w:spacing w:before="0"/>
              <w:jc w:val="left"/>
              <w:rPr>
                <w:sz w:val="15"/>
              </w:rPr>
            </w:pPr>
          </w:p>
          <w:p>
            <w:pPr>
              <w:pStyle w:val="TableParagraph"/>
              <w:spacing w:before="0"/>
              <w:ind w:left="1058" w:right="1057"/>
              <w:jc w:val="center"/>
              <w:rPr>
                <w:b/>
                <w:sz w:val="13"/>
              </w:rPr>
            </w:pPr>
            <w:r>
              <w:rPr>
                <w:b/>
                <w:sz w:val="13"/>
              </w:rPr>
              <w:t>DESCRIZIONE</w:t>
            </w:r>
          </w:p>
        </w:tc>
        <w:tc>
          <w:tcPr>
            <w:tcW w:w="812" w:type="dxa"/>
            <w:shd w:val="clear" w:color="auto" w:fill="BEBEBE"/>
          </w:tcPr>
          <w:p>
            <w:pPr>
              <w:pStyle w:val="TableParagraph"/>
              <w:spacing w:before="6"/>
              <w:jc w:val="left"/>
              <w:rPr>
                <w:sz w:val="13"/>
              </w:rPr>
            </w:pPr>
          </w:p>
          <w:p>
            <w:pPr>
              <w:pStyle w:val="TableParagraph"/>
              <w:spacing w:line="285" w:lineRule="auto" w:before="0"/>
              <w:ind w:left="107" w:right="106" w:firstLine="49"/>
              <w:jc w:val="left"/>
              <w:rPr>
                <w:b/>
                <w:sz w:val="13"/>
              </w:rPr>
            </w:pPr>
            <w:r>
              <w:rPr>
                <w:b/>
                <w:sz w:val="13"/>
              </w:rPr>
              <w:t>Valori di bilancio al 15.10.2017</w:t>
            </w:r>
          </w:p>
        </w:tc>
        <w:tc>
          <w:tcPr>
            <w:tcW w:w="1060" w:type="dxa"/>
            <w:shd w:val="clear" w:color="auto" w:fill="BEBEBE"/>
          </w:tcPr>
          <w:p>
            <w:pPr>
              <w:pStyle w:val="TableParagraph"/>
              <w:spacing w:before="0"/>
              <w:jc w:val="left"/>
              <w:rPr>
                <w:sz w:val="14"/>
              </w:rPr>
            </w:pPr>
          </w:p>
          <w:p>
            <w:pPr>
              <w:pStyle w:val="TableParagraph"/>
              <w:spacing w:before="0"/>
              <w:jc w:val="left"/>
              <w:rPr>
                <w:sz w:val="15"/>
              </w:rPr>
            </w:pPr>
          </w:p>
          <w:p>
            <w:pPr>
              <w:pStyle w:val="TableParagraph"/>
              <w:spacing w:before="0"/>
              <w:ind w:right="70"/>
              <w:rPr>
                <w:b/>
                <w:sz w:val="13"/>
              </w:rPr>
            </w:pPr>
            <w:r>
              <w:rPr>
                <w:b/>
                <w:sz w:val="13"/>
              </w:rPr>
              <w:t>Compensazione</w:t>
            </w:r>
          </w:p>
        </w:tc>
        <w:tc>
          <w:tcPr>
            <w:tcW w:w="944" w:type="dxa"/>
            <w:shd w:val="clear" w:color="auto" w:fill="BEBEBE"/>
          </w:tcPr>
          <w:p>
            <w:pPr>
              <w:pStyle w:val="TableParagraph"/>
              <w:spacing w:before="0"/>
              <w:jc w:val="left"/>
              <w:rPr>
                <w:sz w:val="14"/>
              </w:rPr>
            </w:pPr>
          </w:p>
          <w:p>
            <w:pPr>
              <w:pStyle w:val="TableParagraph"/>
              <w:spacing w:line="285" w:lineRule="auto" w:before="86"/>
              <w:ind w:left="74" w:right="51" w:hanging="25"/>
              <w:jc w:val="left"/>
              <w:rPr>
                <w:b/>
                <w:sz w:val="13"/>
              </w:rPr>
            </w:pPr>
            <w:r>
              <w:rPr>
                <w:b/>
                <w:sz w:val="13"/>
              </w:rPr>
              <w:t>Valori di piano concordatario</w:t>
            </w:r>
          </w:p>
        </w:tc>
        <w:tc>
          <w:tcPr>
            <w:tcW w:w="687" w:type="dxa"/>
            <w:shd w:val="clear" w:color="auto" w:fill="BEBEBE"/>
          </w:tcPr>
          <w:p>
            <w:pPr>
              <w:pStyle w:val="TableParagraph"/>
              <w:spacing w:before="0"/>
              <w:jc w:val="left"/>
              <w:rPr>
                <w:sz w:val="14"/>
              </w:rPr>
            </w:pPr>
          </w:p>
          <w:p>
            <w:pPr>
              <w:pStyle w:val="TableParagraph"/>
              <w:spacing w:before="0"/>
              <w:jc w:val="left"/>
              <w:rPr>
                <w:sz w:val="15"/>
              </w:rPr>
            </w:pPr>
          </w:p>
          <w:p>
            <w:pPr>
              <w:pStyle w:val="TableParagraph"/>
              <w:spacing w:before="0"/>
              <w:ind w:right="70"/>
              <w:rPr>
                <w:b/>
                <w:sz w:val="13"/>
              </w:rPr>
            </w:pPr>
            <w:r>
              <w:rPr>
                <w:b/>
                <w:sz w:val="13"/>
              </w:rPr>
              <w:t>Privilegio</w:t>
            </w:r>
          </w:p>
        </w:tc>
        <w:tc>
          <w:tcPr>
            <w:tcW w:w="795" w:type="dxa"/>
            <w:tcBorders>
              <w:right w:val="single" w:sz="3" w:space="0" w:color="000000"/>
            </w:tcBorders>
            <w:shd w:val="clear" w:color="auto" w:fill="BEBEBE"/>
          </w:tcPr>
          <w:p>
            <w:pPr>
              <w:pStyle w:val="TableParagraph"/>
              <w:spacing w:before="0"/>
              <w:jc w:val="left"/>
              <w:rPr>
                <w:sz w:val="14"/>
              </w:rPr>
            </w:pPr>
          </w:p>
          <w:p>
            <w:pPr>
              <w:pStyle w:val="TableParagraph"/>
              <w:spacing w:before="0"/>
              <w:jc w:val="left"/>
              <w:rPr>
                <w:sz w:val="15"/>
              </w:rPr>
            </w:pPr>
          </w:p>
          <w:p>
            <w:pPr>
              <w:pStyle w:val="TableParagraph"/>
              <w:spacing w:before="0"/>
              <w:ind w:right="13"/>
              <w:rPr>
                <w:b/>
                <w:sz w:val="13"/>
              </w:rPr>
            </w:pPr>
            <w:r>
              <w:rPr>
                <w:b/>
                <w:sz w:val="13"/>
              </w:rPr>
              <w:t>Chirografario</w:t>
            </w:r>
          </w:p>
        </w:tc>
        <w:tc>
          <w:tcPr>
            <w:tcW w:w="977" w:type="dxa"/>
            <w:tcBorders>
              <w:left w:val="single" w:sz="3" w:space="0" w:color="000000"/>
            </w:tcBorders>
            <w:shd w:val="clear" w:color="auto" w:fill="BEBEBE"/>
          </w:tcPr>
          <w:p>
            <w:pPr>
              <w:pStyle w:val="TableParagraph"/>
              <w:spacing w:before="0"/>
              <w:jc w:val="left"/>
              <w:rPr>
                <w:sz w:val="14"/>
              </w:rPr>
            </w:pPr>
          </w:p>
          <w:p>
            <w:pPr>
              <w:pStyle w:val="TableParagraph"/>
              <w:spacing w:line="285" w:lineRule="auto" w:before="86"/>
              <w:ind w:left="181" w:hanging="75"/>
              <w:jc w:val="left"/>
              <w:rPr>
                <w:b/>
                <w:sz w:val="13"/>
              </w:rPr>
            </w:pPr>
            <w:r>
              <w:rPr>
                <w:b/>
                <w:sz w:val="13"/>
              </w:rPr>
              <w:t>Chirografario pastergato</w:t>
            </w:r>
          </w:p>
        </w:tc>
      </w:tr>
      <w:tr>
        <w:trPr>
          <w:trHeight w:val="184" w:hRule="exact"/>
        </w:trPr>
        <w:tc>
          <w:tcPr>
            <w:tcW w:w="1283" w:type="dxa"/>
            <w:tcBorders>
              <w:bottom w:val="nil"/>
            </w:tcBorders>
          </w:tcPr>
          <w:p>
            <w:pPr>
              <w:pStyle w:val="TableParagraph"/>
              <w:spacing w:before="20"/>
              <w:ind w:left="16"/>
              <w:jc w:val="left"/>
              <w:rPr>
                <w:sz w:val="13"/>
              </w:rPr>
            </w:pPr>
            <w:r>
              <w:rPr>
                <w:sz w:val="13"/>
              </w:rPr>
              <w:t>2329010</w:t>
            </w:r>
          </w:p>
        </w:tc>
        <w:tc>
          <w:tcPr>
            <w:tcW w:w="3097" w:type="dxa"/>
            <w:tcBorders>
              <w:bottom w:val="nil"/>
            </w:tcBorders>
          </w:tcPr>
          <w:p>
            <w:pPr>
              <w:pStyle w:val="TableParagraph"/>
              <w:spacing w:before="20"/>
              <w:ind w:left="16"/>
              <w:jc w:val="left"/>
              <w:rPr>
                <w:sz w:val="13"/>
              </w:rPr>
            </w:pPr>
            <w:r>
              <w:rPr>
                <w:sz w:val="13"/>
              </w:rPr>
              <w:t>Debiti commerciali verso il  Gruppo</w:t>
            </w:r>
          </w:p>
        </w:tc>
        <w:tc>
          <w:tcPr>
            <w:tcW w:w="812" w:type="dxa"/>
            <w:tcBorders>
              <w:bottom w:val="nil"/>
            </w:tcBorders>
          </w:tcPr>
          <w:p>
            <w:pPr>
              <w:pStyle w:val="TableParagraph"/>
              <w:spacing w:before="20"/>
              <w:ind w:right="19"/>
              <w:rPr>
                <w:sz w:val="13"/>
              </w:rPr>
            </w:pPr>
            <w:r>
              <w:rPr>
                <w:sz w:val="13"/>
              </w:rPr>
              <w:t>(18.161.551)</w:t>
            </w:r>
          </w:p>
        </w:tc>
        <w:tc>
          <w:tcPr>
            <w:tcW w:w="1060" w:type="dxa"/>
            <w:tcBorders>
              <w:bottom w:val="nil"/>
            </w:tcBorders>
          </w:tcPr>
          <w:p>
            <w:pPr>
              <w:pStyle w:val="TableParagraph"/>
              <w:spacing w:before="20"/>
              <w:ind w:right="56"/>
              <w:rPr>
                <w:sz w:val="13"/>
              </w:rPr>
            </w:pPr>
            <w:r>
              <w:rPr>
                <w:sz w:val="13"/>
              </w:rPr>
              <w:t>1.277.906</w:t>
            </w:r>
          </w:p>
        </w:tc>
        <w:tc>
          <w:tcPr>
            <w:tcW w:w="944" w:type="dxa"/>
            <w:tcBorders>
              <w:bottom w:val="nil"/>
            </w:tcBorders>
          </w:tcPr>
          <w:p>
            <w:pPr>
              <w:pStyle w:val="TableParagraph"/>
              <w:spacing w:before="20"/>
              <w:ind w:right="19"/>
              <w:rPr>
                <w:sz w:val="13"/>
              </w:rPr>
            </w:pPr>
            <w:r>
              <w:rPr>
                <w:sz w:val="13"/>
              </w:rPr>
              <w:t>(16.883.645)</w:t>
            </w:r>
          </w:p>
        </w:tc>
        <w:tc>
          <w:tcPr>
            <w:tcW w:w="687" w:type="dxa"/>
            <w:tcBorders>
              <w:bottom w:val="nil"/>
            </w:tcBorders>
          </w:tcPr>
          <w:p>
            <w:pPr>
              <w:pStyle w:val="TableParagraph"/>
              <w:spacing w:before="20"/>
              <w:ind w:left="447"/>
              <w:jc w:val="left"/>
              <w:rPr>
                <w:sz w:val="13"/>
              </w:rPr>
            </w:pPr>
            <w:r>
              <w:rPr>
                <w:w w:val="102"/>
                <w:sz w:val="13"/>
              </w:rPr>
              <w:t>-</w:t>
            </w:r>
          </w:p>
        </w:tc>
        <w:tc>
          <w:tcPr>
            <w:tcW w:w="795" w:type="dxa"/>
            <w:tcBorders>
              <w:bottom w:val="nil"/>
              <w:right w:val="single" w:sz="3" w:space="0" w:color="000000"/>
            </w:tcBorders>
          </w:tcPr>
          <w:p>
            <w:pPr>
              <w:pStyle w:val="TableParagraph"/>
              <w:spacing w:before="20"/>
              <w:ind w:right="19"/>
              <w:rPr>
                <w:sz w:val="13"/>
              </w:rPr>
            </w:pPr>
            <w:r>
              <w:rPr>
                <w:sz w:val="13"/>
              </w:rPr>
              <w:t>(16.872.384)</w:t>
            </w:r>
          </w:p>
        </w:tc>
        <w:tc>
          <w:tcPr>
            <w:tcW w:w="977" w:type="dxa"/>
            <w:tcBorders>
              <w:left w:val="single" w:sz="3" w:space="0" w:color="000000"/>
              <w:bottom w:val="nil"/>
            </w:tcBorders>
          </w:tcPr>
          <w:p>
            <w:pPr>
              <w:pStyle w:val="TableParagraph"/>
              <w:spacing w:before="20"/>
              <w:ind w:right="18"/>
              <w:rPr>
                <w:sz w:val="13"/>
              </w:rPr>
            </w:pPr>
            <w:r>
              <w:rPr>
                <w:sz w:val="13"/>
              </w:rPr>
              <w:t>(11.261)</w:t>
            </w:r>
          </w:p>
        </w:tc>
      </w:tr>
      <w:tr>
        <w:trPr>
          <w:trHeight w:val="174" w:hRule="exact"/>
        </w:trPr>
        <w:tc>
          <w:tcPr>
            <w:tcW w:w="1283" w:type="dxa"/>
            <w:tcBorders>
              <w:top w:val="nil"/>
              <w:bottom w:val="nil"/>
            </w:tcBorders>
          </w:tcPr>
          <w:p>
            <w:pPr>
              <w:pStyle w:val="TableParagraph"/>
              <w:spacing w:before="14"/>
              <w:ind w:left="16"/>
              <w:jc w:val="left"/>
              <w:rPr>
                <w:sz w:val="13"/>
              </w:rPr>
            </w:pPr>
            <w:r>
              <w:rPr>
                <w:sz w:val="13"/>
              </w:rPr>
              <w:t>2329015</w:t>
            </w:r>
          </w:p>
        </w:tc>
        <w:tc>
          <w:tcPr>
            <w:tcW w:w="3097" w:type="dxa"/>
            <w:tcBorders>
              <w:top w:val="nil"/>
              <w:bottom w:val="nil"/>
            </w:tcBorders>
          </w:tcPr>
          <w:p>
            <w:pPr>
              <w:pStyle w:val="TableParagraph"/>
              <w:spacing w:before="14"/>
              <w:ind w:left="16"/>
              <w:jc w:val="left"/>
              <w:rPr>
                <w:sz w:val="13"/>
              </w:rPr>
            </w:pPr>
            <w:r>
              <w:rPr>
                <w:sz w:val="13"/>
              </w:rPr>
              <w:t>Debiti commerciali verso il Gruppo - Differenza  Cambio</w:t>
            </w:r>
          </w:p>
        </w:tc>
        <w:tc>
          <w:tcPr>
            <w:tcW w:w="812" w:type="dxa"/>
            <w:tcBorders>
              <w:top w:val="nil"/>
              <w:bottom w:val="nil"/>
            </w:tcBorders>
          </w:tcPr>
          <w:p>
            <w:pPr>
              <w:pStyle w:val="TableParagraph"/>
              <w:spacing w:before="14"/>
              <w:ind w:right="56"/>
              <w:rPr>
                <w:sz w:val="13"/>
              </w:rPr>
            </w:pPr>
            <w:r>
              <w:rPr>
                <w:sz w:val="13"/>
              </w:rPr>
              <w:t>642.872</w:t>
            </w:r>
          </w:p>
        </w:tc>
        <w:tc>
          <w:tcPr>
            <w:tcW w:w="1060" w:type="dxa"/>
            <w:tcBorders>
              <w:top w:val="nil"/>
              <w:bottom w:val="nil"/>
            </w:tcBorders>
          </w:tcPr>
          <w:p>
            <w:pPr/>
          </w:p>
        </w:tc>
        <w:tc>
          <w:tcPr>
            <w:tcW w:w="944" w:type="dxa"/>
            <w:tcBorders>
              <w:top w:val="nil"/>
              <w:bottom w:val="nil"/>
            </w:tcBorders>
          </w:tcPr>
          <w:p>
            <w:pPr>
              <w:pStyle w:val="TableParagraph"/>
              <w:spacing w:before="14"/>
              <w:ind w:right="56"/>
              <w:rPr>
                <w:sz w:val="13"/>
              </w:rPr>
            </w:pPr>
            <w:r>
              <w:rPr>
                <w:sz w:val="13"/>
              </w:rPr>
              <w:t>642.872</w:t>
            </w:r>
          </w:p>
        </w:tc>
        <w:tc>
          <w:tcPr>
            <w:tcW w:w="687" w:type="dxa"/>
            <w:tcBorders>
              <w:top w:val="nil"/>
              <w:bottom w:val="nil"/>
            </w:tcBorders>
          </w:tcPr>
          <w:p>
            <w:pPr/>
          </w:p>
        </w:tc>
        <w:tc>
          <w:tcPr>
            <w:tcW w:w="795" w:type="dxa"/>
            <w:tcBorders>
              <w:top w:val="nil"/>
              <w:bottom w:val="nil"/>
              <w:right w:val="single" w:sz="3" w:space="0" w:color="000000"/>
            </w:tcBorders>
          </w:tcPr>
          <w:p>
            <w:pPr>
              <w:pStyle w:val="TableParagraph"/>
              <w:spacing w:before="14"/>
              <w:ind w:right="56"/>
              <w:rPr>
                <w:sz w:val="13"/>
              </w:rPr>
            </w:pPr>
            <w:r>
              <w:rPr>
                <w:sz w:val="13"/>
              </w:rPr>
              <w:t>642.872</w:t>
            </w:r>
          </w:p>
        </w:tc>
        <w:tc>
          <w:tcPr>
            <w:tcW w:w="977" w:type="dxa"/>
            <w:tcBorders>
              <w:top w:val="nil"/>
              <w:left w:val="single" w:sz="3" w:space="0" w:color="000000"/>
              <w:bottom w:val="nil"/>
            </w:tcBorders>
          </w:tcPr>
          <w:p>
            <w:pPr/>
          </w:p>
        </w:tc>
      </w:tr>
      <w:tr>
        <w:trPr>
          <w:trHeight w:val="164" w:hRule="exact"/>
        </w:trPr>
        <w:tc>
          <w:tcPr>
            <w:tcW w:w="1283" w:type="dxa"/>
            <w:tcBorders>
              <w:top w:val="nil"/>
            </w:tcBorders>
          </w:tcPr>
          <w:p>
            <w:pPr>
              <w:pStyle w:val="TableParagraph"/>
              <w:spacing w:before="14"/>
              <w:ind w:left="16"/>
              <w:jc w:val="left"/>
              <w:rPr>
                <w:sz w:val="13"/>
              </w:rPr>
            </w:pPr>
            <w:r>
              <w:rPr>
                <w:sz w:val="13"/>
              </w:rPr>
              <w:t>2339010</w:t>
            </w:r>
          </w:p>
        </w:tc>
        <w:tc>
          <w:tcPr>
            <w:tcW w:w="3097" w:type="dxa"/>
            <w:tcBorders>
              <w:top w:val="nil"/>
            </w:tcBorders>
          </w:tcPr>
          <w:p>
            <w:pPr>
              <w:pStyle w:val="TableParagraph"/>
              <w:spacing w:before="14"/>
              <w:ind w:left="16"/>
              <w:jc w:val="left"/>
              <w:rPr>
                <w:sz w:val="13"/>
              </w:rPr>
            </w:pPr>
            <w:r>
              <w:rPr>
                <w:sz w:val="13"/>
              </w:rPr>
              <w:t>Altri debiti commerciali verso il  Gruppo</w:t>
            </w:r>
          </w:p>
        </w:tc>
        <w:tc>
          <w:tcPr>
            <w:tcW w:w="812" w:type="dxa"/>
            <w:tcBorders>
              <w:top w:val="nil"/>
            </w:tcBorders>
          </w:tcPr>
          <w:p>
            <w:pPr>
              <w:pStyle w:val="TableParagraph"/>
              <w:spacing w:before="14"/>
              <w:ind w:right="17"/>
              <w:rPr>
                <w:sz w:val="13"/>
              </w:rPr>
            </w:pPr>
            <w:r>
              <w:rPr>
                <w:sz w:val="13"/>
              </w:rPr>
              <w:t>(339)</w:t>
            </w:r>
          </w:p>
        </w:tc>
        <w:tc>
          <w:tcPr>
            <w:tcW w:w="1060" w:type="dxa"/>
            <w:tcBorders>
              <w:top w:val="nil"/>
            </w:tcBorders>
          </w:tcPr>
          <w:p>
            <w:pPr/>
          </w:p>
        </w:tc>
        <w:tc>
          <w:tcPr>
            <w:tcW w:w="944" w:type="dxa"/>
            <w:tcBorders>
              <w:top w:val="nil"/>
            </w:tcBorders>
          </w:tcPr>
          <w:p>
            <w:pPr>
              <w:pStyle w:val="TableParagraph"/>
              <w:spacing w:before="14"/>
              <w:ind w:right="18"/>
              <w:rPr>
                <w:sz w:val="13"/>
              </w:rPr>
            </w:pPr>
            <w:r>
              <w:rPr>
                <w:sz w:val="13"/>
              </w:rPr>
              <w:t>(339)</w:t>
            </w:r>
          </w:p>
        </w:tc>
        <w:tc>
          <w:tcPr>
            <w:tcW w:w="687" w:type="dxa"/>
            <w:tcBorders>
              <w:top w:val="nil"/>
            </w:tcBorders>
          </w:tcPr>
          <w:p>
            <w:pPr/>
          </w:p>
        </w:tc>
        <w:tc>
          <w:tcPr>
            <w:tcW w:w="795" w:type="dxa"/>
            <w:tcBorders>
              <w:top w:val="nil"/>
              <w:right w:val="single" w:sz="3" w:space="0" w:color="000000"/>
            </w:tcBorders>
          </w:tcPr>
          <w:p>
            <w:pPr>
              <w:pStyle w:val="TableParagraph"/>
              <w:spacing w:before="14"/>
              <w:ind w:right="17"/>
              <w:rPr>
                <w:sz w:val="13"/>
              </w:rPr>
            </w:pPr>
            <w:r>
              <w:rPr>
                <w:sz w:val="13"/>
              </w:rPr>
              <w:t>(339)</w:t>
            </w:r>
          </w:p>
        </w:tc>
        <w:tc>
          <w:tcPr>
            <w:tcW w:w="977" w:type="dxa"/>
            <w:tcBorders>
              <w:top w:val="nil"/>
              <w:left w:val="single" w:sz="3" w:space="0" w:color="000000"/>
            </w:tcBorders>
          </w:tcPr>
          <w:p>
            <w:pPr/>
          </w:p>
        </w:tc>
      </w:tr>
      <w:tr>
        <w:trPr>
          <w:trHeight w:val="174" w:hRule="exact"/>
        </w:trPr>
        <w:tc>
          <w:tcPr>
            <w:tcW w:w="4380" w:type="dxa"/>
            <w:gridSpan w:val="2"/>
            <w:shd w:val="clear" w:color="auto" w:fill="BEBEBE"/>
          </w:tcPr>
          <w:p>
            <w:pPr>
              <w:pStyle w:val="TableParagraph"/>
              <w:spacing w:before="20"/>
              <w:ind w:left="16"/>
              <w:jc w:val="left"/>
              <w:rPr>
                <w:b/>
                <w:sz w:val="13"/>
              </w:rPr>
            </w:pPr>
            <w:r>
              <w:rPr>
                <w:b/>
                <w:sz w:val="13"/>
              </w:rPr>
              <w:t>TOTALE DEBITI COMMERCIALI VERSO IL  GRUPPO</w:t>
            </w:r>
          </w:p>
        </w:tc>
        <w:tc>
          <w:tcPr>
            <w:tcW w:w="812" w:type="dxa"/>
            <w:shd w:val="clear" w:color="auto" w:fill="BEBEBE"/>
          </w:tcPr>
          <w:p>
            <w:pPr>
              <w:pStyle w:val="TableParagraph"/>
              <w:spacing w:before="20"/>
              <w:ind w:right="18"/>
              <w:rPr>
                <w:b/>
                <w:sz w:val="13"/>
              </w:rPr>
            </w:pPr>
            <w:r>
              <w:rPr>
                <w:b/>
                <w:sz w:val="13"/>
              </w:rPr>
              <w:t>(17.519.018)</w:t>
            </w:r>
          </w:p>
        </w:tc>
        <w:tc>
          <w:tcPr>
            <w:tcW w:w="1060" w:type="dxa"/>
            <w:shd w:val="clear" w:color="auto" w:fill="BEBEBE"/>
          </w:tcPr>
          <w:p>
            <w:pPr>
              <w:pStyle w:val="TableParagraph"/>
              <w:spacing w:before="20"/>
              <w:ind w:right="61"/>
              <w:rPr>
                <w:b/>
                <w:sz w:val="13"/>
              </w:rPr>
            </w:pPr>
            <w:r>
              <w:rPr>
                <w:b/>
                <w:sz w:val="13"/>
              </w:rPr>
              <w:t>1.277.906</w:t>
            </w:r>
          </w:p>
        </w:tc>
        <w:tc>
          <w:tcPr>
            <w:tcW w:w="944" w:type="dxa"/>
            <w:shd w:val="clear" w:color="auto" w:fill="BEBEBE"/>
          </w:tcPr>
          <w:p>
            <w:pPr>
              <w:pStyle w:val="TableParagraph"/>
              <w:spacing w:before="20"/>
              <w:ind w:right="18"/>
              <w:rPr>
                <w:b/>
                <w:sz w:val="13"/>
              </w:rPr>
            </w:pPr>
            <w:r>
              <w:rPr>
                <w:b/>
                <w:sz w:val="13"/>
              </w:rPr>
              <w:t>(16.241.112)</w:t>
            </w:r>
          </w:p>
        </w:tc>
        <w:tc>
          <w:tcPr>
            <w:tcW w:w="687" w:type="dxa"/>
            <w:shd w:val="clear" w:color="auto" w:fill="BEBEBE"/>
          </w:tcPr>
          <w:p>
            <w:pPr>
              <w:pStyle w:val="TableParagraph"/>
              <w:spacing w:before="20"/>
              <w:ind w:left="447"/>
              <w:jc w:val="left"/>
              <w:rPr>
                <w:b/>
                <w:sz w:val="13"/>
              </w:rPr>
            </w:pPr>
            <w:r>
              <w:rPr>
                <w:b/>
                <w:w w:val="102"/>
                <w:sz w:val="13"/>
              </w:rPr>
              <w:t>-</w:t>
            </w:r>
          </w:p>
        </w:tc>
        <w:tc>
          <w:tcPr>
            <w:tcW w:w="795" w:type="dxa"/>
            <w:tcBorders>
              <w:right w:val="single" w:sz="3" w:space="0" w:color="000000"/>
            </w:tcBorders>
            <w:shd w:val="clear" w:color="auto" w:fill="BEBEBE"/>
          </w:tcPr>
          <w:p>
            <w:pPr>
              <w:pStyle w:val="TableParagraph"/>
              <w:spacing w:before="20"/>
              <w:ind w:right="18"/>
              <w:rPr>
                <w:b/>
                <w:sz w:val="13"/>
              </w:rPr>
            </w:pPr>
            <w:r>
              <w:rPr>
                <w:b/>
                <w:sz w:val="13"/>
              </w:rPr>
              <w:t>(16.229.851)</w:t>
            </w:r>
          </w:p>
        </w:tc>
        <w:tc>
          <w:tcPr>
            <w:tcW w:w="977" w:type="dxa"/>
            <w:tcBorders>
              <w:left w:val="single" w:sz="3" w:space="0" w:color="000000"/>
            </w:tcBorders>
            <w:shd w:val="clear" w:color="auto" w:fill="BEBEBE"/>
          </w:tcPr>
          <w:p>
            <w:pPr>
              <w:pStyle w:val="TableParagraph"/>
              <w:spacing w:before="20"/>
              <w:ind w:right="18"/>
              <w:rPr>
                <w:b/>
                <w:sz w:val="13"/>
              </w:rPr>
            </w:pPr>
            <w:r>
              <w:rPr>
                <w:b/>
                <w:sz w:val="13"/>
              </w:rPr>
              <w:t>(11.261)</w:t>
            </w:r>
          </w:p>
        </w:tc>
      </w:tr>
      <w:tr>
        <w:trPr>
          <w:trHeight w:val="184" w:hRule="exact"/>
        </w:trPr>
        <w:tc>
          <w:tcPr>
            <w:tcW w:w="1283" w:type="dxa"/>
            <w:tcBorders>
              <w:bottom w:val="nil"/>
            </w:tcBorders>
          </w:tcPr>
          <w:p>
            <w:pPr>
              <w:pStyle w:val="TableParagraph"/>
              <w:spacing w:before="20"/>
              <w:ind w:left="16"/>
              <w:jc w:val="left"/>
              <w:rPr>
                <w:sz w:val="13"/>
              </w:rPr>
            </w:pPr>
            <w:r>
              <w:rPr>
                <w:sz w:val="13"/>
              </w:rPr>
              <w:t>2339012</w:t>
            </w:r>
          </w:p>
        </w:tc>
        <w:tc>
          <w:tcPr>
            <w:tcW w:w="3097" w:type="dxa"/>
            <w:tcBorders>
              <w:bottom w:val="nil"/>
            </w:tcBorders>
          </w:tcPr>
          <w:p>
            <w:pPr>
              <w:pStyle w:val="TableParagraph"/>
              <w:spacing w:before="20"/>
              <w:ind w:left="16"/>
              <w:jc w:val="left"/>
              <w:rPr>
                <w:sz w:val="13"/>
              </w:rPr>
            </w:pPr>
            <w:r>
              <w:rPr>
                <w:sz w:val="13"/>
              </w:rPr>
              <w:t>Debiti diversi verso il Gruppo -  Stanziamento</w:t>
            </w:r>
          </w:p>
        </w:tc>
        <w:tc>
          <w:tcPr>
            <w:tcW w:w="812" w:type="dxa"/>
            <w:tcBorders>
              <w:bottom w:val="nil"/>
            </w:tcBorders>
          </w:tcPr>
          <w:p>
            <w:pPr>
              <w:pStyle w:val="TableParagraph"/>
              <w:spacing w:before="20"/>
              <w:ind w:right="19"/>
              <w:rPr>
                <w:sz w:val="13"/>
              </w:rPr>
            </w:pPr>
            <w:r>
              <w:rPr>
                <w:sz w:val="13"/>
              </w:rPr>
              <w:t>(5.131.499)</w:t>
            </w:r>
          </w:p>
        </w:tc>
        <w:tc>
          <w:tcPr>
            <w:tcW w:w="1060" w:type="dxa"/>
            <w:tcBorders>
              <w:bottom w:val="nil"/>
            </w:tcBorders>
          </w:tcPr>
          <w:p>
            <w:pPr>
              <w:pStyle w:val="TableParagraph"/>
              <w:spacing w:before="20"/>
              <w:ind w:right="56"/>
              <w:rPr>
                <w:sz w:val="13"/>
              </w:rPr>
            </w:pPr>
            <w:r>
              <w:rPr>
                <w:sz w:val="13"/>
              </w:rPr>
              <w:t>231.585</w:t>
            </w:r>
          </w:p>
        </w:tc>
        <w:tc>
          <w:tcPr>
            <w:tcW w:w="944" w:type="dxa"/>
            <w:tcBorders>
              <w:bottom w:val="nil"/>
            </w:tcBorders>
          </w:tcPr>
          <w:p>
            <w:pPr>
              <w:pStyle w:val="TableParagraph"/>
              <w:spacing w:before="20"/>
              <w:ind w:right="19"/>
              <w:rPr>
                <w:sz w:val="13"/>
              </w:rPr>
            </w:pPr>
            <w:r>
              <w:rPr>
                <w:sz w:val="13"/>
              </w:rPr>
              <w:t>(4.899.914)</w:t>
            </w:r>
          </w:p>
        </w:tc>
        <w:tc>
          <w:tcPr>
            <w:tcW w:w="687" w:type="dxa"/>
            <w:tcBorders>
              <w:bottom w:val="nil"/>
            </w:tcBorders>
          </w:tcPr>
          <w:p>
            <w:pPr>
              <w:pStyle w:val="TableParagraph"/>
              <w:spacing w:before="20"/>
              <w:ind w:left="447"/>
              <w:jc w:val="left"/>
              <w:rPr>
                <w:sz w:val="13"/>
              </w:rPr>
            </w:pPr>
            <w:r>
              <w:rPr>
                <w:w w:val="102"/>
                <w:sz w:val="13"/>
              </w:rPr>
              <w:t>-</w:t>
            </w:r>
          </w:p>
        </w:tc>
        <w:tc>
          <w:tcPr>
            <w:tcW w:w="795" w:type="dxa"/>
            <w:tcBorders>
              <w:bottom w:val="nil"/>
              <w:right w:val="single" w:sz="3" w:space="0" w:color="000000"/>
            </w:tcBorders>
          </w:tcPr>
          <w:p>
            <w:pPr>
              <w:pStyle w:val="TableParagraph"/>
              <w:spacing w:before="20"/>
              <w:ind w:right="18"/>
              <w:rPr>
                <w:sz w:val="13"/>
              </w:rPr>
            </w:pPr>
            <w:r>
              <w:rPr>
                <w:sz w:val="13"/>
              </w:rPr>
              <w:t>(3.689.915)</w:t>
            </w:r>
          </w:p>
        </w:tc>
        <w:tc>
          <w:tcPr>
            <w:tcW w:w="977" w:type="dxa"/>
            <w:tcBorders>
              <w:left w:val="single" w:sz="3" w:space="0" w:color="000000"/>
              <w:bottom w:val="nil"/>
            </w:tcBorders>
          </w:tcPr>
          <w:p>
            <w:pPr>
              <w:pStyle w:val="TableParagraph"/>
              <w:spacing w:before="20"/>
              <w:ind w:right="18"/>
              <w:rPr>
                <w:sz w:val="13"/>
              </w:rPr>
            </w:pPr>
            <w:r>
              <w:rPr>
                <w:sz w:val="13"/>
              </w:rPr>
              <w:t>(1.210.000)</w:t>
            </w:r>
          </w:p>
        </w:tc>
      </w:tr>
      <w:tr>
        <w:trPr>
          <w:trHeight w:val="174" w:hRule="exact"/>
        </w:trPr>
        <w:tc>
          <w:tcPr>
            <w:tcW w:w="1283" w:type="dxa"/>
            <w:tcBorders>
              <w:top w:val="nil"/>
              <w:bottom w:val="nil"/>
            </w:tcBorders>
          </w:tcPr>
          <w:p>
            <w:pPr>
              <w:pStyle w:val="TableParagraph"/>
              <w:spacing w:before="14"/>
              <w:ind w:left="16"/>
              <w:jc w:val="left"/>
              <w:rPr>
                <w:sz w:val="13"/>
              </w:rPr>
            </w:pPr>
            <w:r>
              <w:rPr>
                <w:sz w:val="13"/>
              </w:rPr>
              <w:t>2339260</w:t>
            </w:r>
          </w:p>
        </w:tc>
        <w:tc>
          <w:tcPr>
            <w:tcW w:w="3097" w:type="dxa"/>
            <w:tcBorders>
              <w:top w:val="nil"/>
              <w:bottom w:val="nil"/>
            </w:tcBorders>
          </w:tcPr>
          <w:p>
            <w:pPr>
              <w:pStyle w:val="TableParagraph"/>
              <w:spacing w:before="14"/>
              <w:ind w:left="16"/>
              <w:jc w:val="left"/>
              <w:rPr>
                <w:sz w:val="13"/>
              </w:rPr>
            </w:pPr>
            <w:r>
              <w:rPr>
                <w:sz w:val="13"/>
              </w:rPr>
              <w:t>Debito per IVA di Gruppo v/Controllante</w:t>
            </w:r>
          </w:p>
        </w:tc>
        <w:tc>
          <w:tcPr>
            <w:tcW w:w="812" w:type="dxa"/>
            <w:tcBorders>
              <w:top w:val="nil"/>
              <w:bottom w:val="nil"/>
            </w:tcBorders>
          </w:tcPr>
          <w:p>
            <w:pPr>
              <w:pStyle w:val="TableParagraph"/>
              <w:spacing w:before="14"/>
              <w:ind w:right="18"/>
              <w:rPr>
                <w:sz w:val="13"/>
              </w:rPr>
            </w:pPr>
            <w:r>
              <w:rPr>
                <w:sz w:val="13"/>
              </w:rPr>
              <w:t>(185.265)</w:t>
            </w:r>
          </w:p>
        </w:tc>
        <w:tc>
          <w:tcPr>
            <w:tcW w:w="1060" w:type="dxa"/>
            <w:tcBorders>
              <w:top w:val="nil"/>
              <w:bottom w:val="nil"/>
            </w:tcBorders>
          </w:tcPr>
          <w:p>
            <w:pPr/>
          </w:p>
        </w:tc>
        <w:tc>
          <w:tcPr>
            <w:tcW w:w="944" w:type="dxa"/>
            <w:tcBorders>
              <w:top w:val="nil"/>
              <w:bottom w:val="nil"/>
            </w:tcBorders>
          </w:tcPr>
          <w:p>
            <w:pPr>
              <w:pStyle w:val="TableParagraph"/>
              <w:spacing w:before="14"/>
              <w:ind w:right="18"/>
              <w:rPr>
                <w:sz w:val="13"/>
              </w:rPr>
            </w:pPr>
            <w:r>
              <w:rPr>
                <w:sz w:val="13"/>
              </w:rPr>
              <w:t>(185.265)</w:t>
            </w:r>
          </w:p>
        </w:tc>
        <w:tc>
          <w:tcPr>
            <w:tcW w:w="687" w:type="dxa"/>
            <w:tcBorders>
              <w:top w:val="nil"/>
              <w:bottom w:val="nil"/>
            </w:tcBorders>
          </w:tcPr>
          <w:p>
            <w:pPr/>
          </w:p>
        </w:tc>
        <w:tc>
          <w:tcPr>
            <w:tcW w:w="795" w:type="dxa"/>
            <w:tcBorders>
              <w:top w:val="nil"/>
              <w:bottom w:val="nil"/>
              <w:right w:val="single" w:sz="3" w:space="0" w:color="000000"/>
            </w:tcBorders>
          </w:tcPr>
          <w:p>
            <w:pPr/>
          </w:p>
        </w:tc>
        <w:tc>
          <w:tcPr>
            <w:tcW w:w="977" w:type="dxa"/>
            <w:tcBorders>
              <w:top w:val="nil"/>
              <w:left w:val="single" w:sz="3" w:space="0" w:color="000000"/>
              <w:bottom w:val="nil"/>
            </w:tcBorders>
          </w:tcPr>
          <w:p>
            <w:pPr>
              <w:pStyle w:val="TableParagraph"/>
              <w:spacing w:before="14"/>
              <w:ind w:right="18"/>
              <w:rPr>
                <w:sz w:val="13"/>
              </w:rPr>
            </w:pPr>
            <w:r>
              <w:rPr>
                <w:sz w:val="13"/>
              </w:rPr>
              <w:t>(185.265)</w:t>
            </w:r>
          </w:p>
        </w:tc>
      </w:tr>
      <w:tr>
        <w:trPr>
          <w:trHeight w:val="174" w:hRule="exact"/>
        </w:trPr>
        <w:tc>
          <w:tcPr>
            <w:tcW w:w="1283" w:type="dxa"/>
            <w:tcBorders>
              <w:top w:val="nil"/>
              <w:bottom w:val="nil"/>
            </w:tcBorders>
          </w:tcPr>
          <w:p>
            <w:pPr>
              <w:pStyle w:val="TableParagraph"/>
              <w:spacing w:before="14"/>
              <w:ind w:left="16"/>
              <w:jc w:val="left"/>
              <w:rPr>
                <w:sz w:val="13"/>
              </w:rPr>
            </w:pPr>
            <w:r>
              <w:rPr>
                <w:sz w:val="13"/>
              </w:rPr>
              <w:t>2319040-2319045</w:t>
            </w:r>
          </w:p>
        </w:tc>
        <w:tc>
          <w:tcPr>
            <w:tcW w:w="3097" w:type="dxa"/>
            <w:tcBorders>
              <w:top w:val="nil"/>
              <w:bottom w:val="nil"/>
            </w:tcBorders>
          </w:tcPr>
          <w:p>
            <w:pPr>
              <w:pStyle w:val="TableParagraph"/>
              <w:spacing w:before="14"/>
              <w:ind w:left="16"/>
              <w:jc w:val="left"/>
              <w:rPr>
                <w:sz w:val="13"/>
              </w:rPr>
            </w:pPr>
            <w:r>
              <w:rPr>
                <w:sz w:val="13"/>
              </w:rPr>
              <w:t>Quota interessi su finanziamenti verso  Gruppo</w:t>
            </w:r>
          </w:p>
        </w:tc>
        <w:tc>
          <w:tcPr>
            <w:tcW w:w="812" w:type="dxa"/>
            <w:tcBorders>
              <w:top w:val="nil"/>
              <w:bottom w:val="nil"/>
            </w:tcBorders>
          </w:tcPr>
          <w:p>
            <w:pPr>
              <w:pStyle w:val="TableParagraph"/>
              <w:spacing w:before="14"/>
              <w:ind w:right="18"/>
              <w:rPr>
                <w:sz w:val="13"/>
              </w:rPr>
            </w:pPr>
            <w:r>
              <w:rPr>
                <w:sz w:val="13"/>
              </w:rPr>
              <w:t>(7.986)</w:t>
            </w:r>
          </w:p>
        </w:tc>
        <w:tc>
          <w:tcPr>
            <w:tcW w:w="1060" w:type="dxa"/>
            <w:tcBorders>
              <w:top w:val="nil"/>
              <w:bottom w:val="nil"/>
            </w:tcBorders>
          </w:tcPr>
          <w:p>
            <w:pPr/>
          </w:p>
        </w:tc>
        <w:tc>
          <w:tcPr>
            <w:tcW w:w="944" w:type="dxa"/>
            <w:tcBorders>
              <w:top w:val="nil"/>
              <w:bottom w:val="nil"/>
            </w:tcBorders>
          </w:tcPr>
          <w:p>
            <w:pPr>
              <w:pStyle w:val="TableParagraph"/>
              <w:spacing w:before="14"/>
              <w:ind w:right="18"/>
              <w:rPr>
                <w:sz w:val="13"/>
              </w:rPr>
            </w:pPr>
            <w:r>
              <w:rPr>
                <w:sz w:val="13"/>
              </w:rPr>
              <w:t>(7.986)</w:t>
            </w:r>
          </w:p>
        </w:tc>
        <w:tc>
          <w:tcPr>
            <w:tcW w:w="687" w:type="dxa"/>
            <w:tcBorders>
              <w:top w:val="nil"/>
              <w:bottom w:val="nil"/>
            </w:tcBorders>
          </w:tcPr>
          <w:p>
            <w:pPr/>
          </w:p>
        </w:tc>
        <w:tc>
          <w:tcPr>
            <w:tcW w:w="795" w:type="dxa"/>
            <w:tcBorders>
              <w:top w:val="nil"/>
              <w:bottom w:val="nil"/>
              <w:right w:val="single" w:sz="3" w:space="0" w:color="000000"/>
            </w:tcBorders>
          </w:tcPr>
          <w:p>
            <w:pPr>
              <w:pStyle w:val="TableParagraph"/>
              <w:spacing w:before="14"/>
              <w:ind w:right="18"/>
              <w:rPr>
                <w:sz w:val="13"/>
              </w:rPr>
            </w:pPr>
            <w:r>
              <w:rPr>
                <w:sz w:val="13"/>
              </w:rPr>
              <w:t>(7.986)</w:t>
            </w:r>
          </w:p>
        </w:tc>
        <w:tc>
          <w:tcPr>
            <w:tcW w:w="977" w:type="dxa"/>
            <w:tcBorders>
              <w:top w:val="nil"/>
              <w:left w:val="single" w:sz="3" w:space="0" w:color="000000"/>
              <w:bottom w:val="nil"/>
            </w:tcBorders>
          </w:tcPr>
          <w:p>
            <w:pPr/>
          </w:p>
        </w:tc>
      </w:tr>
      <w:tr>
        <w:trPr>
          <w:trHeight w:val="164" w:hRule="exact"/>
        </w:trPr>
        <w:tc>
          <w:tcPr>
            <w:tcW w:w="1283" w:type="dxa"/>
            <w:tcBorders>
              <w:top w:val="nil"/>
            </w:tcBorders>
          </w:tcPr>
          <w:p>
            <w:pPr>
              <w:pStyle w:val="TableParagraph"/>
              <w:spacing w:before="14"/>
              <w:ind w:left="16"/>
              <w:jc w:val="left"/>
              <w:rPr>
                <w:sz w:val="13"/>
              </w:rPr>
            </w:pPr>
            <w:r>
              <w:rPr>
                <w:sz w:val="13"/>
              </w:rPr>
              <w:t>2339270</w:t>
            </w:r>
          </w:p>
        </w:tc>
        <w:tc>
          <w:tcPr>
            <w:tcW w:w="3097" w:type="dxa"/>
            <w:tcBorders>
              <w:top w:val="nil"/>
            </w:tcBorders>
          </w:tcPr>
          <w:p>
            <w:pPr>
              <w:pStyle w:val="TableParagraph"/>
              <w:spacing w:before="14"/>
              <w:ind w:left="16"/>
              <w:jc w:val="left"/>
              <w:rPr>
                <w:sz w:val="13"/>
              </w:rPr>
            </w:pPr>
            <w:r>
              <w:rPr>
                <w:sz w:val="13"/>
              </w:rPr>
              <w:t>Debito per Imposte Consolidate di Gruppo</w:t>
            </w:r>
          </w:p>
        </w:tc>
        <w:tc>
          <w:tcPr>
            <w:tcW w:w="812" w:type="dxa"/>
            <w:tcBorders>
              <w:top w:val="nil"/>
            </w:tcBorders>
          </w:tcPr>
          <w:p>
            <w:pPr>
              <w:pStyle w:val="TableParagraph"/>
              <w:spacing w:before="14"/>
              <w:ind w:right="19"/>
              <w:rPr>
                <w:sz w:val="13"/>
              </w:rPr>
            </w:pPr>
            <w:r>
              <w:rPr>
                <w:sz w:val="13"/>
              </w:rPr>
              <w:t>(5.184.379)</w:t>
            </w:r>
          </w:p>
        </w:tc>
        <w:tc>
          <w:tcPr>
            <w:tcW w:w="1060" w:type="dxa"/>
            <w:tcBorders>
              <w:top w:val="nil"/>
            </w:tcBorders>
          </w:tcPr>
          <w:p>
            <w:pPr/>
          </w:p>
        </w:tc>
        <w:tc>
          <w:tcPr>
            <w:tcW w:w="944" w:type="dxa"/>
            <w:tcBorders>
              <w:top w:val="nil"/>
            </w:tcBorders>
          </w:tcPr>
          <w:p>
            <w:pPr>
              <w:pStyle w:val="TableParagraph"/>
              <w:spacing w:before="14"/>
              <w:ind w:right="19"/>
              <w:rPr>
                <w:sz w:val="13"/>
              </w:rPr>
            </w:pPr>
            <w:r>
              <w:rPr>
                <w:sz w:val="13"/>
              </w:rPr>
              <w:t>(5.184.379)</w:t>
            </w:r>
          </w:p>
        </w:tc>
        <w:tc>
          <w:tcPr>
            <w:tcW w:w="687" w:type="dxa"/>
            <w:tcBorders>
              <w:top w:val="nil"/>
            </w:tcBorders>
          </w:tcPr>
          <w:p>
            <w:pPr/>
          </w:p>
        </w:tc>
        <w:tc>
          <w:tcPr>
            <w:tcW w:w="795" w:type="dxa"/>
            <w:tcBorders>
              <w:top w:val="nil"/>
              <w:right w:val="single" w:sz="3" w:space="0" w:color="000000"/>
            </w:tcBorders>
          </w:tcPr>
          <w:p>
            <w:pPr/>
          </w:p>
        </w:tc>
        <w:tc>
          <w:tcPr>
            <w:tcW w:w="977" w:type="dxa"/>
            <w:tcBorders>
              <w:top w:val="nil"/>
              <w:left w:val="single" w:sz="3" w:space="0" w:color="000000"/>
            </w:tcBorders>
          </w:tcPr>
          <w:p>
            <w:pPr>
              <w:pStyle w:val="TableParagraph"/>
              <w:spacing w:before="14"/>
              <w:ind w:right="18"/>
              <w:rPr>
                <w:sz w:val="13"/>
              </w:rPr>
            </w:pPr>
            <w:r>
              <w:rPr>
                <w:sz w:val="13"/>
              </w:rPr>
              <w:t>(5.184.379)</w:t>
            </w:r>
          </w:p>
        </w:tc>
      </w:tr>
      <w:tr>
        <w:trPr>
          <w:trHeight w:val="174" w:hRule="exact"/>
        </w:trPr>
        <w:tc>
          <w:tcPr>
            <w:tcW w:w="4380" w:type="dxa"/>
            <w:gridSpan w:val="2"/>
            <w:shd w:val="clear" w:color="auto" w:fill="BEBEBE"/>
          </w:tcPr>
          <w:p>
            <w:pPr>
              <w:pStyle w:val="TableParagraph"/>
              <w:spacing w:before="20"/>
              <w:ind w:left="16"/>
              <w:jc w:val="left"/>
              <w:rPr>
                <w:b/>
                <w:sz w:val="13"/>
              </w:rPr>
            </w:pPr>
            <w:r>
              <w:rPr>
                <w:b/>
                <w:sz w:val="13"/>
              </w:rPr>
              <w:t>TOTALE DEBITI DIVERSI VERSO IL  GRUPPO</w:t>
            </w:r>
          </w:p>
        </w:tc>
        <w:tc>
          <w:tcPr>
            <w:tcW w:w="812" w:type="dxa"/>
            <w:shd w:val="clear" w:color="auto" w:fill="BEBEBE"/>
          </w:tcPr>
          <w:p>
            <w:pPr>
              <w:pStyle w:val="TableParagraph"/>
              <w:spacing w:before="20"/>
              <w:ind w:right="18"/>
              <w:rPr>
                <w:b/>
                <w:sz w:val="13"/>
              </w:rPr>
            </w:pPr>
            <w:r>
              <w:rPr>
                <w:b/>
                <w:sz w:val="13"/>
              </w:rPr>
              <w:t>(10.509.129)</w:t>
            </w:r>
          </w:p>
        </w:tc>
        <w:tc>
          <w:tcPr>
            <w:tcW w:w="1060" w:type="dxa"/>
            <w:shd w:val="clear" w:color="auto" w:fill="BEBEBE"/>
          </w:tcPr>
          <w:p>
            <w:pPr>
              <w:pStyle w:val="TableParagraph"/>
              <w:spacing w:before="20"/>
              <w:ind w:right="60"/>
              <w:rPr>
                <w:b/>
                <w:sz w:val="13"/>
              </w:rPr>
            </w:pPr>
            <w:r>
              <w:rPr>
                <w:b/>
                <w:sz w:val="13"/>
              </w:rPr>
              <w:t>231.585</w:t>
            </w:r>
          </w:p>
        </w:tc>
        <w:tc>
          <w:tcPr>
            <w:tcW w:w="944" w:type="dxa"/>
            <w:shd w:val="clear" w:color="auto" w:fill="BEBEBE"/>
          </w:tcPr>
          <w:p>
            <w:pPr>
              <w:pStyle w:val="TableParagraph"/>
              <w:spacing w:before="20"/>
              <w:ind w:right="18"/>
              <w:rPr>
                <w:b/>
                <w:sz w:val="13"/>
              </w:rPr>
            </w:pPr>
            <w:r>
              <w:rPr>
                <w:b/>
                <w:sz w:val="13"/>
              </w:rPr>
              <w:t>(10.277.544)</w:t>
            </w:r>
          </w:p>
        </w:tc>
        <w:tc>
          <w:tcPr>
            <w:tcW w:w="687" w:type="dxa"/>
            <w:shd w:val="clear" w:color="auto" w:fill="BEBEBE"/>
          </w:tcPr>
          <w:p>
            <w:pPr>
              <w:pStyle w:val="TableParagraph"/>
              <w:spacing w:before="20"/>
              <w:ind w:left="447"/>
              <w:jc w:val="left"/>
              <w:rPr>
                <w:b/>
                <w:sz w:val="13"/>
              </w:rPr>
            </w:pPr>
            <w:r>
              <w:rPr>
                <w:b/>
                <w:w w:val="102"/>
                <w:sz w:val="13"/>
              </w:rPr>
              <w:t>-</w:t>
            </w:r>
          </w:p>
        </w:tc>
        <w:tc>
          <w:tcPr>
            <w:tcW w:w="795" w:type="dxa"/>
            <w:tcBorders>
              <w:right w:val="single" w:sz="3" w:space="0" w:color="000000"/>
            </w:tcBorders>
            <w:shd w:val="clear" w:color="auto" w:fill="BEBEBE"/>
          </w:tcPr>
          <w:p>
            <w:pPr>
              <w:pStyle w:val="TableParagraph"/>
              <w:spacing w:before="20"/>
              <w:ind w:right="18"/>
              <w:rPr>
                <w:b/>
                <w:sz w:val="13"/>
              </w:rPr>
            </w:pPr>
            <w:r>
              <w:rPr>
                <w:b/>
                <w:sz w:val="13"/>
              </w:rPr>
              <w:t>(3.697.901)</w:t>
            </w:r>
          </w:p>
        </w:tc>
        <w:tc>
          <w:tcPr>
            <w:tcW w:w="977" w:type="dxa"/>
            <w:tcBorders>
              <w:left w:val="single" w:sz="3" w:space="0" w:color="000000"/>
            </w:tcBorders>
            <w:shd w:val="clear" w:color="auto" w:fill="BEBEBE"/>
          </w:tcPr>
          <w:p>
            <w:pPr>
              <w:pStyle w:val="TableParagraph"/>
              <w:spacing w:before="20"/>
              <w:ind w:right="18"/>
              <w:rPr>
                <w:b/>
                <w:sz w:val="13"/>
              </w:rPr>
            </w:pPr>
            <w:r>
              <w:rPr>
                <w:b/>
                <w:sz w:val="13"/>
              </w:rPr>
              <w:t>(6.579.644)</w:t>
            </w:r>
          </w:p>
        </w:tc>
      </w:tr>
      <w:tr>
        <w:trPr>
          <w:trHeight w:val="184" w:hRule="exact"/>
        </w:trPr>
        <w:tc>
          <w:tcPr>
            <w:tcW w:w="1283" w:type="dxa"/>
            <w:tcBorders>
              <w:bottom w:val="nil"/>
            </w:tcBorders>
          </w:tcPr>
          <w:p>
            <w:pPr>
              <w:pStyle w:val="TableParagraph"/>
              <w:spacing w:before="20"/>
              <w:ind w:left="16"/>
              <w:jc w:val="left"/>
              <w:rPr>
                <w:sz w:val="13"/>
              </w:rPr>
            </w:pPr>
            <w:r>
              <w:rPr>
                <w:sz w:val="13"/>
              </w:rPr>
              <w:t>2319820</w:t>
            </w:r>
          </w:p>
        </w:tc>
        <w:tc>
          <w:tcPr>
            <w:tcW w:w="3097" w:type="dxa"/>
            <w:tcBorders>
              <w:bottom w:val="nil"/>
            </w:tcBorders>
          </w:tcPr>
          <w:p>
            <w:pPr>
              <w:pStyle w:val="TableParagraph"/>
              <w:spacing w:before="20"/>
              <w:ind w:left="16"/>
              <w:jc w:val="left"/>
              <w:rPr>
                <w:sz w:val="13"/>
              </w:rPr>
            </w:pPr>
            <w:r>
              <w:rPr>
                <w:sz w:val="13"/>
              </w:rPr>
              <w:t>Quota int/fees pass Zero Balance vs  Gruppo</w:t>
            </w:r>
          </w:p>
        </w:tc>
        <w:tc>
          <w:tcPr>
            <w:tcW w:w="812" w:type="dxa"/>
            <w:tcBorders>
              <w:bottom w:val="nil"/>
            </w:tcBorders>
          </w:tcPr>
          <w:p>
            <w:pPr>
              <w:pStyle w:val="TableParagraph"/>
              <w:spacing w:before="20"/>
              <w:ind w:right="18"/>
              <w:rPr>
                <w:sz w:val="13"/>
              </w:rPr>
            </w:pPr>
            <w:r>
              <w:rPr>
                <w:sz w:val="13"/>
              </w:rPr>
              <w:t>(3.548)</w:t>
            </w:r>
          </w:p>
        </w:tc>
        <w:tc>
          <w:tcPr>
            <w:tcW w:w="1060" w:type="dxa"/>
            <w:vMerge w:val="restart"/>
          </w:tcPr>
          <w:p>
            <w:pPr/>
          </w:p>
        </w:tc>
        <w:tc>
          <w:tcPr>
            <w:tcW w:w="944" w:type="dxa"/>
            <w:tcBorders>
              <w:bottom w:val="nil"/>
            </w:tcBorders>
          </w:tcPr>
          <w:p>
            <w:pPr>
              <w:pStyle w:val="TableParagraph"/>
              <w:spacing w:before="20"/>
              <w:ind w:right="18"/>
              <w:rPr>
                <w:sz w:val="13"/>
              </w:rPr>
            </w:pPr>
            <w:r>
              <w:rPr>
                <w:sz w:val="13"/>
              </w:rPr>
              <w:t>(3.548)</w:t>
            </w:r>
          </w:p>
        </w:tc>
        <w:tc>
          <w:tcPr>
            <w:tcW w:w="687" w:type="dxa"/>
            <w:vMerge w:val="restart"/>
          </w:tcPr>
          <w:p>
            <w:pPr/>
          </w:p>
        </w:tc>
        <w:tc>
          <w:tcPr>
            <w:tcW w:w="795" w:type="dxa"/>
            <w:tcBorders>
              <w:bottom w:val="nil"/>
              <w:right w:val="single" w:sz="3" w:space="0" w:color="000000"/>
            </w:tcBorders>
          </w:tcPr>
          <w:p>
            <w:pPr>
              <w:pStyle w:val="TableParagraph"/>
              <w:spacing w:before="20"/>
              <w:ind w:right="18"/>
              <w:rPr>
                <w:sz w:val="13"/>
              </w:rPr>
            </w:pPr>
            <w:r>
              <w:rPr>
                <w:sz w:val="13"/>
              </w:rPr>
              <w:t>(1.748)</w:t>
            </w:r>
          </w:p>
        </w:tc>
        <w:tc>
          <w:tcPr>
            <w:tcW w:w="977" w:type="dxa"/>
            <w:tcBorders>
              <w:left w:val="single" w:sz="3" w:space="0" w:color="000000"/>
              <w:bottom w:val="nil"/>
            </w:tcBorders>
          </w:tcPr>
          <w:p>
            <w:pPr>
              <w:pStyle w:val="TableParagraph"/>
              <w:spacing w:before="20"/>
              <w:ind w:right="18"/>
              <w:rPr>
                <w:sz w:val="13"/>
              </w:rPr>
            </w:pPr>
            <w:r>
              <w:rPr>
                <w:sz w:val="13"/>
              </w:rPr>
              <w:t>(1.800)</w:t>
            </w:r>
          </w:p>
        </w:tc>
      </w:tr>
      <w:tr>
        <w:trPr>
          <w:trHeight w:val="174" w:hRule="exact"/>
        </w:trPr>
        <w:tc>
          <w:tcPr>
            <w:tcW w:w="1283" w:type="dxa"/>
            <w:tcBorders>
              <w:top w:val="nil"/>
              <w:bottom w:val="nil"/>
            </w:tcBorders>
          </w:tcPr>
          <w:p>
            <w:pPr>
              <w:pStyle w:val="TableParagraph"/>
              <w:spacing w:before="14"/>
              <w:ind w:left="16"/>
              <w:jc w:val="left"/>
              <w:rPr>
                <w:sz w:val="13"/>
              </w:rPr>
            </w:pPr>
            <w:r>
              <w:rPr>
                <w:sz w:val="13"/>
              </w:rPr>
              <w:t>2319040-2319045</w:t>
            </w:r>
          </w:p>
        </w:tc>
        <w:tc>
          <w:tcPr>
            <w:tcW w:w="3097" w:type="dxa"/>
            <w:tcBorders>
              <w:top w:val="nil"/>
              <w:bottom w:val="nil"/>
            </w:tcBorders>
          </w:tcPr>
          <w:p>
            <w:pPr>
              <w:pStyle w:val="TableParagraph"/>
              <w:spacing w:before="14"/>
              <w:ind w:left="16"/>
              <w:jc w:val="left"/>
              <w:rPr>
                <w:sz w:val="13"/>
              </w:rPr>
            </w:pPr>
            <w:r>
              <w:rPr>
                <w:sz w:val="13"/>
              </w:rPr>
              <w:t>Quota interessi per cash Pooling verso  Gruppo</w:t>
            </w:r>
          </w:p>
        </w:tc>
        <w:tc>
          <w:tcPr>
            <w:tcW w:w="812" w:type="dxa"/>
            <w:tcBorders>
              <w:top w:val="nil"/>
              <w:bottom w:val="nil"/>
            </w:tcBorders>
          </w:tcPr>
          <w:p>
            <w:pPr>
              <w:pStyle w:val="TableParagraph"/>
              <w:spacing w:before="14"/>
              <w:ind w:right="18"/>
              <w:rPr>
                <w:sz w:val="13"/>
              </w:rPr>
            </w:pPr>
            <w:r>
              <w:rPr>
                <w:sz w:val="13"/>
              </w:rPr>
              <w:t>(773.852)</w:t>
            </w:r>
          </w:p>
        </w:tc>
        <w:tc>
          <w:tcPr>
            <w:tcW w:w="1060" w:type="dxa"/>
            <w:vMerge/>
          </w:tcPr>
          <w:p>
            <w:pPr/>
          </w:p>
        </w:tc>
        <w:tc>
          <w:tcPr>
            <w:tcW w:w="944" w:type="dxa"/>
            <w:tcBorders>
              <w:top w:val="nil"/>
              <w:bottom w:val="nil"/>
            </w:tcBorders>
          </w:tcPr>
          <w:p>
            <w:pPr>
              <w:pStyle w:val="TableParagraph"/>
              <w:spacing w:before="14"/>
              <w:ind w:right="18"/>
              <w:rPr>
                <w:sz w:val="13"/>
              </w:rPr>
            </w:pPr>
            <w:r>
              <w:rPr>
                <w:sz w:val="13"/>
              </w:rPr>
              <w:t>(773.852)</w:t>
            </w:r>
          </w:p>
        </w:tc>
        <w:tc>
          <w:tcPr>
            <w:tcW w:w="687" w:type="dxa"/>
            <w:vMerge/>
          </w:tcPr>
          <w:p>
            <w:pPr/>
          </w:p>
        </w:tc>
        <w:tc>
          <w:tcPr>
            <w:tcW w:w="795" w:type="dxa"/>
            <w:tcBorders>
              <w:top w:val="nil"/>
              <w:bottom w:val="nil"/>
              <w:right w:val="single" w:sz="3" w:space="0" w:color="000000"/>
            </w:tcBorders>
          </w:tcPr>
          <w:p>
            <w:pPr>
              <w:pStyle w:val="TableParagraph"/>
              <w:spacing w:before="14"/>
              <w:ind w:right="55"/>
              <w:rPr>
                <w:sz w:val="13"/>
              </w:rPr>
            </w:pPr>
            <w:r>
              <w:rPr>
                <w:w w:val="102"/>
                <w:sz w:val="13"/>
              </w:rPr>
              <w:t>-</w:t>
            </w:r>
          </w:p>
        </w:tc>
        <w:tc>
          <w:tcPr>
            <w:tcW w:w="977" w:type="dxa"/>
            <w:tcBorders>
              <w:top w:val="nil"/>
              <w:left w:val="single" w:sz="3" w:space="0" w:color="000000"/>
              <w:bottom w:val="nil"/>
            </w:tcBorders>
          </w:tcPr>
          <w:p>
            <w:pPr>
              <w:pStyle w:val="TableParagraph"/>
              <w:spacing w:before="14"/>
              <w:ind w:right="18"/>
              <w:rPr>
                <w:sz w:val="13"/>
              </w:rPr>
            </w:pPr>
            <w:r>
              <w:rPr>
                <w:sz w:val="13"/>
              </w:rPr>
              <w:t>(773.852)</w:t>
            </w:r>
          </w:p>
        </w:tc>
      </w:tr>
      <w:tr>
        <w:trPr>
          <w:trHeight w:val="174" w:hRule="exact"/>
        </w:trPr>
        <w:tc>
          <w:tcPr>
            <w:tcW w:w="1283" w:type="dxa"/>
            <w:tcBorders>
              <w:top w:val="nil"/>
              <w:bottom w:val="nil"/>
            </w:tcBorders>
          </w:tcPr>
          <w:p>
            <w:pPr>
              <w:pStyle w:val="TableParagraph"/>
              <w:spacing w:before="14"/>
              <w:ind w:left="16"/>
              <w:jc w:val="left"/>
              <w:rPr>
                <w:sz w:val="13"/>
              </w:rPr>
            </w:pPr>
            <w:r>
              <w:rPr>
                <w:sz w:val="13"/>
              </w:rPr>
              <w:t>2319822</w:t>
            </w:r>
          </w:p>
        </w:tc>
        <w:tc>
          <w:tcPr>
            <w:tcW w:w="3097" w:type="dxa"/>
            <w:tcBorders>
              <w:top w:val="nil"/>
              <w:bottom w:val="nil"/>
            </w:tcBorders>
          </w:tcPr>
          <w:p>
            <w:pPr>
              <w:pStyle w:val="TableParagraph"/>
              <w:spacing w:before="14"/>
              <w:ind w:left="16"/>
              <w:jc w:val="left"/>
              <w:rPr>
                <w:sz w:val="13"/>
              </w:rPr>
            </w:pPr>
            <w:r>
              <w:rPr>
                <w:sz w:val="13"/>
              </w:rPr>
              <w:t>interessi di cash  pooling</w:t>
            </w:r>
          </w:p>
        </w:tc>
        <w:tc>
          <w:tcPr>
            <w:tcW w:w="812" w:type="dxa"/>
            <w:tcBorders>
              <w:top w:val="nil"/>
              <w:bottom w:val="nil"/>
            </w:tcBorders>
          </w:tcPr>
          <w:p>
            <w:pPr>
              <w:pStyle w:val="TableParagraph"/>
              <w:spacing w:before="14"/>
              <w:ind w:right="18"/>
              <w:rPr>
                <w:sz w:val="13"/>
              </w:rPr>
            </w:pPr>
            <w:r>
              <w:rPr>
                <w:sz w:val="13"/>
              </w:rPr>
              <w:t>(1.152)</w:t>
            </w:r>
          </w:p>
        </w:tc>
        <w:tc>
          <w:tcPr>
            <w:tcW w:w="1060" w:type="dxa"/>
            <w:vMerge/>
          </w:tcPr>
          <w:p>
            <w:pPr/>
          </w:p>
        </w:tc>
        <w:tc>
          <w:tcPr>
            <w:tcW w:w="944" w:type="dxa"/>
            <w:tcBorders>
              <w:top w:val="nil"/>
              <w:bottom w:val="nil"/>
            </w:tcBorders>
          </w:tcPr>
          <w:p>
            <w:pPr>
              <w:pStyle w:val="TableParagraph"/>
              <w:spacing w:before="14"/>
              <w:ind w:right="18"/>
              <w:rPr>
                <w:sz w:val="13"/>
              </w:rPr>
            </w:pPr>
            <w:r>
              <w:rPr>
                <w:sz w:val="13"/>
              </w:rPr>
              <w:t>(1.152)</w:t>
            </w:r>
          </w:p>
        </w:tc>
        <w:tc>
          <w:tcPr>
            <w:tcW w:w="687" w:type="dxa"/>
            <w:vMerge/>
          </w:tcPr>
          <w:p>
            <w:pPr/>
          </w:p>
        </w:tc>
        <w:tc>
          <w:tcPr>
            <w:tcW w:w="795" w:type="dxa"/>
            <w:tcBorders>
              <w:top w:val="nil"/>
              <w:bottom w:val="nil"/>
              <w:right w:val="single" w:sz="3" w:space="0" w:color="000000"/>
            </w:tcBorders>
          </w:tcPr>
          <w:p>
            <w:pPr>
              <w:pStyle w:val="TableParagraph"/>
              <w:spacing w:before="14"/>
              <w:ind w:right="18"/>
              <w:rPr>
                <w:sz w:val="13"/>
              </w:rPr>
            </w:pPr>
            <w:r>
              <w:rPr>
                <w:sz w:val="13"/>
              </w:rPr>
              <w:t>(1.152)</w:t>
            </w:r>
          </w:p>
        </w:tc>
        <w:tc>
          <w:tcPr>
            <w:tcW w:w="977" w:type="dxa"/>
            <w:tcBorders>
              <w:top w:val="nil"/>
              <w:left w:val="single" w:sz="3" w:space="0" w:color="000000"/>
              <w:bottom w:val="nil"/>
            </w:tcBorders>
          </w:tcPr>
          <w:p>
            <w:pPr/>
          </w:p>
        </w:tc>
      </w:tr>
      <w:tr>
        <w:trPr>
          <w:trHeight w:val="164" w:hRule="exact"/>
        </w:trPr>
        <w:tc>
          <w:tcPr>
            <w:tcW w:w="1283" w:type="dxa"/>
            <w:tcBorders>
              <w:top w:val="nil"/>
            </w:tcBorders>
          </w:tcPr>
          <w:p>
            <w:pPr>
              <w:pStyle w:val="TableParagraph"/>
              <w:spacing w:before="14"/>
              <w:ind w:left="16"/>
              <w:jc w:val="left"/>
              <w:rPr>
                <w:sz w:val="13"/>
              </w:rPr>
            </w:pPr>
            <w:r>
              <w:rPr>
                <w:sz w:val="13"/>
              </w:rPr>
              <w:t>2319840</w:t>
            </w:r>
          </w:p>
        </w:tc>
        <w:tc>
          <w:tcPr>
            <w:tcW w:w="3097" w:type="dxa"/>
            <w:tcBorders>
              <w:top w:val="nil"/>
            </w:tcBorders>
          </w:tcPr>
          <w:p>
            <w:pPr>
              <w:pStyle w:val="TableParagraph"/>
              <w:spacing w:before="14"/>
              <w:ind w:left="16"/>
              <w:jc w:val="left"/>
              <w:rPr>
                <w:sz w:val="13"/>
              </w:rPr>
            </w:pPr>
            <w:r>
              <w:rPr>
                <w:sz w:val="13"/>
              </w:rPr>
              <w:t>Debiti cash pooling</w:t>
            </w:r>
          </w:p>
        </w:tc>
        <w:tc>
          <w:tcPr>
            <w:tcW w:w="812" w:type="dxa"/>
            <w:tcBorders>
              <w:top w:val="nil"/>
            </w:tcBorders>
          </w:tcPr>
          <w:p>
            <w:pPr>
              <w:pStyle w:val="TableParagraph"/>
              <w:spacing w:before="14"/>
              <w:ind w:right="18"/>
              <w:rPr>
                <w:sz w:val="13"/>
              </w:rPr>
            </w:pPr>
            <w:r>
              <w:rPr>
                <w:sz w:val="13"/>
              </w:rPr>
              <w:t>(420.326)</w:t>
            </w:r>
          </w:p>
        </w:tc>
        <w:tc>
          <w:tcPr>
            <w:tcW w:w="1060" w:type="dxa"/>
            <w:vMerge/>
          </w:tcPr>
          <w:p>
            <w:pPr/>
          </w:p>
        </w:tc>
        <w:tc>
          <w:tcPr>
            <w:tcW w:w="944" w:type="dxa"/>
            <w:tcBorders>
              <w:top w:val="nil"/>
            </w:tcBorders>
          </w:tcPr>
          <w:p>
            <w:pPr>
              <w:pStyle w:val="TableParagraph"/>
              <w:spacing w:before="14"/>
              <w:ind w:right="18"/>
              <w:rPr>
                <w:sz w:val="13"/>
              </w:rPr>
            </w:pPr>
            <w:r>
              <w:rPr>
                <w:sz w:val="13"/>
              </w:rPr>
              <w:t>(420.326)</w:t>
            </w:r>
          </w:p>
        </w:tc>
        <w:tc>
          <w:tcPr>
            <w:tcW w:w="687" w:type="dxa"/>
            <w:vMerge/>
          </w:tcPr>
          <w:p>
            <w:pPr/>
          </w:p>
        </w:tc>
        <w:tc>
          <w:tcPr>
            <w:tcW w:w="795" w:type="dxa"/>
            <w:tcBorders>
              <w:top w:val="nil"/>
              <w:right w:val="single" w:sz="3" w:space="0" w:color="000000"/>
            </w:tcBorders>
          </w:tcPr>
          <w:p>
            <w:pPr>
              <w:pStyle w:val="TableParagraph"/>
              <w:spacing w:before="14"/>
              <w:ind w:right="18"/>
              <w:rPr>
                <w:sz w:val="13"/>
              </w:rPr>
            </w:pPr>
            <w:r>
              <w:rPr>
                <w:sz w:val="13"/>
              </w:rPr>
              <w:t>(420.326)</w:t>
            </w:r>
          </w:p>
        </w:tc>
        <w:tc>
          <w:tcPr>
            <w:tcW w:w="977" w:type="dxa"/>
            <w:tcBorders>
              <w:top w:val="nil"/>
              <w:left w:val="single" w:sz="3" w:space="0" w:color="000000"/>
            </w:tcBorders>
          </w:tcPr>
          <w:p>
            <w:pPr/>
          </w:p>
        </w:tc>
      </w:tr>
      <w:tr>
        <w:trPr>
          <w:trHeight w:val="174" w:hRule="exact"/>
        </w:trPr>
        <w:tc>
          <w:tcPr>
            <w:tcW w:w="4380" w:type="dxa"/>
            <w:gridSpan w:val="2"/>
            <w:tcBorders>
              <w:bottom w:val="single" w:sz="3" w:space="0" w:color="000000"/>
            </w:tcBorders>
            <w:shd w:val="clear" w:color="auto" w:fill="BEBEBE"/>
          </w:tcPr>
          <w:p>
            <w:pPr>
              <w:pStyle w:val="TableParagraph"/>
              <w:spacing w:before="12"/>
              <w:ind w:left="16"/>
              <w:jc w:val="left"/>
              <w:rPr>
                <w:b/>
                <w:sz w:val="13"/>
              </w:rPr>
            </w:pPr>
            <w:r>
              <w:rPr>
                <w:b/>
                <w:sz w:val="13"/>
              </w:rPr>
              <w:t>TOTALE DEBITI FINANZIARI VERSO  IL GRUPPO</w:t>
            </w:r>
          </w:p>
        </w:tc>
        <w:tc>
          <w:tcPr>
            <w:tcW w:w="812" w:type="dxa"/>
            <w:tcBorders>
              <w:bottom w:val="single" w:sz="3" w:space="0" w:color="000000"/>
            </w:tcBorders>
            <w:shd w:val="clear" w:color="auto" w:fill="BEBEBE"/>
          </w:tcPr>
          <w:p>
            <w:pPr>
              <w:pStyle w:val="TableParagraph"/>
              <w:spacing w:before="20"/>
              <w:ind w:right="18"/>
              <w:rPr>
                <w:b/>
                <w:sz w:val="13"/>
              </w:rPr>
            </w:pPr>
            <w:r>
              <w:rPr>
                <w:b/>
                <w:sz w:val="13"/>
              </w:rPr>
              <w:t>(1.198.878)</w:t>
            </w:r>
          </w:p>
        </w:tc>
        <w:tc>
          <w:tcPr>
            <w:tcW w:w="1060" w:type="dxa"/>
            <w:tcBorders>
              <w:bottom w:val="single" w:sz="3" w:space="0" w:color="000000"/>
            </w:tcBorders>
            <w:shd w:val="clear" w:color="auto" w:fill="BEBEBE"/>
          </w:tcPr>
          <w:p>
            <w:pPr>
              <w:pStyle w:val="TableParagraph"/>
              <w:spacing w:before="20"/>
              <w:ind w:right="61"/>
              <w:rPr>
                <w:b/>
                <w:sz w:val="13"/>
              </w:rPr>
            </w:pPr>
            <w:r>
              <w:rPr>
                <w:b/>
                <w:w w:val="102"/>
                <w:sz w:val="13"/>
              </w:rPr>
              <w:t>-</w:t>
            </w:r>
          </w:p>
        </w:tc>
        <w:tc>
          <w:tcPr>
            <w:tcW w:w="944" w:type="dxa"/>
            <w:tcBorders>
              <w:bottom w:val="single" w:sz="3" w:space="0" w:color="000000"/>
            </w:tcBorders>
            <w:shd w:val="clear" w:color="auto" w:fill="BEBEBE"/>
          </w:tcPr>
          <w:p>
            <w:pPr>
              <w:pStyle w:val="TableParagraph"/>
              <w:spacing w:before="20"/>
              <w:ind w:right="18"/>
              <w:rPr>
                <w:b/>
                <w:sz w:val="13"/>
              </w:rPr>
            </w:pPr>
            <w:r>
              <w:rPr>
                <w:b/>
                <w:sz w:val="13"/>
              </w:rPr>
              <w:t>(1.198.878)</w:t>
            </w:r>
          </w:p>
        </w:tc>
        <w:tc>
          <w:tcPr>
            <w:tcW w:w="687" w:type="dxa"/>
            <w:tcBorders>
              <w:bottom w:val="single" w:sz="3" w:space="0" w:color="000000"/>
            </w:tcBorders>
            <w:shd w:val="clear" w:color="auto" w:fill="BEBEBE"/>
          </w:tcPr>
          <w:p>
            <w:pPr>
              <w:pStyle w:val="TableParagraph"/>
              <w:spacing w:before="20"/>
              <w:ind w:right="61"/>
              <w:rPr>
                <w:b/>
                <w:sz w:val="13"/>
              </w:rPr>
            </w:pPr>
            <w:r>
              <w:rPr>
                <w:b/>
                <w:w w:val="102"/>
                <w:sz w:val="13"/>
              </w:rPr>
              <w:t>-</w:t>
            </w:r>
          </w:p>
        </w:tc>
        <w:tc>
          <w:tcPr>
            <w:tcW w:w="795" w:type="dxa"/>
            <w:tcBorders>
              <w:bottom w:val="single" w:sz="3" w:space="0" w:color="000000"/>
              <w:right w:val="single" w:sz="3" w:space="0" w:color="000000"/>
            </w:tcBorders>
            <w:shd w:val="clear" w:color="auto" w:fill="BEBEBE"/>
          </w:tcPr>
          <w:p>
            <w:pPr>
              <w:pStyle w:val="TableParagraph"/>
              <w:spacing w:before="20"/>
              <w:ind w:right="18"/>
              <w:rPr>
                <w:b/>
                <w:sz w:val="13"/>
              </w:rPr>
            </w:pPr>
            <w:r>
              <w:rPr>
                <w:b/>
                <w:sz w:val="13"/>
              </w:rPr>
              <w:t>(423.226)</w:t>
            </w:r>
          </w:p>
        </w:tc>
        <w:tc>
          <w:tcPr>
            <w:tcW w:w="977" w:type="dxa"/>
            <w:tcBorders>
              <w:left w:val="single" w:sz="3" w:space="0" w:color="000000"/>
              <w:bottom w:val="single" w:sz="3" w:space="0" w:color="000000"/>
            </w:tcBorders>
            <w:shd w:val="clear" w:color="auto" w:fill="BEBEBE"/>
          </w:tcPr>
          <w:p>
            <w:pPr>
              <w:pStyle w:val="TableParagraph"/>
              <w:spacing w:before="20"/>
              <w:ind w:right="18"/>
              <w:rPr>
                <w:b/>
                <w:sz w:val="13"/>
              </w:rPr>
            </w:pPr>
            <w:r>
              <w:rPr>
                <w:b/>
                <w:sz w:val="13"/>
              </w:rPr>
              <w:t>(775.652)</w:t>
            </w:r>
          </w:p>
        </w:tc>
      </w:tr>
      <w:tr>
        <w:trPr>
          <w:trHeight w:val="174" w:hRule="exact"/>
        </w:trPr>
        <w:tc>
          <w:tcPr>
            <w:tcW w:w="4380" w:type="dxa"/>
            <w:gridSpan w:val="2"/>
            <w:tcBorders>
              <w:top w:val="single" w:sz="3" w:space="0" w:color="000000"/>
            </w:tcBorders>
            <w:shd w:val="clear" w:color="auto" w:fill="BEBEBE"/>
          </w:tcPr>
          <w:p>
            <w:pPr>
              <w:pStyle w:val="TableParagraph"/>
              <w:spacing w:before="12"/>
              <w:ind w:left="16"/>
              <w:jc w:val="left"/>
              <w:rPr>
                <w:b/>
                <w:sz w:val="13"/>
              </w:rPr>
            </w:pPr>
            <w:r>
              <w:rPr>
                <w:b/>
                <w:sz w:val="13"/>
              </w:rPr>
              <w:t>TOTALE DEBITI VERSO IL GRUPPO</w:t>
            </w:r>
          </w:p>
        </w:tc>
        <w:tc>
          <w:tcPr>
            <w:tcW w:w="812" w:type="dxa"/>
            <w:tcBorders>
              <w:top w:val="single" w:sz="3" w:space="0" w:color="000000"/>
            </w:tcBorders>
            <w:shd w:val="clear" w:color="auto" w:fill="BEBEBE"/>
          </w:tcPr>
          <w:p>
            <w:pPr>
              <w:pStyle w:val="TableParagraph"/>
              <w:spacing w:before="20"/>
              <w:ind w:right="19"/>
              <w:rPr>
                <w:b/>
                <w:sz w:val="13"/>
              </w:rPr>
            </w:pPr>
            <w:r>
              <w:rPr>
                <w:b/>
                <w:sz w:val="13"/>
              </w:rPr>
              <w:t>(29.227.025)</w:t>
            </w:r>
          </w:p>
        </w:tc>
        <w:tc>
          <w:tcPr>
            <w:tcW w:w="1060" w:type="dxa"/>
            <w:tcBorders>
              <w:top w:val="single" w:sz="3" w:space="0" w:color="000000"/>
            </w:tcBorders>
            <w:shd w:val="clear" w:color="auto" w:fill="BEBEBE"/>
          </w:tcPr>
          <w:p>
            <w:pPr>
              <w:pStyle w:val="TableParagraph"/>
              <w:spacing w:before="20"/>
              <w:ind w:right="62"/>
              <w:rPr>
                <w:b/>
                <w:sz w:val="13"/>
              </w:rPr>
            </w:pPr>
            <w:r>
              <w:rPr>
                <w:b/>
                <w:sz w:val="13"/>
              </w:rPr>
              <w:t>1.509.491</w:t>
            </w:r>
          </w:p>
        </w:tc>
        <w:tc>
          <w:tcPr>
            <w:tcW w:w="944" w:type="dxa"/>
            <w:tcBorders>
              <w:top w:val="single" w:sz="3" w:space="0" w:color="000000"/>
            </w:tcBorders>
            <w:shd w:val="clear" w:color="auto" w:fill="BEBEBE"/>
          </w:tcPr>
          <w:p>
            <w:pPr>
              <w:pStyle w:val="TableParagraph"/>
              <w:spacing w:before="20"/>
              <w:ind w:right="18"/>
              <w:rPr>
                <w:b/>
                <w:sz w:val="13"/>
              </w:rPr>
            </w:pPr>
            <w:r>
              <w:rPr>
                <w:b/>
                <w:sz w:val="13"/>
              </w:rPr>
              <w:t>(27.717.534)</w:t>
            </w:r>
          </w:p>
        </w:tc>
        <w:tc>
          <w:tcPr>
            <w:tcW w:w="687" w:type="dxa"/>
            <w:tcBorders>
              <w:top w:val="single" w:sz="3" w:space="0" w:color="000000"/>
            </w:tcBorders>
            <w:shd w:val="clear" w:color="auto" w:fill="BEBEBE"/>
          </w:tcPr>
          <w:p>
            <w:pPr>
              <w:pStyle w:val="TableParagraph"/>
              <w:spacing w:before="20"/>
              <w:ind w:right="61"/>
              <w:rPr>
                <w:b/>
                <w:sz w:val="13"/>
              </w:rPr>
            </w:pPr>
            <w:r>
              <w:rPr>
                <w:b/>
                <w:w w:val="102"/>
                <w:sz w:val="13"/>
              </w:rPr>
              <w:t>-</w:t>
            </w:r>
          </w:p>
        </w:tc>
        <w:tc>
          <w:tcPr>
            <w:tcW w:w="795" w:type="dxa"/>
            <w:tcBorders>
              <w:top w:val="single" w:sz="3" w:space="0" w:color="000000"/>
              <w:right w:val="single" w:sz="3" w:space="0" w:color="000000"/>
            </w:tcBorders>
            <w:shd w:val="clear" w:color="auto" w:fill="BEBEBE"/>
          </w:tcPr>
          <w:p>
            <w:pPr>
              <w:pStyle w:val="TableParagraph"/>
              <w:spacing w:before="20"/>
              <w:ind w:right="19"/>
              <w:rPr>
                <w:b/>
                <w:sz w:val="13"/>
              </w:rPr>
            </w:pPr>
            <w:r>
              <w:rPr>
                <w:b/>
                <w:sz w:val="13"/>
              </w:rPr>
              <w:t>(20.350.978)</w:t>
            </w:r>
          </w:p>
        </w:tc>
        <w:tc>
          <w:tcPr>
            <w:tcW w:w="977" w:type="dxa"/>
            <w:tcBorders>
              <w:top w:val="single" w:sz="3" w:space="0" w:color="000000"/>
              <w:left w:val="single" w:sz="3" w:space="0" w:color="000000"/>
            </w:tcBorders>
            <w:shd w:val="clear" w:color="auto" w:fill="BEBEBE"/>
          </w:tcPr>
          <w:p>
            <w:pPr>
              <w:pStyle w:val="TableParagraph"/>
              <w:spacing w:before="20"/>
              <w:ind w:right="18"/>
              <w:rPr>
                <w:b/>
                <w:sz w:val="13"/>
              </w:rPr>
            </w:pPr>
            <w:r>
              <w:rPr>
                <w:b/>
                <w:sz w:val="13"/>
              </w:rPr>
              <w:t>(7.366.557)</w:t>
            </w:r>
          </w:p>
        </w:tc>
      </w:tr>
    </w:tbl>
    <w:p>
      <w:pPr>
        <w:pStyle w:val="BodyText"/>
        <w:rPr>
          <w:sz w:val="20"/>
        </w:rPr>
      </w:pPr>
    </w:p>
    <w:p>
      <w:pPr>
        <w:pStyle w:val="BodyText"/>
        <w:spacing w:before="3"/>
        <w:rPr>
          <w:sz w:val="29"/>
        </w:rPr>
      </w:pPr>
    </w:p>
    <w:p>
      <w:pPr>
        <w:pStyle w:val="Heading2"/>
        <w:spacing w:before="100"/>
      </w:pPr>
      <w:r>
        <w:rPr>
          <w:u w:val="single"/>
        </w:rPr>
        <w:t>DEBITI COMMERCIALI VERSO GRUPPO</w:t>
      </w:r>
    </w:p>
    <w:p>
      <w:pPr>
        <w:pStyle w:val="BodyText"/>
        <w:spacing w:before="10"/>
        <w:rPr>
          <w:b/>
          <w:sz w:val="23"/>
        </w:rPr>
      </w:pPr>
    </w:p>
    <w:p>
      <w:pPr>
        <w:pStyle w:val="BodyText"/>
        <w:ind w:left="1418"/>
      </w:pPr>
      <w:r>
        <w:rPr/>
        <w:t>I debiti commerciali ammontano ad Euro 17.519.018 e sono suddivisi come da tabella di seguito:</w:t>
      </w:r>
    </w:p>
    <w:p>
      <w:pPr>
        <w:spacing w:after="0"/>
        <w:sectPr>
          <w:footerReference w:type="default" r:id="rId14"/>
          <w:pgSz w:w="11910" w:h="16840"/>
          <w:pgMar w:footer="1025" w:header="707" w:top="1740" w:bottom="1220" w:left="0" w:right="0"/>
          <w:pgNumType w:start="201"/>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1"/>
        </w:rPr>
      </w:pPr>
    </w:p>
    <w:tbl>
      <w:tblPr>
        <w:tblW w:w="0" w:type="auto"/>
        <w:jc w:val="left"/>
        <w:tblInd w:w="1419"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710"/>
        <w:gridCol w:w="3116"/>
        <w:gridCol w:w="886"/>
        <w:gridCol w:w="1011"/>
        <w:gridCol w:w="894"/>
        <w:gridCol w:w="643"/>
        <w:gridCol w:w="886"/>
        <w:gridCol w:w="910"/>
      </w:tblGrid>
      <w:tr>
        <w:trPr>
          <w:trHeight w:val="527" w:hRule="exact"/>
        </w:trPr>
        <w:tc>
          <w:tcPr>
            <w:tcW w:w="710" w:type="dxa"/>
            <w:shd w:val="clear" w:color="auto" w:fill="BEBEBE"/>
          </w:tcPr>
          <w:p>
            <w:pPr>
              <w:pStyle w:val="TableParagraph"/>
              <w:spacing w:before="5"/>
              <w:jc w:val="left"/>
              <w:rPr>
                <w:sz w:val="17"/>
              </w:rPr>
            </w:pPr>
          </w:p>
          <w:p>
            <w:pPr>
              <w:pStyle w:val="TableParagraph"/>
              <w:spacing w:before="1"/>
              <w:ind w:left="91"/>
              <w:jc w:val="left"/>
              <w:rPr>
                <w:b/>
                <w:sz w:val="13"/>
              </w:rPr>
            </w:pPr>
            <w:r>
              <w:rPr>
                <w:b/>
                <w:w w:val="105"/>
                <w:sz w:val="13"/>
              </w:rPr>
              <w:t>CONTO</w:t>
            </w:r>
          </w:p>
        </w:tc>
        <w:tc>
          <w:tcPr>
            <w:tcW w:w="3116" w:type="dxa"/>
            <w:shd w:val="clear" w:color="auto" w:fill="BEBEBE"/>
          </w:tcPr>
          <w:p>
            <w:pPr>
              <w:pStyle w:val="TableParagraph"/>
              <w:spacing w:before="5"/>
              <w:jc w:val="left"/>
              <w:rPr>
                <w:sz w:val="17"/>
              </w:rPr>
            </w:pPr>
          </w:p>
          <w:p>
            <w:pPr>
              <w:pStyle w:val="TableParagraph"/>
              <w:spacing w:before="1"/>
              <w:ind w:left="1049" w:right="1039"/>
              <w:jc w:val="center"/>
              <w:rPr>
                <w:b/>
                <w:sz w:val="13"/>
              </w:rPr>
            </w:pPr>
            <w:r>
              <w:rPr>
                <w:b/>
                <w:w w:val="105"/>
                <w:sz w:val="13"/>
              </w:rPr>
              <w:t>DESCRIZIONE</w:t>
            </w:r>
          </w:p>
        </w:tc>
        <w:tc>
          <w:tcPr>
            <w:tcW w:w="886" w:type="dxa"/>
            <w:shd w:val="clear" w:color="auto" w:fill="BEBEBE"/>
          </w:tcPr>
          <w:p>
            <w:pPr>
              <w:pStyle w:val="TableParagraph"/>
              <w:spacing w:line="288" w:lineRule="auto" w:before="21"/>
              <w:ind w:left="142" w:firstLine="50"/>
              <w:jc w:val="left"/>
              <w:rPr>
                <w:b/>
                <w:sz w:val="13"/>
              </w:rPr>
            </w:pPr>
            <w:r>
              <w:rPr>
                <w:b/>
                <w:w w:val="105"/>
                <w:sz w:val="13"/>
              </w:rPr>
              <w:t>Valori di bilancio al 15.10.2017</w:t>
            </w:r>
          </w:p>
        </w:tc>
        <w:tc>
          <w:tcPr>
            <w:tcW w:w="1011" w:type="dxa"/>
            <w:shd w:val="clear" w:color="auto" w:fill="BEBEBE"/>
          </w:tcPr>
          <w:p>
            <w:pPr>
              <w:pStyle w:val="TableParagraph"/>
              <w:spacing w:before="5"/>
              <w:jc w:val="left"/>
              <w:rPr>
                <w:sz w:val="17"/>
              </w:rPr>
            </w:pPr>
          </w:p>
          <w:p>
            <w:pPr>
              <w:pStyle w:val="TableParagraph"/>
              <w:spacing w:before="1"/>
              <w:ind w:right="45"/>
              <w:rPr>
                <w:b/>
                <w:sz w:val="13"/>
              </w:rPr>
            </w:pPr>
            <w:r>
              <w:rPr>
                <w:b/>
                <w:sz w:val="13"/>
              </w:rPr>
              <w:t>Compensazione</w:t>
            </w:r>
          </w:p>
        </w:tc>
        <w:tc>
          <w:tcPr>
            <w:tcW w:w="894" w:type="dxa"/>
            <w:shd w:val="clear" w:color="auto" w:fill="BEBEBE"/>
          </w:tcPr>
          <w:p>
            <w:pPr>
              <w:pStyle w:val="TableParagraph"/>
              <w:spacing w:line="288" w:lineRule="auto" w:before="105"/>
              <w:ind w:left="49" w:right="-14" w:hanging="26"/>
              <w:jc w:val="left"/>
              <w:rPr>
                <w:b/>
                <w:sz w:val="13"/>
              </w:rPr>
            </w:pPr>
            <w:r>
              <w:rPr>
                <w:b/>
                <w:w w:val="105"/>
                <w:sz w:val="13"/>
              </w:rPr>
              <w:t>Valori di piano concordatario</w:t>
            </w:r>
          </w:p>
        </w:tc>
        <w:tc>
          <w:tcPr>
            <w:tcW w:w="643" w:type="dxa"/>
            <w:shd w:val="clear" w:color="auto" w:fill="BEBEBE"/>
          </w:tcPr>
          <w:p>
            <w:pPr>
              <w:pStyle w:val="TableParagraph"/>
              <w:spacing w:before="5"/>
              <w:jc w:val="left"/>
              <w:rPr>
                <w:sz w:val="17"/>
              </w:rPr>
            </w:pPr>
          </w:p>
          <w:p>
            <w:pPr>
              <w:pStyle w:val="TableParagraph"/>
              <w:spacing w:before="1"/>
              <w:ind w:right="46"/>
              <w:rPr>
                <w:b/>
                <w:sz w:val="13"/>
              </w:rPr>
            </w:pPr>
            <w:r>
              <w:rPr>
                <w:b/>
                <w:sz w:val="13"/>
              </w:rPr>
              <w:t>Privilegio</w:t>
            </w:r>
          </w:p>
        </w:tc>
        <w:tc>
          <w:tcPr>
            <w:tcW w:w="886" w:type="dxa"/>
            <w:shd w:val="clear" w:color="auto" w:fill="BEBEBE"/>
          </w:tcPr>
          <w:p>
            <w:pPr>
              <w:pStyle w:val="TableParagraph"/>
              <w:spacing w:before="5"/>
              <w:jc w:val="left"/>
              <w:rPr>
                <w:sz w:val="17"/>
              </w:rPr>
            </w:pPr>
          </w:p>
          <w:p>
            <w:pPr>
              <w:pStyle w:val="TableParagraph"/>
              <w:spacing w:before="1"/>
              <w:ind w:right="55"/>
              <w:rPr>
                <w:b/>
                <w:sz w:val="13"/>
              </w:rPr>
            </w:pPr>
            <w:r>
              <w:rPr>
                <w:b/>
                <w:sz w:val="13"/>
              </w:rPr>
              <w:t>Chirografario</w:t>
            </w:r>
          </w:p>
        </w:tc>
        <w:tc>
          <w:tcPr>
            <w:tcW w:w="910" w:type="dxa"/>
            <w:shd w:val="clear" w:color="auto" w:fill="BEBEBE"/>
          </w:tcPr>
          <w:p>
            <w:pPr>
              <w:pStyle w:val="TableParagraph"/>
              <w:spacing w:line="288" w:lineRule="auto" w:before="105"/>
              <w:ind w:left="141" w:hanging="76"/>
              <w:jc w:val="left"/>
              <w:rPr>
                <w:b/>
                <w:sz w:val="13"/>
              </w:rPr>
            </w:pPr>
            <w:r>
              <w:rPr>
                <w:b/>
                <w:sz w:val="13"/>
              </w:rPr>
              <w:t>Chirografario </w:t>
            </w:r>
            <w:r>
              <w:rPr>
                <w:b/>
                <w:w w:val="105"/>
                <w:sz w:val="13"/>
              </w:rPr>
              <w:t>pastergato</w:t>
            </w:r>
          </w:p>
        </w:tc>
      </w:tr>
      <w:tr>
        <w:trPr>
          <w:trHeight w:val="186" w:hRule="exact"/>
        </w:trPr>
        <w:tc>
          <w:tcPr>
            <w:tcW w:w="710" w:type="dxa"/>
            <w:tcBorders>
              <w:bottom w:val="nil"/>
            </w:tcBorders>
          </w:tcPr>
          <w:p>
            <w:pPr>
              <w:pStyle w:val="TableParagraph"/>
              <w:spacing w:before="21"/>
              <w:ind w:left="16"/>
              <w:jc w:val="left"/>
              <w:rPr>
                <w:sz w:val="13"/>
              </w:rPr>
            </w:pPr>
            <w:r>
              <w:rPr>
                <w:w w:val="105"/>
                <w:sz w:val="13"/>
              </w:rPr>
              <w:t>300005</w:t>
            </w:r>
          </w:p>
        </w:tc>
        <w:tc>
          <w:tcPr>
            <w:tcW w:w="3116" w:type="dxa"/>
            <w:tcBorders>
              <w:bottom w:val="nil"/>
            </w:tcBorders>
          </w:tcPr>
          <w:p>
            <w:pPr>
              <w:pStyle w:val="TableParagraph"/>
              <w:spacing w:before="21"/>
              <w:ind w:left="16"/>
              <w:jc w:val="left"/>
              <w:rPr>
                <w:sz w:val="13"/>
              </w:rPr>
            </w:pPr>
            <w:r>
              <w:rPr>
                <w:sz w:val="13"/>
              </w:rPr>
              <w:t>MOSSI&amp;GHISOLFI SPA</w:t>
            </w:r>
          </w:p>
        </w:tc>
        <w:tc>
          <w:tcPr>
            <w:tcW w:w="886" w:type="dxa"/>
            <w:tcBorders>
              <w:bottom w:val="nil"/>
            </w:tcBorders>
          </w:tcPr>
          <w:p>
            <w:pPr>
              <w:pStyle w:val="TableParagraph"/>
              <w:spacing w:before="21"/>
              <w:ind w:right="18"/>
              <w:rPr>
                <w:sz w:val="13"/>
              </w:rPr>
            </w:pPr>
            <w:r>
              <w:rPr>
                <w:sz w:val="13"/>
              </w:rPr>
              <w:t>(11.261)</w:t>
            </w:r>
          </w:p>
        </w:tc>
        <w:tc>
          <w:tcPr>
            <w:tcW w:w="1011" w:type="dxa"/>
            <w:tcBorders>
              <w:bottom w:val="nil"/>
            </w:tcBorders>
          </w:tcPr>
          <w:p>
            <w:pPr/>
          </w:p>
        </w:tc>
        <w:tc>
          <w:tcPr>
            <w:tcW w:w="894" w:type="dxa"/>
            <w:tcBorders>
              <w:bottom w:val="nil"/>
            </w:tcBorders>
          </w:tcPr>
          <w:p>
            <w:pPr>
              <w:pStyle w:val="TableParagraph"/>
              <w:spacing w:before="21"/>
              <w:ind w:right="18"/>
              <w:rPr>
                <w:sz w:val="13"/>
              </w:rPr>
            </w:pPr>
            <w:r>
              <w:rPr>
                <w:sz w:val="13"/>
              </w:rPr>
              <w:t>(11.261)</w:t>
            </w:r>
          </w:p>
        </w:tc>
        <w:tc>
          <w:tcPr>
            <w:tcW w:w="643" w:type="dxa"/>
            <w:vMerge w:val="restart"/>
          </w:tcPr>
          <w:p>
            <w:pPr/>
          </w:p>
        </w:tc>
        <w:tc>
          <w:tcPr>
            <w:tcW w:w="886" w:type="dxa"/>
            <w:tcBorders>
              <w:bottom w:val="nil"/>
            </w:tcBorders>
          </w:tcPr>
          <w:p>
            <w:pPr/>
          </w:p>
        </w:tc>
        <w:tc>
          <w:tcPr>
            <w:tcW w:w="910" w:type="dxa"/>
            <w:tcBorders>
              <w:bottom w:val="nil"/>
            </w:tcBorders>
          </w:tcPr>
          <w:p>
            <w:pPr>
              <w:pStyle w:val="TableParagraph"/>
              <w:spacing w:before="21"/>
              <w:ind w:right="18"/>
              <w:rPr>
                <w:sz w:val="13"/>
              </w:rPr>
            </w:pPr>
            <w:r>
              <w:rPr>
                <w:sz w:val="13"/>
              </w:rPr>
              <w:t>(11.261)</w:t>
            </w:r>
          </w:p>
        </w:tc>
      </w:tr>
      <w:tr>
        <w:trPr>
          <w:trHeight w:val="175" w:hRule="exact"/>
        </w:trPr>
        <w:tc>
          <w:tcPr>
            <w:tcW w:w="710" w:type="dxa"/>
            <w:tcBorders>
              <w:top w:val="nil"/>
              <w:bottom w:val="nil"/>
            </w:tcBorders>
          </w:tcPr>
          <w:p>
            <w:pPr>
              <w:pStyle w:val="TableParagraph"/>
              <w:spacing w:before="15"/>
              <w:ind w:left="16"/>
              <w:jc w:val="left"/>
              <w:rPr>
                <w:sz w:val="13"/>
              </w:rPr>
            </w:pPr>
            <w:r>
              <w:rPr>
                <w:w w:val="105"/>
                <w:sz w:val="13"/>
              </w:rPr>
              <w:t>300034</w:t>
            </w:r>
          </w:p>
        </w:tc>
        <w:tc>
          <w:tcPr>
            <w:tcW w:w="3116" w:type="dxa"/>
            <w:tcBorders>
              <w:top w:val="nil"/>
              <w:bottom w:val="nil"/>
            </w:tcBorders>
          </w:tcPr>
          <w:p>
            <w:pPr>
              <w:pStyle w:val="TableParagraph"/>
              <w:spacing w:before="15"/>
              <w:ind w:left="16"/>
              <w:jc w:val="left"/>
              <w:rPr>
                <w:sz w:val="13"/>
              </w:rPr>
            </w:pPr>
            <w:r>
              <w:rPr>
                <w:sz w:val="13"/>
              </w:rPr>
              <w:t>CHEMTEX  ITERNATIONAL INC</w:t>
            </w:r>
          </w:p>
        </w:tc>
        <w:tc>
          <w:tcPr>
            <w:tcW w:w="886" w:type="dxa"/>
            <w:tcBorders>
              <w:top w:val="nil"/>
              <w:bottom w:val="nil"/>
            </w:tcBorders>
          </w:tcPr>
          <w:p>
            <w:pPr>
              <w:pStyle w:val="TableParagraph"/>
              <w:spacing w:before="15"/>
              <w:ind w:right="19"/>
              <w:rPr>
                <w:sz w:val="13"/>
              </w:rPr>
            </w:pPr>
            <w:r>
              <w:rPr>
                <w:sz w:val="13"/>
              </w:rPr>
              <w:t>(12.911.408)</w:t>
            </w:r>
          </w:p>
        </w:tc>
        <w:tc>
          <w:tcPr>
            <w:tcW w:w="1011" w:type="dxa"/>
            <w:tcBorders>
              <w:top w:val="nil"/>
              <w:bottom w:val="nil"/>
            </w:tcBorders>
          </w:tcPr>
          <w:p>
            <w:pPr/>
          </w:p>
        </w:tc>
        <w:tc>
          <w:tcPr>
            <w:tcW w:w="894" w:type="dxa"/>
            <w:tcBorders>
              <w:top w:val="nil"/>
              <w:bottom w:val="nil"/>
            </w:tcBorders>
          </w:tcPr>
          <w:p>
            <w:pPr>
              <w:pStyle w:val="TableParagraph"/>
              <w:spacing w:before="15"/>
              <w:ind w:right="19"/>
              <w:rPr>
                <w:sz w:val="13"/>
              </w:rPr>
            </w:pPr>
            <w:r>
              <w:rPr>
                <w:sz w:val="13"/>
              </w:rPr>
              <w:t>(12.911.408)</w:t>
            </w:r>
          </w:p>
        </w:tc>
        <w:tc>
          <w:tcPr>
            <w:tcW w:w="643" w:type="dxa"/>
            <w:vMerge/>
          </w:tcPr>
          <w:p>
            <w:pPr/>
          </w:p>
        </w:tc>
        <w:tc>
          <w:tcPr>
            <w:tcW w:w="886" w:type="dxa"/>
            <w:tcBorders>
              <w:top w:val="nil"/>
              <w:bottom w:val="nil"/>
            </w:tcBorders>
          </w:tcPr>
          <w:p>
            <w:pPr>
              <w:pStyle w:val="TableParagraph"/>
              <w:spacing w:before="15"/>
              <w:ind w:right="19"/>
              <w:rPr>
                <w:sz w:val="13"/>
              </w:rPr>
            </w:pPr>
            <w:r>
              <w:rPr>
                <w:sz w:val="13"/>
              </w:rPr>
              <w:t>(12.911.408)</w:t>
            </w:r>
          </w:p>
        </w:tc>
        <w:tc>
          <w:tcPr>
            <w:tcW w:w="910" w:type="dxa"/>
            <w:tcBorders>
              <w:top w:val="nil"/>
              <w:bottom w:val="nil"/>
            </w:tcBorders>
          </w:tcPr>
          <w:p>
            <w:pPr/>
          </w:p>
        </w:tc>
      </w:tr>
      <w:tr>
        <w:trPr>
          <w:trHeight w:val="176" w:hRule="exact"/>
        </w:trPr>
        <w:tc>
          <w:tcPr>
            <w:tcW w:w="710" w:type="dxa"/>
            <w:tcBorders>
              <w:top w:val="nil"/>
              <w:bottom w:val="nil"/>
            </w:tcBorders>
          </w:tcPr>
          <w:p>
            <w:pPr>
              <w:pStyle w:val="TableParagraph"/>
              <w:spacing w:before="15"/>
              <w:ind w:left="16"/>
              <w:jc w:val="left"/>
              <w:rPr>
                <w:sz w:val="13"/>
              </w:rPr>
            </w:pPr>
            <w:r>
              <w:rPr>
                <w:w w:val="105"/>
                <w:sz w:val="13"/>
              </w:rPr>
              <w:t>300072</w:t>
            </w:r>
          </w:p>
        </w:tc>
        <w:tc>
          <w:tcPr>
            <w:tcW w:w="3116" w:type="dxa"/>
            <w:tcBorders>
              <w:top w:val="nil"/>
              <w:bottom w:val="nil"/>
            </w:tcBorders>
          </w:tcPr>
          <w:p>
            <w:pPr>
              <w:pStyle w:val="TableParagraph"/>
              <w:spacing w:before="15"/>
              <w:ind w:left="16"/>
              <w:jc w:val="left"/>
              <w:rPr>
                <w:sz w:val="13"/>
              </w:rPr>
            </w:pPr>
            <w:r>
              <w:rPr>
                <w:w w:val="105"/>
                <w:sz w:val="13"/>
              </w:rPr>
              <w:t>M&amp;F FINANZIARIA SPA</w:t>
            </w:r>
          </w:p>
        </w:tc>
        <w:tc>
          <w:tcPr>
            <w:tcW w:w="886" w:type="dxa"/>
            <w:tcBorders>
              <w:top w:val="nil"/>
              <w:bottom w:val="nil"/>
            </w:tcBorders>
          </w:tcPr>
          <w:p>
            <w:pPr>
              <w:pStyle w:val="TableParagraph"/>
              <w:spacing w:before="15"/>
              <w:ind w:right="19"/>
              <w:rPr>
                <w:sz w:val="13"/>
              </w:rPr>
            </w:pPr>
            <w:r>
              <w:rPr>
                <w:sz w:val="13"/>
              </w:rPr>
              <w:t>(1.241.517)</w:t>
            </w:r>
          </w:p>
        </w:tc>
        <w:tc>
          <w:tcPr>
            <w:tcW w:w="1011" w:type="dxa"/>
            <w:tcBorders>
              <w:top w:val="nil"/>
              <w:bottom w:val="nil"/>
            </w:tcBorders>
          </w:tcPr>
          <w:p>
            <w:pPr>
              <w:pStyle w:val="TableParagraph"/>
              <w:spacing w:before="15"/>
              <w:ind w:right="61"/>
              <w:rPr>
                <w:sz w:val="13"/>
              </w:rPr>
            </w:pPr>
            <w:r>
              <w:rPr>
                <w:sz w:val="13"/>
              </w:rPr>
              <w:t>1.241.517</w:t>
            </w:r>
          </w:p>
        </w:tc>
        <w:tc>
          <w:tcPr>
            <w:tcW w:w="894" w:type="dxa"/>
            <w:tcBorders>
              <w:top w:val="nil"/>
              <w:bottom w:val="nil"/>
            </w:tcBorders>
          </w:tcPr>
          <w:p>
            <w:pPr>
              <w:pStyle w:val="TableParagraph"/>
              <w:spacing w:before="15"/>
              <w:ind w:right="56"/>
              <w:rPr>
                <w:sz w:val="13"/>
              </w:rPr>
            </w:pPr>
            <w:r>
              <w:rPr>
                <w:w w:val="103"/>
                <w:sz w:val="13"/>
              </w:rPr>
              <w:t>-</w:t>
            </w:r>
          </w:p>
        </w:tc>
        <w:tc>
          <w:tcPr>
            <w:tcW w:w="643" w:type="dxa"/>
            <w:vMerge/>
          </w:tcPr>
          <w:p>
            <w:pPr/>
          </w:p>
        </w:tc>
        <w:tc>
          <w:tcPr>
            <w:tcW w:w="886" w:type="dxa"/>
            <w:tcBorders>
              <w:top w:val="nil"/>
              <w:bottom w:val="nil"/>
            </w:tcBorders>
          </w:tcPr>
          <w:p>
            <w:pPr/>
          </w:p>
        </w:tc>
        <w:tc>
          <w:tcPr>
            <w:tcW w:w="910" w:type="dxa"/>
            <w:tcBorders>
              <w:top w:val="nil"/>
              <w:bottom w:val="nil"/>
            </w:tcBorders>
          </w:tcPr>
          <w:p>
            <w:pPr/>
          </w:p>
        </w:tc>
      </w:tr>
      <w:tr>
        <w:trPr>
          <w:trHeight w:val="176" w:hRule="exact"/>
        </w:trPr>
        <w:tc>
          <w:tcPr>
            <w:tcW w:w="710" w:type="dxa"/>
            <w:tcBorders>
              <w:top w:val="nil"/>
              <w:bottom w:val="nil"/>
            </w:tcBorders>
          </w:tcPr>
          <w:p>
            <w:pPr>
              <w:pStyle w:val="TableParagraph"/>
              <w:spacing w:before="16"/>
              <w:ind w:left="16"/>
              <w:jc w:val="left"/>
              <w:rPr>
                <w:sz w:val="13"/>
              </w:rPr>
            </w:pPr>
            <w:r>
              <w:rPr>
                <w:w w:val="105"/>
                <w:sz w:val="13"/>
              </w:rPr>
              <w:t>300257</w:t>
            </w:r>
          </w:p>
        </w:tc>
        <w:tc>
          <w:tcPr>
            <w:tcW w:w="3116" w:type="dxa"/>
            <w:tcBorders>
              <w:top w:val="nil"/>
              <w:bottom w:val="nil"/>
            </w:tcBorders>
          </w:tcPr>
          <w:p>
            <w:pPr>
              <w:pStyle w:val="TableParagraph"/>
              <w:spacing w:before="16"/>
              <w:ind w:left="16"/>
              <w:jc w:val="left"/>
              <w:rPr>
                <w:sz w:val="13"/>
              </w:rPr>
            </w:pPr>
            <w:r>
              <w:rPr>
                <w:sz w:val="13"/>
              </w:rPr>
              <w:t>ITALIAN BIOPRODUCT SRL</w:t>
            </w:r>
          </w:p>
        </w:tc>
        <w:tc>
          <w:tcPr>
            <w:tcW w:w="886" w:type="dxa"/>
            <w:tcBorders>
              <w:top w:val="nil"/>
              <w:bottom w:val="nil"/>
            </w:tcBorders>
          </w:tcPr>
          <w:p>
            <w:pPr>
              <w:pStyle w:val="TableParagraph"/>
              <w:spacing w:before="16"/>
              <w:ind w:right="18"/>
              <w:rPr>
                <w:sz w:val="13"/>
              </w:rPr>
            </w:pPr>
            <w:r>
              <w:rPr>
                <w:sz w:val="13"/>
              </w:rPr>
              <w:t>(10.370)</w:t>
            </w:r>
          </w:p>
        </w:tc>
        <w:tc>
          <w:tcPr>
            <w:tcW w:w="1011" w:type="dxa"/>
            <w:tcBorders>
              <w:top w:val="nil"/>
              <w:bottom w:val="nil"/>
            </w:tcBorders>
          </w:tcPr>
          <w:p>
            <w:pPr/>
          </w:p>
        </w:tc>
        <w:tc>
          <w:tcPr>
            <w:tcW w:w="894" w:type="dxa"/>
            <w:tcBorders>
              <w:top w:val="nil"/>
              <w:bottom w:val="nil"/>
            </w:tcBorders>
          </w:tcPr>
          <w:p>
            <w:pPr>
              <w:pStyle w:val="TableParagraph"/>
              <w:spacing w:before="16"/>
              <w:ind w:right="18"/>
              <w:rPr>
                <w:sz w:val="13"/>
              </w:rPr>
            </w:pPr>
            <w:r>
              <w:rPr>
                <w:sz w:val="13"/>
              </w:rPr>
              <w:t>(10.370)</w:t>
            </w:r>
          </w:p>
        </w:tc>
        <w:tc>
          <w:tcPr>
            <w:tcW w:w="643" w:type="dxa"/>
            <w:vMerge/>
          </w:tcPr>
          <w:p>
            <w:pPr/>
          </w:p>
        </w:tc>
        <w:tc>
          <w:tcPr>
            <w:tcW w:w="886" w:type="dxa"/>
            <w:tcBorders>
              <w:top w:val="nil"/>
              <w:bottom w:val="nil"/>
            </w:tcBorders>
          </w:tcPr>
          <w:p>
            <w:pPr>
              <w:pStyle w:val="TableParagraph"/>
              <w:spacing w:before="16"/>
              <w:ind w:right="18"/>
              <w:rPr>
                <w:sz w:val="13"/>
              </w:rPr>
            </w:pPr>
            <w:r>
              <w:rPr>
                <w:sz w:val="13"/>
              </w:rPr>
              <w:t>(10.370)</w:t>
            </w:r>
          </w:p>
        </w:tc>
        <w:tc>
          <w:tcPr>
            <w:tcW w:w="910" w:type="dxa"/>
            <w:tcBorders>
              <w:top w:val="nil"/>
              <w:bottom w:val="nil"/>
            </w:tcBorders>
          </w:tcPr>
          <w:p>
            <w:pPr/>
          </w:p>
        </w:tc>
      </w:tr>
      <w:tr>
        <w:trPr>
          <w:trHeight w:val="175" w:hRule="exact"/>
        </w:trPr>
        <w:tc>
          <w:tcPr>
            <w:tcW w:w="710" w:type="dxa"/>
            <w:tcBorders>
              <w:top w:val="nil"/>
              <w:bottom w:val="nil"/>
            </w:tcBorders>
          </w:tcPr>
          <w:p>
            <w:pPr>
              <w:pStyle w:val="TableParagraph"/>
              <w:spacing w:before="15"/>
              <w:ind w:left="16"/>
              <w:jc w:val="left"/>
              <w:rPr>
                <w:sz w:val="13"/>
              </w:rPr>
            </w:pPr>
            <w:r>
              <w:rPr>
                <w:w w:val="105"/>
                <w:sz w:val="13"/>
              </w:rPr>
              <w:t>300322</w:t>
            </w:r>
          </w:p>
        </w:tc>
        <w:tc>
          <w:tcPr>
            <w:tcW w:w="3116" w:type="dxa"/>
            <w:tcBorders>
              <w:top w:val="nil"/>
              <w:bottom w:val="nil"/>
            </w:tcBorders>
          </w:tcPr>
          <w:p>
            <w:pPr>
              <w:pStyle w:val="TableParagraph"/>
              <w:spacing w:before="15"/>
              <w:ind w:left="16"/>
              <w:jc w:val="left"/>
              <w:rPr>
                <w:sz w:val="13"/>
              </w:rPr>
            </w:pPr>
            <w:r>
              <w:rPr>
                <w:w w:val="105"/>
                <w:sz w:val="13"/>
              </w:rPr>
              <w:t>C5-6 ITALY SRL</w:t>
            </w:r>
          </w:p>
        </w:tc>
        <w:tc>
          <w:tcPr>
            <w:tcW w:w="886" w:type="dxa"/>
            <w:tcBorders>
              <w:top w:val="nil"/>
              <w:bottom w:val="nil"/>
            </w:tcBorders>
          </w:tcPr>
          <w:p>
            <w:pPr>
              <w:pStyle w:val="TableParagraph"/>
              <w:spacing w:before="15"/>
              <w:ind w:right="18"/>
              <w:rPr>
                <w:sz w:val="13"/>
              </w:rPr>
            </w:pPr>
            <w:r>
              <w:rPr>
                <w:sz w:val="13"/>
              </w:rPr>
              <w:t>(222.700)</w:t>
            </w:r>
          </w:p>
        </w:tc>
        <w:tc>
          <w:tcPr>
            <w:tcW w:w="1011" w:type="dxa"/>
            <w:tcBorders>
              <w:top w:val="nil"/>
              <w:bottom w:val="nil"/>
            </w:tcBorders>
          </w:tcPr>
          <w:p>
            <w:pPr>
              <w:pStyle w:val="TableParagraph"/>
              <w:spacing w:before="15"/>
              <w:ind w:right="61"/>
              <w:rPr>
                <w:sz w:val="13"/>
              </w:rPr>
            </w:pPr>
            <w:r>
              <w:rPr>
                <w:sz w:val="13"/>
              </w:rPr>
              <w:t>36.389</w:t>
            </w:r>
          </w:p>
        </w:tc>
        <w:tc>
          <w:tcPr>
            <w:tcW w:w="894" w:type="dxa"/>
            <w:tcBorders>
              <w:top w:val="nil"/>
              <w:bottom w:val="nil"/>
            </w:tcBorders>
          </w:tcPr>
          <w:p>
            <w:pPr>
              <w:pStyle w:val="TableParagraph"/>
              <w:spacing w:before="15"/>
              <w:ind w:right="18"/>
              <w:rPr>
                <w:sz w:val="13"/>
              </w:rPr>
            </w:pPr>
            <w:r>
              <w:rPr>
                <w:sz w:val="13"/>
              </w:rPr>
              <w:t>(186.311)</w:t>
            </w:r>
          </w:p>
        </w:tc>
        <w:tc>
          <w:tcPr>
            <w:tcW w:w="643" w:type="dxa"/>
            <w:vMerge/>
          </w:tcPr>
          <w:p>
            <w:pPr/>
          </w:p>
        </w:tc>
        <w:tc>
          <w:tcPr>
            <w:tcW w:w="886" w:type="dxa"/>
            <w:tcBorders>
              <w:top w:val="nil"/>
              <w:bottom w:val="nil"/>
            </w:tcBorders>
          </w:tcPr>
          <w:p>
            <w:pPr>
              <w:pStyle w:val="TableParagraph"/>
              <w:spacing w:before="15"/>
              <w:ind w:right="18"/>
              <w:rPr>
                <w:sz w:val="13"/>
              </w:rPr>
            </w:pPr>
            <w:r>
              <w:rPr>
                <w:sz w:val="13"/>
              </w:rPr>
              <w:t>(186.311)</w:t>
            </w:r>
          </w:p>
        </w:tc>
        <w:tc>
          <w:tcPr>
            <w:tcW w:w="910" w:type="dxa"/>
            <w:tcBorders>
              <w:top w:val="nil"/>
              <w:bottom w:val="nil"/>
            </w:tcBorders>
          </w:tcPr>
          <w:p>
            <w:pPr/>
          </w:p>
        </w:tc>
      </w:tr>
      <w:tr>
        <w:trPr>
          <w:trHeight w:val="176" w:hRule="exact"/>
        </w:trPr>
        <w:tc>
          <w:tcPr>
            <w:tcW w:w="710" w:type="dxa"/>
            <w:tcBorders>
              <w:top w:val="nil"/>
              <w:bottom w:val="nil"/>
            </w:tcBorders>
          </w:tcPr>
          <w:p>
            <w:pPr>
              <w:pStyle w:val="TableParagraph"/>
              <w:spacing w:before="15"/>
              <w:ind w:left="16"/>
              <w:jc w:val="left"/>
              <w:rPr>
                <w:sz w:val="13"/>
              </w:rPr>
            </w:pPr>
            <w:r>
              <w:rPr>
                <w:w w:val="105"/>
                <w:sz w:val="13"/>
              </w:rPr>
              <w:t>300247</w:t>
            </w:r>
          </w:p>
        </w:tc>
        <w:tc>
          <w:tcPr>
            <w:tcW w:w="3116" w:type="dxa"/>
            <w:tcBorders>
              <w:top w:val="nil"/>
              <w:bottom w:val="nil"/>
            </w:tcBorders>
          </w:tcPr>
          <w:p>
            <w:pPr>
              <w:pStyle w:val="TableParagraph"/>
              <w:spacing w:before="15"/>
              <w:ind w:left="16"/>
              <w:jc w:val="left"/>
              <w:rPr>
                <w:sz w:val="13"/>
              </w:rPr>
            </w:pPr>
            <w:r>
              <w:rPr>
                <w:sz w:val="13"/>
              </w:rPr>
              <w:t>CHEMTEX  CHEMICAL SHANGAJ</w:t>
            </w:r>
          </w:p>
        </w:tc>
        <w:tc>
          <w:tcPr>
            <w:tcW w:w="886" w:type="dxa"/>
            <w:tcBorders>
              <w:top w:val="nil"/>
              <w:bottom w:val="nil"/>
            </w:tcBorders>
          </w:tcPr>
          <w:p>
            <w:pPr>
              <w:pStyle w:val="TableParagraph"/>
              <w:spacing w:before="15"/>
              <w:ind w:right="19"/>
              <w:rPr>
                <w:sz w:val="13"/>
              </w:rPr>
            </w:pPr>
            <w:r>
              <w:rPr>
                <w:sz w:val="13"/>
              </w:rPr>
              <w:t>(3.121.423)</w:t>
            </w:r>
          </w:p>
        </w:tc>
        <w:tc>
          <w:tcPr>
            <w:tcW w:w="1011" w:type="dxa"/>
            <w:tcBorders>
              <w:top w:val="nil"/>
              <w:bottom w:val="nil"/>
            </w:tcBorders>
          </w:tcPr>
          <w:p>
            <w:pPr/>
          </w:p>
        </w:tc>
        <w:tc>
          <w:tcPr>
            <w:tcW w:w="894" w:type="dxa"/>
            <w:tcBorders>
              <w:top w:val="nil"/>
              <w:bottom w:val="nil"/>
            </w:tcBorders>
          </w:tcPr>
          <w:p>
            <w:pPr>
              <w:pStyle w:val="TableParagraph"/>
              <w:spacing w:before="15"/>
              <w:ind w:right="19"/>
              <w:rPr>
                <w:sz w:val="13"/>
              </w:rPr>
            </w:pPr>
            <w:r>
              <w:rPr>
                <w:sz w:val="13"/>
              </w:rPr>
              <w:t>(3.121.423)</w:t>
            </w:r>
          </w:p>
        </w:tc>
        <w:tc>
          <w:tcPr>
            <w:tcW w:w="643" w:type="dxa"/>
            <w:vMerge/>
          </w:tcPr>
          <w:p>
            <w:pPr/>
          </w:p>
        </w:tc>
        <w:tc>
          <w:tcPr>
            <w:tcW w:w="886" w:type="dxa"/>
            <w:tcBorders>
              <w:top w:val="nil"/>
              <w:bottom w:val="nil"/>
            </w:tcBorders>
          </w:tcPr>
          <w:p>
            <w:pPr>
              <w:pStyle w:val="TableParagraph"/>
              <w:spacing w:before="15"/>
              <w:ind w:right="19"/>
              <w:rPr>
                <w:sz w:val="13"/>
              </w:rPr>
            </w:pPr>
            <w:r>
              <w:rPr>
                <w:sz w:val="13"/>
              </w:rPr>
              <w:t>(3.121.423)</w:t>
            </w:r>
          </w:p>
        </w:tc>
        <w:tc>
          <w:tcPr>
            <w:tcW w:w="910" w:type="dxa"/>
            <w:tcBorders>
              <w:top w:val="nil"/>
              <w:bottom w:val="nil"/>
            </w:tcBorders>
          </w:tcPr>
          <w:p>
            <w:pPr/>
          </w:p>
        </w:tc>
      </w:tr>
      <w:tr>
        <w:trPr>
          <w:trHeight w:val="165" w:hRule="exact"/>
        </w:trPr>
        <w:tc>
          <w:tcPr>
            <w:tcW w:w="710" w:type="dxa"/>
            <w:tcBorders>
              <w:top w:val="nil"/>
            </w:tcBorders>
          </w:tcPr>
          <w:p>
            <w:pPr>
              <w:pStyle w:val="TableParagraph"/>
              <w:spacing w:before="16"/>
              <w:ind w:left="16"/>
              <w:jc w:val="left"/>
              <w:rPr>
                <w:sz w:val="13"/>
              </w:rPr>
            </w:pPr>
            <w:r>
              <w:rPr>
                <w:w w:val="105"/>
                <w:sz w:val="13"/>
              </w:rPr>
              <w:t>300332</w:t>
            </w:r>
          </w:p>
        </w:tc>
        <w:tc>
          <w:tcPr>
            <w:tcW w:w="3116" w:type="dxa"/>
            <w:tcBorders>
              <w:top w:val="nil"/>
            </w:tcBorders>
          </w:tcPr>
          <w:p>
            <w:pPr>
              <w:pStyle w:val="TableParagraph"/>
              <w:spacing w:before="16"/>
              <w:ind w:left="16"/>
              <w:jc w:val="left"/>
              <w:rPr>
                <w:sz w:val="13"/>
              </w:rPr>
            </w:pPr>
            <w:r>
              <w:rPr>
                <w:w w:val="105"/>
                <w:sz w:val="13"/>
              </w:rPr>
              <w:t>BETARENEWABLES</w:t>
            </w:r>
          </w:p>
        </w:tc>
        <w:tc>
          <w:tcPr>
            <w:tcW w:w="886" w:type="dxa"/>
            <w:tcBorders>
              <w:top w:val="nil"/>
            </w:tcBorders>
          </w:tcPr>
          <w:p>
            <w:pPr>
              <w:pStyle w:val="TableParagraph"/>
              <w:spacing w:before="16"/>
              <w:ind w:right="18"/>
              <w:rPr>
                <w:sz w:val="13"/>
              </w:rPr>
            </w:pPr>
            <w:r>
              <w:rPr>
                <w:sz w:val="13"/>
              </w:rPr>
              <w:t>(339)</w:t>
            </w:r>
          </w:p>
        </w:tc>
        <w:tc>
          <w:tcPr>
            <w:tcW w:w="1011" w:type="dxa"/>
            <w:tcBorders>
              <w:top w:val="nil"/>
            </w:tcBorders>
          </w:tcPr>
          <w:p>
            <w:pPr/>
          </w:p>
        </w:tc>
        <w:tc>
          <w:tcPr>
            <w:tcW w:w="894" w:type="dxa"/>
            <w:tcBorders>
              <w:top w:val="nil"/>
            </w:tcBorders>
          </w:tcPr>
          <w:p>
            <w:pPr>
              <w:pStyle w:val="TableParagraph"/>
              <w:spacing w:before="16"/>
              <w:ind w:right="18"/>
              <w:rPr>
                <w:sz w:val="13"/>
              </w:rPr>
            </w:pPr>
            <w:r>
              <w:rPr>
                <w:sz w:val="13"/>
              </w:rPr>
              <w:t>(339)</w:t>
            </w:r>
          </w:p>
        </w:tc>
        <w:tc>
          <w:tcPr>
            <w:tcW w:w="643" w:type="dxa"/>
            <w:vMerge/>
          </w:tcPr>
          <w:p>
            <w:pPr/>
          </w:p>
        </w:tc>
        <w:tc>
          <w:tcPr>
            <w:tcW w:w="886" w:type="dxa"/>
            <w:tcBorders>
              <w:top w:val="nil"/>
            </w:tcBorders>
          </w:tcPr>
          <w:p>
            <w:pPr>
              <w:pStyle w:val="TableParagraph"/>
              <w:spacing w:before="16"/>
              <w:ind w:right="18"/>
              <w:rPr>
                <w:sz w:val="13"/>
              </w:rPr>
            </w:pPr>
            <w:r>
              <w:rPr>
                <w:sz w:val="13"/>
              </w:rPr>
              <w:t>(339)</w:t>
            </w:r>
          </w:p>
        </w:tc>
        <w:tc>
          <w:tcPr>
            <w:tcW w:w="910" w:type="dxa"/>
            <w:tcBorders>
              <w:top w:val="nil"/>
            </w:tcBorders>
          </w:tcPr>
          <w:p>
            <w:pPr/>
          </w:p>
        </w:tc>
      </w:tr>
      <w:tr>
        <w:trPr>
          <w:trHeight w:val="175" w:hRule="exact"/>
        </w:trPr>
        <w:tc>
          <w:tcPr>
            <w:tcW w:w="3826" w:type="dxa"/>
            <w:gridSpan w:val="2"/>
            <w:shd w:val="clear" w:color="auto" w:fill="BEBEBE"/>
          </w:tcPr>
          <w:p>
            <w:pPr>
              <w:pStyle w:val="TableParagraph"/>
              <w:spacing w:before="21"/>
              <w:ind w:left="16"/>
              <w:jc w:val="left"/>
              <w:rPr>
                <w:b/>
                <w:sz w:val="13"/>
              </w:rPr>
            </w:pPr>
            <w:r>
              <w:rPr>
                <w:b/>
                <w:w w:val="105"/>
                <w:sz w:val="13"/>
              </w:rPr>
              <w:t>TOTALE DEBITI COMMERCIALI VERSO IL GRUPPO</w:t>
            </w:r>
          </w:p>
        </w:tc>
        <w:tc>
          <w:tcPr>
            <w:tcW w:w="886" w:type="dxa"/>
            <w:shd w:val="clear" w:color="auto" w:fill="BEBEBE"/>
          </w:tcPr>
          <w:p>
            <w:pPr>
              <w:pStyle w:val="TableParagraph"/>
              <w:spacing w:before="21"/>
              <w:ind w:right="18"/>
              <w:rPr>
                <w:b/>
                <w:sz w:val="13"/>
              </w:rPr>
            </w:pPr>
            <w:r>
              <w:rPr>
                <w:b/>
                <w:sz w:val="13"/>
              </w:rPr>
              <w:t>(17.519.019)</w:t>
            </w:r>
          </w:p>
        </w:tc>
        <w:tc>
          <w:tcPr>
            <w:tcW w:w="1011" w:type="dxa"/>
            <w:shd w:val="clear" w:color="auto" w:fill="BEBEBE"/>
          </w:tcPr>
          <w:p>
            <w:pPr>
              <w:pStyle w:val="TableParagraph"/>
              <w:spacing w:before="21"/>
              <w:ind w:right="71"/>
              <w:rPr>
                <w:b/>
                <w:sz w:val="13"/>
              </w:rPr>
            </w:pPr>
            <w:r>
              <w:rPr>
                <w:b/>
                <w:sz w:val="13"/>
              </w:rPr>
              <w:t>1.277.906</w:t>
            </w:r>
          </w:p>
        </w:tc>
        <w:tc>
          <w:tcPr>
            <w:tcW w:w="894" w:type="dxa"/>
            <w:shd w:val="clear" w:color="auto" w:fill="BEBEBE"/>
          </w:tcPr>
          <w:p>
            <w:pPr>
              <w:pStyle w:val="TableParagraph"/>
              <w:spacing w:before="21"/>
              <w:ind w:right="19"/>
              <w:rPr>
                <w:b/>
                <w:sz w:val="13"/>
              </w:rPr>
            </w:pPr>
            <w:r>
              <w:rPr>
                <w:b/>
                <w:sz w:val="13"/>
              </w:rPr>
              <w:t>(16.241.112)</w:t>
            </w:r>
          </w:p>
        </w:tc>
        <w:tc>
          <w:tcPr>
            <w:tcW w:w="643" w:type="dxa"/>
            <w:shd w:val="clear" w:color="auto" w:fill="BEBEBE"/>
          </w:tcPr>
          <w:p>
            <w:pPr>
              <w:pStyle w:val="TableParagraph"/>
              <w:spacing w:before="21"/>
              <w:ind w:right="62"/>
              <w:rPr>
                <w:b/>
                <w:sz w:val="13"/>
              </w:rPr>
            </w:pPr>
            <w:r>
              <w:rPr>
                <w:b/>
                <w:w w:val="103"/>
                <w:sz w:val="13"/>
              </w:rPr>
              <w:t>-</w:t>
            </w:r>
          </w:p>
        </w:tc>
        <w:tc>
          <w:tcPr>
            <w:tcW w:w="886" w:type="dxa"/>
            <w:shd w:val="clear" w:color="auto" w:fill="BEBEBE"/>
          </w:tcPr>
          <w:p>
            <w:pPr>
              <w:pStyle w:val="TableParagraph"/>
              <w:spacing w:before="21"/>
              <w:ind w:right="19"/>
              <w:rPr>
                <w:b/>
                <w:sz w:val="13"/>
              </w:rPr>
            </w:pPr>
            <w:r>
              <w:rPr>
                <w:b/>
                <w:sz w:val="13"/>
              </w:rPr>
              <w:t>(16.229.851)</w:t>
            </w:r>
          </w:p>
        </w:tc>
        <w:tc>
          <w:tcPr>
            <w:tcW w:w="910" w:type="dxa"/>
            <w:shd w:val="clear" w:color="auto" w:fill="BEBEBE"/>
          </w:tcPr>
          <w:p>
            <w:pPr>
              <w:pStyle w:val="TableParagraph"/>
              <w:spacing w:before="21"/>
              <w:ind w:right="18"/>
              <w:rPr>
                <w:b/>
                <w:sz w:val="13"/>
              </w:rPr>
            </w:pPr>
            <w:r>
              <w:rPr>
                <w:b/>
                <w:sz w:val="13"/>
              </w:rPr>
              <w:t>(11.261)</w:t>
            </w:r>
          </w:p>
        </w:tc>
      </w:tr>
    </w:tbl>
    <w:p>
      <w:pPr>
        <w:pStyle w:val="BodyText"/>
        <w:rPr>
          <w:sz w:val="20"/>
        </w:rPr>
      </w:pPr>
    </w:p>
    <w:p>
      <w:pPr>
        <w:pStyle w:val="Heading2"/>
        <w:spacing w:before="223"/>
        <w:jc w:val="both"/>
      </w:pPr>
      <w:r>
        <w:rPr>
          <w:u w:val="single"/>
        </w:rPr>
        <w:t>Debiti verso M&amp;G S.p.A.</w:t>
      </w:r>
    </w:p>
    <w:p>
      <w:pPr>
        <w:pStyle w:val="BodyText"/>
        <w:spacing w:before="10"/>
        <w:rPr>
          <w:b/>
          <w:sz w:val="23"/>
        </w:rPr>
      </w:pPr>
    </w:p>
    <w:p>
      <w:pPr>
        <w:pStyle w:val="BodyText"/>
        <w:spacing w:line="480" w:lineRule="auto" w:before="1"/>
        <w:ind w:left="1418" w:right="1422"/>
        <w:jc w:val="both"/>
      </w:pPr>
      <w:r>
        <w:rPr/>
        <w:t>Il debito verso la M&amp;G S.p.A. ammonta ad Euro 11.261 a titolo di commissioni per fideiussioni per il periodo da ottobre 2016 a settembre 2017 e si riferisce alle fatture:</w:t>
      </w:r>
    </w:p>
    <w:p>
      <w:pPr>
        <w:pStyle w:val="BodyText"/>
        <w:tabs>
          <w:tab w:pos="2126" w:val="left" w:leader="none"/>
        </w:tabs>
        <w:ind w:left="1778"/>
      </w:pPr>
      <w:r>
        <w:rPr>
          <w:rFonts w:ascii="Calibri"/>
        </w:rPr>
        <w:t>-</w:t>
        <w:tab/>
      </w:r>
      <w:r>
        <w:rPr/>
        <w:t>N. 1116070021 del 30 dicembre</w:t>
      </w:r>
      <w:r>
        <w:rPr>
          <w:spacing w:val="-6"/>
        </w:rPr>
        <w:t> </w:t>
      </w:r>
      <w:r>
        <w:rPr/>
        <w:t>2016;</w:t>
      </w:r>
    </w:p>
    <w:p>
      <w:pPr>
        <w:pStyle w:val="BodyText"/>
        <w:spacing w:before="9"/>
        <w:rPr>
          <w:sz w:val="23"/>
        </w:rPr>
      </w:pPr>
    </w:p>
    <w:p>
      <w:pPr>
        <w:pStyle w:val="BodyText"/>
        <w:tabs>
          <w:tab w:pos="2126" w:val="left" w:leader="none"/>
        </w:tabs>
        <w:spacing w:before="1"/>
        <w:ind w:left="1778"/>
      </w:pPr>
      <w:r>
        <w:rPr>
          <w:rFonts w:ascii="Calibri"/>
        </w:rPr>
        <w:t>-</w:t>
        <w:tab/>
      </w:r>
      <w:r>
        <w:rPr/>
        <w:t>N. 1117070006 del 20 aprile</w:t>
      </w:r>
      <w:r>
        <w:rPr>
          <w:spacing w:val="-6"/>
        </w:rPr>
        <w:t> </w:t>
      </w:r>
      <w:r>
        <w:rPr/>
        <w:t>2017;</w:t>
      </w:r>
    </w:p>
    <w:p>
      <w:pPr>
        <w:pStyle w:val="BodyText"/>
        <w:spacing w:before="10"/>
        <w:rPr>
          <w:sz w:val="23"/>
        </w:rPr>
      </w:pPr>
    </w:p>
    <w:p>
      <w:pPr>
        <w:pStyle w:val="BodyText"/>
        <w:tabs>
          <w:tab w:pos="2126" w:val="left" w:leader="none"/>
        </w:tabs>
        <w:ind w:left="1778"/>
      </w:pPr>
      <w:r>
        <w:rPr>
          <w:rFonts w:ascii="Calibri"/>
        </w:rPr>
        <w:t>-</w:t>
        <w:tab/>
      </w:r>
      <w:r>
        <w:rPr/>
        <w:t>N. 1117070013 del 31 luglio</w:t>
      </w:r>
      <w:r>
        <w:rPr>
          <w:spacing w:val="-6"/>
        </w:rPr>
        <w:t> </w:t>
      </w:r>
      <w:r>
        <w:rPr/>
        <w:t>2017;</w:t>
      </w:r>
    </w:p>
    <w:p>
      <w:pPr>
        <w:pStyle w:val="BodyText"/>
        <w:spacing w:before="10"/>
        <w:rPr>
          <w:sz w:val="23"/>
        </w:rPr>
      </w:pPr>
    </w:p>
    <w:p>
      <w:pPr>
        <w:pStyle w:val="BodyText"/>
        <w:tabs>
          <w:tab w:pos="2126" w:val="left" w:leader="none"/>
        </w:tabs>
        <w:ind w:left="1778"/>
      </w:pPr>
      <w:r>
        <w:rPr>
          <w:rFonts w:ascii="Calibri"/>
        </w:rPr>
        <w:t>-</w:t>
        <w:tab/>
      </w:r>
      <w:r>
        <w:rPr/>
        <w:t>N. 1117070024 del 29 settembre</w:t>
      </w:r>
      <w:r>
        <w:rPr>
          <w:spacing w:val="-5"/>
        </w:rPr>
        <w:t> </w:t>
      </w:r>
      <w:r>
        <w:rPr/>
        <w:t>2017.</w:t>
      </w:r>
    </w:p>
    <w:p>
      <w:pPr>
        <w:pStyle w:val="BodyText"/>
        <w:spacing w:before="9"/>
        <w:rPr>
          <w:sz w:val="23"/>
        </w:rPr>
      </w:pPr>
    </w:p>
    <w:p>
      <w:pPr>
        <w:pStyle w:val="BodyText"/>
        <w:spacing w:line="480" w:lineRule="auto"/>
        <w:ind w:left="1418" w:right="1414"/>
        <w:jc w:val="both"/>
      </w:pPr>
      <w:r>
        <w:rPr/>
        <w:t>Le fideiussioni rilasciate dalla M&amp;G S.p.A. a favore degli istituti di credito saranno elencate e descritte nel paragrafo ulteriori rischi e garanzie, al quale si rimanda per maggiori dettagli.</w:t>
      </w:r>
    </w:p>
    <w:p>
      <w:pPr>
        <w:pStyle w:val="Heading2"/>
        <w:jc w:val="both"/>
      </w:pPr>
      <w:r>
        <w:rPr>
          <w:u w:val="single"/>
        </w:rPr>
        <w:t>Debiti verso Chemtex International</w:t>
      </w:r>
    </w:p>
    <w:p>
      <w:pPr>
        <w:pStyle w:val="BodyText"/>
        <w:rPr>
          <w:b/>
        </w:rPr>
      </w:pPr>
    </w:p>
    <w:p>
      <w:pPr>
        <w:pStyle w:val="BodyText"/>
        <w:spacing w:line="480" w:lineRule="auto"/>
        <w:ind w:left="1418" w:right="1419"/>
        <w:jc w:val="both"/>
      </w:pPr>
      <w:r>
        <w:rPr/>
        <w:t>Alla data del 15 ottobre 2017 il debito verso Chemtex International ammonta ad Euro  12.911.408.</w:t>
      </w:r>
    </w:p>
    <w:p>
      <w:pPr>
        <w:pStyle w:val="BodyText"/>
        <w:spacing w:line="480" w:lineRule="auto"/>
        <w:ind w:left="1418" w:right="1413"/>
        <w:jc w:val="both"/>
      </w:pPr>
      <w:r>
        <w:rPr/>
        <w:t>Dall’esame delle schede contabili e del materiale fornito dal management della Società, nonché dalle ricostruzioni effettuate dalla Società e riportate nei </w:t>
      </w:r>
      <w:r>
        <w:rPr>
          <w:i/>
        </w:rPr>
        <w:t>Deliverables </w:t>
      </w:r>
      <w:r>
        <w:rPr/>
        <w:t>di Deloitte consegnatoci dal management, gli scriventi hanno esaminato la natura dei rapporti intercorsi tra Chemtex International e Biochemtex negli anni 2014-2017.</w:t>
      </w:r>
    </w:p>
    <w:p>
      <w:pPr>
        <w:pStyle w:val="BodyText"/>
        <w:spacing w:line="480" w:lineRule="auto"/>
        <w:ind w:left="1418" w:right="1420"/>
        <w:jc w:val="both"/>
      </w:pPr>
      <w:r>
        <w:rPr/>
        <w:t>Nel periodo dal 2014 al 2017 Biochemtex e Chemtex International intrattenevano significativi rapporti di natura commerciale e, in parte, anche rapporti di natura finanziaria.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pPr>
      <w:r>
        <w:rPr/>
        <w:t>I rapporti debitori nel triennio 2015-2017 possono essere ricondotti alle seguenti commesse:</w:t>
      </w:r>
    </w:p>
    <w:p>
      <w:pPr>
        <w:pStyle w:val="BodyText"/>
        <w:spacing w:before="11"/>
        <w:rPr>
          <w:sz w:val="23"/>
        </w:rPr>
      </w:pPr>
    </w:p>
    <w:p>
      <w:pPr>
        <w:pStyle w:val="ListParagraph"/>
        <w:numPr>
          <w:ilvl w:val="0"/>
          <w:numId w:val="74"/>
        </w:numPr>
        <w:tabs>
          <w:tab w:pos="1995" w:val="left" w:leader="none"/>
        </w:tabs>
        <w:spacing w:line="480" w:lineRule="auto" w:before="0" w:after="0"/>
        <w:ind w:left="1985" w:right="1417" w:hanging="139"/>
        <w:jc w:val="both"/>
        <w:rPr>
          <w:sz w:val="24"/>
        </w:rPr>
      </w:pPr>
      <w:r>
        <w:rPr>
          <w:sz w:val="24"/>
        </w:rPr>
        <w:t>CHENGHOLD, commessa avviata nel 2015, nell’ambito della quale Biochemtex riceveva fatture passive inerenti servizi e materiali resi in subappalto da Chemtex Int. per  complessivi USD 7,5 milioni (Euro 6,7 milioni) ed Euro 25,3 milioni, come previsto da contratto;</w:t>
      </w:r>
    </w:p>
    <w:p>
      <w:pPr>
        <w:pStyle w:val="ListParagraph"/>
        <w:numPr>
          <w:ilvl w:val="0"/>
          <w:numId w:val="74"/>
        </w:numPr>
        <w:tabs>
          <w:tab w:pos="2026" w:val="left" w:leader="none"/>
        </w:tabs>
        <w:spacing w:line="480" w:lineRule="auto" w:before="0" w:after="0"/>
        <w:ind w:left="1985" w:right="1415" w:hanging="139"/>
        <w:jc w:val="both"/>
        <w:rPr>
          <w:sz w:val="24"/>
        </w:rPr>
      </w:pPr>
      <w:r>
        <w:rPr>
          <w:sz w:val="24"/>
        </w:rPr>
        <w:t>HOSAF, commessa avviata nel 2015, per la quale Biochemtex riceveva fatture passive inerenti servizi e materiali resi in subappalto da Chemtex Int. per complessivi USD 21,5 milioni (Euro 19,7 milioni), come previsto dal contratto. Al riguardo, si evidenzia, tuttavia, che parte delle fatture, riconducibili all’80% del valore contrattuale per un importo di USD 15 milioni (Euro 13,7 milioni), venivano stornate con note di credito emesse sempre da Chemtex Int. Tuttavia, al fine di tener comunque conto dei costi sostenuti per la  commessa, Biochemtex iscriveva costi per fatture da ricevere da terzi per un ammontare pari a quello delle note di credito ricevute. Detti costi venivano, tuttavia, stornati nel 2017, con conseguente rilevazione di una sopravvenienza attiva di importo corrispondente al valore delle note di credito</w:t>
      </w:r>
      <w:r>
        <w:rPr>
          <w:spacing w:val="-11"/>
          <w:sz w:val="24"/>
        </w:rPr>
        <w:t> </w:t>
      </w:r>
      <w:r>
        <w:rPr>
          <w:sz w:val="24"/>
        </w:rPr>
        <w:t>ricevute;</w:t>
      </w:r>
    </w:p>
    <w:p>
      <w:pPr>
        <w:pStyle w:val="ListParagraph"/>
        <w:numPr>
          <w:ilvl w:val="0"/>
          <w:numId w:val="74"/>
        </w:numPr>
        <w:tabs>
          <w:tab w:pos="2031" w:val="left" w:leader="none"/>
        </w:tabs>
        <w:spacing w:line="480" w:lineRule="auto" w:before="0" w:after="0"/>
        <w:ind w:left="1985" w:right="1415" w:hanging="139"/>
        <w:jc w:val="both"/>
        <w:rPr>
          <w:sz w:val="24"/>
        </w:rPr>
      </w:pPr>
      <w:r>
        <w:rPr>
          <w:sz w:val="24"/>
        </w:rPr>
        <w:t>NEW FENG MING (CP 11&amp;13), commessa avviata nel 2016, per la quale Chemtex International fatturava a Biochemtex un importo complessivo pari ad Euro 2,9 milioni (USD 3 milioni) a titolo di prestazioni di subappalto e di fornitura di servizi e materiali come da attività in accordo con i termini del contratto di commessa stipulato tra Biochemtex e NEW FENG MING in data 28 ottobre 2016. Tale rapporto intercompany è regolato dal contratto intitolato “</w:t>
      </w:r>
      <w:r>
        <w:rPr>
          <w:i/>
          <w:sz w:val="24"/>
        </w:rPr>
        <w:t>agreement for supply of services and equipment”, </w:t>
      </w:r>
      <w:r>
        <w:rPr>
          <w:sz w:val="24"/>
        </w:rPr>
        <w:t>sottoscritto tra le società del gruppo in data 14 novembre 2016, di cui gli scriventi hanno preso</w:t>
      </w:r>
      <w:r>
        <w:rPr>
          <w:spacing w:val="-25"/>
          <w:sz w:val="24"/>
        </w:rPr>
        <w:t> </w:t>
      </w:r>
      <w:r>
        <w:rPr>
          <w:sz w:val="24"/>
        </w:rPr>
        <w:t>visione.</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74"/>
        </w:numPr>
        <w:tabs>
          <w:tab w:pos="2072" w:val="left" w:leader="none"/>
        </w:tabs>
        <w:spacing w:line="480" w:lineRule="auto" w:before="100" w:after="0"/>
        <w:ind w:left="1985" w:right="1415" w:hanging="139"/>
        <w:jc w:val="both"/>
        <w:rPr>
          <w:sz w:val="24"/>
        </w:rPr>
      </w:pPr>
      <w:r>
        <w:rPr>
          <w:sz w:val="24"/>
        </w:rPr>
        <w:t>NEW FENG MING (CP12), commessa avviata nel 2017, per la quale Chemtex International ha fatturato alla ricorrente sino ad ora un importo complessivo pari a Euro  1,4 milioni (USD 1,5 milioni), a titolo di prestazioni di subappalto e di fornitura di servizi e materiali, come da attività in accordo con i termini del contratto di commessa stipulato tra Biochemtex e NEW FENG MING in data 10 gennaio 2017. Tale rapporto intercompany è regolato da contratto intitolato “</w:t>
      </w:r>
      <w:r>
        <w:rPr>
          <w:i/>
          <w:sz w:val="24"/>
        </w:rPr>
        <w:t>agreement for supply of services and equipment</w:t>
      </w:r>
      <w:r>
        <w:rPr>
          <w:sz w:val="24"/>
        </w:rPr>
        <w:t>” sottoscritto tra le società del gruppo in data 23 gennaio 2017, di cui gli scriventi hanno preso</w:t>
      </w:r>
      <w:r>
        <w:rPr>
          <w:spacing w:val="-28"/>
          <w:sz w:val="24"/>
        </w:rPr>
        <w:t> </w:t>
      </w:r>
      <w:r>
        <w:rPr>
          <w:sz w:val="24"/>
        </w:rPr>
        <w:t>visione;</w:t>
      </w:r>
    </w:p>
    <w:p>
      <w:pPr>
        <w:pStyle w:val="BodyText"/>
        <w:spacing w:line="480" w:lineRule="auto"/>
        <w:ind w:left="1985" w:right="1415"/>
        <w:jc w:val="both"/>
      </w:pPr>
      <w:r>
        <w:rPr/>
        <w:t>A seguito dei rapporti sopra descritti e delle fatturazioni passive effettuate a Biochemtex dalla Chemtex Int., si segnala quanto segue. Al 31 dicembre 2016 Biochemtex aveva provveduto al pagamento di tutti gli importi dovuti a Chemtex Int. ad eccezione di due fatture inerenti alla commessa Chengold emesse nel 2016 e solo parzialmente saldate e tre fatture relative alla commessa Hosaf, stornate da note di credito emesse sempre da Chemtex International per Euro 13.793</w:t>
      </w:r>
      <w:r>
        <w:rPr>
          <w:spacing w:val="-21"/>
        </w:rPr>
        <w:t> </w:t>
      </w:r>
      <w:r>
        <w:rPr/>
        <w:t>mila.</w:t>
      </w:r>
    </w:p>
    <w:p>
      <w:pPr>
        <w:pStyle w:val="BodyText"/>
        <w:spacing w:line="480" w:lineRule="auto"/>
        <w:ind w:left="1985" w:right="1413"/>
        <w:jc w:val="both"/>
      </w:pPr>
      <w:r>
        <w:rPr/>
        <w:t>Al debito in essere al 31 dicembre 2016 (Euro 8,8 mila), si sommano gli importi dovuti per le fatture emesse da Chemtex Int. nel 2017, pari ad Euro 4,5 mila e relative principalmente alla commessa NFM, riferite alle autofatture:</w:t>
      </w:r>
    </w:p>
    <w:p>
      <w:pPr>
        <w:pStyle w:val="BodyText"/>
        <w:tabs>
          <w:tab w:pos="2834" w:val="left" w:leader="none"/>
        </w:tabs>
        <w:ind w:left="2412"/>
      </w:pPr>
      <w:r>
        <w:rPr>
          <w:rFonts w:ascii="Calibri"/>
        </w:rPr>
        <w:t>-</w:t>
        <w:tab/>
      </w:r>
      <w:r>
        <w:rPr/>
        <w:t>N. 028A del 31 marzo 2017 per $ 101.163 (Euro</w:t>
      </w:r>
      <w:r>
        <w:rPr>
          <w:spacing w:val="-12"/>
        </w:rPr>
        <w:t> </w:t>
      </w:r>
      <w:r>
        <w:rPr/>
        <w:t>85.659);</w:t>
      </w:r>
    </w:p>
    <w:p>
      <w:pPr>
        <w:pStyle w:val="BodyText"/>
        <w:spacing w:before="10"/>
        <w:rPr>
          <w:sz w:val="23"/>
        </w:rPr>
      </w:pPr>
    </w:p>
    <w:p>
      <w:pPr>
        <w:pStyle w:val="BodyText"/>
        <w:tabs>
          <w:tab w:pos="2834" w:val="left" w:leader="none"/>
        </w:tabs>
        <w:ind w:left="2412"/>
      </w:pPr>
      <w:r>
        <w:rPr>
          <w:rFonts w:ascii="Calibri"/>
        </w:rPr>
        <w:t>-</w:t>
        <w:tab/>
      </w:r>
      <w:r>
        <w:rPr/>
        <w:t>N. 32A del 13 aprile 2017 per $ 1.545.000 (Euro</w:t>
      </w:r>
      <w:r>
        <w:rPr>
          <w:spacing w:val="-14"/>
        </w:rPr>
        <w:t> </w:t>
      </w:r>
      <w:r>
        <w:rPr/>
        <w:t>1.308.213);</w:t>
      </w:r>
    </w:p>
    <w:p>
      <w:pPr>
        <w:pStyle w:val="BodyText"/>
        <w:spacing w:before="10"/>
        <w:rPr>
          <w:sz w:val="23"/>
        </w:rPr>
      </w:pPr>
    </w:p>
    <w:p>
      <w:pPr>
        <w:pStyle w:val="BodyText"/>
        <w:tabs>
          <w:tab w:pos="2834" w:val="left" w:leader="none"/>
        </w:tabs>
        <w:ind w:left="2412"/>
      </w:pPr>
      <w:r>
        <w:rPr>
          <w:rFonts w:ascii="Calibri"/>
        </w:rPr>
        <w:t>-</w:t>
        <w:tab/>
      </w:r>
      <w:r>
        <w:rPr/>
        <w:t>N. 31A del 13 aprile 2017 per $ 3.090.000 (Euro</w:t>
      </w:r>
      <w:r>
        <w:rPr>
          <w:spacing w:val="-14"/>
        </w:rPr>
        <w:t> </w:t>
      </w:r>
      <w:r>
        <w:rPr/>
        <w:t>2.616.427);</w:t>
      </w:r>
    </w:p>
    <w:p>
      <w:pPr>
        <w:pStyle w:val="BodyText"/>
        <w:spacing w:before="9"/>
        <w:rPr>
          <w:sz w:val="23"/>
        </w:rPr>
      </w:pPr>
    </w:p>
    <w:p>
      <w:pPr>
        <w:pStyle w:val="BodyText"/>
        <w:tabs>
          <w:tab w:pos="2834" w:val="left" w:leader="none"/>
        </w:tabs>
        <w:ind w:left="2412"/>
      </w:pPr>
      <w:r>
        <w:rPr>
          <w:rFonts w:ascii="Calibri"/>
        </w:rPr>
        <w:t>-</w:t>
        <w:tab/>
      </w:r>
      <w:r>
        <w:rPr/>
        <w:t>N. 43A del 31 maggio 2017 per $ 35.538 (Euro</w:t>
      </w:r>
      <w:r>
        <w:rPr>
          <w:spacing w:val="-11"/>
        </w:rPr>
        <w:t> </w:t>
      </w:r>
      <w:r>
        <w:rPr/>
        <w:t>30.091);</w:t>
      </w:r>
    </w:p>
    <w:p>
      <w:pPr>
        <w:pStyle w:val="BodyText"/>
        <w:spacing w:before="9"/>
        <w:rPr>
          <w:sz w:val="23"/>
        </w:rPr>
      </w:pPr>
    </w:p>
    <w:p>
      <w:pPr>
        <w:pStyle w:val="BodyText"/>
        <w:tabs>
          <w:tab w:pos="2834" w:val="left" w:leader="none"/>
        </w:tabs>
        <w:ind w:left="2412"/>
      </w:pPr>
      <w:r>
        <w:rPr>
          <w:rFonts w:ascii="Calibri"/>
        </w:rPr>
        <w:t>-</w:t>
        <w:tab/>
      </w:r>
      <w:r>
        <w:rPr/>
        <w:t>N. 61A del 30 giugno 2017 per $ 35.538 (Euro</w:t>
      </w:r>
      <w:r>
        <w:rPr>
          <w:spacing w:val="-11"/>
        </w:rPr>
        <w:t> </w:t>
      </w:r>
      <w:r>
        <w:rPr/>
        <w:t>30.091);</w:t>
      </w:r>
    </w:p>
    <w:p>
      <w:pPr>
        <w:pStyle w:val="BodyText"/>
        <w:spacing w:before="9"/>
        <w:rPr>
          <w:sz w:val="23"/>
        </w:rPr>
      </w:pPr>
    </w:p>
    <w:p>
      <w:pPr>
        <w:pStyle w:val="BodyText"/>
        <w:tabs>
          <w:tab w:pos="2834" w:val="left" w:leader="none"/>
        </w:tabs>
        <w:ind w:left="2412"/>
      </w:pPr>
      <w:r>
        <w:rPr>
          <w:rFonts w:ascii="Calibri"/>
        </w:rPr>
        <w:t>-</w:t>
        <w:tab/>
      </w:r>
      <w:r>
        <w:rPr/>
        <w:t>N. 80A del 30 giugno 2017 per $ 35.538 (Euro</w:t>
      </w:r>
      <w:r>
        <w:rPr>
          <w:spacing w:val="-11"/>
        </w:rPr>
        <w:t> </w:t>
      </w:r>
      <w:r>
        <w:rPr/>
        <w:t>30.091).</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985"/>
      </w:pPr>
      <w:r>
        <w:rPr/>
        <w:t>Al 15 ottobre 2017 il debito residuo di Biochemtex verso Chemtex Int. risulta pari ad Euro</w:t>
      </w:r>
    </w:p>
    <w:p>
      <w:pPr>
        <w:pStyle w:val="BodyText"/>
        <w:spacing w:before="11"/>
        <w:rPr>
          <w:sz w:val="23"/>
        </w:rPr>
      </w:pPr>
    </w:p>
    <w:p>
      <w:pPr>
        <w:pStyle w:val="BodyText"/>
        <w:spacing w:line="480" w:lineRule="auto"/>
        <w:ind w:left="1985" w:right="1518"/>
      </w:pPr>
      <w:r>
        <w:rPr/>
        <w:t>12.911.408 ($ 13.653.611). Gli scriventi hanno preso visione delle fatture passive e dei contratti commerciali e infragruppo.</w:t>
      </w:r>
    </w:p>
    <w:p>
      <w:pPr>
        <w:pStyle w:val="Heading2"/>
        <w:jc w:val="both"/>
      </w:pPr>
      <w:r>
        <w:rPr>
          <w:u w:val="single"/>
        </w:rPr>
        <w:t>Debiti verso M&amp;G Finanziaria S.p.A.</w:t>
      </w:r>
    </w:p>
    <w:p>
      <w:pPr>
        <w:pStyle w:val="BodyText"/>
        <w:rPr>
          <w:b/>
        </w:rPr>
      </w:pPr>
    </w:p>
    <w:p>
      <w:pPr>
        <w:pStyle w:val="BodyText"/>
        <w:spacing w:line="480" w:lineRule="auto"/>
        <w:ind w:left="1418" w:right="1417"/>
        <w:jc w:val="both"/>
      </w:pPr>
      <w:r>
        <w:rPr/>
        <w:t>Il debito nei confronti di M&amp;G Finanziaria ammonta ad Euro 1.241.517 ed è riferito per Euro 1.030.900 a servizi del periodo ott. 2016 – sett. 2017 e per Euro 210.617 a locazioni di immobili e servizi dal 1° gennaio 2017 al 15 ottobre 2017.</w:t>
      </w:r>
    </w:p>
    <w:p>
      <w:pPr>
        <w:pStyle w:val="BodyText"/>
        <w:spacing w:line="480" w:lineRule="auto"/>
        <w:ind w:left="1418" w:right="1419"/>
        <w:jc w:val="both"/>
      </w:pPr>
      <w:r>
        <w:rPr/>
        <w:t>Per quanto riguarda le locazioni, si precisa che le stesse si riferiscono a due contratti, di seguito descritti:</w:t>
      </w:r>
    </w:p>
    <w:p>
      <w:pPr>
        <w:pStyle w:val="ListParagraph"/>
        <w:numPr>
          <w:ilvl w:val="0"/>
          <w:numId w:val="75"/>
        </w:numPr>
        <w:tabs>
          <w:tab w:pos="2127" w:val="left" w:leader="none"/>
        </w:tabs>
        <w:spacing w:line="480" w:lineRule="auto" w:before="0" w:after="0"/>
        <w:ind w:left="2138" w:right="1417" w:hanging="360"/>
        <w:jc w:val="both"/>
        <w:rPr>
          <w:sz w:val="24"/>
        </w:rPr>
      </w:pPr>
      <w:r>
        <w:rPr>
          <w:sz w:val="24"/>
        </w:rPr>
        <w:t>in data 01 aprile 2008 M&amp;G Finanziaria e Chemtex Italia (oggi Biochemtex) hanno sottoscritto un contratto in forza del quale M&amp;G Finanziaria ha concesso in locazione a Biochemtex il complesso industriale sito in Tortona costituito da una porzione di immobile adibita ad uffici</w:t>
      </w:r>
      <w:r>
        <w:rPr>
          <w:spacing w:val="-2"/>
          <w:sz w:val="24"/>
        </w:rPr>
        <w:t> </w:t>
      </w:r>
      <w:r>
        <w:rPr>
          <w:sz w:val="24"/>
        </w:rPr>
        <w:t>ammobiliata.</w:t>
      </w:r>
    </w:p>
    <w:p>
      <w:pPr>
        <w:pStyle w:val="BodyText"/>
        <w:spacing w:line="480" w:lineRule="auto"/>
        <w:ind w:left="2138" w:right="1415"/>
        <w:jc w:val="both"/>
      </w:pPr>
      <w:r>
        <w:rPr/>
        <w:t>Il contratto prevede un canone di locazione annuo di Euro 44.000 (oltre IVA e rimborso delle spese di esercizio). I canoni e le spese di esercizio devono essere corrisposti in quattro rate uguali trimestrali anticipate scadenti il 1° aprile, 1° luglio, 1° ottobre e 1° gennaio di ciascun anno.</w:t>
      </w:r>
    </w:p>
    <w:p>
      <w:pPr>
        <w:pStyle w:val="BodyText"/>
        <w:spacing w:line="480" w:lineRule="auto"/>
        <w:ind w:left="2138" w:right="1419"/>
        <w:jc w:val="both"/>
      </w:pPr>
      <w:r>
        <w:rPr/>
        <w:t>L'importo annuo delle spese di esercizio (servizi generali e inerenti le aree esterne) viene convenuto in complessivi Euro 11.000 oltre IVA ed il relativo pagamento deve avvenire secondo le modalità indicate nell'art. 4.</w:t>
      </w:r>
    </w:p>
    <w:p>
      <w:pPr>
        <w:pStyle w:val="BodyText"/>
        <w:ind w:left="2138"/>
        <w:jc w:val="both"/>
      </w:pPr>
      <w:r>
        <w:rPr/>
        <w:t>Il contratto risulta essere ancora attivo e non è incluso nel perimetro dell’offerta Versalis.</w:t>
      </w:r>
    </w:p>
    <w:p>
      <w:pPr>
        <w:pStyle w:val="BodyText"/>
      </w:pPr>
    </w:p>
    <w:p>
      <w:pPr>
        <w:pStyle w:val="ListParagraph"/>
        <w:numPr>
          <w:ilvl w:val="0"/>
          <w:numId w:val="75"/>
        </w:numPr>
        <w:tabs>
          <w:tab w:pos="2127" w:val="left" w:leader="none"/>
        </w:tabs>
        <w:spacing w:line="480" w:lineRule="auto" w:before="0" w:after="0"/>
        <w:ind w:left="2138" w:right="1414" w:hanging="360"/>
        <w:jc w:val="both"/>
        <w:rPr>
          <w:sz w:val="24"/>
        </w:rPr>
      </w:pPr>
      <w:r>
        <w:rPr>
          <w:sz w:val="24"/>
        </w:rPr>
        <w:t>in data 22 dicembre 2006 M&amp;G Finanziaria e Chemtex Italia (oggi Biochemtex) hanno sottoscritto un contratto in forza del quale M&amp;G Finanziaria ha concesso in locazione  </w:t>
      </w:r>
      <w:r>
        <w:rPr>
          <w:spacing w:val="53"/>
          <w:sz w:val="24"/>
        </w:rPr>
        <w:t> </w:t>
      </w:r>
      <w:r>
        <w:rPr>
          <w:sz w:val="24"/>
        </w:rPr>
        <w:t>a</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138" w:right="1416"/>
        <w:jc w:val="both"/>
      </w:pPr>
      <w:r>
        <w:rPr/>
        <w:t>Biochemtex n.16 locali, ammobiliati, adibiti ad uso ufficio, siti al piano terra della zona uffici del complesso industriale di Tortona - Località Ribrocca. La durata del contratto è pari a n. 6 anni, dal gen. 2007 a dic. 2012, tacitamente rinnovato per ulteriori 6 anni.</w:t>
      </w:r>
    </w:p>
    <w:p>
      <w:pPr>
        <w:pStyle w:val="BodyText"/>
        <w:spacing w:line="480" w:lineRule="auto"/>
        <w:ind w:left="2138" w:right="1415"/>
        <w:jc w:val="both"/>
      </w:pPr>
      <w:r>
        <w:rPr/>
        <w:t>Il corrispettivo previsto è pari a complessivi Euro 46.000 oltre IVA di legge e il rimborso delle spese di esercizio, così come previsto dall'art. 6 del contratto stesso. Le spese a  carico di Biochemtex sono quelle relative a servizi generali (riscaldamento, condizionamento, pulizia, utilizzo degli impianti telefonici, energia elettrica, assicurazione dei fabbricati, imposte sui fabbricati) per una somma pari ad Euro 11.500 oltre IVA di legge.</w:t>
      </w:r>
    </w:p>
    <w:p>
      <w:pPr>
        <w:pStyle w:val="BodyText"/>
        <w:spacing w:line="480" w:lineRule="auto"/>
        <w:ind w:left="2126" w:right="1416" w:firstLine="12"/>
      </w:pPr>
      <w:r>
        <w:rPr/>
        <w:t>Il contratto risulta essere ancora attivo e non è incluso nel perimetro dell’offerta Versalis. Per quanto riguarda la fornitura di servizi, con lettera del 01 ottobre 2014, successivamente modificata in data 10 gennaio 2017, M&amp;G Finanziaria e Biochemtex si sono accordate per la fornitura di servizi relativi al supporto nel settore IT, settore delle risorse umane, settore amministrativo, finanziario, fiscale e legale, settore assicurativo ed ambientale per Euro 845.000 complessivi annui oltre IVA. Gli scriventi hanno preso visione delle fatture passive e dei contratti commerciali e infragruppo. Per quanto riguarda eventuali passsività potenziali derivanti dai rapporti con la M&amp;G Finanziaria si rimanda al paragrafo relativo ai crediti</w:t>
      </w:r>
      <w:r>
        <w:rPr>
          <w:spacing w:val="-17"/>
        </w:rPr>
        <w:t> </w:t>
      </w:r>
      <w:r>
        <w:rPr/>
        <w:t>infragruppo.</w:t>
      </w:r>
    </w:p>
    <w:p>
      <w:pPr>
        <w:pStyle w:val="Heading2"/>
      </w:pPr>
      <w:r>
        <w:rPr>
          <w:u w:val="single"/>
        </w:rPr>
        <w:t>Debiti verso Italian Bio Product</w:t>
      </w:r>
    </w:p>
    <w:p>
      <w:pPr>
        <w:pStyle w:val="BodyText"/>
        <w:spacing w:before="10"/>
        <w:rPr>
          <w:b/>
          <w:sz w:val="23"/>
        </w:rPr>
      </w:pPr>
    </w:p>
    <w:p>
      <w:pPr>
        <w:pStyle w:val="BodyText"/>
        <w:spacing w:line="480" w:lineRule="auto"/>
        <w:ind w:left="1418" w:right="1518"/>
      </w:pPr>
      <w:r>
        <w:rPr/>
        <w:t>Il debito verso la IBP ammonta ad Euro 10.370 e si riferisce alla fattura n. 1117060031 del 25 settembre 2017 emessa per vendita di lignina.</w:t>
      </w:r>
    </w:p>
    <w:p>
      <w:pPr>
        <w:pStyle w:val="Heading2"/>
      </w:pPr>
      <w:r>
        <w:rPr>
          <w:u w:val="single"/>
        </w:rPr>
        <w:t>Debiti verso C 5-6 Italy</w:t>
      </w:r>
    </w:p>
    <w:p>
      <w:pPr>
        <w:spacing w:after="0"/>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spacing w:before="4"/>
        <w:rPr>
          <w:b/>
          <w:sz w:val="27"/>
        </w:rPr>
      </w:pPr>
    </w:p>
    <w:p>
      <w:pPr>
        <w:spacing w:line="480" w:lineRule="auto" w:before="100"/>
        <w:ind w:left="1418" w:right="1411" w:firstLine="0"/>
        <w:jc w:val="both"/>
        <w:rPr>
          <w:i/>
          <w:sz w:val="24"/>
        </w:rPr>
      </w:pPr>
      <w:r>
        <w:rPr>
          <w:sz w:val="24"/>
        </w:rPr>
        <w:t>Il debito ammonta ad Euro 222.700 e si riferisce a consulenze rese dalla C5-6 in accordo al contratto sottoscritto in data 30 dicembre 2016, che prevedeva un corrispettivo  omnicomprensivo e forfettario di Euro 195.200. Si tratta di “</w:t>
      </w:r>
      <w:r>
        <w:rPr>
          <w:i/>
          <w:sz w:val="24"/>
        </w:rPr>
        <w:t>attività di ricerca e sviluppo che hanno  </w:t>
      </w:r>
      <w:r>
        <w:rPr>
          <w:i/>
          <w:sz w:val="24"/>
        </w:rPr>
        <w:t>come obiettivo primario l’ottimizzazione di uno step di idrolisi in una tecnologia di produzione di etanolo da fonti lignocellulosiche”.</w:t>
      </w:r>
    </w:p>
    <w:p>
      <w:pPr>
        <w:pStyle w:val="BodyText"/>
        <w:ind w:left="1418"/>
        <w:jc w:val="both"/>
      </w:pPr>
      <w:r>
        <w:rPr/>
        <w:t>Il contratto prevedeva una durata di sei mesi dal 1 gennaio al 30 giugno 2017.</w:t>
      </w:r>
    </w:p>
    <w:p>
      <w:pPr>
        <w:pStyle w:val="BodyText"/>
        <w:spacing w:before="10"/>
        <w:rPr>
          <w:sz w:val="23"/>
        </w:rPr>
      </w:pPr>
    </w:p>
    <w:p>
      <w:pPr>
        <w:pStyle w:val="Heading2"/>
        <w:jc w:val="both"/>
      </w:pPr>
      <w:r>
        <w:rPr>
          <w:u w:val="single"/>
        </w:rPr>
        <w:t>Debiti verso Chemtex Chemical Shangaj</w:t>
      </w:r>
    </w:p>
    <w:p>
      <w:pPr>
        <w:pStyle w:val="BodyText"/>
        <w:rPr>
          <w:b/>
          <w:sz w:val="15"/>
        </w:rPr>
      </w:pPr>
    </w:p>
    <w:p>
      <w:pPr>
        <w:pStyle w:val="BodyText"/>
        <w:spacing w:line="480" w:lineRule="auto" w:before="100"/>
        <w:ind w:left="1418" w:right="1413"/>
        <w:jc w:val="both"/>
      </w:pPr>
      <w:r>
        <w:rPr/>
        <w:t>Il debito ammonta ad Euro 3.121.423 ed è riferito a due contratti relativi alla commessa Safpet (Fase 1 e Fase 2).</w:t>
      </w:r>
    </w:p>
    <w:p>
      <w:pPr>
        <w:pStyle w:val="BodyText"/>
        <w:spacing w:line="480" w:lineRule="auto"/>
        <w:ind w:left="1418" w:right="1415"/>
        <w:jc w:val="both"/>
      </w:pPr>
      <w:r>
        <w:rPr/>
        <w:t>Il primo contratto sottoscritto da Biochemtex e Chemtex Shangaj in data 29 luglio 2016, è  relativo alla fase 1 della commessa. In forza di tale contratto Biochemtex ha subappaltato l’esecuzione della commessa alla società di diritto cinese Chemtex Shangaj in favore della società LLC SafPet con oggetto attività di </w:t>
      </w:r>
      <w:r>
        <w:rPr>
          <w:i/>
        </w:rPr>
        <w:t>Basic Engeenering </w:t>
      </w:r>
      <w:r>
        <w:rPr/>
        <w:t>dell'impianto sito in Russia (Repubblica del Tatarstan) per la produzione di 250 mila tonnellate di PET</w:t>
      </w:r>
      <w:r>
        <w:rPr>
          <w:spacing w:val="-26"/>
        </w:rPr>
        <w:t> </w:t>
      </w:r>
      <w:r>
        <w:rPr/>
        <w:t>all'anno.</w:t>
      </w:r>
    </w:p>
    <w:p>
      <w:pPr>
        <w:pStyle w:val="BodyText"/>
        <w:spacing w:line="480" w:lineRule="auto"/>
        <w:ind w:left="1418" w:right="1419"/>
        <w:jc w:val="both"/>
      </w:pPr>
      <w:r>
        <w:rPr/>
        <w:t>Il corrispettivo dovuto da Biochemtex a Chemtex Shangaj è pari a USD 2.172.880, da corrispondere entro 30 giorni dalla ricezione della fattura e proporzionalmente ai pagamenti ricevuti da SafPet.</w:t>
      </w:r>
    </w:p>
    <w:p>
      <w:pPr>
        <w:pStyle w:val="BodyText"/>
        <w:ind w:left="1418"/>
        <w:jc w:val="both"/>
      </w:pPr>
      <w:r>
        <w:rPr/>
        <w:t>La passività massima imputabile a CSCE è pari al 7,5% del corrispettivo pattuito nell'Art. 2.</w:t>
      </w:r>
    </w:p>
    <w:p>
      <w:pPr>
        <w:pStyle w:val="BodyText"/>
        <w:spacing w:before="1"/>
      </w:pPr>
    </w:p>
    <w:p>
      <w:pPr>
        <w:pStyle w:val="BodyText"/>
        <w:spacing w:line="480" w:lineRule="auto"/>
        <w:ind w:left="1418" w:right="1420"/>
        <w:jc w:val="both"/>
      </w:pPr>
      <w:r>
        <w:rPr/>
        <w:t>Nel caso in cui Biochemtex dovesse risarcire SafPet per danni conseguenti a ritardi nella  consegna del BEDP, Chemtex Shangaj è tenuta a partecipare alla liquidazione del danno proporzionalmente al corrispettivo</w:t>
      </w:r>
      <w:r>
        <w:rPr>
          <w:spacing w:val="-20"/>
        </w:rPr>
        <w:t> </w:t>
      </w:r>
      <w:r>
        <w:rPr/>
        <w:t>pattuito.</w:t>
      </w:r>
    </w:p>
    <w:p>
      <w:pPr>
        <w:pStyle w:val="BodyText"/>
        <w:spacing w:line="480" w:lineRule="auto"/>
        <w:ind w:left="1418" w:right="1412"/>
        <w:jc w:val="both"/>
      </w:pPr>
      <w:r>
        <w:rPr/>
        <w:t>Il secondo contratto, relativo alla fase 2, è un contratto di subappalto alla società di diritto cinese Chemtex Shangaj delle attività di </w:t>
      </w:r>
      <w:r>
        <w:rPr>
          <w:i/>
        </w:rPr>
        <w:t>Detail Design </w:t>
      </w:r>
      <w:r>
        <w:rPr/>
        <w:t>in favore della società LLC SafPet - attività oggetto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1"/>
        <w:jc w:val="both"/>
      </w:pPr>
      <w:r>
        <w:rPr/>
        <w:t>di un contratto quadro stipulato tra Biochemtex e SafPet in data 26 maggio 2017 - con  riferimento all'impianto sito in Russia (Repubblica del Tatarstan) per la produzione di 250 mila tonnellate di PET</w:t>
      </w:r>
      <w:r>
        <w:rPr>
          <w:spacing w:val="-9"/>
        </w:rPr>
        <w:t> </w:t>
      </w:r>
      <w:r>
        <w:rPr/>
        <w:t>all'anno.</w:t>
      </w:r>
    </w:p>
    <w:p>
      <w:pPr>
        <w:pStyle w:val="BodyText"/>
        <w:spacing w:line="480" w:lineRule="auto"/>
        <w:ind w:left="1418" w:right="1416"/>
        <w:jc w:val="both"/>
      </w:pPr>
      <w:r>
        <w:rPr/>
        <w:t>Il corrispettivo dovuto da Biochemtex a Chemtex Shangaj ammonta a USD 4.926.000, da corrispondere entro 30 giorni dalla ricezione della fattura, proporzionalmente ai pagamenti ricevuti da SafPet e all'adempimento degli obblighi di consegna definiti nell'accordo quadro tra Biochemtex e SafPet.</w:t>
      </w:r>
    </w:p>
    <w:p>
      <w:pPr>
        <w:pStyle w:val="BodyText"/>
        <w:ind w:left="1418"/>
        <w:jc w:val="both"/>
      </w:pPr>
      <w:r>
        <w:rPr/>
        <w:t>In particolare:</w:t>
      </w:r>
    </w:p>
    <w:p>
      <w:pPr>
        <w:pStyle w:val="BodyText"/>
        <w:spacing w:before="11"/>
        <w:rPr>
          <w:sz w:val="23"/>
        </w:rPr>
      </w:pPr>
    </w:p>
    <w:p>
      <w:pPr>
        <w:pStyle w:val="ListParagraph"/>
        <w:numPr>
          <w:ilvl w:val="1"/>
          <w:numId w:val="75"/>
        </w:numPr>
        <w:tabs>
          <w:tab w:pos="2075" w:val="left" w:leader="none"/>
        </w:tabs>
        <w:spacing w:line="240" w:lineRule="auto" w:before="0" w:after="0"/>
        <w:ind w:left="2074" w:right="0" w:hanging="228"/>
        <w:jc w:val="left"/>
        <w:rPr>
          <w:sz w:val="24"/>
        </w:rPr>
      </w:pPr>
      <w:r>
        <w:rPr>
          <w:sz w:val="24"/>
        </w:rPr>
        <w:t>30% come </w:t>
      </w:r>
      <w:r>
        <w:rPr>
          <w:i/>
          <w:sz w:val="24"/>
        </w:rPr>
        <w:t>down</w:t>
      </w:r>
      <w:r>
        <w:rPr>
          <w:i/>
          <w:spacing w:val="-9"/>
          <w:sz w:val="24"/>
        </w:rPr>
        <w:t> </w:t>
      </w:r>
      <w:r>
        <w:rPr>
          <w:i/>
          <w:sz w:val="24"/>
        </w:rPr>
        <w:t>payment</w:t>
      </w:r>
      <w:r>
        <w:rPr>
          <w:sz w:val="24"/>
        </w:rPr>
        <w:t>;</w:t>
      </w:r>
    </w:p>
    <w:p>
      <w:pPr>
        <w:pStyle w:val="BodyText"/>
        <w:spacing w:before="11"/>
        <w:rPr>
          <w:sz w:val="23"/>
        </w:rPr>
      </w:pPr>
    </w:p>
    <w:p>
      <w:pPr>
        <w:pStyle w:val="ListParagraph"/>
        <w:numPr>
          <w:ilvl w:val="1"/>
          <w:numId w:val="75"/>
        </w:numPr>
        <w:tabs>
          <w:tab w:pos="2099" w:val="left" w:leader="none"/>
        </w:tabs>
        <w:spacing w:line="240" w:lineRule="auto" w:before="0" w:after="0"/>
        <w:ind w:left="2098" w:right="0" w:hanging="252"/>
        <w:jc w:val="left"/>
        <w:rPr>
          <w:sz w:val="24"/>
        </w:rPr>
      </w:pPr>
      <w:r>
        <w:rPr>
          <w:sz w:val="24"/>
        </w:rPr>
        <w:t>20% dopo 3 mesi dalla data di </w:t>
      </w:r>
      <w:r>
        <w:rPr>
          <w:i/>
          <w:sz w:val="24"/>
        </w:rPr>
        <w:t>down</w:t>
      </w:r>
      <w:r>
        <w:rPr>
          <w:i/>
          <w:spacing w:val="-11"/>
          <w:sz w:val="24"/>
        </w:rPr>
        <w:t> </w:t>
      </w:r>
      <w:r>
        <w:rPr>
          <w:i/>
          <w:sz w:val="24"/>
        </w:rPr>
        <w:t>payment</w:t>
      </w:r>
      <w:r>
        <w:rPr>
          <w:sz w:val="24"/>
        </w:rPr>
        <w:t>;</w:t>
      </w:r>
    </w:p>
    <w:p>
      <w:pPr>
        <w:pStyle w:val="BodyText"/>
        <w:spacing w:before="11"/>
        <w:rPr>
          <w:sz w:val="23"/>
        </w:rPr>
      </w:pPr>
    </w:p>
    <w:p>
      <w:pPr>
        <w:pStyle w:val="ListParagraph"/>
        <w:numPr>
          <w:ilvl w:val="1"/>
          <w:numId w:val="75"/>
        </w:numPr>
        <w:tabs>
          <w:tab w:pos="2077" w:val="left" w:leader="none"/>
        </w:tabs>
        <w:spacing w:line="240" w:lineRule="auto" w:before="0" w:after="0"/>
        <w:ind w:left="2076" w:right="0" w:hanging="230"/>
        <w:jc w:val="left"/>
        <w:rPr>
          <w:sz w:val="24"/>
        </w:rPr>
      </w:pPr>
      <w:r>
        <w:rPr>
          <w:sz w:val="24"/>
        </w:rPr>
        <w:t>15% dopo 6 mesi dalla data di </w:t>
      </w:r>
      <w:r>
        <w:rPr>
          <w:i/>
          <w:sz w:val="24"/>
        </w:rPr>
        <w:t>down</w:t>
      </w:r>
      <w:r>
        <w:rPr>
          <w:i/>
          <w:spacing w:val="-11"/>
          <w:sz w:val="24"/>
        </w:rPr>
        <w:t> </w:t>
      </w:r>
      <w:r>
        <w:rPr>
          <w:i/>
          <w:sz w:val="24"/>
        </w:rPr>
        <w:t>payment</w:t>
      </w:r>
      <w:r>
        <w:rPr>
          <w:sz w:val="24"/>
        </w:rPr>
        <w:t>;</w:t>
      </w:r>
    </w:p>
    <w:p>
      <w:pPr>
        <w:pStyle w:val="BodyText"/>
      </w:pPr>
    </w:p>
    <w:p>
      <w:pPr>
        <w:pStyle w:val="ListParagraph"/>
        <w:numPr>
          <w:ilvl w:val="1"/>
          <w:numId w:val="75"/>
        </w:numPr>
        <w:tabs>
          <w:tab w:pos="2097" w:val="left" w:leader="none"/>
        </w:tabs>
        <w:spacing w:line="240" w:lineRule="auto" w:before="0" w:after="0"/>
        <w:ind w:left="2096" w:right="0" w:hanging="250"/>
        <w:jc w:val="left"/>
        <w:rPr>
          <w:sz w:val="24"/>
        </w:rPr>
      </w:pPr>
      <w:r>
        <w:rPr>
          <w:sz w:val="24"/>
        </w:rPr>
        <w:t>15% dopo 10 mesi dalla data di </w:t>
      </w:r>
      <w:r>
        <w:rPr>
          <w:i/>
          <w:sz w:val="24"/>
        </w:rPr>
        <w:t>down</w:t>
      </w:r>
      <w:r>
        <w:rPr>
          <w:i/>
          <w:spacing w:val="-8"/>
          <w:sz w:val="24"/>
        </w:rPr>
        <w:t> </w:t>
      </w:r>
      <w:r>
        <w:rPr>
          <w:i/>
          <w:sz w:val="24"/>
        </w:rPr>
        <w:t>payment</w:t>
      </w:r>
      <w:r>
        <w:rPr>
          <w:sz w:val="24"/>
        </w:rPr>
        <w:t>;</w:t>
      </w:r>
    </w:p>
    <w:p>
      <w:pPr>
        <w:pStyle w:val="BodyText"/>
        <w:spacing w:before="11"/>
        <w:rPr>
          <w:sz w:val="23"/>
        </w:rPr>
      </w:pPr>
    </w:p>
    <w:p>
      <w:pPr>
        <w:pStyle w:val="ListParagraph"/>
        <w:numPr>
          <w:ilvl w:val="1"/>
          <w:numId w:val="75"/>
        </w:numPr>
        <w:tabs>
          <w:tab w:pos="2077" w:val="left" w:leader="none"/>
        </w:tabs>
        <w:spacing w:line="240" w:lineRule="auto" w:before="0" w:after="0"/>
        <w:ind w:left="2076" w:right="0" w:hanging="230"/>
        <w:jc w:val="left"/>
        <w:rPr>
          <w:sz w:val="24"/>
        </w:rPr>
      </w:pPr>
      <w:r>
        <w:rPr>
          <w:sz w:val="24"/>
        </w:rPr>
        <w:t>10% dopo 11 mesi dalla data di </w:t>
      </w:r>
      <w:r>
        <w:rPr>
          <w:i/>
          <w:sz w:val="24"/>
        </w:rPr>
        <w:t>down</w:t>
      </w:r>
      <w:r>
        <w:rPr>
          <w:i/>
          <w:spacing w:val="-11"/>
          <w:sz w:val="24"/>
        </w:rPr>
        <w:t> </w:t>
      </w:r>
      <w:r>
        <w:rPr>
          <w:i/>
          <w:sz w:val="24"/>
        </w:rPr>
        <w:t>payment</w:t>
      </w:r>
      <w:r>
        <w:rPr>
          <w:sz w:val="24"/>
        </w:rPr>
        <w:t>;</w:t>
      </w:r>
    </w:p>
    <w:p>
      <w:pPr>
        <w:pStyle w:val="BodyText"/>
      </w:pPr>
    </w:p>
    <w:p>
      <w:pPr>
        <w:pStyle w:val="ListParagraph"/>
        <w:numPr>
          <w:ilvl w:val="1"/>
          <w:numId w:val="75"/>
        </w:numPr>
        <w:tabs>
          <w:tab w:pos="2053" w:val="left" w:leader="none"/>
        </w:tabs>
        <w:spacing w:line="240" w:lineRule="auto" w:before="0" w:after="0"/>
        <w:ind w:left="2052" w:right="0" w:hanging="206"/>
        <w:jc w:val="left"/>
        <w:rPr>
          <w:sz w:val="24"/>
        </w:rPr>
      </w:pPr>
      <w:r>
        <w:rPr>
          <w:sz w:val="24"/>
        </w:rPr>
        <w:t>10% al momento della "</w:t>
      </w:r>
      <w:r>
        <w:rPr>
          <w:i/>
          <w:sz w:val="24"/>
        </w:rPr>
        <w:t>Final</w:t>
      </w:r>
      <w:r>
        <w:rPr>
          <w:i/>
          <w:spacing w:val="-7"/>
          <w:sz w:val="24"/>
        </w:rPr>
        <w:t> </w:t>
      </w:r>
      <w:r>
        <w:rPr>
          <w:i/>
          <w:sz w:val="24"/>
        </w:rPr>
        <w:t>Acceptance</w:t>
      </w:r>
      <w:r>
        <w:rPr>
          <w:sz w:val="24"/>
        </w:rPr>
        <w:t>".</w:t>
      </w:r>
    </w:p>
    <w:p>
      <w:pPr>
        <w:pStyle w:val="BodyText"/>
        <w:spacing w:before="11"/>
        <w:rPr>
          <w:sz w:val="23"/>
        </w:rPr>
      </w:pPr>
    </w:p>
    <w:p>
      <w:pPr>
        <w:pStyle w:val="BodyText"/>
        <w:ind w:left="1418"/>
        <w:jc w:val="both"/>
      </w:pPr>
      <w:r>
        <w:rPr/>
        <w:t>La passività massima imputabile a CSCE è pari al 7,5% del corrispettivo pattuito.</w:t>
      </w:r>
    </w:p>
    <w:p>
      <w:pPr>
        <w:pStyle w:val="BodyText"/>
        <w:spacing w:before="11"/>
        <w:rPr>
          <w:sz w:val="23"/>
        </w:rPr>
      </w:pPr>
    </w:p>
    <w:p>
      <w:pPr>
        <w:pStyle w:val="BodyText"/>
        <w:spacing w:line="480" w:lineRule="auto"/>
        <w:ind w:left="1418" w:right="1420"/>
        <w:jc w:val="both"/>
      </w:pPr>
      <w:r>
        <w:rPr/>
        <w:t>Nel caso in cui Biochemtex dovesse risarcire SafPet per danni conseguenti a ritardi nella  consegna del BEDP, CSCEC è tenuta a partecipare alla liquidazione del danno proporzionalmente al corrispettivo</w:t>
      </w:r>
      <w:r>
        <w:rPr>
          <w:spacing w:val="-20"/>
        </w:rPr>
        <w:t> </w:t>
      </w:r>
      <w:r>
        <w:rPr/>
        <w:t>pattuito.</w:t>
      </w:r>
    </w:p>
    <w:p>
      <w:pPr>
        <w:pStyle w:val="BodyText"/>
        <w:spacing w:line="480" w:lineRule="auto"/>
        <w:ind w:left="1418" w:right="1417"/>
        <w:jc w:val="both"/>
      </w:pPr>
      <w:r>
        <w:rPr/>
        <w:t>In riferimento a questi contratti, al 15 ottobre 2017 risultano impagate le seguenti fatture passive, che compongono il saldo in esame per complessive Euro 3.121.423:</w:t>
      </w:r>
    </w:p>
    <w:p>
      <w:pPr>
        <w:pStyle w:val="BodyText"/>
        <w:tabs>
          <w:tab w:pos="2126" w:val="left" w:leader="none"/>
        </w:tabs>
        <w:ind w:left="1778"/>
      </w:pPr>
      <w:r>
        <w:rPr>
          <w:rFonts w:ascii="Calibri"/>
        </w:rPr>
        <w:t>-</w:t>
        <w:tab/>
      </w:r>
      <w:r>
        <w:rPr/>
        <w:t>N. 68 del 31 agosto del 2016 $ 651.864 (Euro</w:t>
      </w:r>
      <w:r>
        <w:rPr>
          <w:spacing w:val="-13"/>
        </w:rPr>
        <w:t> </w:t>
      </w:r>
      <w:r>
        <w:rPr/>
        <w:t>551.959);</w:t>
      </w:r>
    </w:p>
    <w:p>
      <w:pPr>
        <w:pStyle w:val="BodyText"/>
        <w:spacing w:before="10"/>
        <w:rPr>
          <w:sz w:val="23"/>
        </w:rPr>
      </w:pPr>
    </w:p>
    <w:p>
      <w:pPr>
        <w:pStyle w:val="BodyText"/>
        <w:tabs>
          <w:tab w:pos="2126" w:val="left" w:leader="none"/>
        </w:tabs>
        <w:ind w:left="1778"/>
      </w:pPr>
      <w:r>
        <w:rPr>
          <w:rFonts w:ascii="Calibri"/>
        </w:rPr>
        <w:t>-</w:t>
        <w:tab/>
      </w:r>
      <w:r>
        <w:rPr/>
        <w:t>N. 19 del 30 aprile 2017 $ 651.864 (Euro</w:t>
      </w:r>
      <w:r>
        <w:rPr>
          <w:spacing w:val="-12"/>
        </w:rPr>
        <w:t> </w:t>
      </w:r>
      <w:r>
        <w:rPr/>
        <w:t>551.959);</w:t>
      </w:r>
    </w:p>
    <w:p>
      <w:pPr>
        <w:pStyle w:val="BodyText"/>
        <w:spacing w:before="9"/>
        <w:rPr>
          <w:sz w:val="23"/>
        </w:rPr>
      </w:pPr>
    </w:p>
    <w:p>
      <w:pPr>
        <w:pStyle w:val="BodyText"/>
        <w:tabs>
          <w:tab w:pos="2126" w:val="left" w:leader="none"/>
        </w:tabs>
        <w:ind w:left="1778"/>
      </w:pPr>
      <w:r>
        <w:rPr>
          <w:rFonts w:ascii="Calibri"/>
        </w:rPr>
        <w:t>-</w:t>
        <w:tab/>
      </w:r>
      <w:r>
        <w:rPr/>
        <w:t>N. 20 del 30 aprile 2017 $ 651.864 (Euro</w:t>
      </w:r>
      <w:r>
        <w:rPr>
          <w:spacing w:val="-13"/>
        </w:rPr>
        <w:t> </w:t>
      </w:r>
      <w:r>
        <w:rPr/>
        <w:t>551.959);</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BodyText"/>
        <w:tabs>
          <w:tab w:pos="2126" w:val="left" w:leader="none"/>
        </w:tabs>
        <w:spacing w:before="78"/>
        <w:ind w:left="1778"/>
      </w:pPr>
      <w:r>
        <w:rPr>
          <w:rFonts w:ascii="Calibri"/>
        </w:rPr>
        <w:t>-</w:t>
        <w:tab/>
      </w:r>
      <w:r>
        <w:rPr/>
        <w:t>N. 33 del 21 maggio 2017 $ 217.288 (Euro</w:t>
      </w:r>
      <w:r>
        <w:rPr>
          <w:spacing w:val="-9"/>
        </w:rPr>
        <w:t> </w:t>
      </w:r>
      <w:r>
        <w:rPr/>
        <w:t>183.986).</w:t>
      </w:r>
    </w:p>
    <w:p>
      <w:pPr>
        <w:pStyle w:val="BodyText"/>
        <w:spacing w:before="9"/>
        <w:rPr>
          <w:sz w:val="23"/>
        </w:rPr>
      </w:pPr>
    </w:p>
    <w:p>
      <w:pPr>
        <w:pStyle w:val="BodyText"/>
        <w:tabs>
          <w:tab w:pos="2126" w:val="left" w:leader="none"/>
        </w:tabs>
        <w:ind w:left="1778"/>
      </w:pPr>
      <w:r>
        <w:rPr>
          <w:rFonts w:ascii="Calibri"/>
        </w:rPr>
        <w:t>-</w:t>
        <w:tab/>
      </w:r>
      <w:r>
        <w:rPr/>
        <w:t>N. 40/a del 18 marzo 2014 $35.720 (Euro</w:t>
      </w:r>
      <w:r>
        <w:rPr>
          <w:spacing w:val="-11"/>
        </w:rPr>
        <w:t> </w:t>
      </w:r>
      <w:r>
        <w:rPr/>
        <w:t>30.246)</w:t>
      </w:r>
    </w:p>
    <w:p>
      <w:pPr>
        <w:pStyle w:val="BodyText"/>
        <w:spacing w:before="9"/>
        <w:rPr>
          <w:sz w:val="23"/>
        </w:rPr>
      </w:pPr>
    </w:p>
    <w:p>
      <w:pPr>
        <w:pStyle w:val="BodyText"/>
        <w:tabs>
          <w:tab w:pos="2126" w:val="left" w:leader="none"/>
        </w:tabs>
        <w:ind w:left="1778"/>
      </w:pPr>
      <w:r>
        <w:rPr>
          <w:rFonts w:ascii="Calibri"/>
        </w:rPr>
        <w:t>-</w:t>
        <w:tab/>
      </w:r>
      <w:r>
        <w:rPr/>
        <w:t>N. 67 del 19 luglio 2017 $1.477.800 (Euro</w:t>
      </w:r>
      <w:r>
        <w:rPr>
          <w:spacing w:val="-11"/>
        </w:rPr>
        <w:t> </w:t>
      </w:r>
      <w:r>
        <w:rPr/>
        <w:t>1.251.312).</w:t>
      </w:r>
    </w:p>
    <w:p>
      <w:pPr>
        <w:pStyle w:val="BodyText"/>
        <w:spacing w:before="9"/>
        <w:rPr>
          <w:sz w:val="23"/>
        </w:rPr>
      </w:pPr>
    </w:p>
    <w:p>
      <w:pPr>
        <w:pStyle w:val="Heading2"/>
      </w:pPr>
      <w:r>
        <w:rPr>
          <w:u w:val="single"/>
        </w:rPr>
        <w:t>Debiti verso Beta renewables</w:t>
      </w:r>
    </w:p>
    <w:p>
      <w:pPr>
        <w:pStyle w:val="BodyText"/>
        <w:spacing w:before="10"/>
        <w:rPr>
          <w:b/>
          <w:sz w:val="23"/>
        </w:rPr>
      </w:pPr>
    </w:p>
    <w:p>
      <w:pPr>
        <w:pStyle w:val="BodyText"/>
        <w:spacing w:line="480" w:lineRule="auto" w:before="1"/>
        <w:ind w:left="1418" w:right="1518"/>
      </w:pPr>
      <w:r>
        <w:rPr/>
        <w:t>Ammonta ad Euro 339 e si riferisce alla rifatturazione di costi di noleggio auto con la società Arval.</w:t>
      </w:r>
    </w:p>
    <w:p>
      <w:pPr>
        <w:pStyle w:val="BodyText"/>
        <w:ind w:left="1418"/>
      </w:pPr>
      <w:r>
        <w:rPr>
          <w:u w:val="single"/>
        </w:rPr>
        <w:t>Attività svolta</w:t>
      </w:r>
    </w:p>
    <w:p>
      <w:pPr>
        <w:pStyle w:val="BodyText"/>
        <w:spacing w:before="1"/>
        <w:rPr>
          <w:sz w:val="15"/>
        </w:rPr>
      </w:pPr>
    </w:p>
    <w:p>
      <w:pPr>
        <w:pStyle w:val="BodyText"/>
        <w:spacing w:line="480" w:lineRule="auto" w:before="100"/>
        <w:ind w:left="1418" w:right="1421"/>
        <w:jc w:val="both"/>
      </w:pPr>
      <w:r>
        <w:rPr/>
        <w:t>Ai fini della veridicità dei dati contabili gli scriventi hanno preso visione di un campione di fatture e dei contratti sopra elencati, nonché tutti i mastrini contabili.</w:t>
      </w:r>
    </w:p>
    <w:p>
      <w:pPr>
        <w:pStyle w:val="BodyText"/>
        <w:ind w:left="1418"/>
        <w:jc w:val="both"/>
      </w:pPr>
      <w:r>
        <w:rPr>
          <w:u w:val="single"/>
        </w:rPr>
        <w:t>Valorizzazione concordataria</w:t>
      </w:r>
    </w:p>
    <w:p>
      <w:pPr>
        <w:pStyle w:val="BodyText"/>
      </w:pPr>
    </w:p>
    <w:p>
      <w:pPr>
        <w:pStyle w:val="BodyText"/>
        <w:spacing w:line="480" w:lineRule="auto"/>
        <w:ind w:left="1418" w:right="1420"/>
        <w:jc w:val="both"/>
      </w:pPr>
      <w:r>
        <w:rPr/>
        <w:t>Ai fini della valorizzazione concordataria, i debiti verso Chemtex International, IBP, Chemtex Chemical Shangaj per complessivi Euro 16.043.540 sono stati classificati come chirografari dalla società.</w:t>
      </w:r>
    </w:p>
    <w:p>
      <w:pPr>
        <w:pStyle w:val="BodyText"/>
        <w:spacing w:line="480" w:lineRule="auto"/>
        <w:ind w:left="1418" w:right="1421"/>
        <w:jc w:val="both"/>
      </w:pPr>
      <w:r>
        <w:rPr/>
        <w:t>Il debito verso M&amp;G Finanziaria per Euro 1.241.517 è stato interamente compensato con il credito iscritto in bilancio.</w:t>
      </w:r>
    </w:p>
    <w:p>
      <w:pPr>
        <w:pStyle w:val="BodyText"/>
        <w:spacing w:line="480" w:lineRule="auto"/>
        <w:ind w:left="1418" w:right="1417"/>
        <w:jc w:val="both"/>
      </w:pPr>
      <w:r>
        <w:rPr/>
        <w:t>Il debito verso C5-6 Italy è stato parzialmente compensato per Euro 36.389 con i minori crediti iscritti in contabilità e per la parte restante pari ad Euro 186.311 classificato come chirografario.</w:t>
      </w:r>
    </w:p>
    <w:p>
      <w:pPr>
        <w:pStyle w:val="BodyText"/>
        <w:ind w:left="1418"/>
        <w:jc w:val="both"/>
      </w:pPr>
      <w:r>
        <w:rPr/>
        <w:t>Il debito verso M&amp;G S.P.A. è stato classificato come debito finanziario e come tale postergato.</w:t>
      </w:r>
    </w:p>
    <w:p>
      <w:pPr>
        <w:pStyle w:val="BodyText"/>
        <w:rPr>
          <w:sz w:val="26"/>
        </w:rPr>
      </w:pPr>
    </w:p>
    <w:p>
      <w:pPr>
        <w:pStyle w:val="Heading2"/>
        <w:spacing w:before="218"/>
        <w:jc w:val="both"/>
      </w:pPr>
      <w:r>
        <w:rPr>
          <w:u w:val="single"/>
        </w:rPr>
        <w:t>DEBITI DIVERSI VERSO GRUPPO</w:t>
      </w:r>
    </w:p>
    <w:p>
      <w:pPr>
        <w:spacing w:after="0"/>
        <w:jc w:val="both"/>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4"/>
        <w:rPr>
          <w:b/>
          <w:sz w:val="11"/>
        </w:rPr>
      </w:pPr>
    </w:p>
    <w:tbl>
      <w:tblPr>
        <w:tblW w:w="0" w:type="auto"/>
        <w:jc w:val="left"/>
        <w:tblInd w:w="1422"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1100"/>
        <w:gridCol w:w="2468"/>
        <w:gridCol w:w="839"/>
        <w:gridCol w:w="986"/>
        <w:gridCol w:w="822"/>
        <w:gridCol w:w="994"/>
        <w:gridCol w:w="969"/>
        <w:gridCol w:w="880"/>
      </w:tblGrid>
      <w:tr>
        <w:trPr>
          <w:trHeight w:val="684" w:hRule="exact"/>
        </w:trPr>
        <w:tc>
          <w:tcPr>
            <w:tcW w:w="1100" w:type="dxa"/>
            <w:shd w:val="clear" w:color="auto" w:fill="BEBEBE"/>
          </w:tcPr>
          <w:p>
            <w:pPr>
              <w:pStyle w:val="TableParagraph"/>
              <w:spacing w:before="0"/>
              <w:jc w:val="left"/>
              <w:rPr>
                <w:b/>
                <w:sz w:val="14"/>
              </w:rPr>
            </w:pPr>
          </w:p>
          <w:p>
            <w:pPr>
              <w:pStyle w:val="TableParagraph"/>
              <w:spacing w:before="113"/>
              <w:ind w:left="74" w:right="75"/>
              <w:jc w:val="center"/>
              <w:rPr>
                <w:b/>
                <w:sz w:val="13"/>
              </w:rPr>
            </w:pPr>
            <w:r>
              <w:rPr>
                <w:b/>
                <w:sz w:val="13"/>
              </w:rPr>
              <w:t>CONTO</w:t>
            </w:r>
          </w:p>
        </w:tc>
        <w:tc>
          <w:tcPr>
            <w:tcW w:w="2468" w:type="dxa"/>
            <w:shd w:val="clear" w:color="auto" w:fill="BEBEBE"/>
          </w:tcPr>
          <w:p>
            <w:pPr>
              <w:pStyle w:val="TableParagraph"/>
              <w:spacing w:before="0"/>
              <w:jc w:val="left"/>
              <w:rPr>
                <w:b/>
                <w:sz w:val="14"/>
              </w:rPr>
            </w:pPr>
          </w:p>
          <w:p>
            <w:pPr>
              <w:pStyle w:val="TableParagraph"/>
              <w:spacing w:before="113"/>
              <w:ind w:left="902" w:right="905"/>
              <w:jc w:val="center"/>
              <w:rPr>
                <w:b/>
                <w:sz w:val="13"/>
              </w:rPr>
            </w:pPr>
            <w:r>
              <w:rPr>
                <w:b/>
                <w:sz w:val="13"/>
              </w:rPr>
              <w:t>SOCIETA'</w:t>
            </w:r>
          </w:p>
        </w:tc>
        <w:tc>
          <w:tcPr>
            <w:tcW w:w="839" w:type="dxa"/>
            <w:shd w:val="clear" w:color="auto" w:fill="BEBEBE"/>
          </w:tcPr>
          <w:p>
            <w:pPr>
              <w:pStyle w:val="TableParagraph"/>
              <w:spacing w:before="0"/>
              <w:jc w:val="left"/>
              <w:rPr>
                <w:b/>
                <w:sz w:val="14"/>
              </w:rPr>
            </w:pPr>
          </w:p>
          <w:p>
            <w:pPr>
              <w:pStyle w:val="TableParagraph"/>
              <w:spacing w:before="113"/>
              <w:ind w:left="97"/>
              <w:jc w:val="left"/>
              <w:rPr>
                <w:b/>
                <w:sz w:val="13"/>
              </w:rPr>
            </w:pPr>
            <w:r>
              <w:rPr>
                <w:b/>
                <w:sz w:val="13"/>
              </w:rPr>
              <w:t>IMPORTO</w:t>
            </w:r>
          </w:p>
        </w:tc>
        <w:tc>
          <w:tcPr>
            <w:tcW w:w="986" w:type="dxa"/>
            <w:shd w:val="clear" w:color="auto" w:fill="BEBEBE"/>
          </w:tcPr>
          <w:p>
            <w:pPr>
              <w:pStyle w:val="TableParagraph"/>
              <w:spacing w:before="0"/>
              <w:jc w:val="left"/>
              <w:rPr>
                <w:b/>
                <w:sz w:val="14"/>
              </w:rPr>
            </w:pPr>
          </w:p>
          <w:p>
            <w:pPr>
              <w:pStyle w:val="TableParagraph"/>
              <w:spacing w:before="113"/>
              <w:ind w:right="44"/>
              <w:rPr>
                <w:b/>
                <w:sz w:val="13"/>
              </w:rPr>
            </w:pPr>
            <w:r>
              <w:rPr>
                <w:b/>
                <w:sz w:val="13"/>
              </w:rPr>
              <w:t>Compensazione</w:t>
            </w:r>
          </w:p>
        </w:tc>
        <w:tc>
          <w:tcPr>
            <w:tcW w:w="822" w:type="dxa"/>
            <w:shd w:val="clear" w:color="auto" w:fill="BEBEBE"/>
          </w:tcPr>
          <w:p>
            <w:pPr>
              <w:pStyle w:val="TableParagraph"/>
              <w:spacing w:line="280" w:lineRule="auto" w:before="99"/>
              <w:ind w:left="16" w:right="21" w:firstLine="9"/>
              <w:jc w:val="center"/>
              <w:rPr>
                <w:b/>
                <w:sz w:val="13"/>
              </w:rPr>
            </w:pPr>
            <w:r>
              <w:rPr>
                <w:b/>
                <w:sz w:val="13"/>
              </w:rPr>
              <w:t>Valori di piano concordatario</w:t>
            </w:r>
          </w:p>
        </w:tc>
        <w:tc>
          <w:tcPr>
            <w:tcW w:w="994" w:type="dxa"/>
            <w:shd w:val="clear" w:color="auto" w:fill="BEBEBE"/>
          </w:tcPr>
          <w:p>
            <w:pPr>
              <w:pStyle w:val="TableParagraph"/>
              <w:spacing w:before="0"/>
              <w:jc w:val="left"/>
              <w:rPr>
                <w:b/>
                <w:sz w:val="14"/>
              </w:rPr>
            </w:pPr>
          </w:p>
          <w:p>
            <w:pPr>
              <w:pStyle w:val="TableParagraph"/>
              <w:spacing w:before="113"/>
              <w:ind w:left="228"/>
              <w:jc w:val="left"/>
              <w:rPr>
                <w:b/>
                <w:sz w:val="13"/>
              </w:rPr>
            </w:pPr>
            <w:r>
              <w:rPr>
                <w:b/>
                <w:sz w:val="13"/>
              </w:rPr>
              <w:t>Privilegio</w:t>
            </w:r>
          </w:p>
        </w:tc>
        <w:tc>
          <w:tcPr>
            <w:tcW w:w="969" w:type="dxa"/>
            <w:shd w:val="clear" w:color="auto" w:fill="BEBEBE"/>
          </w:tcPr>
          <w:p>
            <w:pPr>
              <w:pStyle w:val="TableParagraph"/>
              <w:spacing w:before="0"/>
              <w:jc w:val="left"/>
              <w:rPr>
                <w:b/>
                <w:sz w:val="14"/>
              </w:rPr>
            </w:pPr>
          </w:p>
          <w:p>
            <w:pPr>
              <w:pStyle w:val="TableParagraph"/>
              <w:spacing w:before="113"/>
              <w:ind w:left="105"/>
              <w:jc w:val="left"/>
              <w:rPr>
                <w:b/>
                <w:sz w:val="13"/>
              </w:rPr>
            </w:pPr>
            <w:r>
              <w:rPr>
                <w:b/>
                <w:sz w:val="13"/>
              </w:rPr>
              <w:t>Chirografario</w:t>
            </w:r>
          </w:p>
        </w:tc>
        <w:tc>
          <w:tcPr>
            <w:tcW w:w="880" w:type="dxa"/>
            <w:shd w:val="clear" w:color="auto" w:fill="BEBEBE"/>
          </w:tcPr>
          <w:p>
            <w:pPr>
              <w:pStyle w:val="TableParagraph"/>
              <w:spacing w:before="9"/>
              <w:jc w:val="left"/>
              <w:rPr>
                <w:b/>
                <w:sz w:val="16"/>
              </w:rPr>
            </w:pPr>
          </w:p>
          <w:p>
            <w:pPr>
              <w:pStyle w:val="TableParagraph"/>
              <w:spacing w:line="280" w:lineRule="auto" w:before="0"/>
              <w:ind w:left="138" w:right="50" w:hanging="74"/>
              <w:jc w:val="left"/>
              <w:rPr>
                <w:b/>
                <w:sz w:val="13"/>
              </w:rPr>
            </w:pPr>
            <w:r>
              <w:rPr>
                <w:b/>
                <w:sz w:val="13"/>
              </w:rPr>
              <w:t>Chirografario pastergato</w:t>
            </w:r>
          </w:p>
        </w:tc>
      </w:tr>
      <w:tr>
        <w:trPr>
          <w:trHeight w:val="181" w:hRule="exact"/>
        </w:trPr>
        <w:tc>
          <w:tcPr>
            <w:tcW w:w="1100" w:type="dxa"/>
            <w:tcBorders>
              <w:bottom w:val="nil"/>
            </w:tcBorders>
          </w:tcPr>
          <w:p>
            <w:pPr>
              <w:pStyle w:val="TableParagraph"/>
              <w:spacing w:before="18"/>
              <w:ind w:left="75" w:right="75"/>
              <w:jc w:val="center"/>
              <w:rPr>
                <w:sz w:val="13"/>
              </w:rPr>
            </w:pPr>
            <w:r>
              <w:rPr>
                <w:sz w:val="13"/>
              </w:rPr>
              <w:t>2339260</w:t>
            </w:r>
          </w:p>
        </w:tc>
        <w:tc>
          <w:tcPr>
            <w:tcW w:w="2468" w:type="dxa"/>
            <w:tcBorders>
              <w:bottom w:val="nil"/>
            </w:tcBorders>
          </w:tcPr>
          <w:p>
            <w:pPr>
              <w:pStyle w:val="TableParagraph"/>
              <w:spacing w:before="18"/>
              <w:ind w:left="16"/>
              <w:jc w:val="left"/>
              <w:rPr>
                <w:sz w:val="13"/>
              </w:rPr>
            </w:pPr>
            <w:r>
              <w:rPr>
                <w:sz w:val="13"/>
              </w:rPr>
              <w:t>Debito per IVA di Gruppo Vs MG Fin</w:t>
            </w:r>
          </w:p>
        </w:tc>
        <w:tc>
          <w:tcPr>
            <w:tcW w:w="839" w:type="dxa"/>
            <w:tcBorders>
              <w:bottom w:val="nil"/>
            </w:tcBorders>
          </w:tcPr>
          <w:p>
            <w:pPr>
              <w:pStyle w:val="TableParagraph"/>
              <w:spacing w:before="18"/>
              <w:ind w:right="18"/>
              <w:rPr>
                <w:sz w:val="13"/>
              </w:rPr>
            </w:pPr>
            <w:r>
              <w:rPr>
                <w:sz w:val="13"/>
              </w:rPr>
              <w:t>(185.265)</w:t>
            </w:r>
          </w:p>
        </w:tc>
        <w:tc>
          <w:tcPr>
            <w:tcW w:w="986" w:type="dxa"/>
            <w:tcBorders>
              <w:bottom w:val="nil"/>
            </w:tcBorders>
          </w:tcPr>
          <w:p>
            <w:pPr/>
          </w:p>
        </w:tc>
        <w:tc>
          <w:tcPr>
            <w:tcW w:w="822" w:type="dxa"/>
            <w:tcBorders>
              <w:bottom w:val="nil"/>
            </w:tcBorders>
          </w:tcPr>
          <w:p>
            <w:pPr>
              <w:pStyle w:val="TableParagraph"/>
              <w:spacing w:before="18"/>
              <w:ind w:right="18"/>
              <w:rPr>
                <w:sz w:val="13"/>
              </w:rPr>
            </w:pPr>
            <w:r>
              <w:rPr>
                <w:sz w:val="13"/>
              </w:rPr>
              <w:t>(185.265)</w:t>
            </w:r>
          </w:p>
        </w:tc>
        <w:tc>
          <w:tcPr>
            <w:tcW w:w="994" w:type="dxa"/>
            <w:vMerge w:val="restart"/>
          </w:tcPr>
          <w:p>
            <w:pPr/>
          </w:p>
        </w:tc>
        <w:tc>
          <w:tcPr>
            <w:tcW w:w="969" w:type="dxa"/>
            <w:tcBorders>
              <w:bottom w:val="nil"/>
            </w:tcBorders>
          </w:tcPr>
          <w:p>
            <w:pPr/>
          </w:p>
        </w:tc>
        <w:tc>
          <w:tcPr>
            <w:tcW w:w="880" w:type="dxa"/>
            <w:tcBorders>
              <w:bottom w:val="nil"/>
            </w:tcBorders>
          </w:tcPr>
          <w:p>
            <w:pPr>
              <w:pStyle w:val="TableParagraph"/>
              <w:spacing w:before="18"/>
              <w:ind w:right="18"/>
              <w:rPr>
                <w:sz w:val="13"/>
              </w:rPr>
            </w:pPr>
            <w:r>
              <w:rPr>
                <w:sz w:val="13"/>
              </w:rPr>
              <w:t>(185.265)</w:t>
            </w:r>
          </w:p>
        </w:tc>
      </w:tr>
      <w:tr>
        <w:trPr>
          <w:trHeight w:val="171" w:hRule="exact"/>
        </w:trPr>
        <w:tc>
          <w:tcPr>
            <w:tcW w:w="1100" w:type="dxa"/>
            <w:tcBorders>
              <w:top w:val="nil"/>
              <w:bottom w:val="nil"/>
            </w:tcBorders>
          </w:tcPr>
          <w:p>
            <w:pPr>
              <w:pStyle w:val="TableParagraph"/>
              <w:spacing w:before="12"/>
              <w:ind w:left="75" w:right="75"/>
              <w:jc w:val="center"/>
              <w:rPr>
                <w:sz w:val="13"/>
              </w:rPr>
            </w:pPr>
            <w:r>
              <w:rPr>
                <w:sz w:val="13"/>
              </w:rPr>
              <w:t>2339270</w:t>
            </w:r>
          </w:p>
        </w:tc>
        <w:tc>
          <w:tcPr>
            <w:tcW w:w="2468" w:type="dxa"/>
            <w:tcBorders>
              <w:top w:val="nil"/>
              <w:bottom w:val="nil"/>
            </w:tcBorders>
          </w:tcPr>
          <w:p>
            <w:pPr>
              <w:pStyle w:val="TableParagraph"/>
              <w:spacing w:before="12"/>
              <w:ind w:left="16"/>
              <w:jc w:val="left"/>
              <w:rPr>
                <w:sz w:val="13"/>
              </w:rPr>
            </w:pPr>
            <w:r>
              <w:rPr>
                <w:sz w:val="13"/>
              </w:rPr>
              <w:t>Debito per Imposte Consolidate di Gruppo</w:t>
            </w:r>
          </w:p>
        </w:tc>
        <w:tc>
          <w:tcPr>
            <w:tcW w:w="839" w:type="dxa"/>
            <w:tcBorders>
              <w:top w:val="nil"/>
              <w:bottom w:val="nil"/>
            </w:tcBorders>
          </w:tcPr>
          <w:p>
            <w:pPr>
              <w:pStyle w:val="TableParagraph"/>
              <w:spacing w:before="12"/>
              <w:ind w:right="18"/>
              <w:rPr>
                <w:sz w:val="13"/>
              </w:rPr>
            </w:pPr>
            <w:r>
              <w:rPr>
                <w:sz w:val="13"/>
              </w:rPr>
              <w:t>(5.184.379)</w:t>
            </w:r>
          </w:p>
        </w:tc>
        <w:tc>
          <w:tcPr>
            <w:tcW w:w="986" w:type="dxa"/>
            <w:tcBorders>
              <w:top w:val="nil"/>
              <w:bottom w:val="nil"/>
            </w:tcBorders>
          </w:tcPr>
          <w:p>
            <w:pPr/>
          </w:p>
        </w:tc>
        <w:tc>
          <w:tcPr>
            <w:tcW w:w="822" w:type="dxa"/>
            <w:tcBorders>
              <w:top w:val="nil"/>
              <w:bottom w:val="nil"/>
            </w:tcBorders>
          </w:tcPr>
          <w:p>
            <w:pPr>
              <w:pStyle w:val="TableParagraph"/>
              <w:spacing w:before="12"/>
              <w:ind w:right="18"/>
              <w:rPr>
                <w:sz w:val="13"/>
              </w:rPr>
            </w:pPr>
            <w:r>
              <w:rPr>
                <w:sz w:val="13"/>
              </w:rPr>
              <w:t>(5.184.379)</w:t>
            </w:r>
          </w:p>
        </w:tc>
        <w:tc>
          <w:tcPr>
            <w:tcW w:w="994" w:type="dxa"/>
            <w:vMerge/>
          </w:tcPr>
          <w:p>
            <w:pPr/>
          </w:p>
        </w:tc>
        <w:tc>
          <w:tcPr>
            <w:tcW w:w="969" w:type="dxa"/>
            <w:tcBorders>
              <w:top w:val="nil"/>
              <w:bottom w:val="nil"/>
            </w:tcBorders>
          </w:tcPr>
          <w:p>
            <w:pPr/>
          </w:p>
        </w:tc>
        <w:tc>
          <w:tcPr>
            <w:tcW w:w="880" w:type="dxa"/>
            <w:tcBorders>
              <w:top w:val="nil"/>
              <w:bottom w:val="nil"/>
            </w:tcBorders>
          </w:tcPr>
          <w:p>
            <w:pPr>
              <w:pStyle w:val="TableParagraph"/>
              <w:spacing w:before="12"/>
              <w:ind w:right="18"/>
              <w:rPr>
                <w:sz w:val="13"/>
              </w:rPr>
            </w:pPr>
            <w:r>
              <w:rPr>
                <w:sz w:val="13"/>
              </w:rPr>
              <w:t>(5.184.379)</w:t>
            </w:r>
          </w:p>
        </w:tc>
      </w:tr>
      <w:tr>
        <w:trPr>
          <w:trHeight w:val="171" w:hRule="exact"/>
        </w:trPr>
        <w:tc>
          <w:tcPr>
            <w:tcW w:w="1100" w:type="dxa"/>
            <w:tcBorders>
              <w:top w:val="nil"/>
              <w:bottom w:val="nil"/>
            </w:tcBorders>
          </w:tcPr>
          <w:p>
            <w:pPr>
              <w:pStyle w:val="TableParagraph"/>
              <w:spacing w:before="12"/>
              <w:ind w:left="75" w:right="75"/>
              <w:jc w:val="center"/>
              <w:rPr>
                <w:sz w:val="13"/>
              </w:rPr>
            </w:pPr>
            <w:r>
              <w:rPr>
                <w:sz w:val="13"/>
              </w:rPr>
              <w:t>2339012</w:t>
            </w:r>
          </w:p>
        </w:tc>
        <w:tc>
          <w:tcPr>
            <w:tcW w:w="2468" w:type="dxa"/>
            <w:tcBorders>
              <w:top w:val="nil"/>
              <w:bottom w:val="nil"/>
            </w:tcBorders>
          </w:tcPr>
          <w:p>
            <w:pPr>
              <w:pStyle w:val="TableParagraph"/>
              <w:spacing w:before="12"/>
              <w:ind w:left="16"/>
              <w:jc w:val="left"/>
              <w:rPr>
                <w:sz w:val="13"/>
              </w:rPr>
            </w:pPr>
            <w:r>
              <w:rPr>
                <w:sz w:val="13"/>
              </w:rPr>
              <w:t>MOSSI&amp;GHISOLFI SPA</w:t>
            </w:r>
          </w:p>
        </w:tc>
        <w:tc>
          <w:tcPr>
            <w:tcW w:w="839" w:type="dxa"/>
            <w:tcBorders>
              <w:top w:val="nil"/>
              <w:bottom w:val="nil"/>
            </w:tcBorders>
          </w:tcPr>
          <w:p>
            <w:pPr>
              <w:pStyle w:val="TableParagraph"/>
              <w:spacing w:before="12"/>
              <w:ind w:right="18"/>
              <w:rPr>
                <w:sz w:val="13"/>
              </w:rPr>
            </w:pPr>
            <w:r>
              <w:rPr>
                <w:sz w:val="13"/>
              </w:rPr>
              <w:t>(1.210.000)</w:t>
            </w:r>
          </w:p>
        </w:tc>
        <w:tc>
          <w:tcPr>
            <w:tcW w:w="986" w:type="dxa"/>
            <w:tcBorders>
              <w:top w:val="nil"/>
              <w:bottom w:val="nil"/>
            </w:tcBorders>
          </w:tcPr>
          <w:p>
            <w:pPr/>
          </w:p>
        </w:tc>
        <w:tc>
          <w:tcPr>
            <w:tcW w:w="822" w:type="dxa"/>
            <w:tcBorders>
              <w:top w:val="nil"/>
              <w:bottom w:val="nil"/>
            </w:tcBorders>
          </w:tcPr>
          <w:p>
            <w:pPr>
              <w:pStyle w:val="TableParagraph"/>
              <w:spacing w:before="12"/>
              <w:ind w:right="18"/>
              <w:rPr>
                <w:sz w:val="13"/>
              </w:rPr>
            </w:pPr>
            <w:r>
              <w:rPr>
                <w:sz w:val="13"/>
              </w:rPr>
              <w:t>(1.210.000)</w:t>
            </w:r>
          </w:p>
        </w:tc>
        <w:tc>
          <w:tcPr>
            <w:tcW w:w="994" w:type="dxa"/>
            <w:vMerge/>
          </w:tcPr>
          <w:p>
            <w:pPr/>
          </w:p>
        </w:tc>
        <w:tc>
          <w:tcPr>
            <w:tcW w:w="969" w:type="dxa"/>
            <w:tcBorders>
              <w:top w:val="nil"/>
              <w:bottom w:val="nil"/>
            </w:tcBorders>
          </w:tcPr>
          <w:p>
            <w:pPr/>
          </w:p>
        </w:tc>
        <w:tc>
          <w:tcPr>
            <w:tcW w:w="880" w:type="dxa"/>
            <w:tcBorders>
              <w:top w:val="nil"/>
              <w:bottom w:val="nil"/>
            </w:tcBorders>
          </w:tcPr>
          <w:p>
            <w:pPr>
              <w:pStyle w:val="TableParagraph"/>
              <w:spacing w:before="12"/>
              <w:ind w:right="18"/>
              <w:rPr>
                <w:sz w:val="13"/>
              </w:rPr>
            </w:pPr>
            <w:r>
              <w:rPr>
                <w:sz w:val="13"/>
              </w:rPr>
              <w:t>(1.210.000)</w:t>
            </w:r>
          </w:p>
        </w:tc>
      </w:tr>
      <w:tr>
        <w:trPr>
          <w:trHeight w:val="171" w:hRule="exact"/>
        </w:trPr>
        <w:tc>
          <w:tcPr>
            <w:tcW w:w="1100" w:type="dxa"/>
            <w:tcBorders>
              <w:top w:val="nil"/>
              <w:bottom w:val="nil"/>
            </w:tcBorders>
          </w:tcPr>
          <w:p>
            <w:pPr>
              <w:pStyle w:val="TableParagraph"/>
              <w:spacing w:before="12"/>
              <w:ind w:left="75" w:right="75"/>
              <w:jc w:val="center"/>
              <w:rPr>
                <w:sz w:val="13"/>
              </w:rPr>
            </w:pPr>
            <w:r>
              <w:rPr>
                <w:sz w:val="13"/>
              </w:rPr>
              <w:t>2339012</w:t>
            </w:r>
          </w:p>
        </w:tc>
        <w:tc>
          <w:tcPr>
            <w:tcW w:w="2468" w:type="dxa"/>
            <w:tcBorders>
              <w:top w:val="nil"/>
              <w:bottom w:val="nil"/>
            </w:tcBorders>
          </w:tcPr>
          <w:p>
            <w:pPr>
              <w:pStyle w:val="TableParagraph"/>
              <w:spacing w:before="12"/>
              <w:ind w:left="16"/>
              <w:jc w:val="left"/>
              <w:rPr>
                <w:sz w:val="13"/>
              </w:rPr>
            </w:pPr>
            <w:r>
              <w:rPr>
                <w:sz w:val="13"/>
              </w:rPr>
              <w:t>CHEMTEX ITERNATIONAL INC</w:t>
            </w:r>
          </w:p>
        </w:tc>
        <w:tc>
          <w:tcPr>
            <w:tcW w:w="839" w:type="dxa"/>
            <w:tcBorders>
              <w:top w:val="nil"/>
              <w:bottom w:val="nil"/>
            </w:tcBorders>
          </w:tcPr>
          <w:p>
            <w:pPr>
              <w:pStyle w:val="TableParagraph"/>
              <w:spacing w:before="12"/>
              <w:ind w:right="18"/>
              <w:rPr>
                <w:sz w:val="13"/>
              </w:rPr>
            </w:pPr>
            <w:r>
              <w:rPr>
                <w:sz w:val="13"/>
              </w:rPr>
              <w:t>(3.246.312)</w:t>
            </w:r>
          </w:p>
        </w:tc>
        <w:tc>
          <w:tcPr>
            <w:tcW w:w="986" w:type="dxa"/>
            <w:tcBorders>
              <w:top w:val="nil"/>
              <w:bottom w:val="nil"/>
            </w:tcBorders>
          </w:tcPr>
          <w:p>
            <w:pPr/>
          </w:p>
        </w:tc>
        <w:tc>
          <w:tcPr>
            <w:tcW w:w="822" w:type="dxa"/>
            <w:tcBorders>
              <w:top w:val="nil"/>
              <w:bottom w:val="nil"/>
            </w:tcBorders>
          </w:tcPr>
          <w:p>
            <w:pPr>
              <w:pStyle w:val="TableParagraph"/>
              <w:spacing w:before="12"/>
              <w:ind w:right="18"/>
              <w:rPr>
                <w:sz w:val="13"/>
              </w:rPr>
            </w:pPr>
            <w:r>
              <w:rPr>
                <w:sz w:val="13"/>
              </w:rPr>
              <w:t>(3.246.312)</w:t>
            </w:r>
          </w:p>
        </w:tc>
        <w:tc>
          <w:tcPr>
            <w:tcW w:w="994" w:type="dxa"/>
            <w:vMerge/>
          </w:tcPr>
          <w:p>
            <w:pPr/>
          </w:p>
        </w:tc>
        <w:tc>
          <w:tcPr>
            <w:tcW w:w="969" w:type="dxa"/>
            <w:tcBorders>
              <w:top w:val="nil"/>
              <w:bottom w:val="nil"/>
            </w:tcBorders>
          </w:tcPr>
          <w:p>
            <w:pPr>
              <w:pStyle w:val="TableParagraph"/>
              <w:spacing w:before="12"/>
              <w:ind w:right="18"/>
              <w:rPr>
                <w:sz w:val="13"/>
              </w:rPr>
            </w:pPr>
            <w:r>
              <w:rPr>
                <w:sz w:val="13"/>
              </w:rPr>
              <w:t>(3.246.312)</w:t>
            </w:r>
          </w:p>
        </w:tc>
        <w:tc>
          <w:tcPr>
            <w:tcW w:w="880" w:type="dxa"/>
            <w:tcBorders>
              <w:top w:val="nil"/>
              <w:bottom w:val="nil"/>
            </w:tcBorders>
          </w:tcPr>
          <w:p>
            <w:pPr/>
          </w:p>
        </w:tc>
      </w:tr>
      <w:tr>
        <w:trPr>
          <w:trHeight w:val="171" w:hRule="exact"/>
        </w:trPr>
        <w:tc>
          <w:tcPr>
            <w:tcW w:w="1100" w:type="dxa"/>
            <w:tcBorders>
              <w:top w:val="nil"/>
              <w:bottom w:val="nil"/>
            </w:tcBorders>
          </w:tcPr>
          <w:p>
            <w:pPr>
              <w:pStyle w:val="TableParagraph"/>
              <w:spacing w:before="12"/>
              <w:ind w:left="82" w:right="75"/>
              <w:jc w:val="center"/>
              <w:rPr>
                <w:sz w:val="13"/>
              </w:rPr>
            </w:pPr>
            <w:r>
              <w:rPr>
                <w:sz w:val="13"/>
              </w:rPr>
              <w:t>2319040-2319045</w:t>
            </w:r>
          </w:p>
        </w:tc>
        <w:tc>
          <w:tcPr>
            <w:tcW w:w="2468" w:type="dxa"/>
            <w:tcBorders>
              <w:top w:val="nil"/>
              <w:bottom w:val="nil"/>
            </w:tcBorders>
          </w:tcPr>
          <w:p>
            <w:pPr>
              <w:pStyle w:val="TableParagraph"/>
              <w:spacing w:before="12"/>
              <w:ind w:left="16"/>
              <w:jc w:val="left"/>
              <w:rPr>
                <w:sz w:val="13"/>
              </w:rPr>
            </w:pPr>
            <w:r>
              <w:rPr>
                <w:sz w:val="13"/>
              </w:rPr>
              <w:t>CHEMTEX ITERNATIONAL INC</w:t>
            </w:r>
          </w:p>
        </w:tc>
        <w:tc>
          <w:tcPr>
            <w:tcW w:w="839" w:type="dxa"/>
            <w:tcBorders>
              <w:top w:val="nil"/>
              <w:bottom w:val="nil"/>
            </w:tcBorders>
          </w:tcPr>
          <w:p>
            <w:pPr>
              <w:pStyle w:val="TableParagraph"/>
              <w:spacing w:before="12"/>
              <w:ind w:right="17"/>
              <w:rPr>
                <w:sz w:val="13"/>
              </w:rPr>
            </w:pPr>
            <w:r>
              <w:rPr>
                <w:sz w:val="13"/>
              </w:rPr>
              <w:t>(7.986)</w:t>
            </w:r>
          </w:p>
        </w:tc>
        <w:tc>
          <w:tcPr>
            <w:tcW w:w="986" w:type="dxa"/>
            <w:tcBorders>
              <w:top w:val="nil"/>
              <w:bottom w:val="nil"/>
            </w:tcBorders>
          </w:tcPr>
          <w:p>
            <w:pPr/>
          </w:p>
        </w:tc>
        <w:tc>
          <w:tcPr>
            <w:tcW w:w="822" w:type="dxa"/>
            <w:tcBorders>
              <w:top w:val="nil"/>
              <w:bottom w:val="nil"/>
            </w:tcBorders>
          </w:tcPr>
          <w:p>
            <w:pPr>
              <w:pStyle w:val="TableParagraph"/>
              <w:spacing w:before="12"/>
              <w:ind w:right="17"/>
              <w:rPr>
                <w:sz w:val="13"/>
              </w:rPr>
            </w:pPr>
            <w:r>
              <w:rPr>
                <w:sz w:val="13"/>
              </w:rPr>
              <w:t>(7.986)</w:t>
            </w:r>
          </w:p>
        </w:tc>
        <w:tc>
          <w:tcPr>
            <w:tcW w:w="994" w:type="dxa"/>
            <w:vMerge/>
          </w:tcPr>
          <w:p>
            <w:pPr/>
          </w:p>
        </w:tc>
        <w:tc>
          <w:tcPr>
            <w:tcW w:w="969" w:type="dxa"/>
            <w:tcBorders>
              <w:top w:val="nil"/>
              <w:bottom w:val="nil"/>
            </w:tcBorders>
          </w:tcPr>
          <w:p>
            <w:pPr>
              <w:pStyle w:val="TableParagraph"/>
              <w:spacing w:before="12"/>
              <w:ind w:right="18"/>
              <w:rPr>
                <w:sz w:val="13"/>
              </w:rPr>
            </w:pPr>
            <w:r>
              <w:rPr>
                <w:sz w:val="13"/>
              </w:rPr>
              <w:t>(7.986)</w:t>
            </w:r>
          </w:p>
        </w:tc>
        <w:tc>
          <w:tcPr>
            <w:tcW w:w="880" w:type="dxa"/>
            <w:tcBorders>
              <w:top w:val="nil"/>
              <w:bottom w:val="nil"/>
            </w:tcBorders>
          </w:tcPr>
          <w:p>
            <w:pPr/>
          </w:p>
        </w:tc>
      </w:tr>
      <w:tr>
        <w:trPr>
          <w:trHeight w:val="171" w:hRule="exact"/>
        </w:trPr>
        <w:tc>
          <w:tcPr>
            <w:tcW w:w="1100" w:type="dxa"/>
            <w:tcBorders>
              <w:top w:val="nil"/>
              <w:bottom w:val="nil"/>
            </w:tcBorders>
          </w:tcPr>
          <w:p>
            <w:pPr>
              <w:pStyle w:val="TableParagraph"/>
              <w:spacing w:before="12"/>
              <w:ind w:left="75" w:right="75"/>
              <w:jc w:val="center"/>
              <w:rPr>
                <w:sz w:val="13"/>
              </w:rPr>
            </w:pPr>
            <w:r>
              <w:rPr>
                <w:sz w:val="13"/>
              </w:rPr>
              <w:t>2339012</w:t>
            </w:r>
          </w:p>
        </w:tc>
        <w:tc>
          <w:tcPr>
            <w:tcW w:w="2468" w:type="dxa"/>
            <w:tcBorders>
              <w:top w:val="nil"/>
              <w:bottom w:val="nil"/>
            </w:tcBorders>
          </w:tcPr>
          <w:p>
            <w:pPr>
              <w:pStyle w:val="TableParagraph"/>
              <w:spacing w:before="12"/>
              <w:ind w:left="16"/>
              <w:jc w:val="left"/>
              <w:rPr>
                <w:sz w:val="13"/>
              </w:rPr>
            </w:pPr>
            <w:r>
              <w:rPr>
                <w:sz w:val="13"/>
              </w:rPr>
              <w:t>M&amp;F FINANZIARIA SPA</w:t>
            </w:r>
          </w:p>
        </w:tc>
        <w:tc>
          <w:tcPr>
            <w:tcW w:w="839" w:type="dxa"/>
            <w:tcBorders>
              <w:top w:val="nil"/>
              <w:bottom w:val="nil"/>
            </w:tcBorders>
          </w:tcPr>
          <w:p>
            <w:pPr>
              <w:pStyle w:val="TableParagraph"/>
              <w:spacing w:before="12"/>
              <w:ind w:right="18"/>
              <w:rPr>
                <w:sz w:val="13"/>
              </w:rPr>
            </w:pPr>
            <w:r>
              <w:rPr>
                <w:sz w:val="13"/>
              </w:rPr>
              <w:t>(154.461)</w:t>
            </w:r>
          </w:p>
        </w:tc>
        <w:tc>
          <w:tcPr>
            <w:tcW w:w="986" w:type="dxa"/>
            <w:tcBorders>
              <w:top w:val="nil"/>
              <w:bottom w:val="nil"/>
            </w:tcBorders>
          </w:tcPr>
          <w:p>
            <w:pPr>
              <w:pStyle w:val="TableParagraph"/>
              <w:spacing w:before="12"/>
              <w:ind w:right="55"/>
              <w:rPr>
                <w:sz w:val="13"/>
              </w:rPr>
            </w:pPr>
            <w:r>
              <w:rPr>
                <w:sz w:val="13"/>
              </w:rPr>
              <w:t>154.461</w:t>
            </w:r>
          </w:p>
        </w:tc>
        <w:tc>
          <w:tcPr>
            <w:tcW w:w="822" w:type="dxa"/>
            <w:tcBorders>
              <w:top w:val="nil"/>
              <w:bottom w:val="nil"/>
            </w:tcBorders>
          </w:tcPr>
          <w:p>
            <w:pPr>
              <w:pStyle w:val="TableParagraph"/>
              <w:spacing w:before="12"/>
              <w:ind w:right="54"/>
              <w:rPr>
                <w:sz w:val="13"/>
              </w:rPr>
            </w:pPr>
            <w:r>
              <w:rPr>
                <w:w w:val="100"/>
                <w:sz w:val="13"/>
              </w:rPr>
              <w:t>-</w:t>
            </w:r>
          </w:p>
        </w:tc>
        <w:tc>
          <w:tcPr>
            <w:tcW w:w="994" w:type="dxa"/>
            <w:vMerge/>
          </w:tcPr>
          <w:p>
            <w:pPr/>
          </w:p>
        </w:tc>
        <w:tc>
          <w:tcPr>
            <w:tcW w:w="969" w:type="dxa"/>
            <w:tcBorders>
              <w:top w:val="nil"/>
              <w:bottom w:val="nil"/>
            </w:tcBorders>
          </w:tcPr>
          <w:p>
            <w:pPr/>
          </w:p>
        </w:tc>
        <w:tc>
          <w:tcPr>
            <w:tcW w:w="880" w:type="dxa"/>
            <w:tcBorders>
              <w:top w:val="nil"/>
              <w:bottom w:val="nil"/>
            </w:tcBorders>
          </w:tcPr>
          <w:p>
            <w:pPr/>
          </w:p>
        </w:tc>
      </w:tr>
      <w:tr>
        <w:trPr>
          <w:trHeight w:val="171" w:hRule="exact"/>
        </w:trPr>
        <w:tc>
          <w:tcPr>
            <w:tcW w:w="1100" w:type="dxa"/>
            <w:tcBorders>
              <w:top w:val="nil"/>
              <w:bottom w:val="nil"/>
            </w:tcBorders>
          </w:tcPr>
          <w:p>
            <w:pPr>
              <w:pStyle w:val="TableParagraph"/>
              <w:spacing w:before="12"/>
              <w:ind w:left="75" w:right="75"/>
              <w:jc w:val="center"/>
              <w:rPr>
                <w:sz w:val="13"/>
              </w:rPr>
            </w:pPr>
            <w:r>
              <w:rPr>
                <w:sz w:val="13"/>
              </w:rPr>
              <w:t>2339012</w:t>
            </w:r>
          </w:p>
        </w:tc>
        <w:tc>
          <w:tcPr>
            <w:tcW w:w="2468" w:type="dxa"/>
            <w:tcBorders>
              <w:top w:val="nil"/>
              <w:bottom w:val="nil"/>
            </w:tcBorders>
          </w:tcPr>
          <w:p>
            <w:pPr>
              <w:pStyle w:val="TableParagraph"/>
              <w:spacing w:before="12"/>
              <w:ind w:left="16"/>
              <w:jc w:val="left"/>
              <w:rPr>
                <w:sz w:val="13"/>
              </w:rPr>
            </w:pPr>
            <w:r>
              <w:rPr>
                <w:sz w:val="13"/>
              </w:rPr>
              <w:t>ITALIAN BIOPRODUCT SRL</w:t>
            </w:r>
          </w:p>
        </w:tc>
        <w:tc>
          <w:tcPr>
            <w:tcW w:w="839" w:type="dxa"/>
            <w:tcBorders>
              <w:top w:val="nil"/>
              <w:bottom w:val="nil"/>
            </w:tcBorders>
          </w:tcPr>
          <w:p>
            <w:pPr>
              <w:pStyle w:val="TableParagraph"/>
              <w:spacing w:before="12"/>
              <w:ind w:right="18"/>
              <w:rPr>
                <w:sz w:val="13"/>
              </w:rPr>
            </w:pPr>
            <w:r>
              <w:rPr>
                <w:sz w:val="13"/>
              </w:rPr>
              <w:t>(77.124)</w:t>
            </w:r>
          </w:p>
        </w:tc>
        <w:tc>
          <w:tcPr>
            <w:tcW w:w="986" w:type="dxa"/>
            <w:tcBorders>
              <w:top w:val="nil"/>
              <w:bottom w:val="nil"/>
            </w:tcBorders>
          </w:tcPr>
          <w:p>
            <w:pPr>
              <w:pStyle w:val="TableParagraph"/>
              <w:spacing w:before="12"/>
              <w:ind w:right="55"/>
              <w:rPr>
                <w:sz w:val="13"/>
              </w:rPr>
            </w:pPr>
            <w:r>
              <w:rPr>
                <w:sz w:val="13"/>
              </w:rPr>
              <w:t>77.124</w:t>
            </w:r>
          </w:p>
        </w:tc>
        <w:tc>
          <w:tcPr>
            <w:tcW w:w="822" w:type="dxa"/>
            <w:tcBorders>
              <w:top w:val="nil"/>
              <w:bottom w:val="nil"/>
            </w:tcBorders>
          </w:tcPr>
          <w:p>
            <w:pPr>
              <w:pStyle w:val="TableParagraph"/>
              <w:spacing w:before="12"/>
              <w:ind w:right="54"/>
              <w:rPr>
                <w:sz w:val="13"/>
              </w:rPr>
            </w:pPr>
            <w:r>
              <w:rPr>
                <w:w w:val="100"/>
                <w:sz w:val="13"/>
              </w:rPr>
              <w:t>-</w:t>
            </w:r>
          </w:p>
        </w:tc>
        <w:tc>
          <w:tcPr>
            <w:tcW w:w="994" w:type="dxa"/>
            <w:vMerge/>
          </w:tcPr>
          <w:p>
            <w:pPr/>
          </w:p>
        </w:tc>
        <w:tc>
          <w:tcPr>
            <w:tcW w:w="969" w:type="dxa"/>
            <w:tcBorders>
              <w:top w:val="nil"/>
              <w:bottom w:val="nil"/>
            </w:tcBorders>
          </w:tcPr>
          <w:p>
            <w:pPr/>
          </w:p>
        </w:tc>
        <w:tc>
          <w:tcPr>
            <w:tcW w:w="880" w:type="dxa"/>
            <w:tcBorders>
              <w:top w:val="nil"/>
              <w:bottom w:val="nil"/>
            </w:tcBorders>
          </w:tcPr>
          <w:p>
            <w:pPr/>
          </w:p>
        </w:tc>
      </w:tr>
      <w:tr>
        <w:trPr>
          <w:trHeight w:val="171" w:hRule="exact"/>
        </w:trPr>
        <w:tc>
          <w:tcPr>
            <w:tcW w:w="1100" w:type="dxa"/>
            <w:tcBorders>
              <w:top w:val="nil"/>
              <w:bottom w:val="nil"/>
            </w:tcBorders>
          </w:tcPr>
          <w:p>
            <w:pPr>
              <w:pStyle w:val="TableParagraph"/>
              <w:spacing w:before="12"/>
              <w:ind w:left="75" w:right="75"/>
              <w:jc w:val="center"/>
              <w:rPr>
                <w:sz w:val="13"/>
              </w:rPr>
            </w:pPr>
            <w:r>
              <w:rPr>
                <w:sz w:val="13"/>
              </w:rPr>
              <w:t>2339012</w:t>
            </w:r>
          </w:p>
        </w:tc>
        <w:tc>
          <w:tcPr>
            <w:tcW w:w="2468" w:type="dxa"/>
            <w:tcBorders>
              <w:top w:val="nil"/>
              <w:bottom w:val="nil"/>
            </w:tcBorders>
          </w:tcPr>
          <w:p>
            <w:pPr>
              <w:pStyle w:val="TableParagraph"/>
              <w:spacing w:before="12"/>
              <w:ind w:left="16"/>
              <w:jc w:val="left"/>
              <w:rPr>
                <w:sz w:val="13"/>
              </w:rPr>
            </w:pPr>
            <w:r>
              <w:rPr>
                <w:sz w:val="13"/>
              </w:rPr>
              <w:t>C5-6 ITALY SRL</w:t>
            </w:r>
          </w:p>
        </w:tc>
        <w:tc>
          <w:tcPr>
            <w:tcW w:w="839" w:type="dxa"/>
            <w:tcBorders>
              <w:top w:val="nil"/>
              <w:bottom w:val="nil"/>
            </w:tcBorders>
          </w:tcPr>
          <w:p>
            <w:pPr>
              <w:pStyle w:val="TableParagraph"/>
              <w:spacing w:before="12"/>
              <w:ind w:right="17"/>
              <w:rPr>
                <w:sz w:val="13"/>
              </w:rPr>
            </w:pPr>
            <w:r>
              <w:rPr>
                <w:sz w:val="13"/>
              </w:rPr>
              <w:t>(4.402)</w:t>
            </w:r>
          </w:p>
        </w:tc>
        <w:tc>
          <w:tcPr>
            <w:tcW w:w="986" w:type="dxa"/>
            <w:tcBorders>
              <w:top w:val="nil"/>
              <w:bottom w:val="nil"/>
            </w:tcBorders>
          </w:tcPr>
          <w:p>
            <w:pPr/>
          </w:p>
        </w:tc>
        <w:tc>
          <w:tcPr>
            <w:tcW w:w="822" w:type="dxa"/>
            <w:tcBorders>
              <w:top w:val="nil"/>
              <w:bottom w:val="nil"/>
            </w:tcBorders>
          </w:tcPr>
          <w:p>
            <w:pPr>
              <w:pStyle w:val="TableParagraph"/>
              <w:spacing w:before="12"/>
              <w:ind w:right="17"/>
              <w:rPr>
                <w:sz w:val="13"/>
              </w:rPr>
            </w:pPr>
            <w:r>
              <w:rPr>
                <w:sz w:val="13"/>
              </w:rPr>
              <w:t>(4.402)</w:t>
            </w:r>
          </w:p>
        </w:tc>
        <w:tc>
          <w:tcPr>
            <w:tcW w:w="994" w:type="dxa"/>
            <w:vMerge/>
          </w:tcPr>
          <w:p>
            <w:pPr/>
          </w:p>
        </w:tc>
        <w:tc>
          <w:tcPr>
            <w:tcW w:w="969" w:type="dxa"/>
            <w:tcBorders>
              <w:top w:val="nil"/>
              <w:bottom w:val="nil"/>
            </w:tcBorders>
          </w:tcPr>
          <w:p>
            <w:pPr>
              <w:pStyle w:val="TableParagraph"/>
              <w:spacing w:before="12"/>
              <w:ind w:right="18"/>
              <w:rPr>
                <w:sz w:val="13"/>
              </w:rPr>
            </w:pPr>
            <w:r>
              <w:rPr>
                <w:sz w:val="13"/>
              </w:rPr>
              <w:t>(4.402)</w:t>
            </w:r>
          </w:p>
        </w:tc>
        <w:tc>
          <w:tcPr>
            <w:tcW w:w="880" w:type="dxa"/>
            <w:tcBorders>
              <w:top w:val="nil"/>
              <w:bottom w:val="nil"/>
            </w:tcBorders>
          </w:tcPr>
          <w:p>
            <w:pPr/>
          </w:p>
        </w:tc>
      </w:tr>
      <w:tr>
        <w:trPr>
          <w:trHeight w:val="171" w:hRule="exact"/>
        </w:trPr>
        <w:tc>
          <w:tcPr>
            <w:tcW w:w="1100" w:type="dxa"/>
            <w:tcBorders>
              <w:top w:val="nil"/>
              <w:bottom w:val="nil"/>
            </w:tcBorders>
          </w:tcPr>
          <w:p>
            <w:pPr>
              <w:pStyle w:val="TableParagraph"/>
              <w:spacing w:before="12"/>
              <w:ind w:left="75" w:right="75"/>
              <w:jc w:val="center"/>
              <w:rPr>
                <w:sz w:val="13"/>
              </w:rPr>
            </w:pPr>
            <w:r>
              <w:rPr>
                <w:sz w:val="13"/>
              </w:rPr>
              <w:t>2339012</w:t>
            </w:r>
          </w:p>
        </w:tc>
        <w:tc>
          <w:tcPr>
            <w:tcW w:w="2468" w:type="dxa"/>
            <w:tcBorders>
              <w:top w:val="nil"/>
              <w:bottom w:val="nil"/>
            </w:tcBorders>
          </w:tcPr>
          <w:p>
            <w:pPr>
              <w:pStyle w:val="TableParagraph"/>
              <w:spacing w:before="12"/>
              <w:ind w:left="16"/>
              <w:jc w:val="left"/>
              <w:rPr>
                <w:sz w:val="13"/>
              </w:rPr>
            </w:pPr>
            <w:r>
              <w:rPr>
                <w:sz w:val="13"/>
              </w:rPr>
              <w:t>CHEMTEX CHEMICAL SHANGAJ</w:t>
            </w:r>
          </w:p>
        </w:tc>
        <w:tc>
          <w:tcPr>
            <w:tcW w:w="839" w:type="dxa"/>
            <w:tcBorders>
              <w:top w:val="nil"/>
              <w:bottom w:val="nil"/>
            </w:tcBorders>
          </w:tcPr>
          <w:p>
            <w:pPr>
              <w:pStyle w:val="TableParagraph"/>
              <w:spacing w:before="12"/>
              <w:ind w:right="18"/>
              <w:rPr>
                <w:sz w:val="13"/>
              </w:rPr>
            </w:pPr>
            <w:r>
              <w:rPr>
                <w:sz w:val="13"/>
              </w:rPr>
              <w:t>(423.370)</w:t>
            </w:r>
          </w:p>
        </w:tc>
        <w:tc>
          <w:tcPr>
            <w:tcW w:w="986" w:type="dxa"/>
            <w:tcBorders>
              <w:top w:val="nil"/>
              <w:bottom w:val="nil"/>
            </w:tcBorders>
          </w:tcPr>
          <w:p>
            <w:pPr/>
          </w:p>
        </w:tc>
        <w:tc>
          <w:tcPr>
            <w:tcW w:w="822" w:type="dxa"/>
            <w:tcBorders>
              <w:top w:val="nil"/>
              <w:bottom w:val="nil"/>
            </w:tcBorders>
          </w:tcPr>
          <w:p>
            <w:pPr>
              <w:pStyle w:val="TableParagraph"/>
              <w:spacing w:before="12"/>
              <w:ind w:right="18"/>
              <w:rPr>
                <w:sz w:val="13"/>
              </w:rPr>
            </w:pPr>
            <w:r>
              <w:rPr>
                <w:sz w:val="13"/>
              </w:rPr>
              <w:t>(423.370)</w:t>
            </w:r>
          </w:p>
        </w:tc>
        <w:tc>
          <w:tcPr>
            <w:tcW w:w="994" w:type="dxa"/>
            <w:vMerge/>
          </w:tcPr>
          <w:p>
            <w:pPr/>
          </w:p>
        </w:tc>
        <w:tc>
          <w:tcPr>
            <w:tcW w:w="969" w:type="dxa"/>
            <w:tcBorders>
              <w:top w:val="nil"/>
              <w:bottom w:val="nil"/>
            </w:tcBorders>
          </w:tcPr>
          <w:p>
            <w:pPr>
              <w:pStyle w:val="TableParagraph"/>
              <w:spacing w:before="12"/>
              <w:ind w:right="18"/>
              <w:rPr>
                <w:sz w:val="13"/>
              </w:rPr>
            </w:pPr>
            <w:r>
              <w:rPr>
                <w:sz w:val="13"/>
              </w:rPr>
              <w:t>(423.370)</w:t>
            </w:r>
          </w:p>
        </w:tc>
        <w:tc>
          <w:tcPr>
            <w:tcW w:w="880" w:type="dxa"/>
            <w:tcBorders>
              <w:top w:val="nil"/>
              <w:bottom w:val="nil"/>
            </w:tcBorders>
          </w:tcPr>
          <w:p>
            <w:pPr/>
          </w:p>
        </w:tc>
      </w:tr>
      <w:tr>
        <w:trPr>
          <w:trHeight w:val="161" w:hRule="exact"/>
        </w:trPr>
        <w:tc>
          <w:tcPr>
            <w:tcW w:w="1100" w:type="dxa"/>
            <w:tcBorders>
              <w:top w:val="nil"/>
            </w:tcBorders>
          </w:tcPr>
          <w:p>
            <w:pPr>
              <w:pStyle w:val="TableParagraph"/>
              <w:spacing w:before="12"/>
              <w:ind w:left="75" w:right="75"/>
              <w:jc w:val="center"/>
              <w:rPr>
                <w:sz w:val="13"/>
              </w:rPr>
            </w:pPr>
            <w:r>
              <w:rPr>
                <w:sz w:val="13"/>
              </w:rPr>
              <w:t>2339012</w:t>
            </w:r>
          </w:p>
        </w:tc>
        <w:tc>
          <w:tcPr>
            <w:tcW w:w="2468" w:type="dxa"/>
            <w:tcBorders>
              <w:top w:val="nil"/>
            </w:tcBorders>
          </w:tcPr>
          <w:p>
            <w:pPr>
              <w:pStyle w:val="TableParagraph"/>
              <w:spacing w:before="12"/>
              <w:ind w:left="16"/>
              <w:jc w:val="left"/>
              <w:rPr>
                <w:sz w:val="13"/>
              </w:rPr>
            </w:pPr>
            <w:r>
              <w:rPr>
                <w:sz w:val="13"/>
              </w:rPr>
              <w:t>BETARENEWABLES</w:t>
            </w:r>
          </w:p>
        </w:tc>
        <w:tc>
          <w:tcPr>
            <w:tcW w:w="839" w:type="dxa"/>
            <w:tcBorders>
              <w:top w:val="nil"/>
            </w:tcBorders>
          </w:tcPr>
          <w:p>
            <w:pPr>
              <w:pStyle w:val="TableParagraph"/>
              <w:spacing w:before="12"/>
              <w:ind w:right="18"/>
              <w:rPr>
                <w:sz w:val="13"/>
              </w:rPr>
            </w:pPr>
            <w:r>
              <w:rPr>
                <w:sz w:val="13"/>
              </w:rPr>
              <w:t>(15.831)</w:t>
            </w:r>
          </w:p>
        </w:tc>
        <w:tc>
          <w:tcPr>
            <w:tcW w:w="986" w:type="dxa"/>
            <w:tcBorders>
              <w:top w:val="nil"/>
            </w:tcBorders>
          </w:tcPr>
          <w:p>
            <w:pPr/>
          </w:p>
        </w:tc>
        <w:tc>
          <w:tcPr>
            <w:tcW w:w="822" w:type="dxa"/>
            <w:tcBorders>
              <w:top w:val="nil"/>
            </w:tcBorders>
          </w:tcPr>
          <w:p>
            <w:pPr>
              <w:pStyle w:val="TableParagraph"/>
              <w:spacing w:before="12"/>
              <w:ind w:right="18"/>
              <w:rPr>
                <w:sz w:val="13"/>
              </w:rPr>
            </w:pPr>
            <w:r>
              <w:rPr>
                <w:sz w:val="13"/>
              </w:rPr>
              <w:t>(15.831)</w:t>
            </w:r>
          </w:p>
        </w:tc>
        <w:tc>
          <w:tcPr>
            <w:tcW w:w="994" w:type="dxa"/>
            <w:vMerge/>
          </w:tcPr>
          <w:p>
            <w:pPr/>
          </w:p>
        </w:tc>
        <w:tc>
          <w:tcPr>
            <w:tcW w:w="969" w:type="dxa"/>
            <w:tcBorders>
              <w:top w:val="nil"/>
            </w:tcBorders>
          </w:tcPr>
          <w:p>
            <w:pPr>
              <w:pStyle w:val="TableParagraph"/>
              <w:spacing w:before="12"/>
              <w:ind w:right="18"/>
              <w:rPr>
                <w:sz w:val="13"/>
              </w:rPr>
            </w:pPr>
            <w:r>
              <w:rPr>
                <w:sz w:val="13"/>
              </w:rPr>
              <w:t>(15.831)</w:t>
            </w:r>
          </w:p>
        </w:tc>
        <w:tc>
          <w:tcPr>
            <w:tcW w:w="880" w:type="dxa"/>
            <w:tcBorders>
              <w:top w:val="nil"/>
            </w:tcBorders>
          </w:tcPr>
          <w:p>
            <w:pPr/>
          </w:p>
        </w:tc>
      </w:tr>
      <w:tr>
        <w:trPr>
          <w:trHeight w:val="171" w:hRule="exact"/>
        </w:trPr>
        <w:tc>
          <w:tcPr>
            <w:tcW w:w="3567" w:type="dxa"/>
            <w:gridSpan w:val="2"/>
            <w:shd w:val="clear" w:color="auto" w:fill="BEBEBE"/>
          </w:tcPr>
          <w:p>
            <w:pPr>
              <w:pStyle w:val="TableParagraph"/>
              <w:spacing w:before="10"/>
              <w:ind w:left="16"/>
              <w:jc w:val="left"/>
              <w:rPr>
                <w:b/>
                <w:sz w:val="13"/>
              </w:rPr>
            </w:pPr>
            <w:r>
              <w:rPr>
                <w:b/>
                <w:sz w:val="13"/>
              </w:rPr>
              <w:t>TOTALE DEBITI DIVERSI</w:t>
            </w:r>
          </w:p>
        </w:tc>
        <w:tc>
          <w:tcPr>
            <w:tcW w:w="839" w:type="dxa"/>
            <w:shd w:val="clear" w:color="auto" w:fill="BEBEBE"/>
          </w:tcPr>
          <w:p>
            <w:pPr>
              <w:pStyle w:val="TableParagraph"/>
              <w:spacing w:before="18"/>
              <w:ind w:right="18"/>
              <w:rPr>
                <w:b/>
                <w:sz w:val="13"/>
              </w:rPr>
            </w:pPr>
            <w:r>
              <w:rPr>
                <w:b/>
                <w:sz w:val="13"/>
              </w:rPr>
              <w:t>(10.509.130)</w:t>
            </w:r>
          </w:p>
        </w:tc>
        <w:tc>
          <w:tcPr>
            <w:tcW w:w="986" w:type="dxa"/>
            <w:shd w:val="clear" w:color="auto" w:fill="BEBEBE"/>
          </w:tcPr>
          <w:p>
            <w:pPr>
              <w:pStyle w:val="TableParagraph"/>
              <w:spacing w:before="18"/>
              <w:ind w:right="68"/>
              <w:rPr>
                <w:b/>
                <w:sz w:val="13"/>
              </w:rPr>
            </w:pPr>
            <w:r>
              <w:rPr>
                <w:b/>
                <w:sz w:val="13"/>
              </w:rPr>
              <w:t>231.585</w:t>
            </w:r>
          </w:p>
        </w:tc>
        <w:tc>
          <w:tcPr>
            <w:tcW w:w="822" w:type="dxa"/>
            <w:shd w:val="clear" w:color="auto" w:fill="BEBEBE"/>
          </w:tcPr>
          <w:p>
            <w:pPr>
              <w:pStyle w:val="TableParagraph"/>
              <w:spacing w:before="18"/>
              <w:ind w:right="18"/>
              <w:rPr>
                <w:b/>
                <w:sz w:val="13"/>
              </w:rPr>
            </w:pPr>
            <w:r>
              <w:rPr>
                <w:b/>
                <w:sz w:val="13"/>
              </w:rPr>
              <w:t>(10.277.545)</w:t>
            </w:r>
          </w:p>
        </w:tc>
        <w:tc>
          <w:tcPr>
            <w:tcW w:w="994" w:type="dxa"/>
            <w:shd w:val="clear" w:color="auto" w:fill="BEBEBE"/>
          </w:tcPr>
          <w:p>
            <w:pPr>
              <w:pStyle w:val="TableParagraph"/>
              <w:spacing w:before="18"/>
              <w:ind w:right="60"/>
              <w:rPr>
                <w:b/>
                <w:sz w:val="13"/>
              </w:rPr>
            </w:pPr>
            <w:r>
              <w:rPr>
                <w:b/>
                <w:w w:val="100"/>
                <w:sz w:val="13"/>
              </w:rPr>
              <w:t>-</w:t>
            </w:r>
          </w:p>
        </w:tc>
        <w:tc>
          <w:tcPr>
            <w:tcW w:w="969" w:type="dxa"/>
            <w:shd w:val="clear" w:color="auto" w:fill="BEBEBE"/>
          </w:tcPr>
          <w:p>
            <w:pPr>
              <w:pStyle w:val="TableParagraph"/>
              <w:spacing w:before="18"/>
              <w:ind w:right="18"/>
              <w:rPr>
                <w:b/>
                <w:sz w:val="13"/>
              </w:rPr>
            </w:pPr>
            <w:r>
              <w:rPr>
                <w:b/>
                <w:sz w:val="13"/>
              </w:rPr>
              <w:t>(3.697.901)</w:t>
            </w:r>
          </w:p>
        </w:tc>
        <w:tc>
          <w:tcPr>
            <w:tcW w:w="880" w:type="dxa"/>
            <w:shd w:val="clear" w:color="auto" w:fill="BEBEBE"/>
          </w:tcPr>
          <w:p>
            <w:pPr>
              <w:pStyle w:val="TableParagraph"/>
              <w:spacing w:before="18"/>
              <w:ind w:right="18"/>
              <w:rPr>
                <w:b/>
                <w:sz w:val="13"/>
              </w:rPr>
            </w:pPr>
            <w:r>
              <w:rPr>
                <w:b/>
                <w:sz w:val="13"/>
              </w:rPr>
              <w:t>(6.579.644)</w:t>
            </w:r>
          </w:p>
        </w:tc>
      </w:tr>
      <w:tr>
        <w:trPr>
          <w:trHeight w:val="175" w:hRule="exact"/>
        </w:trPr>
        <w:tc>
          <w:tcPr>
            <w:tcW w:w="9057" w:type="dxa"/>
            <w:gridSpan w:val="8"/>
            <w:tcBorders>
              <w:left w:val="nil"/>
              <w:bottom w:val="nil"/>
              <w:right w:val="single" w:sz="3" w:space="0" w:color="FFFFFF"/>
            </w:tcBorders>
          </w:tcPr>
          <w:p>
            <w:pPr/>
          </w:p>
        </w:tc>
      </w:tr>
    </w:tbl>
    <w:p>
      <w:pPr>
        <w:pStyle w:val="BodyText"/>
        <w:spacing w:before="9"/>
        <w:rPr>
          <w:b/>
          <w:sz w:val="14"/>
        </w:rPr>
      </w:pPr>
    </w:p>
    <w:p>
      <w:pPr>
        <w:pStyle w:val="ListParagraph"/>
        <w:numPr>
          <w:ilvl w:val="0"/>
          <w:numId w:val="76"/>
        </w:numPr>
        <w:tabs>
          <w:tab w:pos="2126" w:val="left" w:leader="none"/>
          <w:tab w:pos="2127" w:val="left" w:leader="none"/>
        </w:tabs>
        <w:spacing w:line="240" w:lineRule="auto" w:before="100" w:after="0"/>
        <w:ind w:left="2126" w:right="0" w:hanging="348"/>
        <w:jc w:val="left"/>
        <w:rPr>
          <w:b/>
          <w:sz w:val="24"/>
        </w:rPr>
      </w:pPr>
      <w:r>
        <w:rPr>
          <w:b/>
          <w:sz w:val="24"/>
          <w:u w:val="single"/>
        </w:rPr>
        <w:t>Debiti per IVA di Gruppo verso M&amp;G</w:t>
      </w:r>
      <w:r>
        <w:rPr>
          <w:b/>
          <w:spacing w:val="-25"/>
          <w:sz w:val="24"/>
          <w:u w:val="single"/>
        </w:rPr>
        <w:t> </w:t>
      </w:r>
      <w:r>
        <w:rPr>
          <w:b/>
          <w:sz w:val="24"/>
          <w:u w:val="single"/>
        </w:rPr>
        <w:t>Finanziaria</w:t>
      </w:r>
    </w:p>
    <w:p>
      <w:pPr>
        <w:pStyle w:val="BodyText"/>
        <w:spacing w:before="1"/>
        <w:rPr>
          <w:b/>
          <w:sz w:val="15"/>
        </w:rPr>
      </w:pPr>
    </w:p>
    <w:p>
      <w:pPr>
        <w:pStyle w:val="BodyText"/>
        <w:spacing w:line="480" w:lineRule="auto" w:before="100"/>
        <w:ind w:left="1418" w:right="1418"/>
        <w:jc w:val="both"/>
      </w:pPr>
      <w:r>
        <w:rPr/>
        <w:t>Il Gruppo M&amp;G, essendo in possesso dei necessari requisiti, ha optato per l'applicazione della disciplina prevista dall'articolo 73, comma 3 del D.p.r. n. 633/1972 e dal D.M. 13 dicembre 1979 che consente di compensare, nell'ambito del gruppo, i crediti e i debiti IVA risultanti dalle liquidazioni periodiche e dal conguaglio di fine anno delle società che lo costituiscono.</w:t>
      </w:r>
    </w:p>
    <w:p>
      <w:pPr>
        <w:pStyle w:val="BodyText"/>
        <w:spacing w:line="480" w:lineRule="auto"/>
        <w:ind w:left="1418" w:right="1420"/>
        <w:jc w:val="both"/>
      </w:pPr>
      <w:r>
        <w:rPr/>
        <w:t>In relazione a ciascun periodo (mensile) ciascuna società controllata effettua la propria liquidazione e trasferisce il saldo a credito o a debito alla società controllante M&amp;G Finanziaria.</w:t>
      </w:r>
    </w:p>
    <w:p>
      <w:pPr>
        <w:pStyle w:val="BodyText"/>
        <w:spacing w:line="480" w:lineRule="auto"/>
        <w:ind w:left="1418" w:right="1418"/>
        <w:jc w:val="both"/>
      </w:pPr>
      <w:r>
        <w:rPr/>
        <w:t>La procedura prevede che i versamenti periodici e il conguaglio di fine anno (nonché i relativi adempimenti) siano effettuati dalla Società controllante. Quest’ultima, infatti, determina l’IVA dovuta ovvero il credito del gruppo attraverso un sistema di compensazione interna dei crediti e dei debiti IVA emergenti dalle liquidazioni periodiche e dalle dichiarazioni annuali delle società  del gruppo.</w:t>
      </w:r>
    </w:p>
    <w:p>
      <w:pPr>
        <w:pStyle w:val="BodyText"/>
        <w:spacing w:before="1"/>
        <w:ind w:left="1418"/>
        <w:jc w:val="both"/>
      </w:pPr>
      <w:r>
        <w:rPr/>
        <w:t>Alla data del 15.10.2017, Biochemtex trasferisce un debito alla M&amp;G Finanzia S.p.A. pari ad Euro</w:t>
      </w:r>
    </w:p>
    <w:p>
      <w:pPr>
        <w:pStyle w:val="BodyText"/>
      </w:pPr>
    </w:p>
    <w:p>
      <w:pPr>
        <w:pStyle w:val="BodyText"/>
        <w:spacing w:line="480" w:lineRule="auto"/>
        <w:ind w:left="1418" w:right="1418"/>
        <w:jc w:val="both"/>
      </w:pPr>
      <w:r>
        <w:rPr/>
        <w:t>185.265 a titolo di debito IVA sorto nel corso dal 1° gennaio 2017 al 30 settembre 2017, al netto dei pagamenti effettuati, come emerge dalle liquidazioni periodiche IVA, di cui gli scriventi hanno preso visione.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15"/>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59"/>
        <w:gridCol w:w="1074"/>
        <w:gridCol w:w="1261"/>
        <w:gridCol w:w="1053"/>
        <w:gridCol w:w="1272"/>
        <w:gridCol w:w="1241"/>
      </w:tblGrid>
      <w:tr>
        <w:trPr>
          <w:trHeight w:val="438" w:hRule="exact"/>
        </w:trPr>
        <w:tc>
          <w:tcPr>
            <w:tcW w:w="3159" w:type="dxa"/>
            <w:shd w:val="clear" w:color="auto" w:fill="BEBEBE"/>
          </w:tcPr>
          <w:p>
            <w:pPr>
              <w:pStyle w:val="TableParagraph"/>
              <w:spacing w:before="133"/>
              <w:ind w:left="813"/>
              <w:jc w:val="left"/>
              <w:rPr>
                <w:b/>
                <w:sz w:val="16"/>
              </w:rPr>
            </w:pPr>
            <w:r>
              <w:rPr>
                <w:b/>
                <w:w w:val="105"/>
                <w:sz w:val="16"/>
              </w:rPr>
              <w:t>liquidazioni IVA 2017</w:t>
            </w:r>
          </w:p>
        </w:tc>
        <w:tc>
          <w:tcPr>
            <w:tcW w:w="1074" w:type="dxa"/>
            <w:shd w:val="clear" w:color="auto" w:fill="BEBEBE"/>
          </w:tcPr>
          <w:p>
            <w:pPr>
              <w:pStyle w:val="TableParagraph"/>
              <w:spacing w:before="133"/>
              <w:ind w:right="77"/>
              <w:rPr>
                <w:b/>
                <w:sz w:val="16"/>
              </w:rPr>
            </w:pPr>
            <w:r>
              <w:rPr>
                <w:b/>
                <w:w w:val="105"/>
                <w:sz w:val="16"/>
              </w:rPr>
              <w:t>IVA acquisti</w:t>
            </w:r>
          </w:p>
        </w:tc>
        <w:tc>
          <w:tcPr>
            <w:tcW w:w="1261" w:type="dxa"/>
            <w:shd w:val="clear" w:color="auto" w:fill="BEBEBE"/>
          </w:tcPr>
          <w:p>
            <w:pPr>
              <w:pStyle w:val="TableParagraph"/>
              <w:spacing w:before="133"/>
              <w:ind w:left="198"/>
              <w:jc w:val="left"/>
              <w:rPr>
                <w:b/>
                <w:sz w:val="16"/>
              </w:rPr>
            </w:pPr>
            <w:r>
              <w:rPr>
                <w:b/>
                <w:w w:val="105"/>
                <w:sz w:val="16"/>
              </w:rPr>
              <w:t>IVA vendite</w:t>
            </w:r>
          </w:p>
        </w:tc>
        <w:tc>
          <w:tcPr>
            <w:tcW w:w="1053" w:type="dxa"/>
            <w:shd w:val="clear" w:color="auto" w:fill="BEBEBE"/>
          </w:tcPr>
          <w:p>
            <w:pPr>
              <w:pStyle w:val="TableParagraph"/>
              <w:spacing w:before="133"/>
              <w:ind w:left="323"/>
              <w:jc w:val="left"/>
              <w:rPr>
                <w:b/>
                <w:sz w:val="16"/>
              </w:rPr>
            </w:pPr>
            <w:r>
              <w:rPr>
                <w:b/>
                <w:w w:val="105"/>
                <w:sz w:val="16"/>
              </w:rPr>
              <w:t>Saldo</w:t>
            </w:r>
          </w:p>
        </w:tc>
        <w:tc>
          <w:tcPr>
            <w:tcW w:w="1272" w:type="dxa"/>
            <w:shd w:val="clear" w:color="auto" w:fill="BEBEBE"/>
          </w:tcPr>
          <w:p>
            <w:pPr>
              <w:pStyle w:val="TableParagraph"/>
              <w:spacing w:line="292" w:lineRule="auto" w:before="29"/>
              <w:ind w:left="281" w:hanging="63"/>
              <w:jc w:val="left"/>
              <w:rPr>
                <w:b/>
                <w:sz w:val="16"/>
              </w:rPr>
            </w:pPr>
            <w:r>
              <w:rPr>
                <w:b/>
                <w:w w:val="105"/>
                <w:sz w:val="16"/>
              </w:rPr>
              <w:t>Rimborso a M&amp;G Fin</w:t>
            </w:r>
          </w:p>
        </w:tc>
        <w:tc>
          <w:tcPr>
            <w:tcW w:w="1241" w:type="dxa"/>
            <w:shd w:val="clear" w:color="auto" w:fill="BEBEBE"/>
          </w:tcPr>
          <w:p>
            <w:pPr>
              <w:pStyle w:val="TableParagraph"/>
              <w:spacing w:line="292" w:lineRule="auto" w:before="29"/>
              <w:ind w:left="500" w:right="84" w:hanging="407"/>
              <w:jc w:val="left"/>
              <w:rPr>
                <w:b/>
                <w:sz w:val="16"/>
              </w:rPr>
            </w:pPr>
            <w:r>
              <w:rPr>
                <w:b/>
                <w:w w:val="105"/>
                <w:sz w:val="16"/>
              </w:rPr>
              <w:t>Deb vso M&amp;G Fin</w:t>
            </w:r>
          </w:p>
        </w:tc>
      </w:tr>
      <w:tr>
        <w:trPr>
          <w:trHeight w:val="231" w:hRule="exact"/>
        </w:trPr>
        <w:tc>
          <w:tcPr>
            <w:tcW w:w="3159" w:type="dxa"/>
            <w:tcBorders>
              <w:bottom w:val="nil"/>
            </w:tcBorders>
          </w:tcPr>
          <w:p>
            <w:pPr>
              <w:pStyle w:val="TableParagraph"/>
              <w:spacing w:before="28"/>
              <w:ind w:left="20"/>
              <w:jc w:val="left"/>
              <w:rPr>
                <w:b/>
                <w:sz w:val="16"/>
              </w:rPr>
            </w:pPr>
            <w:r>
              <w:rPr>
                <w:b/>
                <w:w w:val="105"/>
                <w:sz w:val="16"/>
              </w:rPr>
              <w:t>GENNAIO</w:t>
            </w:r>
          </w:p>
        </w:tc>
        <w:tc>
          <w:tcPr>
            <w:tcW w:w="1074" w:type="dxa"/>
            <w:tcBorders>
              <w:bottom w:val="nil"/>
            </w:tcBorders>
          </w:tcPr>
          <w:p>
            <w:pPr>
              <w:pStyle w:val="TableParagraph"/>
              <w:spacing w:before="28"/>
              <w:ind w:right="77"/>
              <w:rPr>
                <w:sz w:val="16"/>
              </w:rPr>
            </w:pPr>
            <w:r>
              <w:rPr>
                <w:w w:val="105"/>
                <w:sz w:val="16"/>
              </w:rPr>
              <w:t>209.109</w:t>
            </w:r>
          </w:p>
        </w:tc>
        <w:tc>
          <w:tcPr>
            <w:tcW w:w="1261" w:type="dxa"/>
            <w:tcBorders>
              <w:bottom w:val="nil"/>
            </w:tcBorders>
          </w:tcPr>
          <w:p>
            <w:pPr>
              <w:pStyle w:val="TableParagraph"/>
              <w:spacing w:before="28"/>
              <w:ind w:right="24"/>
              <w:rPr>
                <w:sz w:val="16"/>
              </w:rPr>
            </w:pPr>
            <w:r>
              <w:rPr>
                <w:w w:val="105"/>
                <w:sz w:val="16"/>
              </w:rPr>
              <w:t>(130.694)</w:t>
            </w:r>
          </w:p>
        </w:tc>
        <w:tc>
          <w:tcPr>
            <w:tcW w:w="1053" w:type="dxa"/>
            <w:tcBorders>
              <w:bottom w:val="nil"/>
            </w:tcBorders>
          </w:tcPr>
          <w:p>
            <w:pPr>
              <w:pStyle w:val="TableParagraph"/>
              <w:spacing w:before="28"/>
              <w:ind w:right="77"/>
              <w:rPr>
                <w:sz w:val="16"/>
              </w:rPr>
            </w:pPr>
            <w:r>
              <w:rPr>
                <w:w w:val="105"/>
                <w:sz w:val="16"/>
              </w:rPr>
              <w:t>78.416</w:t>
            </w:r>
          </w:p>
        </w:tc>
        <w:tc>
          <w:tcPr>
            <w:tcW w:w="1272" w:type="dxa"/>
            <w:tcBorders>
              <w:bottom w:val="nil"/>
            </w:tcBorders>
          </w:tcPr>
          <w:p>
            <w:pPr>
              <w:pStyle w:val="TableParagraph"/>
              <w:spacing w:before="28"/>
              <w:ind w:right="237"/>
              <w:rPr>
                <w:sz w:val="16"/>
              </w:rPr>
            </w:pPr>
            <w:r>
              <w:rPr>
                <w:w w:val="104"/>
                <w:sz w:val="16"/>
              </w:rPr>
              <w:t>-</w:t>
            </w:r>
          </w:p>
        </w:tc>
        <w:tc>
          <w:tcPr>
            <w:tcW w:w="1241" w:type="dxa"/>
            <w:tcBorders>
              <w:bottom w:val="nil"/>
            </w:tcBorders>
          </w:tcPr>
          <w:p>
            <w:pPr/>
          </w:p>
        </w:tc>
      </w:tr>
      <w:tr>
        <w:trPr>
          <w:trHeight w:val="219" w:hRule="exact"/>
        </w:trPr>
        <w:tc>
          <w:tcPr>
            <w:tcW w:w="3159" w:type="dxa"/>
            <w:tcBorders>
              <w:top w:val="nil"/>
              <w:bottom w:val="nil"/>
            </w:tcBorders>
          </w:tcPr>
          <w:p>
            <w:pPr>
              <w:pStyle w:val="TableParagraph"/>
              <w:spacing w:before="21"/>
              <w:ind w:left="20"/>
              <w:jc w:val="left"/>
              <w:rPr>
                <w:b/>
                <w:sz w:val="16"/>
              </w:rPr>
            </w:pPr>
            <w:r>
              <w:rPr>
                <w:b/>
                <w:w w:val="105"/>
                <w:sz w:val="16"/>
              </w:rPr>
              <w:t>FEBBRAIO</w:t>
            </w:r>
          </w:p>
        </w:tc>
        <w:tc>
          <w:tcPr>
            <w:tcW w:w="1074" w:type="dxa"/>
            <w:tcBorders>
              <w:top w:val="nil"/>
              <w:bottom w:val="nil"/>
            </w:tcBorders>
          </w:tcPr>
          <w:p>
            <w:pPr>
              <w:pStyle w:val="TableParagraph"/>
              <w:spacing w:before="21"/>
              <w:ind w:right="77"/>
              <w:rPr>
                <w:sz w:val="16"/>
              </w:rPr>
            </w:pPr>
            <w:r>
              <w:rPr>
                <w:w w:val="105"/>
                <w:sz w:val="16"/>
              </w:rPr>
              <w:t>271.141</w:t>
            </w:r>
          </w:p>
        </w:tc>
        <w:tc>
          <w:tcPr>
            <w:tcW w:w="1261" w:type="dxa"/>
            <w:tcBorders>
              <w:top w:val="nil"/>
              <w:bottom w:val="nil"/>
            </w:tcBorders>
          </w:tcPr>
          <w:p>
            <w:pPr>
              <w:pStyle w:val="TableParagraph"/>
              <w:spacing w:before="21"/>
              <w:ind w:right="24"/>
              <w:rPr>
                <w:sz w:val="16"/>
              </w:rPr>
            </w:pPr>
            <w:r>
              <w:rPr>
                <w:w w:val="105"/>
                <w:sz w:val="16"/>
              </w:rPr>
              <w:t>(369.667)</w:t>
            </w:r>
          </w:p>
        </w:tc>
        <w:tc>
          <w:tcPr>
            <w:tcW w:w="1053" w:type="dxa"/>
            <w:tcBorders>
              <w:top w:val="nil"/>
              <w:bottom w:val="nil"/>
            </w:tcBorders>
          </w:tcPr>
          <w:p>
            <w:pPr>
              <w:pStyle w:val="TableParagraph"/>
              <w:spacing w:before="21"/>
              <w:ind w:right="25"/>
              <w:rPr>
                <w:sz w:val="16"/>
              </w:rPr>
            </w:pPr>
            <w:r>
              <w:rPr>
                <w:w w:val="105"/>
                <w:sz w:val="16"/>
              </w:rPr>
              <w:t>(98.526)</w:t>
            </w:r>
          </w:p>
        </w:tc>
        <w:tc>
          <w:tcPr>
            <w:tcW w:w="1272" w:type="dxa"/>
            <w:tcBorders>
              <w:top w:val="nil"/>
              <w:bottom w:val="nil"/>
            </w:tcBorders>
          </w:tcPr>
          <w:p>
            <w:pPr>
              <w:pStyle w:val="TableParagraph"/>
              <w:spacing w:before="21"/>
              <w:ind w:right="25"/>
              <w:rPr>
                <w:sz w:val="16"/>
              </w:rPr>
            </w:pPr>
            <w:r>
              <w:rPr>
                <w:w w:val="105"/>
                <w:sz w:val="16"/>
              </w:rPr>
              <w:t>(20.111)</w:t>
            </w:r>
          </w:p>
        </w:tc>
        <w:tc>
          <w:tcPr>
            <w:tcW w:w="1241" w:type="dxa"/>
            <w:tcBorders>
              <w:top w:val="nil"/>
              <w:bottom w:val="nil"/>
            </w:tcBorders>
          </w:tcPr>
          <w:p>
            <w:pPr/>
          </w:p>
        </w:tc>
      </w:tr>
      <w:tr>
        <w:trPr>
          <w:trHeight w:val="219" w:hRule="exact"/>
        </w:trPr>
        <w:tc>
          <w:tcPr>
            <w:tcW w:w="3159" w:type="dxa"/>
            <w:tcBorders>
              <w:top w:val="nil"/>
              <w:bottom w:val="nil"/>
            </w:tcBorders>
          </w:tcPr>
          <w:p>
            <w:pPr>
              <w:pStyle w:val="TableParagraph"/>
              <w:spacing w:before="21"/>
              <w:ind w:left="20"/>
              <w:jc w:val="left"/>
              <w:rPr>
                <w:b/>
                <w:sz w:val="16"/>
              </w:rPr>
            </w:pPr>
            <w:r>
              <w:rPr>
                <w:b/>
                <w:w w:val="105"/>
                <w:sz w:val="16"/>
              </w:rPr>
              <w:t>MARZO</w:t>
            </w:r>
          </w:p>
        </w:tc>
        <w:tc>
          <w:tcPr>
            <w:tcW w:w="1074" w:type="dxa"/>
            <w:tcBorders>
              <w:top w:val="nil"/>
              <w:bottom w:val="nil"/>
            </w:tcBorders>
          </w:tcPr>
          <w:p>
            <w:pPr>
              <w:pStyle w:val="TableParagraph"/>
              <w:spacing w:before="21"/>
              <w:ind w:right="77"/>
              <w:rPr>
                <w:sz w:val="16"/>
              </w:rPr>
            </w:pPr>
            <w:r>
              <w:rPr>
                <w:w w:val="105"/>
                <w:sz w:val="16"/>
              </w:rPr>
              <w:t>757.310</w:t>
            </w:r>
          </w:p>
        </w:tc>
        <w:tc>
          <w:tcPr>
            <w:tcW w:w="1261" w:type="dxa"/>
            <w:tcBorders>
              <w:top w:val="nil"/>
              <w:bottom w:val="nil"/>
            </w:tcBorders>
          </w:tcPr>
          <w:p>
            <w:pPr>
              <w:pStyle w:val="TableParagraph"/>
              <w:spacing w:before="21"/>
              <w:ind w:right="24"/>
              <w:rPr>
                <w:sz w:val="16"/>
              </w:rPr>
            </w:pPr>
            <w:r>
              <w:rPr>
                <w:w w:val="105"/>
                <w:sz w:val="16"/>
              </w:rPr>
              <w:t>(1.005.932)</w:t>
            </w:r>
          </w:p>
        </w:tc>
        <w:tc>
          <w:tcPr>
            <w:tcW w:w="1053" w:type="dxa"/>
            <w:tcBorders>
              <w:top w:val="nil"/>
              <w:bottom w:val="nil"/>
            </w:tcBorders>
          </w:tcPr>
          <w:p>
            <w:pPr>
              <w:pStyle w:val="TableParagraph"/>
              <w:spacing w:before="21"/>
              <w:ind w:right="24"/>
              <w:rPr>
                <w:sz w:val="16"/>
              </w:rPr>
            </w:pPr>
            <w:r>
              <w:rPr>
                <w:w w:val="105"/>
                <w:sz w:val="16"/>
              </w:rPr>
              <w:t>(248.622)</w:t>
            </w:r>
          </w:p>
        </w:tc>
        <w:tc>
          <w:tcPr>
            <w:tcW w:w="1272" w:type="dxa"/>
            <w:tcBorders>
              <w:top w:val="nil"/>
              <w:bottom w:val="nil"/>
            </w:tcBorders>
          </w:tcPr>
          <w:p>
            <w:pPr>
              <w:pStyle w:val="TableParagraph"/>
              <w:spacing w:before="21"/>
              <w:ind w:right="24"/>
              <w:rPr>
                <w:sz w:val="16"/>
              </w:rPr>
            </w:pPr>
            <w:r>
              <w:rPr>
                <w:w w:val="105"/>
                <w:sz w:val="16"/>
              </w:rPr>
              <w:t>(248.622)</w:t>
            </w:r>
          </w:p>
        </w:tc>
        <w:tc>
          <w:tcPr>
            <w:tcW w:w="1241" w:type="dxa"/>
            <w:tcBorders>
              <w:top w:val="nil"/>
              <w:bottom w:val="nil"/>
            </w:tcBorders>
          </w:tcPr>
          <w:p>
            <w:pPr/>
          </w:p>
        </w:tc>
      </w:tr>
      <w:tr>
        <w:trPr>
          <w:trHeight w:val="219" w:hRule="exact"/>
        </w:trPr>
        <w:tc>
          <w:tcPr>
            <w:tcW w:w="3159" w:type="dxa"/>
            <w:tcBorders>
              <w:top w:val="nil"/>
              <w:bottom w:val="nil"/>
            </w:tcBorders>
          </w:tcPr>
          <w:p>
            <w:pPr>
              <w:pStyle w:val="TableParagraph"/>
              <w:spacing w:before="21"/>
              <w:ind w:left="20"/>
              <w:jc w:val="left"/>
              <w:rPr>
                <w:b/>
                <w:sz w:val="16"/>
              </w:rPr>
            </w:pPr>
            <w:r>
              <w:rPr>
                <w:b/>
                <w:w w:val="105"/>
                <w:sz w:val="16"/>
              </w:rPr>
              <w:t>APRILE</w:t>
            </w:r>
          </w:p>
        </w:tc>
        <w:tc>
          <w:tcPr>
            <w:tcW w:w="1074" w:type="dxa"/>
            <w:tcBorders>
              <w:top w:val="nil"/>
              <w:bottom w:val="nil"/>
            </w:tcBorders>
          </w:tcPr>
          <w:p>
            <w:pPr>
              <w:pStyle w:val="TableParagraph"/>
              <w:spacing w:before="21"/>
              <w:ind w:right="77"/>
              <w:rPr>
                <w:sz w:val="16"/>
              </w:rPr>
            </w:pPr>
            <w:r>
              <w:rPr>
                <w:w w:val="105"/>
                <w:sz w:val="16"/>
              </w:rPr>
              <w:t>1.075.073</w:t>
            </w:r>
          </w:p>
        </w:tc>
        <w:tc>
          <w:tcPr>
            <w:tcW w:w="1261" w:type="dxa"/>
            <w:tcBorders>
              <w:top w:val="nil"/>
              <w:bottom w:val="nil"/>
            </w:tcBorders>
          </w:tcPr>
          <w:p>
            <w:pPr>
              <w:pStyle w:val="TableParagraph"/>
              <w:spacing w:before="21"/>
              <w:ind w:right="24"/>
              <w:rPr>
                <w:sz w:val="16"/>
              </w:rPr>
            </w:pPr>
            <w:r>
              <w:rPr>
                <w:w w:val="105"/>
                <w:sz w:val="16"/>
              </w:rPr>
              <w:t>(1.019.242)</w:t>
            </w:r>
          </w:p>
        </w:tc>
        <w:tc>
          <w:tcPr>
            <w:tcW w:w="1053" w:type="dxa"/>
            <w:tcBorders>
              <w:top w:val="nil"/>
              <w:bottom w:val="nil"/>
            </w:tcBorders>
          </w:tcPr>
          <w:p>
            <w:pPr>
              <w:pStyle w:val="TableParagraph"/>
              <w:spacing w:before="21"/>
              <w:ind w:right="77"/>
              <w:rPr>
                <w:sz w:val="16"/>
              </w:rPr>
            </w:pPr>
            <w:r>
              <w:rPr>
                <w:w w:val="105"/>
                <w:sz w:val="16"/>
              </w:rPr>
              <w:t>55.831</w:t>
            </w:r>
          </w:p>
        </w:tc>
        <w:tc>
          <w:tcPr>
            <w:tcW w:w="1272" w:type="dxa"/>
            <w:tcBorders>
              <w:top w:val="nil"/>
              <w:bottom w:val="nil"/>
            </w:tcBorders>
          </w:tcPr>
          <w:p>
            <w:pPr>
              <w:pStyle w:val="TableParagraph"/>
              <w:spacing w:before="21"/>
              <w:ind w:right="237"/>
              <w:rPr>
                <w:sz w:val="16"/>
              </w:rPr>
            </w:pPr>
            <w:r>
              <w:rPr>
                <w:w w:val="104"/>
                <w:sz w:val="16"/>
              </w:rPr>
              <w:t>-</w:t>
            </w:r>
          </w:p>
        </w:tc>
        <w:tc>
          <w:tcPr>
            <w:tcW w:w="1241" w:type="dxa"/>
            <w:tcBorders>
              <w:top w:val="nil"/>
              <w:bottom w:val="nil"/>
            </w:tcBorders>
          </w:tcPr>
          <w:p>
            <w:pPr/>
          </w:p>
        </w:tc>
      </w:tr>
      <w:tr>
        <w:trPr>
          <w:trHeight w:val="219" w:hRule="exact"/>
        </w:trPr>
        <w:tc>
          <w:tcPr>
            <w:tcW w:w="3159" w:type="dxa"/>
            <w:tcBorders>
              <w:top w:val="nil"/>
              <w:bottom w:val="nil"/>
            </w:tcBorders>
          </w:tcPr>
          <w:p>
            <w:pPr>
              <w:pStyle w:val="TableParagraph"/>
              <w:spacing w:before="21"/>
              <w:ind w:left="20"/>
              <w:jc w:val="left"/>
              <w:rPr>
                <w:b/>
                <w:sz w:val="16"/>
              </w:rPr>
            </w:pPr>
            <w:r>
              <w:rPr>
                <w:b/>
                <w:w w:val="105"/>
                <w:sz w:val="16"/>
              </w:rPr>
              <w:t>MAGGIO</w:t>
            </w:r>
          </w:p>
        </w:tc>
        <w:tc>
          <w:tcPr>
            <w:tcW w:w="1074" w:type="dxa"/>
            <w:tcBorders>
              <w:top w:val="nil"/>
              <w:bottom w:val="nil"/>
            </w:tcBorders>
          </w:tcPr>
          <w:p>
            <w:pPr>
              <w:pStyle w:val="TableParagraph"/>
              <w:spacing w:before="21"/>
              <w:ind w:right="77"/>
              <w:rPr>
                <w:sz w:val="16"/>
              </w:rPr>
            </w:pPr>
            <w:r>
              <w:rPr>
                <w:w w:val="105"/>
                <w:sz w:val="16"/>
              </w:rPr>
              <w:t>130.567</w:t>
            </w:r>
          </w:p>
        </w:tc>
        <w:tc>
          <w:tcPr>
            <w:tcW w:w="1261" w:type="dxa"/>
            <w:tcBorders>
              <w:top w:val="nil"/>
              <w:bottom w:val="nil"/>
            </w:tcBorders>
          </w:tcPr>
          <w:p>
            <w:pPr>
              <w:pStyle w:val="TableParagraph"/>
              <w:spacing w:before="21"/>
              <w:ind w:right="24"/>
              <w:rPr>
                <w:sz w:val="16"/>
              </w:rPr>
            </w:pPr>
            <w:r>
              <w:rPr>
                <w:w w:val="105"/>
                <w:sz w:val="16"/>
              </w:rPr>
              <w:t>(223.969)</w:t>
            </w:r>
          </w:p>
        </w:tc>
        <w:tc>
          <w:tcPr>
            <w:tcW w:w="1053" w:type="dxa"/>
            <w:tcBorders>
              <w:top w:val="nil"/>
              <w:bottom w:val="nil"/>
            </w:tcBorders>
          </w:tcPr>
          <w:p>
            <w:pPr>
              <w:pStyle w:val="TableParagraph"/>
              <w:spacing w:before="21"/>
              <w:ind w:right="25"/>
              <w:rPr>
                <w:sz w:val="16"/>
              </w:rPr>
            </w:pPr>
            <w:r>
              <w:rPr>
                <w:w w:val="105"/>
                <w:sz w:val="16"/>
              </w:rPr>
              <w:t>(93.401)</w:t>
            </w:r>
          </w:p>
        </w:tc>
        <w:tc>
          <w:tcPr>
            <w:tcW w:w="1272" w:type="dxa"/>
            <w:tcBorders>
              <w:top w:val="nil"/>
              <w:bottom w:val="nil"/>
            </w:tcBorders>
          </w:tcPr>
          <w:p>
            <w:pPr>
              <w:pStyle w:val="TableParagraph"/>
              <w:spacing w:before="21"/>
              <w:ind w:right="25"/>
              <w:rPr>
                <w:sz w:val="16"/>
              </w:rPr>
            </w:pPr>
            <w:r>
              <w:rPr>
                <w:w w:val="105"/>
                <w:sz w:val="16"/>
              </w:rPr>
              <w:t>(37.570)</w:t>
            </w:r>
          </w:p>
        </w:tc>
        <w:tc>
          <w:tcPr>
            <w:tcW w:w="1241" w:type="dxa"/>
            <w:tcBorders>
              <w:top w:val="nil"/>
              <w:bottom w:val="nil"/>
            </w:tcBorders>
          </w:tcPr>
          <w:p>
            <w:pPr/>
          </w:p>
        </w:tc>
      </w:tr>
      <w:tr>
        <w:trPr>
          <w:trHeight w:val="219" w:hRule="exact"/>
        </w:trPr>
        <w:tc>
          <w:tcPr>
            <w:tcW w:w="3159" w:type="dxa"/>
            <w:tcBorders>
              <w:top w:val="nil"/>
              <w:bottom w:val="nil"/>
            </w:tcBorders>
          </w:tcPr>
          <w:p>
            <w:pPr>
              <w:pStyle w:val="TableParagraph"/>
              <w:spacing w:before="21"/>
              <w:ind w:left="20"/>
              <w:jc w:val="left"/>
              <w:rPr>
                <w:b/>
                <w:sz w:val="16"/>
              </w:rPr>
            </w:pPr>
            <w:r>
              <w:rPr>
                <w:b/>
                <w:w w:val="105"/>
                <w:sz w:val="16"/>
              </w:rPr>
              <w:t>GIUGNO</w:t>
            </w:r>
          </w:p>
        </w:tc>
        <w:tc>
          <w:tcPr>
            <w:tcW w:w="1074" w:type="dxa"/>
            <w:tcBorders>
              <w:top w:val="nil"/>
              <w:bottom w:val="nil"/>
            </w:tcBorders>
          </w:tcPr>
          <w:p>
            <w:pPr>
              <w:pStyle w:val="TableParagraph"/>
              <w:spacing w:before="21"/>
              <w:ind w:right="77"/>
              <w:rPr>
                <w:sz w:val="16"/>
              </w:rPr>
            </w:pPr>
            <w:r>
              <w:rPr>
                <w:w w:val="105"/>
                <w:sz w:val="16"/>
              </w:rPr>
              <w:t>574.071</w:t>
            </w:r>
          </w:p>
        </w:tc>
        <w:tc>
          <w:tcPr>
            <w:tcW w:w="1261" w:type="dxa"/>
            <w:tcBorders>
              <w:top w:val="nil"/>
              <w:bottom w:val="nil"/>
            </w:tcBorders>
          </w:tcPr>
          <w:p>
            <w:pPr>
              <w:pStyle w:val="TableParagraph"/>
              <w:spacing w:before="21"/>
              <w:ind w:right="24"/>
              <w:rPr>
                <w:sz w:val="16"/>
              </w:rPr>
            </w:pPr>
            <w:r>
              <w:rPr>
                <w:w w:val="105"/>
                <w:sz w:val="16"/>
              </w:rPr>
              <w:t>(937.561)</w:t>
            </w:r>
          </w:p>
        </w:tc>
        <w:tc>
          <w:tcPr>
            <w:tcW w:w="1053" w:type="dxa"/>
            <w:tcBorders>
              <w:top w:val="nil"/>
              <w:bottom w:val="nil"/>
            </w:tcBorders>
          </w:tcPr>
          <w:p>
            <w:pPr>
              <w:pStyle w:val="TableParagraph"/>
              <w:spacing w:before="21"/>
              <w:ind w:right="24"/>
              <w:rPr>
                <w:sz w:val="16"/>
              </w:rPr>
            </w:pPr>
            <w:r>
              <w:rPr>
                <w:w w:val="105"/>
                <w:sz w:val="16"/>
              </w:rPr>
              <w:t>(363.490)</w:t>
            </w:r>
          </w:p>
        </w:tc>
        <w:tc>
          <w:tcPr>
            <w:tcW w:w="1272" w:type="dxa"/>
            <w:tcBorders>
              <w:top w:val="nil"/>
              <w:bottom w:val="nil"/>
            </w:tcBorders>
          </w:tcPr>
          <w:p>
            <w:pPr>
              <w:pStyle w:val="TableParagraph"/>
              <w:spacing w:before="21"/>
              <w:ind w:right="24"/>
              <w:rPr>
                <w:sz w:val="16"/>
              </w:rPr>
            </w:pPr>
            <w:r>
              <w:rPr>
                <w:w w:val="105"/>
                <w:sz w:val="16"/>
              </w:rPr>
              <w:t>(363.490)</w:t>
            </w:r>
          </w:p>
        </w:tc>
        <w:tc>
          <w:tcPr>
            <w:tcW w:w="1241" w:type="dxa"/>
            <w:tcBorders>
              <w:top w:val="nil"/>
              <w:bottom w:val="nil"/>
            </w:tcBorders>
          </w:tcPr>
          <w:p>
            <w:pPr/>
          </w:p>
        </w:tc>
      </w:tr>
      <w:tr>
        <w:trPr>
          <w:trHeight w:val="219" w:hRule="exact"/>
        </w:trPr>
        <w:tc>
          <w:tcPr>
            <w:tcW w:w="3159" w:type="dxa"/>
            <w:tcBorders>
              <w:top w:val="nil"/>
              <w:bottom w:val="nil"/>
            </w:tcBorders>
          </w:tcPr>
          <w:p>
            <w:pPr>
              <w:pStyle w:val="TableParagraph"/>
              <w:spacing w:before="21"/>
              <w:ind w:left="20"/>
              <w:jc w:val="left"/>
              <w:rPr>
                <w:b/>
                <w:sz w:val="16"/>
              </w:rPr>
            </w:pPr>
            <w:r>
              <w:rPr>
                <w:b/>
                <w:w w:val="105"/>
                <w:sz w:val="16"/>
              </w:rPr>
              <w:t>LUGLIO</w:t>
            </w:r>
          </w:p>
        </w:tc>
        <w:tc>
          <w:tcPr>
            <w:tcW w:w="1074" w:type="dxa"/>
            <w:tcBorders>
              <w:top w:val="nil"/>
              <w:bottom w:val="nil"/>
            </w:tcBorders>
          </w:tcPr>
          <w:p>
            <w:pPr>
              <w:pStyle w:val="TableParagraph"/>
              <w:spacing w:before="21"/>
              <w:ind w:right="77"/>
              <w:rPr>
                <w:sz w:val="16"/>
              </w:rPr>
            </w:pPr>
            <w:r>
              <w:rPr>
                <w:w w:val="105"/>
                <w:sz w:val="16"/>
              </w:rPr>
              <w:t>334.533</w:t>
            </w:r>
          </w:p>
        </w:tc>
        <w:tc>
          <w:tcPr>
            <w:tcW w:w="1261" w:type="dxa"/>
            <w:tcBorders>
              <w:top w:val="nil"/>
              <w:bottom w:val="nil"/>
            </w:tcBorders>
          </w:tcPr>
          <w:p>
            <w:pPr>
              <w:pStyle w:val="TableParagraph"/>
              <w:spacing w:before="21"/>
              <w:ind w:right="24"/>
              <w:rPr>
                <w:sz w:val="16"/>
              </w:rPr>
            </w:pPr>
            <w:r>
              <w:rPr>
                <w:w w:val="105"/>
                <w:sz w:val="16"/>
              </w:rPr>
              <w:t>(300.057)</w:t>
            </w:r>
          </w:p>
        </w:tc>
        <w:tc>
          <w:tcPr>
            <w:tcW w:w="1053" w:type="dxa"/>
            <w:tcBorders>
              <w:top w:val="nil"/>
              <w:bottom w:val="nil"/>
            </w:tcBorders>
          </w:tcPr>
          <w:p>
            <w:pPr>
              <w:pStyle w:val="TableParagraph"/>
              <w:spacing w:before="21"/>
              <w:ind w:right="77"/>
              <w:rPr>
                <w:sz w:val="16"/>
              </w:rPr>
            </w:pPr>
            <w:r>
              <w:rPr>
                <w:w w:val="105"/>
                <w:sz w:val="16"/>
              </w:rPr>
              <w:t>34.476</w:t>
            </w:r>
          </w:p>
        </w:tc>
        <w:tc>
          <w:tcPr>
            <w:tcW w:w="1272" w:type="dxa"/>
            <w:tcBorders>
              <w:top w:val="nil"/>
              <w:bottom w:val="nil"/>
            </w:tcBorders>
          </w:tcPr>
          <w:p>
            <w:pPr/>
          </w:p>
        </w:tc>
        <w:tc>
          <w:tcPr>
            <w:tcW w:w="1241" w:type="dxa"/>
            <w:tcBorders>
              <w:top w:val="nil"/>
              <w:bottom w:val="nil"/>
            </w:tcBorders>
          </w:tcPr>
          <w:p>
            <w:pPr/>
          </w:p>
        </w:tc>
      </w:tr>
      <w:tr>
        <w:trPr>
          <w:trHeight w:val="219" w:hRule="exact"/>
        </w:trPr>
        <w:tc>
          <w:tcPr>
            <w:tcW w:w="3159" w:type="dxa"/>
            <w:tcBorders>
              <w:top w:val="nil"/>
              <w:bottom w:val="nil"/>
            </w:tcBorders>
          </w:tcPr>
          <w:p>
            <w:pPr>
              <w:pStyle w:val="TableParagraph"/>
              <w:spacing w:before="21"/>
              <w:ind w:left="20"/>
              <w:jc w:val="left"/>
              <w:rPr>
                <w:b/>
                <w:sz w:val="16"/>
              </w:rPr>
            </w:pPr>
            <w:r>
              <w:rPr>
                <w:b/>
                <w:w w:val="105"/>
                <w:sz w:val="16"/>
              </w:rPr>
              <w:t>AGOSTO</w:t>
            </w:r>
          </w:p>
        </w:tc>
        <w:tc>
          <w:tcPr>
            <w:tcW w:w="1074" w:type="dxa"/>
            <w:tcBorders>
              <w:top w:val="nil"/>
              <w:bottom w:val="nil"/>
            </w:tcBorders>
          </w:tcPr>
          <w:p>
            <w:pPr>
              <w:pStyle w:val="TableParagraph"/>
              <w:spacing w:before="21"/>
              <w:ind w:right="77"/>
              <w:rPr>
                <w:sz w:val="16"/>
              </w:rPr>
            </w:pPr>
            <w:r>
              <w:rPr>
                <w:w w:val="105"/>
                <w:sz w:val="16"/>
              </w:rPr>
              <w:t>21.877</w:t>
            </w:r>
          </w:p>
        </w:tc>
        <w:tc>
          <w:tcPr>
            <w:tcW w:w="1261" w:type="dxa"/>
            <w:tcBorders>
              <w:top w:val="nil"/>
              <w:bottom w:val="nil"/>
            </w:tcBorders>
          </w:tcPr>
          <w:p>
            <w:pPr>
              <w:pStyle w:val="TableParagraph"/>
              <w:spacing w:before="21"/>
              <w:ind w:right="25"/>
              <w:rPr>
                <w:sz w:val="16"/>
              </w:rPr>
            </w:pPr>
            <w:r>
              <w:rPr>
                <w:w w:val="105"/>
                <w:sz w:val="16"/>
              </w:rPr>
              <w:t>(15.891)</w:t>
            </w:r>
          </w:p>
        </w:tc>
        <w:tc>
          <w:tcPr>
            <w:tcW w:w="1053" w:type="dxa"/>
            <w:tcBorders>
              <w:top w:val="nil"/>
              <w:bottom w:val="nil"/>
            </w:tcBorders>
          </w:tcPr>
          <w:p>
            <w:pPr>
              <w:pStyle w:val="TableParagraph"/>
              <w:spacing w:before="21"/>
              <w:ind w:right="77"/>
              <w:rPr>
                <w:sz w:val="16"/>
              </w:rPr>
            </w:pPr>
            <w:r>
              <w:rPr>
                <w:sz w:val="16"/>
              </w:rPr>
              <w:t>5.986</w:t>
            </w:r>
          </w:p>
        </w:tc>
        <w:tc>
          <w:tcPr>
            <w:tcW w:w="1272" w:type="dxa"/>
            <w:tcBorders>
              <w:top w:val="nil"/>
              <w:bottom w:val="nil"/>
            </w:tcBorders>
          </w:tcPr>
          <w:p>
            <w:pPr/>
          </w:p>
        </w:tc>
        <w:tc>
          <w:tcPr>
            <w:tcW w:w="1241" w:type="dxa"/>
            <w:tcBorders>
              <w:top w:val="nil"/>
              <w:bottom w:val="nil"/>
            </w:tcBorders>
          </w:tcPr>
          <w:p>
            <w:pPr/>
          </w:p>
        </w:tc>
      </w:tr>
      <w:tr>
        <w:trPr>
          <w:trHeight w:val="206" w:hRule="exact"/>
        </w:trPr>
        <w:tc>
          <w:tcPr>
            <w:tcW w:w="3159" w:type="dxa"/>
            <w:tcBorders>
              <w:top w:val="nil"/>
            </w:tcBorders>
          </w:tcPr>
          <w:p>
            <w:pPr>
              <w:pStyle w:val="TableParagraph"/>
              <w:spacing w:before="21"/>
              <w:ind w:left="20"/>
              <w:jc w:val="left"/>
              <w:rPr>
                <w:b/>
                <w:sz w:val="16"/>
              </w:rPr>
            </w:pPr>
            <w:r>
              <w:rPr>
                <w:b/>
                <w:w w:val="105"/>
                <w:sz w:val="16"/>
              </w:rPr>
              <w:t>SETTEMBRE</w:t>
            </w:r>
          </w:p>
        </w:tc>
        <w:tc>
          <w:tcPr>
            <w:tcW w:w="1074" w:type="dxa"/>
            <w:tcBorders>
              <w:top w:val="nil"/>
            </w:tcBorders>
          </w:tcPr>
          <w:p>
            <w:pPr>
              <w:pStyle w:val="TableParagraph"/>
              <w:spacing w:before="21"/>
              <w:ind w:right="77"/>
              <w:rPr>
                <w:sz w:val="16"/>
              </w:rPr>
            </w:pPr>
            <w:r>
              <w:rPr>
                <w:w w:val="105"/>
                <w:sz w:val="16"/>
              </w:rPr>
              <w:t>108.438</w:t>
            </w:r>
          </w:p>
        </w:tc>
        <w:tc>
          <w:tcPr>
            <w:tcW w:w="1261" w:type="dxa"/>
            <w:tcBorders>
              <w:top w:val="nil"/>
            </w:tcBorders>
          </w:tcPr>
          <w:p>
            <w:pPr>
              <w:pStyle w:val="TableParagraph"/>
              <w:spacing w:before="21"/>
              <w:ind w:right="24"/>
              <w:rPr>
                <w:sz w:val="16"/>
              </w:rPr>
            </w:pPr>
            <w:r>
              <w:rPr>
                <w:w w:val="105"/>
                <w:sz w:val="16"/>
              </w:rPr>
              <w:t>(334.164)</w:t>
            </w:r>
          </w:p>
        </w:tc>
        <w:tc>
          <w:tcPr>
            <w:tcW w:w="1053" w:type="dxa"/>
            <w:tcBorders>
              <w:top w:val="nil"/>
            </w:tcBorders>
          </w:tcPr>
          <w:p>
            <w:pPr>
              <w:pStyle w:val="TableParagraph"/>
              <w:spacing w:before="21"/>
              <w:ind w:right="24"/>
              <w:rPr>
                <w:sz w:val="16"/>
              </w:rPr>
            </w:pPr>
            <w:r>
              <w:rPr>
                <w:w w:val="105"/>
                <w:sz w:val="16"/>
              </w:rPr>
              <w:t>(225.726)</w:t>
            </w:r>
          </w:p>
        </w:tc>
        <w:tc>
          <w:tcPr>
            <w:tcW w:w="1272" w:type="dxa"/>
            <w:tcBorders>
              <w:top w:val="nil"/>
            </w:tcBorders>
          </w:tcPr>
          <w:p>
            <w:pPr/>
          </w:p>
        </w:tc>
        <w:tc>
          <w:tcPr>
            <w:tcW w:w="1241" w:type="dxa"/>
            <w:tcBorders>
              <w:top w:val="nil"/>
            </w:tcBorders>
          </w:tcPr>
          <w:p>
            <w:pPr>
              <w:pStyle w:val="TableParagraph"/>
              <w:spacing w:before="21"/>
              <w:ind w:right="24"/>
              <w:rPr>
                <w:sz w:val="16"/>
              </w:rPr>
            </w:pPr>
            <w:r>
              <w:rPr>
                <w:w w:val="105"/>
                <w:sz w:val="16"/>
              </w:rPr>
              <w:t>(185.265)</w:t>
            </w:r>
          </w:p>
        </w:tc>
      </w:tr>
      <w:tr>
        <w:trPr>
          <w:trHeight w:val="219" w:hRule="exact"/>
        </w:trPr>
        <w:tc>
          <w:tcPr>
            <w:tcW w:w="3159" w:type="dxa"/>
          </w:tcPr>
          <w:p>
            <w:pPr>
              <w:pStyle w:val="TableParagraph"/>
              <w:spacing w:before="29"/>
              <w:ind w:left="20"/>
              <w:jc w:val="left"/>
              <w:rPr>
                <w:b/>
                <w:sz w:val="16"/>
              </w:rPr>
            </w:pPr>
            <w:r>
              <w:rPr>
                <w:b/>
                <w:w w:val="105"/>
                <w:sz w:val="16"/>
              </w:rPr>
              <w:t>TOTALE</w:t>
            </w:r>
          </w:p>
        </w:tc>
        <w:tc>
          <w:tcPr>
            <w:tcW w:w="1074" w:type="dxa"/>
          </w:tcPr>
          <w:p>
            <w:pPr>
              <w:pStyle w:val="TableParagraph"/>
              <w:spacing w:before="29"/>
              <w:ind w:right="77"/>
              <w:rPr>
                <w:sz w:val="16"/>
              </w:rPr>
            </w:pPr>
            <w:r>
              <w:rPr>
                <w:w w:val="105"/>
                <w:sz w:val="16"/>
              </w:rPr>
              <w:t>3.482.120</w:t>
            </w:r>
          </w:p>
        </w:tc>
        <w:tc>
          <w:tcPr>
            <w:tcW w:w="1261" w:type="dxa"/>
          </w:tcPr>
          <w:p>
            <w:pPr>
              <w:pStyle w:val="TableParagraph"/>
              <w:spacing w:before="29"/>
              <w:ind w:right="24"/>
              <w:rPr>
                <w:sz w:val="16"/>
              </w:rPr>
            </w:pPr>
            <w:r>
              <w:rPr>
                <w:w w:val="105"/>
                <w:sz w:val="16"/>
              </w:rPr>
              <w:t>(4.337.176)</w:t>
            </w:r>
          </w:p>
        </w:tc>
        <w:tc>
          <w:tcPr>
            <w:tcW w:w="1053" w:type="dxa"/>
          </w:tcPr>
          <w:p>
            <w:pPr>
              <w:pStyle w:val="TableParagraph"/>
              <w:spacing w:before="29"/>
              <w:ind w:right="24"/>
              <w:rPr>
                <w:sz w:val="16"/>
              </w:rPr>
            </w:pPr>
            <w:r>
              <w:rPr>
                <w:w w:val="105"/>
                <w:sz w:val="16"/>
              </w:rPr>
              <w:t>(855.057)</w:t>
            </w:r>
          </w:p>
        </w:tc>
        <w:tc>
          <w:tcPr>
            <w:tcW w:w="1272" w:type="dxa"/>
          </w:tcPr>
          <w:p>
            <w:pPr>
              <w:pStyle w:val="TableParagraph"/>
              <w:spacing w:before="29"/>
              <w:ind w:right="24"/>
              <w:rPr>
                <w:sz w:val="16"/>
              </w:rPr>
            </w:pPr>
            <w:r>
              <w:rPr>
                <w:w w:val="105"/>
                <w:sz w:val="16"/>
              </w:rPr>
              <w:t>(669.792)</w:t>
            </w:r>
          </w:p>
        </w:tc>
        <w:tc>
          <w:tcPr>
            <w:tcW w:w="1241" w:type="dxa"/>
          </w:tcPr>
          <w:p>
            <w:pPr>
              <w:pStyle w:val="TableParagraph"/>
              <w:spacing w:before="29"/>
              <w:ind w:right="24"/>
              <w:rPr>
                <w:sz w:val="16"/>
              </w:rPr>
            </w:pPr>
            <w:r>
              <w:rPr>
                <w:w w:val="105"/>
                <w:sz w:val="16"/>
              </w:rPr>
              <w:t>(185.265)</w:t>
            </w:r>
          </w:p>
        </w:tc>
      </w:tr>
    </w:tbl>
    <w:p>
      <w:pPr>
        <w:pStyle w:val="BodyText"/>
        <w:rPr>
          <w:sz w:val="20"/>
        </w:rPr>
      </w:pPr>
    </w:p>
    <w:p>
      <w:pPr>
        <w:pStyle w:val="BodyText"/>
        <w:spacing w:before="8"/>
        <w:rPr>
          <w:sz w:val="23"/>
        </w:rPr>
      </w:pPr>
    </w:p>
    <w:p>
      <w:pPr>
        <w:pStyle w:val="BodyText"/>
        <w:spacing w:line="480" w:lineRule="auto"/>
        <w:ind w:left="1418" w:right="1416"/>
        <w:jc w:val="both"/>
      </w:pPr>
      <w:r>
        <w:rPr/>
        <w:t>I consulenti fiscali, studio legale tributario Ernst&amp;Young nella risposta alla lettera di circolarizzazione hanno precisato che in data 19 dicembre 2017 la Società ha ricevuto avviso di accertamento n. TSB060100246 con il quale l’ufficio chiedeva il pagamento di Euro 623.719,72 a titolo di IVA, sanzioni ed interessi relativi all’anno 2012. In particolare, l’Ufficio ha contestato alla Società di aver indebitamente effettuato acquisti senza applicazione dell’IVA per l’anno 2012, non avendo il requisito per essere qualificata come esportatore abituale. In data 01 febbraio 2018, la Società ha presentato apposita istanza di accertamento con adesione descritto nel successivo paragrafo fondi rischi. Tale accertamento risulta a sua volta anche nel certificato carichi pendenti preso in visione dagli scriventi.</w:t>
      </w:r>
    </w:p>
    <w:p>
      <w:pPr>
        <w:pStyle w:val="Heading2"/>
        <w:jc w:val="both"/>
      </w:pPr>
      <w:r>
        <w:rPr>
          <w:u w:val="single"/>
        </w:rPr>
        <w:t>Debito per imposte consolidate verso M&amp;G S.p.A.</w:t>
      </w:r>
    </w:p>
    <w:p>
      <w:pPr>
        <w:pStyle w:val="BodyText"/>
        <w:spacing w:before="1"/>
        <w:rPr>
          <w:b/>
          <w:sz w:val="15"/>
        </w:rPr>
      </w:pPr>
    </w:p>
    <w:p>
      <w:pPr>
        <w:pStyle w:val="BodyText"/>
        <w:spacing w:line="480" w:lineRule="auto" w:before="100"/>
        <w:ind w:left="1418" w:right="1416"/>
        <w:jc w:val="both"/>
      </w:pPr>
      <w:r>
        <w:rPr/>
        <w:t>Il debito ammonta ad Euro 5.184.379, gli scriventi rilevano che la Società aderisce al consolidato fiscale nazionale. Il consolidato fiscale nazionale è un regime di tassazione fiscale opzionale che permette alle società consolidanti, indipendentemente dall'obbligo civilistico di redigere il bilancio consolidato, di calcolare l'IRES in modo unitario con riferimento alle società aderenti al consolidato. Il consolidato si realizza determinando in capo alla società controllante  (M&amp;G S.p.A.) un'unica base imponibile per l'intero gruppo di imprese, in misura corrispondente alla somma algebrica degli imponibili di ciascuna società che vi partecipa.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5"/>
        <w:jc w:val="both"/>
      </w:pPr>
      <w:r>
        <w:rPr/>
        <w:t>Il modello di consolidamento adottato prevede la determinazione di una base imponibile unica per le società che partecipano alla tassazione di gruppo. Nel consolidato nazionale la somma algebrica delle basi imponibili riguarda l’intero reddito delle società consolidate, indipendentemente dalla percentuale di partecipazione in esse detenuta dal soggetto consolidante, e consente di compensare immediatamente ed integralmente i redditi e le perdite prodotti nell’ambito del gruppo.</w:t>
      </w:r>
    </w:p>
    <w:p>
      <w:pPr>
        <w:pStyle w:val="BodyText"/>
        <w:spacing w:line="480" w:lineRule="auto"/>
        <w:ind w:left="1418" w:right="1412"/>
        <w:jc w:val="both"/>
      </w:pPr>
      <w:r>
        <w:rPr/>
        <w:t>Nella situazione contabile al 15 ottobre 2017 risulta iscritto un debito per imposte dirette consolidate per Euro 5.184.379 ed ha principalmente origine dagli utili fiscali trasferiti alla società consolidante M&amp;G S.p.A. sulla base dello specifico contratto di consolidato fiscale di cui gli scriventi hanno preso visione. L’IRES iscritta come debito è riferita al periodo di imposta 2016 e, come indicato nella dichiarazione presentata in data 31 ottobre 2017 dallo studio legale EY (Prot. 17103116340915988), risulta così costituita:</w:t>
      </w:r>
    </w:p>
    <w:p>
      <w:pPr>
        <w:pStyle w:val="ListParagraph"/>
        <w:numPr>
          <w:ilvl w:val="0"/>
          <w:numId w:val="77"/>
        </w:numPr>
        <w:tabs>
          <w:tab w:pos="2126" w:val="left" w:leader="none"/>
          <w:tab w:pos="2127" w:val="left" w:leader="none"/>
        </w:tabs>
        <w:spacing w:line="240" w:lineRule="auto" w:before="0" w:after="0"/>
        <w:ind w:left="2126" w:right="0" w:hanging="348"/>
        <w:jc w:val="left"/>
        <w:rPr>
          <w:sz w:val="24"/>
        </w:rPr>
      </w:pPr>
      <w:r>
        <w:rPr>
          <w:sz w:val="24"/>
        </w:rPr>
        <w:t>imposta a debito di Euro 5.231.389,49 calcola sul reddito di</w:t>
      </w:r>
      <w:r>
        <w:rPr>
          <w:spacing w:val="-13"/>
          <w:sz w:val="24"/>
        </w:rPr>
        <w:t> </w:t>
      </w:r>
      <w:r>
        <w:rPr>
          <w:sz w:val="24"/>
        </w:rPr>
        <w:t>19.023.232;</w:t>
      </w:r>
    </w:p>
    <w:p>
      <w:pPr>
        <w:pStyle w:val="BodyText"/>
        <w:spacing w:before="9"/>
        <w:rPr>
          <w:sz w:val="23"/>
        </w:rPr>
      </w:pPr>
    </w:p>
    <w:p>
      <w:pPr>
        <w:pStyle w:val="ListParagraph"/>
        <w:numPr>
          <w:ilvl w:val="0"/>
          <w:numId w:val="77"/>
        </w:numPr>
        <w:tabs>
          <w:tab w:pos="2126" w:val="left" w:leader="none"/>
          <w:tab w:pos="2127" w:val="left" w:leader="none"/>
        </w:tabs>
        <w:spacing w:line="240" w:lineRule="auto" w:before="1" w:after="0"/>
        <w:ind w:left="2126" w:right="0" w:hanging="348"/>
        <w:jc w:val="left"/>
        <w:rPr>
          <w:sz w:val="24"/>
        </w:rPr>
      </w:pPr>
      <w:r>
        <w:rPr>
          <w:sz w:val="24"/>
        </w:rPr>
        <w:t>imposta a credito per ritenute per Euro</w:t>
      </w:r>
      <w:r>
        <w:rPr>
          <w:spacing w:val="-11"/>
          <w:sz w:val="24"/>
        </w:rPr>
        <w:t> </w:t>
      </w:r>
      <w:r>
        <w:rPr>
          <w:sz w:val="24"/>
        </w:rPr>
        <w:t>1.948;</w:t>
      </w:r>
    </w:p>
    <w:p>
      <w:pPr>
        <w:pStyle w:val="BodyText"/>
        <w:spacing w:before="10"/>
        <w:rPr>
          <w:sz w:val="23"/>
        </w:rPr>
      </w:pPr>
    </w:p>
    <w:p>
      <w:pPr>
        <w:pStyle w:val="ListParagraph"/>
        <w:numPr>
          <w:ilvl w:val="0"/>
          <w:numId w:val="77"/>
        </w:numPr>
        <w:tabs>
          <w:tab w:pos="2126" w:val="left" w:leader="none"/>
          <w:tab w:pos="2127" w:val="left" w:leader="none"/>
        </w:tabs>
        <w:spacing w:line="240" w:lineRule="auto" w:before="0" w:after="0"/>
        <w:ind w:left="2126" w:right="0" w:hanging="348"/>
        <w:jc w:val="left"/>
        <w:rPr>
          <w:sz w:val="24"/>
        </w:rPr>
      </w:pPr>
      <w:r>
        <w:rPr>
          <w:sz w:val="24"/>
        </w:rPr>
        <w:t>imposta a credito imposte pagate all’estero per Euro</w:t>
      </w:r>
      <w:r>
        <w:rPr>
          <w:spacing w:val="-5"/>
          <w:sz w:val="24"/>
        </w:rPr>
        <w:t> </w:t>
      </w:r>
      <w:r>
        <w:rPr>
          <w:sz w:val="24"/>
        </w:rPr>
        <w:t>45.062.</w:t>
      </w:r>
    </w:p>
    <w:p>
      <w:pPr>
        <w:pStyle w:val="BodyText"/>
        <w:spacing w:before="9"/>
        <w:rPr>
          <w:sz w:val="23"/>
        </w:rPr>
      </w:pPr>
    </w:p>
    <w:p>
      <w:pPr>
        <w:pStyle w:val="Heading2"/>
        <w:spacing w:before="1"/>
        <w:jc w:val="both"/>
      </w:pPr>
      <w:r>
        <w:rPr>
          <w:u w:val="single"/>
        </w:rPr>
        <w:t>Altri debiti verso M&amp;G S.p.A.</w:t>
      </w:r>
    </w:p>
    <w:p>
      <w:pPr>
        <w:pStyle w:val="BodyText"/>
        <w:rPr>
          <w:b/>
        </w:rPr>
      </w:pPr>
    </w:p>
    <w:p>
      <w:pPr>
        <w:pStyle w:val="BodyText"/>
        <w:spacing w:line="480" w:lineRule="auto"/>
        <w:ind w:left="1418" w:right="1420"/>
        <w:jc w:val="both"/>
      </w:pPr>
      <w:r>
        <w:rPr/>
        <w:t>Il debito ammonta ad Euro 1.210.000 ed è sorto a seguito della escussione da parte di BEI della garanzia rilasciata da BNL e della contestuale escussione da parte della controgaranzia rilasciata a BNL da parte di M&amp;G S.p.A. nell’interesse di Biochemtex. Si rimanda per la trattazione del finanziamento BEI al paragrafo dei debiti verso banche.</w:t>
      </w:r>
    </w:p>
    <w:p>
      <w:pPr>
        <w:pStyle w:val="Heading2"/>
        <w:jc w:val="both"/>
      </w:pPr>
      <w:r>
        <w:rPr>
          <w:u w:val="single"/>
        </w:rPr>
        <w:t>Altri debiti verso Chemtex International</w:t>
      </w:r>
    </w:p>
    <w:p>
      <w:pPr>
        <w:pStyle w:val="BodyText"/>
        <w:rPr>
          <w:b/>
        </w:rPr>
      </w:pPr>
    </w:p>
    <w:p>
      <w:pPr>
        <w:pStyle w:val="BodyText"/>
        <w:spacing w:line="480" w:lineRule="auto"/>
        <w:ind w:left="1418" w:right="1420"/>
        <w:jc w:val="both"/>
      </w:pPr>
      <w:r>
        <w:rPr/>
        <w:t>Il debito ammonta al valore di Euro 3.246.312, oltre ad interessi per Euro 7.986 ed è sorto per un’anticipazione finanziaria effettuata da Chemtex Int. a favore di Biochemtex. In particolare,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5"/>
        <w:jc w:val="both"/>
      </w:pPr>
      <w:r>
        <w:rPr/>
        <w:t>Chemtex International ha effettutato pagamenti per conto della Biochemtex a fornitori di quest’ultima, pagamenti rifatturati alla Biochemtex in data 30 novembre 2017 con fattura n. 1117060041, per la quota capitale e con le fatture n. 1116060029 e n. 1116060030  del  31 dicembre 2016 per la quota degli interessi.</w:t>
      </w:r>
    </w:p>
    <w:p>
      <w:pPr>
        <w:pStyle w:val="Heading2"/>
        <w:jc w:val="both"/>
      </w:pPr>
      <w:r>
        <w:rPr>
          <w:u w:val="single"/>
        </w:rPr>
        <w:t>Altri debiti verso Chemtex Chemical Shangaj</w:t>
      </w:r>
    </w:p>
    <w:p>
      <w:pPr>
        <w:pStyle w:val="BodyText"/>
        <w:spacing w:before="1"/>
        <w:rPr>
          <w:b/>
          <w:sz w:val="15"/>
        </w:rPr>
      </w:pPr>
    </w:p>
    <w:p>
      <w:pPr>
        <w:pStyle w:val="BodyText"/>
        <w:spacing w:line="480" w:lineRule="auto" w:before="101"/>
        <w:ind w:left="1418" w:right="1412"/>
        <w:jc w:val="both"/>
      </w:pPr>
      <w:r>
        <w:rPr/>
        <w:t>Il debito ammonta al valore di Euro 423.370 ed è sorto per un’anticipazione finanziaria effettuata da Chemtex Chemical Shangaj a favore di Biochemtex al fine di effettuare alcuni pagamenti verso fornitori nel corso del 2017 per dollari 500.000. Gli scriventi non hanno ricevuto  documentazione a supporto, se non una email datata 28 settembre 2017, con la quale la Società consociata di diritto cinese comunica alla Biochemtex di aver effettuato il pagamento dei fornitori legati alla commessa</w:t>
      </w:r>
      <w:r>
        <w:rPr>
          <w:spacing w:val="-10"/>
        </w:rPr>
        <w:t> </w:t>
      </w:r>
      <w:r>
        <w:rPr/>
        <w:t>Safpet.</w:t>
      </w:r>
    </w:p>
    <w:p>
      <w:pPr>
        <w:pStyle w:val="Heading2"/>
        <w:jc w:val="both"/>
      </w:pPr>
      <w:r>
        <w:rPr>
          <w:u w:val="single"/>
        </w:rPr>
        <w:t>Altri debiti verso M&amp;G Finanziaria</w:t>
      </w:r>
    </w:p>
    <w:p>
      <w:pPr>
        <w:pStyle w:val="BodyText"/>
        <w:spacing w:before="10"/>
        <w:rPr>
          <w:b/>
          <w:sz w:val="23"/>
        </w:rPr>
      </w:pPr>
    </w:p>
    <w:p>
      <w:pPr>
        <w:pStyle w:val="BodyText"/>
        <w:spacing w:line="480" w:lineRule="auto" w:before="1"/>
        <w:ind w:left="1418" w:right="1413"/>
        <w:jc w:val="both"/>
      </w:pPr>
      <w:r>
        <w:rPr/>
        <w:t>Il debito ammonta ad Euro 154.461 ed è riferito al riaddebito dalla M&amp;G Finanziaria di costi del personale distaccato di cui Euro 23.324 relativi a costi riaddebitati nel 2017 ed Euro 131.137 nell’anno 2016.</w:t>
      </w:r>
    </w:p>
    <w:p>
      <w:pPr>
        <w:pStyle w:val="Heading2"/>
        <w:jc w:val="both"/>
      </w:pPr>
      <w:r>
        <w:rPr>
          <w:u w:val="single"/>
        </w:rPr>
        <w:t>Altri debiti verso IBP S.r.l.</w:t>
      </w:r>
    </w:p>
    <w:p>
      <w:pPr>
        <w:pStyle w:val="BodyText"/>
        <w:spacing w:before="11"/>
        <w:rPr>
          <w:b/>
          <w:sz w:val="23"/>
        </w:rPr>
      </w:pPr>
    </w:p>
    <w:p>
      <w:pPr>
        <w:pStyle w:val="BodyText"/>
        <w:spacing w:line="480" w:lineRule="auto"/>
        <w:ind w:left="1418" w:right="1422"/>
        <w:jc w:val="both"/>
      </w:pPr>
      <w:r>
        <w:rPr/>
        <w:t>Il debito ammonta ad Euro 77.124 e si riferisce a ratei per personale trasferito in IBP tra ottobre 2016 e giugno 2017.</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pPr>
    </w:p>
    <w:tbl>
      <w:tblPr>
        <w:tblW w:w="0" w:type="auto"/>
        <w:jc w:val="left"/>
        <w:tblInd w:w="29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46"/>
        <w:gridCol w:w="1545"/>
      </w:tblGrid>
      <w:tr>
        <w:trPr>
          <w:trHeight w:val="315" w:hRule="exact"/>
        </w:trPr>
        <w:tc>
          <w:tcPr>
            <w:tcW w:w="4546" w:type="dxa"/>
            <w:tcBorders>
              <w:left w:val="single" w:sz="6" w:space="0" w:color="000000"/>
              <w:bottom w:val="single" w:sz="6" w:space="0" w:color="000000"/>
              <w:right w:val="single" w:sz="6" w:space="0" w:color="000000"/>
            </w:tcBorders>
            <w:shd w:val="clear" w:color="auto" w:fill="BEBEBE"/>
          </w:tcPr>
          <w:p>
            <w:pPr>
              <w:pStyle w:val="TableParagraph"/>
              <w:spacing w:before="32"/>
              <w:ind w:left="29"/>
              <w:jc w:val="left"/>
              <w:rPr>
                <w:b/>
                <w:sz w:val="24"/>
              </w:rPr>
            </w:pPr>
            <w:r>
              <w:rPr>
                <w:b/>
                <w:sz w:val="24"/>
              </w:rPr>
              <w:t>DIPENDENTI</w:t>
            </w:r>
          </w:p>
        </w:tc>
        <w:tc>
          <w:tcPr>
            <w:tcW w:w="1545" w:type="dxa"/>
            <w:tcBorders>
              <w:left w:val="single" w:sz="6" w:space="0" w:color="000000"/>
              <w:bottom w:val="single" w:sz="6" w:space="0" w:color="000000"/>
              <w:right w:val="single" w:sz="6" w:space="0" w:color="000000"/>
            </w:tcBorders>
            <w:shd w:val="clear" w:color="auto" w:fill="BEBEBE"/>
          </w:tcPr>
          <w:p>
            <w:pPr>
              <w:pStyle w:val="TableParagraph"/>
              <w:spacing w:before="32"/>
              <w:ind w:left="494"/>
              <w:jc w:val="left"/>
              <w:rPr>
                <w:b/>
                <w:sz w:val="24"/>
              </w:rPr>
            </w:pPr>
            <w:r>
              <w:rPr>
                <w:b/>
                <w:sz w:val="24"/>
              </w:rPr>
              <w:t>Ratei</w:t>
            </w:r>
          </w:p>
        </w:tc>
      </w:tr>
      <w:tr>
        <w:trPr>
          <w:trHeight w:val="333" w:hRule="exact"/>
        </w:trPr>
        <w:tc>
          <w:tcPr>
            <w:tcW w:w="4546" w:type="dxa"/>
            <w:tcBorders>
              <w:top w:val="single" w:sz="6" w:space="0" w:color="000000"/>
              <w:left w:val="single" w:sz="6" w:space="0" w:color="000000"/>
              <w:bottom w:val="nil"/>
              <w:right w:val="single" w:sz="6" w:space="0" w:color="000000"/>
            </w:tcBorders>
          </w:tcPr>
          <w:p>
            <w:pPr>
              <w:pStyle w:val="TableParagraph"/>
              <w:spacing w:before="33"/>
              <w:ind w:left="29"/>
              <w:jc w:val="left"/>
              <w:rPr>
                <w:sz w:val="24"/>
              </w:rPr>
            </w:pPr>
            <w:r>
              <w:rPr>
                <w:sz w:val="24"/>
              </w:rPr>
              <w:t>Cherchi Francesco</w:t>
            </w:r>
          </w:p>
        </w:tc>
        <w:tc>
          <w:tcPr>
            <w:tcW w:w="1545" w:type="dxa"/>
            <w:tcBorders>
              <w:top w:val="single" w:sz="6" w:space="0" w:color="000000"/>
              <w:left w:val="single" w:sz="6" w:space="0" w:color="000000"/>
              <w:bottom w:val="nil"/>
              <w:right w:val="single" w:sz="6" w:space="0" w:color="000000"/>
            </w:tcBorders>
          </w:tcPr>
          <w:p>
            <w:pPr>
              <w:pStyle w:val="TableParagraph"/>
              <w:spacing w:before="33"/>
              <w:ind w:right="111"/>
              <w:rPr>
                <w:sz w:val="24"/>
              </w:rPr>
            </w:pPr>
            <w:r>
              <w:rPr>
                <w:sz w:val="24"/>
              </w:rPr>
              <w:t>24.187</w:t>
            </w:r>
          </w:p>
        </w:tc>
      </w:tr>
      <w:tr>
        <w:trPr>
          <w:trHeight w:val="315" w:hRule="exact"/>
        </w:trPr>
        <w:tc>
          <w:tcPr>
            <w:tcW w:w="4546"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Calcante Marica</w:t>
            </w:r>
          </w:p>
        </w:tc>
        <w:tc>
          <w:tcPr>
            <w:tcW w:w="1545" w:type="dxa"/>
            <w:tcBorders>
              <w:top w:val="nil"/>
              <w:left w:val="single" w:sz="6" w:space="0" w:color="000000"/>
              <w:bottom w:val="nil"/>
              <w:right w:val="single" w:sz="6" w:space="0" w:color="000000"/>
            </w:tcBorders>
          </w:tcPr>
          <w:p>
            <w:pPr>
              <w:pStyle w:val="TableParagraph"/>
              <w:spacing w:before="22"/>
              <w:ind w:right="111"/>
              <w:rPr>
                <w:sz w:val="24"/>
              </w:rPr>
            </w:pPr>
            <w:r>
              <w:rPr>
                <w:sz w:val="24"/>
              </w:rPr>
              <w:t>2.658</w:t>
            </w:r>
          </w:p>
        </w:tc>
      </w:tr>
      <w:tr>
        <w:trPr>
          <w:trHeight w:val="315" w:hRule="exact"/>
        </w:trPr>
        <w:tc>
          <w:tcPr>
            <w:tcW w:w="4546"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Ficalbi Alessia</w:t>
            </w:r>
          </w:p>
        </w:tc>
        <w:tc>
          <w:tcPr>
            <w:tcW w:w="1545" w:type="dxa"/>
            <w:tcBorders>
              <w:top w:val="nil"/>
              <w:left w:val="single" w:sz="6" w:space="0" w:color="000000"/>
              <w:bottom w:val="nil"/>
              <w:right w:val="single" w:sz="6" w:space="0" w:color="000000"/>
            </w:tcBorders>
          </w:tcPr>
          <w:p>
            <w:pPr>
              <w:pStyle w:val="TableParagraph"/>
              <w:spacing w:before="22"/>
              <w:ind w:right="111"/>
              <w:rPr>
                <w:sz w:val="24"/>
              </w:rPr>
            </w:pPr>
            <w:r>
              <w:rPr>
                <w:sz w:val="24"/>
              </w:rPr>
              <w:t>1.368</w:t>
            </w:r>
          </w:p>
        </w:tc>
      </w:tr>
      <w:tr>
        <w:trPr>
          <w:trHeight w:val="315" w:hRule="exact"/>
        </w:trPr>
        <w:tc>
          <w:tcPr>
            <w:tcW w:w="4546"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Passerini Gaia</w:t>
            </w:r>
          </w:p>
        </w:tc>
        <w:tc>
          <w:tcPr>
            <w:tcW w:w="1545" w:type="dxa"/>
            <w:tcBorders>
              <w:top w:val="nil"/>
              <w:left w:val="single" w:sz="6" w:space="0" w:color="000000"/>
              <w:bottom w:val="nil"/>
              <w:right w:val="single" w:sz="6" w:space="0" w:color="000000"/>
            </w:tcBorders>
          </w:tcPr>
          <w:p>
            <w:pPr>
              <w:pStyle w:val="TableParagraph"/>
              <w:spacing w:before="22"/>
              <w:ind w:right="111"/>
              <w:rPr>
                <w:sz w:val="24"/>
              </w:rPr>
            </w:pPr>
            <w:r>
              <w:rPr>
                <w:sz w:val="24"/>
              </w:rPr>
              <w:t>20.048</w:t>
            </w:r>
          </w:p>
        </w:tc>
      </w:tr>
      <w:tr>
        <w:trPr>
          <w:trHeight w:val="315" w:hRule="exact"/>
        </w:trPr>
        <w:tc>
          <w:tcPr>
            <w:tcW w:w="4546"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Pagella Luca</w:t>
            </w:r>
          </w:p>
        </w:tc>
        <w:tc>
          <w:tcPr>
            <w:tcW w:w="1545" w:type="dxa"/>
            <w:tcBorders>
              <w:top w:val="nil"/>
              <w:left w:val="single" w:sz="6" w:space="0" w:color="000000"/>
              <w:bottom w:val="nil"/>
              <w:right w:val="single" w:sz="6" w:space="0" w:color="000000"/>
            </w:tcBorders>
          </w:tcPr>
          <w:p>
            <w:pPr>
              <w:pStyle w:val="TableParagraph"/>
              <w:spacing w:before="22"/>
              <w:ind w:right="111"/>
              <w:rPr>
                <w:sz w:val="24"/>
              </w:rPr>
            </w:pPr>
            <w:r>
              <w:rPr>
                <w:sz w:val="24"/>
              </w:rPr>
              <w:t>12.564</w:t>
            </w:r>
          </w:p>
        </w:tc>
      </w:tr>
      <w:tr>
        <w:trPr>
          <w:trHeight w:val="315" w:hRule="exact"/>
        </w:trPr>
        <w:tc>
          <w:tcPr>
            <w:tcW w:w="4546"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Simmonelli Alice</w:t>
            </w:r>
          </w:p>
        </w:tc>
        <w:tc>
          <w:tcPr>
            <w:tcW w:w="1545" w:type="dxa"/>
            <w:tcBorders>
              <w:top w:val="nil"/>
              <w:left w:val="single" w:sz="6" w:space="0" w:color="000000"/>
              <w:bottom w:val="nil"/>
              <w:right w:val="single" w:sz="6" w:space="0" w:color="000000"/>
            </w:tcBorders>
          </w:tcPr>
          <w:p>
            <w:pPr>
              <w:pStyle w:val="TableParagraph"/>
              <w:spacing w:before="22"/>
              <w:ind w:right="111"/>
              <w:rPr>
                <w:sz w:val="24"/>
              </w:rPr>
            </w:pPr>
            <w:r>
              <w:rPr>
                <w:sz w:val="24"/>
              </w:rPr>
              <w:t>7.689</w:t>
            </w:r>
          </w:p>
        </w:tc>
      </w:tr>
      <w:tr>
        <w:trPr>
          <w:trHeight w:val="315" w:hRule="exact"/>
        </w:trPr>
        <w:tc>
          <w:tcPr>
            <w:tcW w:w="4546"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Veronese Martina</w:t>
            </w:r>
          </w:p>
        </w:tc>
        <w:tc>
          <w:tcPr>
            <w:tcW w:w="1545" w:type="dxa"/>
            <w:tcBorders>
              <w:top w:val="nil"/>
              <w:left w:val="single" w:sz="6" w:space="0" w:color="000000"/>
              <w:bottom w:val="nil"/>
              <w:right w:val="single" w:sz="6" w:space="0" w:color="000000"/>
            </w:tcBorders>
          </w:tcPr>
          <w:p>
            <w:pPr>
              <w:pStyle w:val="TableParagraph"/>
              <w:spacing w:before="22"/>
              <w:ind w:right="111"/>
              <w:rPr>
                <w:sz w:val="24"/>
              </w:rPr>
            </w:pPr>
            <w:r>
              <w:rPr>
                <w:sz w:val="24"/>
              </w:rPr>
              <w:t>2.401</w:t>
            </w:r>
          </w:p>
        </w:tc>
      </w:tr>
      <w:tr>
        <w:trPr>
          <w:trHeight w:val="297" w:hRule="exact"/>
        </w:trPr>
        <w:tc>
          <w:tcPr>
            <w:tcW w:w="4546" w:type="dxa"/>
            <w:tcBorders>
              <w:top w:val="nil"/>
              <w:left w:val="single" w:sz="6" w:space="0" w:color="000000"/>
              <w:bottom w:val="single" w:sz="6" w:space="0" w:color="000000"/>
              <w:right w:val="single" w:sz="6" w:space="0" w:color="000000"/>
            </w:tcBorders>
          </w:tcPr>
          <w:p>
            <w:pPr>
              <w:pStyle w:val="TableParagraph"/>
              <w:spacing w:before="22"/>
              <w:ind w:left="29"/>
              <w:jc w:val="left"/>
              <w:rPr>
                <w:sz w:val="24"/>
              </w:rPr>
            </w:pPr>
            <w:r>
              <w:rPr>
                <w:sz w:val="24"/>
              </w:rPr>
              <w:t>Borella Fabio</w:t>
            </w:r>
          </w:p>
        </w:tc>
        <w:tc>
          <w:tcPr>
            <w:tcW w:w="1545" w:type="dxa"/>
            <w:tcBorders>
              <w:top w:val="nil"/>
              <w:left w:val="single" w:sz="6" w:space="0" w:color="000000"/>
              <w:bottom w:val="single" w:sz="6" w:space="0" w:color="000000"/>
              <w:right w:val="single" w:sz="6" w:space="0" w:color="000000"/>
            </w:tcBorders>
          </w:tcPr>
          <w:p>
            <w:pPr>
              <w:pStyle w:val="TableParagraph"/>
              <w:spacing w:before="22"/>
              <w:ind w:right="111"/>
              <w:rPr>
                <w:sz w:val="24"/>
              </w:rPr>
            </w:pPr>
            <w:r>
              <w:rPr>
                <w:sz w:val="24"/>
              </w:rPr>
              <w:t>6.209</w:t>
            </w:r>
          </w:p>
        </w:tc>
      </w:tr>
      <w:tr>
        <w:trPr>
          <w:trHeight w:val="315" w:hRule="exact"/>
        </w:trPr>
        <w:tc>
          <w:tcPr>
            <w:tcW w:w="4546" w:type="dxa"/>
            <w:tcBorders>
              <w:top w:val="single" w:sz="6" w:space="0" w:color="000000"/>
              <w:left w:val="single" w:sz="6" w:space="0" w:color="000000"/>
              <w:bottom w:val="single" w:sz="6" w:space="0" w:color="000000"/>
              <w:right w:val="single" w:sz="6" w:space="0" w:color="000000"/>
            </w:tcBorders>
            <w:shd w:val="clear" w:color="auto" w:fill="BEBEBE"/>
          </w:tcPr>
          <w:p>
            <w:pPr>
              <w:pStyle w:val="TableParagraph"/>
              <w:spacing w:before="33"/>
              <w:ind w:left="29"/>
              <w:jc w:val="left"/>
              <w:rPr>
                <w:b/>
                <w:sz w:val="24"/>
              </w:rPr>
            </w:pPr>
            <w:r>
              <w:rPr>
                <w:b/>
                <w:sz w:val="24"/>
              </w:rPr>
              <w:t>Debito verso IBP Srl</w:t>
            </w:r>
          </w:p>
        </w:tc>
        <w:tc>
          <w:tcPr>
            <w:tcW w:w="1545" w:type="dxa"/>
            <w:tcBorders>
              <w:top w:val="single" w:sz="6" w:space="0" w:color="000000"/>
              <w:left w:val="single" w:sz="6" w:space="0" w:color="000000"/>
              <w:bottom w:val="single" w:sz="6" w:space="0" w:color="000000"/>
              <w:right w:val="single" w:sz="6" w:space="0" w:color="000000"/>
            </w:tcBorders>
            <w:shd w:val="clear" w:color="auto" w:fill="BEBEBE"/>
          </w:tcPr>
          <w:p>
            <w:pPr>
              <w:pStyle w:val="TableParagraph"/>
              <w:spacing w:before="33"/>
              <w:ind w:right="68"/>
              <w:rPr>
                <w:b/>
                <w:sz w:val="24"/>
              </w:rPr>
            </w:pPr>
            <w:r>
              <w:rPr>
                <w:b/>
                <w:sz w:val="24"/>
              </w:rPr>
              <w:t>77.124</w:t>
            </w:r>
          </w:p>
        </w:tc>
      </w:tr>
    </w:tbl>
    <w:p>
      <w:pPr>
        <w:pStyle w:val="BodyText"/>
        <w:rPr>
          <w:sz w:val="20"/>
        </w:rPr>
      </w:pPr>
    </w:p>
    <w:p>
      <w:pPr>
        <w:pStyle w:val="BodyText"/>
        <w:spacing w:before="4"/>
        <w:rPr>
          <w:sz w:val="23"/>
        </w:rPr>
      </w:pPr>
    </w:p>
    <w:p>
      <w:pPr>
        <w:pStyle w:val="Heading2"/>
        <w:spacing w:before="101"/>
        <w:jc w:val="both"/>
      </w:pPr>
      <w:r>
        <w:rPr>
          <w:u w:val="single"/>
        </w:rPr>
        <w:t>Altri debiti verso C5-6</w:t>
      </w:r>
    </w:p>
    <w:p>
      <w:pPr>
        <w:pStyle w:val="BodyText"/>
        <w:rPr>
          <w:b/>
        </w:rPr>
      </w:pPr>
    </w:p>
    <w:p>
      <w:pPr>
        <w:pStyle w:val="BodyText"/>
        <w:spacing w:line="480" w:lineRule="auto"/>
        <w:ind w:left="1418" w:right="1415"/>
        <w:jc w:val="both"/>
      </w:pPr>
      <w:r>
        <w:rPr/>
        <w:t>Il debito ammonta ad Euro 4.402 e si riferisce al pagamento dei contributi Faschim relativi al periodo ott. - dic. 2016, effettuato dalla C5-6 per conto della Ricorrente in data 16 gennaio 2017 per Euro 4.402,25.</w:t>
      </w:r>
    </w:p>
    <w:p>
      <w:pPr>
        <w:pStyle w:val="Heading2"/>
        <w:jc w:val="both"/>
      </w:pPr>
      <w:r>
        <w:rPr>
          <w:u w:val="single"/>
        </w:rPr>
        <w:t>Altri debiti verso Beta Renewables</w:t>
      </w:r>
    </w:p>
    <w:p>
      <w:pPr>
        <w:pStyle w:val="BodyText"/>
        <w:spacing w:before="11"/>
        <w:rPr>
          <w:b/>
          <w:sz w:val="23"/>
        </w:rPr>
      </w:pPr>
    </w:p>
    <w:p>
      <w:pPr>
        <w:pStyle w:val="BodyText"/>
        <w:spacing w:line="480" w:lineRule="auto"/>
        <w:ind w:left="1418" w:right="1417"/>
        <w:jc w:val="both"/>
      </w:pPr>
      <w:r>
        <w:rPr/>
        <w:t>Il debito ammonta ad Euro 15.831 e si riferisce a costi per il riaddebito del personale per i dipendenti Ferrando Patrizia e Rasetto Valeria.</w:t>
      </w:r>
    </w:p>
    <w:p>
      <w:pPr>
        <w:pStyle w:val="BodyText"/>
        <w:ind w:left="1418"/>
        <w:jc w:val="both"/>
      </w:pPr>
      <w:r>
        <w:rPr>
          <w:u w:val="single"/>
        </w:rPr>
        <w:t>Attività svolta</w:t>
      </w:r>
    </w:p>
    <w:p>
      <w:pPr>
        <w:pStyle w:val="BodyText"/>
      </w:pPr>
    </w:p>
    <w:p>
      <w:pPr>
        <w:pStyle w:val="BodyText"/>
        <w:spacing w:line="480" w:lineRule="auto"/>
        <w:ind w:left="1418" w:right="1419"/>
        <w:jc w:val="both"/>
      </w:pPr>
      <w:r>
        <w:rPr/>
        <w:t>Al fine di verificare la veridicità dei dati contabili, gli scriventi hanno preso visione, in riferimento ai debiti tributari di Gruppo, della dichiarazione IVA (periodo d’imposta 2016), dei registri IVA 2017, delle comunicazioni periodiche trimestrali IVA 2017, del contratto di consolidato fiscale,  del Modello Unico periodo d’imposta</w:t>
      </w:r>
      <w:r>
        <w:rPr>
          <w:spacing w:val="-5"/>
        </w:rPr>
        <w:t> </w:t>
      </w:r>
      <w:r>
        <w:rPr/>
        <w:t>2016.</w:t>
      </w:r>
    </w:p>
    <w:p>
      <w:pPr>
        <w:pStyle w:val="BodyText"/>
        <w:spacing w:line="480" w:lineRule="auto"/>
        <w:ind w:left="1418" w:right="1414"/>
        <w:jc w:val="both"/>
      </w:pPr>
      <w:r>
        <w:rPr/>
        <w:t>Per quanto riguarda il debito verso M&amp;G S.p.A., gli scriventi hanno preso visione della comunicazione della Banca Bei sulla escussione della Garanzia, della garanzia rilasciata da   M&amp;G</w:t>
      </w:r>
    </w:p>
    <w:p>
      <w:pPr>
        <w:pStyle w:val="ListParagraph"/>
        <w:numPr>
          <w:ilvl w:val="2"/>
          <w:numId w:val="78"/>
        </w:numPr>
        <w:tabs>
          <w:tab w:pos="2038" w:val="left" w:leader="none"/>
        </w:tabs>
        <w:spacing w:line="240" w:lineRule="auto" w:before="0" w:after="0"/>
        <w:ind w:left="2037" w:right="0" w:hanging="619"/>
        <w:jc w:val="both"/>
        <w:rPr>
          <w:sz w:val="24"/>
        </w:rPr>
      </w:pPr>
      <w:r>
        <w:rPr>
          <w:sz w:val="24"/>
        </w:rPr>
        <w:t>a favore di BNL e della comunicazione effettuata da BNL sulla escussione della</w:t>
      </w:r>
      <w:r>
        <w:rPr>
          <w:spacing w:val="-29"/>
          <w:sz w:val="24"/>
        </w:rPr>
        <w:t> </w:t>
      </w:r>
      <w:r>
        <w:rPr>
          <w:sz w:val="24"/>
        </w:rPr>
        <w:t>garanzia.</w:t>
      </w:r>
    </w:p>
    <w:p>
      <w:pPr>
        <w:spacing w:after="0" w:line="24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5"/>
        <w:jc w:val="both"/>
      </w:pPr>
      <w:r>
        <w:rPr/>
        <w:t>Per quanto riguarda il debito verso Chemtex International e Chemtex Chemical Shangaj, gli scriventi hanno preso visione delle contabili di pagamento dei debiti da Chemtex International a favore di Biochemtex e della fattura n. 1117060041 del 30 novembre 2017 e della email con la quale viene comunicato da Chemtex Chemical Shangaj il pagamento effettuato in riferimento alla commessa Safpet.</w:t>
      </w:r>
    </w:p>
    <w:p>
      <w:pPr>
        <w:pStyle w:val="BodyText"/>
        <w:spacing w:line="480" w:lineRule="auto"/>
        <w:ind w:left="1418" w:right="1414"/>
        <w:jc w:val="both"/>
      </w:pPr>
      <w:r>
        <w:rPr/>
        <w:t>Per ciò che riguarda i debiti verso M&amp;G Finanziaria, IBP e Beta Renewables, in riferimento a riaddebiti del personale, gli scriventi hanno preso visione dei prospetti riepilogativi effettuati dalla Società per il calcolo delle spettanze ai dipendenti distaccati.</w:t>
      </w:r>
    </w:p>
    <w:p>
      <w:pPr>
        <w:pStyle w:val="BodyText"/>
        <w:spacing w:line="480" w:lineRule="auto"/>
        <w:ind w:left="1418" w:right="1416"/>
        <w:jc w:val="both"/>
      </w:pPr>
      <w:r>
        <w:rPr/>
        <w:t>Con riferimento al debito verso C5-6, gli scriventi hanno preso visione del pagamento del contributo Faschim per conto di Biochemtex.</w:t>
      </w:r>
    </w:p>
    <w:p>
      <w:pPr>
        <w:pStyle w:val="BodyText"/>
        <w:ind w:left="1418"/>
        <w:jc w:val="both"/>
      </w:pPr>
      <w:r>
        <w:rPr>
          <w:u w:val="single"/>
        </w:rPr>
        <w:t>Valorizzazione concordataria</w:t>
      </w:r>
    </w:p>
    <w:p>
      <w:pPr>
        <w:pStyle w:val="BodyText"/>
        <w:spacing w:before="1"/>
        <w:rPr>
          <w:sz w:val="15"/>
        </w:rPr>
      </w:pPr>
    </w:p>
    <w:p>
      <w:pPr>
        <w:pStyle w:val="BodyText"/>
        <w:spacing w:line="480" w:lineRule="auto" w:before="100"/>
        <w:ind w:left="1418" w:right="1518"/>
      </w:pPr>
      <w:r>
        <w:rPr/>
        <w:t>Ai fini del piano concordatario, i debiti diversi verso il Gruppo sono stati classificati così come segue:</w:t>
      </w:r>
    </w:p>
    <w:p>
      <w:pPr>
        <w:pStyle w:val="ListParagraph"/>
        <w:numPr>
          <w:ilvl w:val="3"/>
          <w:numId w:val="78"/>
        </w:numPr>
        <w:tabs>
          <w:tab w:pos="2126" w:val="left" w:leader="none"/>
          <w:tab w:pos="2127" w:val="left" w:leader="none"/>
        </w:tabs>
        <w:spacing w:line="453" w:lineRule="auto" w:before="0" w:after="0"/>
        <w:ind w:left="2138" w:right="1423" w:hanging="360"/>
        <w:jc w:val="left"/>
        <w:rPr>
          <w:sz w:val="24"/>
        </w:rPr>
      </w:pPr>
      <w:r>
        <w:rPr>
          <w:sz w:val="24"/>
        </w:rPr>
        <w:t>debito per IVA di Gruppo verso M&amp;G Finanziaria, per Euro 185.265, avente natura postergata;</w:t>
      </w:r>
    </w:p>
    <w:p>
      <w:pPr>
        <w:pStyle w:val="ListParagraph"/>
        <w:numPr>
          <w:ilvl w:val="3"/>
          <w:numId w:val="78"/>
        </w:numPr>
        <w:tabs>
          <w:tab w:pos="2126" w:val="left" w:leader="none"/>
          <w:tab w:pos="2127" w:val="left" w:leader="none"/>
        </w:tabs>
        <w:spacing w:line="240" w:lineRule="auto" w:before="30" w:after="0"/>
        <w:ind w:left="2126" w:right="0" w:hanging="348"/>
        <w:jc w:val="left"/>
        <w:rPr>
          <w:sz w:val="24"/>
        </w:rPr>
      </w:pPr>
      <w:r>
        <w:rPr>
          <w:sz w:val="24"/>
        </w:rPr>
        <w:t>debito per imposte consolidate di Gruppo, per Euro 5.184.379, avente natura</w:t>
      </w:r>
      <w:r>
        <w:rPr>
          <w:spacing w:val="-27"/>
          <w:sz w:val="24"/>
        </w:rPr>
        <w:t> </w:t>
      </w:r>
      <w:r>
        <w:rPr>
          <w:sz w:val="24"/>
        </w:rPr>
        <w:t>postergata;</w:t>
      </w:r>
    </w:p>
    <w:p>
      <w:pPr>
        <w:pStyle w:val="ListParagraph"/>
        <w:numPr>
          <w:ilvl w:val="3"/>
          <w:numId w:val="78"/>
        </w:numPr>
        <w:tabs>
          <w:tab w:pos="2126" w:val="left" w:leader="none"/>
          <w:tab w:pos="2127" w:val="left" w:leader="none"/>
        </w:tabs>
        <w:spacing w:line="240" w:lineRule="auto" w:before="269" w:after="0"/>
        <w:ind w:left="2126" w:right="0" w:hanging="348"/>
        <w:jc w:val="left"/>
        <w:rPr>
          <w:sz w:val="24"/>
        </w:rPr>
      </w:pPr>
      <w:r>
        <w:rPr>
          <w:sz w:val="24"/>
        </w:rPr>
        <w:t>debito verso M&amp;G S.p.A., per Euro 1.210.000, avente natura</w:t>
      </w:r>
      <w:r>
        <w:rPr>
          <w:spacing w:val="-20"/>
          <w:sz w:val="24"/>
        </w:rPr>
        <w:t> </w:t>
      </w:r>
      <w:r>
        <w:rPr>
          <w:sz w:val="24"/>
        </w:rPr>
        <w:t>postergata;</w:t>
      </w:r>
    </w:p>
    <w:p>
      <w:pPr>
        <w:pStyle w:val="ListParagraph"/>
        <w:numPr>
          <w:ilvl w:val="3"/>
          <w:numId w:val="78"/>
        </w:numPr>
        <w:tabs>
          <w:tab w:pos="2126" w:val="left" w:leader="none"/>
          <w:tab w:pos="2127" w:val="left" w:leader="none"/>
        </w:tabs>
        <w:spacing w:line="240" w:lineRule="auto" w:before="269" w:after="0"/>
        <w:ind w:left="2126" w:right="0" w:hanging="348"/>
        <w:jc w:val="left"/>
        <w:rPr>
          <w:sz w:val="24"/>
        </w:rPr>
      </w:pPr>
      <w:r>
        <w:rPr>
          <w:sz w:val="24"/>
        </w:rPr>
        <w:t>debito verso Chemtex Iternational Inc, per Euro 3.246.312, avente natura</w:t>
      </w:r>
      <w:r>
        <w:rPr>
          <w:spacing w:val="-31"/>
          <w:sz w:val="24"/>
        </w:rPr>
        <w:t> </w:t>
      </w:r>
      <w:r>
        <w:rPr>
          <w:sz w:val="24"/>
        </w:rPr>
        <w:t>chirografaria;</w:t>
      </w:r>
    </w:p>
    <w:p>
      <w:pPr>
        <w:pStyle w:val="BodyText"/>
        <w:spacing w:before="2"/>
      </w:pPr>
    </w:p>
    <w:p>
      <w:pPr>
        <w:pStyle w:val="ListParagraph"/>
        <w:numPr>
          <w:ilvl w:val="3"/>
          <w:numId w:val="78"/>
        </w:numPr>
        <w:tabs>
          <w:tab w:pos="2126" w:val="left" w:leader="none"/>
          <w:tab w:pos="2127" w:val="left" w:leader="none"/>
        </w:tabs>
        <w:spacing w:line="240" w:lineRule="auto" w:before="0" w:after="0"/>
        <w:ind w:left="2126" w:right="0" w:hanging="348"/>
        <w:jc w:val="left"/>
        <w:rPr>
          <w:sz w:val="24"/>
        </w:rPr>
      </w:pPr>
      <w:r>
        <w:rPr>
          <w:sz w:val="24"/>
        </w:rPr>
        <w:t>debito verso Chemtex Iternational Inc, per Euro 7.986, avente natura</w:t>
      </w:r>
      <w:r>
        <w:rPr>
          <w:spacing w:val="-27"/>
          <w:sz w:val="24"/>
        </w:rPr>
        <w:t> </w:t>
      </w:r>
      <w:r>
        <w:rPr>
          <w:sz w:val="24"/>
        </w:rPr>
        <w:t>chirografaria;</w:t>
      </w:r>
    </w:p>
    <w:p>
      <w:pPr>
        <w:pStyle w:val="ListParagraph"/>
        <w:numPr>
          <w:ilvl w:val="3"/>
          <w:numId w:val="78"/>
        </w:numPr>
        <w:tabs>
          <w:tab w:pos="2126" w:val="left" w:leader="none"/>
          <w:tab w:pos="2127" w:val="left" w:leader="none"/>
        </w:tabs>
        <w:spacing w:line="240" w:lineRule="auto" w:before="269" w:after="0"/>
        <w:ind w:left="2126" w:right="0" w:hanging="348"/>
        <w:jc w:val="left"/>
        <w:rPr>
          <w:sz w:val="24"/>
        </w:rPr>
      </w:pPr>
      <w:r>
        <w:rPr>
          <w:sz w:val="24"/>
        </w:rPr>
        <w:t>debito verso C5-6 Italy S.r.l., per Euro 4.402, avente natura</w:t>
      </w:r>
      <w:r>
        <w:rPr>
          <w:spacing w:val="-23"/>
          <w:sz w:val="24"/>
        </w:rPr>
        <w:t> </w:t>
      </w:r>
      <w:r>
        <w:rPr>
          <w:sz w:val="24"/>
        </w:rPr>
        <w:t>chirografaria;</w:t>
      </w:r>
    </w:p>
    <w:p>
      <w:pPr>
        <w:pStyle w:val="ListParagraph"/>
        <w:numPr>
          <w:ilvl w:val="3"/>
          <w:numId w:val="78"/>
        </w:numPr>
        <w:tabs>
          <w:tab w:pos="2126" w:val="left" w:leader="none"/>
          <w:tab w:pos="2127" w:val="left" w:leader="none"/>
        </w:tabs>
        <w:spacing w:line="240" w:lineRule="auto" w:before="269" w:after="0"/>
        <w:ind w:left="2126" w:right="0" w:hanging="348"/>
        <w:jc w:val="left"/>
        <w:rPr>
          <w:sz w:val="24"/>
        </w:rPr>
      </w:pPr>
      <w:r>
        <w:rPr>
          <w:sz w:val="24"/>
        </w:rPr>
        <w:t>debito verso Chemtex Chemical Shangaj, per Euro 423.370, avente natura</w:t>
      </w:r>
      <w:r>
        <w:rPr>
          <w:spacing w:val="-32"/>
          <w:sz w:val="24"/>
        </w:rPr>
        <w:t> </w:t>
      </w:r>
      <w:r>
        <w:rPr>
          <w:sz w:val="24"/>
        </w:rPr>
        <w:t>chirografaria;</w:t>
      </w:r>
    </w:p>
    <w:p>
      <w:pPr>
        <w:pStyle w:val="BodyText"/>
        <w:spacing w:before="1"/>
      </w:pPr>
    </w:p>
    <w:p>
      <w:pPr>
        <w:pStyle w:val="ListParagraph"/>
        <w:numPr>
          <w:ilvl w:val="3"/>
          <w:numId w:val="78"/>
        </w:numPr>
        <w:tabs>
          <w:tab w:pos="2126" w:val="left" w:leader="none"/>
          <w:tab w:pos="2127" w:val="left" w:leader="none"/>
        </w:tabs>
        <w:spacing w:line="240" w:lineRule="auto" w:before="0" w:after="0"/>
        <w:ind w:left="2126" w:right="0" w:hanging="348"/>
        <w:jc w:val="left"/>
        <w:rPr>
          <w:sz w:val="24"/>
        </w:rPr>
      </w:pPr>
      <w:r>
        <w:rPr>
          <w:sz w:val="24"/>
        </w:rPr>
        <w:t>debito verso Beta Renewables, per Euro 15.831, avente natura</w:t>
      </w:r>
      <w:r>
        <w:rPr>
          <w:spacing w:val="-26"/>
          <w:sz w:val="24"/>
        </w:rPr>
        <w:t> </w:t>
      </w:r>
      <w:r>
        <w:rPr>
          <w:sz w:val="24"/>
        </w:rPr>
        <w:t>chirografaria;</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4"/>
        <w:jc w:val="both"/>
      </w:pPr>
      <w:r>
        <w:rPr/>
        <w:t>Il debito verso M&amp;G Finanzia S.p.A., per Euro 154.461 e il debito verso IBP S.r.l. per Euro 77.124, sono stati interamente compensati con il credito iscritto in bilancio.</w:t>
      </w:r>
    </w:p>
    <w:p>
      <w:pPr>
        <w:pStyle w:val="BodyText"/>
        <w:spacing w:line="480" w:lineRule="auto"/>
        <w:ind w:left="1418" w:right="1412"/>
        <w:jc w:val="both"/>
      </w:pPr>
      <w:r>
        <w:rPr/>
        <w:t>Alla luce di quanto sopra esposto, nonché delle analisi svolte, gli scriventi ritengono di confermare le ipotesi effettuate nel piano</w:t>
      </w:r>
      <w:r>
        <w:rPr>
          <w:spacing w:val="-26"/>
        </w:rPr>
        <w:t> </w:t>
      </w:r>
      <w:r>
        <w:rPr/>
        <w:t>concordatario.</w:t>
      </w:r>
    </w:p>
    <w:p>
      <w:pPr>
        <w:pStyle w:val="BodyText"/>
        <w:spacing w:before="4"/>
        <w:rPr>
          <w:sz w:val="21"/>
        </w:rPr>
      </w:pPr>
    </w:p>
    <w:p>
      <w:pPr>
        <w:pStyle w:val="Heading2"/>
        <w:jc w:val="both"/>
      </w:pPr>
      <w:r>
        <w:rPr>
          <w:u w:val="single"/>
        </w:rPr>
        <w:t>DEBITI FINANZIARI GRUPPO</w:t>
      </w:r>
    </w:p>
    <w:p>
      <w:pPr>
        <w:pStyle w:val="BodyText"/>
        <w:spacing w:before="10"/>
        <w:rPr>
          <w:b/>
          <w:sz w:val="23"/>
        </w:rPr>
      </w:pPr>
    </w:p>
    <w:p>
      <w:pPr>
        <w:pStyle w:val="BodyText"/>
        <w:spacing w:line="480" w:lineRule="auto"/>
        <w:ind w:left="1418" w:right="1415"/>
        <w:jc w:val="both"/>
      </w:pPr>
      <w:r>
        <w:rPr/>
        <w:t>In riferimento ai debiti verso il Gruppo per i rapporti di </w:t>
      </w:r>
      <w:r>
        <w:rPr>
          <w:i/>
        </w:rPr>
        <w:t>Cash Pooling</w:t>
      </w:r>
      <w:r>
        <w:rPr/>
        <w:t>, il debito in essere alla data del 15 ottobre 2017 ammonta ad Euro 1.198.878, di cui Euro 775.652 verso M&amp;G Finanziaria ed Euro 423.226 verso IBP Energia.</w:t>
      </w:r>
    </w:p>
    <w:p>
      <w:pPr>
        <w:pStyle w:val="BodyText"/>
        <w:ind w:left="1418"/>
        <w:jc w:val="both"/>
      </w:pPr>
      <w:r>
        <w:rPr/>
        <w:t>Di seguito si riporta la tabella riepilogativa:</w:t>
      </w:r>
    </w:p>
    <w:p>
      <w:pPr>
        <w:pStyle w:val="BodyText"/>
        <w:rPr>
          <w:sz w:val="20"/>
        </w:rPr>
      </w:pPr>
    </w:p>
    <w:p>
      <w:pPr>
        <w:pStyle w:val="BodyText"/>
        <w:spacing w:before="10" w:after="1"/>
        <w:rPr>
          <w:sz w:val="18"/>
        </w:rPr>
      </w:pPr>
    </w:p>
    <w:tbl>
      <w:tblPr>
        <w:tblW w:w="0" w:type="auto"/>
        <w:jc w:val="left"/>
        <w:tblInd w:w="1419"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984"/>
        <w:gridCol w:w="2429"/>
        <w:gridCol w:w="1025"/>
        <w:gridCol w:w="969"/>
        <w:gridCol w:w="952"/>
        <w:gridCol w:w="823"/>
        <w:gridCol w:w="1098"/>
        <w:gridCol w:w="775"/>
      </w:tblGrid>
      <w:tr>
        <w:trPr>
          <w:trHeight w:val="339" w:hRule="exact"/>
        </w:trPr>
        <w:tc>
          <w:tcPr>
            <w:tcW w:w="984" w:type="dxa"/>
            <w:shd w:val="clear" w:color="auto" w:fill="BEBEBE"/>
          </w:tcPr>
          <w:p>
            <w:pPr>
              <w:pStyle w:val="TableParagraph"/>
              <w:spacing w:before="98"/>
              <w:ind w:left="242"/>
              <w:jc w:val="left"/>
              <w:rPr>
                <w:b/>
                <w:sz w:val="13"/>
              </w:rPr>
            </w:pPr>
            <w:r>
              <w:rPr>
                <w:b/>
                <w:sz w:val="13"/>
              </w:rPr>
              <w:t>CONTO</w:t>
            </w:r>
          </w:p>
        </w:tc>
        <w:tc>
          <w:tcPr>
            <w:tcW w:w="2429" w:type="dxa"/>
            <w:shd w:val="clear" w:color="auto" w:fill="BEBEBE"/>
          </w:tcPr>
          <w:p>
            <w:pPr>
              <w:pStyle w:val="TableParagraph"/>
              <w:spacing w:before="98"/>
              <w:ind w:left="750"/>
              <w:jc w:val="left"/>
              <w:rPr>
                <w:b/>
                <w:sz w:val="13"/>
              </w:rPr>
            </w:pPr>
            <w:r>
              <w:rPr>
                <w:b/>
                <w:sz w:val="13"/>
              </w:rPr>
              <w:t>DESCRIZIONE</w:t>
            </w:r>
          </w:p>
        </w:tc>
        <w:tc>
          <w:tcPr>
            <w:tcW w:w="1025" w:type="dxa"/>
            <w:shd w:val="clear" w:color="auto" w:fill="BEBEBE"/>
          </w:tcPr>
          <w:p>
            <w:pPr>
              <w:pStyle w:val="TableParagraph"/>
              <w:spacing w:line="278" w:lineRule="auto" w:before="17"/>
              <w:ind w:left="177" w:right="11" w:hanging="138"/>
              <w:jc w:val="left"/>
              <w:rPr>
                <w:b/>
                <w:sz w:val="13"/>
              </w:rPr>
            </w:pPr>
            <w:r>
              <w:rPr>
                <w:b/>
                <w:sz w:val="13"/>
              </w:rPr>
              <w:t>Valori di bilancio al 15.10.2017</w:t>
            </w:r>
          </w:p>
        </w:tc>
        <w:tc>
          <w:tcPr>
            <w:tcW w:w="969" w:type="dxa"/>
            <w:shd w:val="clear" w:color="auto" w:fill="BEBEBE"/>
          </w:tcPr>
          <w:p>
            <w:pPr>
              <w:pStyle w:val="TableParagraph"/>
              <w:spacing w:before="98"/>
              <w:ind w:right="35"/>
              <w:rPr>
                <w:b/>
                <w:sz w:val="13"/>
              </w:rPr>
            </w:pPr>
            <w:r>
              <w:rPr>
                <w:b/>
                <w:w w:val="95"/>
                <w:sz w:val="13"/>
              </w:rPr>
              <w:t>Compensazione</w:t>
            </w:r>
          </w:p>
        </w:tc>
        <w:tc>
          <w:tcPr>
            <w:tcW w:w="952" w:type="dxa"/>
            <w:shd w:val="clear" w:color="auto" w:fill="BEBEBE"/>
          </w:tcPr>
          <w:p>
            <w:pPr>
              <w:pStyle w:val="TableParagraph"/>
              <w:spacing w:line="278" w:lineRule="auto" w:before="17"/>
              <w:ind w:left="88" w:hanging="25"/>
              <w:jc w:val="left"/>
              <w:rPr>
                <w:b/>
                <w:sz w:val="13"/>
              </w:rPr>
            </w:pPr>
            <w:r>
              <w:rPr>
                <w:b/>
                <w:sz w:val="13"/>
              </w:rPr>
              <w:t>Valori di piano concordatario</w:t>
            </w:r>
          </w:p>
        </w:tc>
        <w:tc>
          <w:tcPr>
            <w:tcW w:w="823" w:type="dxa"/>
            <w:shd w:val="clear" w:color="auto" w:fill="BEBEBE"/>
          </w:tcPr>
          <w:p>
            <w:pPr>
              <w:pStyle w:val="TableParagraph"/>
              <w:spacing w:before="98"/>
              <w:ind w:left="145"/>
              <w:jc w:val="left"/>
              <w:rPr>
                <w:b/>
                <w:sz w:val="13"/>
              </w:rPr>
            </w:pPr>
            <w:r>
              <w:rPr>
                <w:b/>
                <w:sz w:val="13"/>
              </w:rPr>
              <w:t>Privilegio</w:t>
            </w:r>
          </w:p>
        </w:tc>
        <w:tc>
          <w:tcPr>
            <w:tcW w:w="1098" w:type="dxa"/>
            <w:shd w:val="clear" w:color="auto" w:fill="BEBEBE"/>
          </w:tcPr>
          <w:p>
            <w:pPr>
              <w:pStyle w:val="TableParagraph"/>
              <w:spacing w:before="98"/>
              <w:ind w:left="177"/>
              <w:jc w:val="left"/>
              <w:rPr>
                <w:b/>
                <w:sz w:val="13"/>
              </w:rPr>
            </w:pPr>
            <w:r>
              <w:rPr>
                <w:b/>
                <w:sz w:val="13"/>
              </w:rPr>
              <w:t>Chirografario</w:t>
            </w:r>
          </w:p>
        </w:tc>
        <w:tc>
          <w:tcPr>
            <w:tcW w:w="775" w:type="dxa"/>
            <w:shd w:val="clear" w:color="auto" w:fill="BEBEBE"/>
          </w:tcPr>
          <w:p>
            <w:pPr>
              <w:pStyle w:val="TableParagraph"/>
              <w:spacing w:line="278" w:lineRule="auto" w:before="17"/>
              <w:ind w:left="88" w:hanging="73"/>
              <w:jc w:val="left"/>
              <w:rPr>
                <w:b/>
                <w:sz w:val="13"/>
              </w:rPr>
            </w:pPr>
            <w:r>
              <w:rPr>
                <w:b/>
                <w:w w:val="95"/>
                <w:sz w:val="13"/>
              </w:rPr>
              <w:t>Chirografario </w:t>
            </w:r>
            <w:r>
              <w:rPr>
                <w:b/>
                <w:sz w:val="13"/>
              </w:rPr>
              <w:t>pastergato</w:t>
            </w:r>
          </w:p>
        </w:tc>
      </w:tr>
      <w:tr>
        <w:trPr>
          <w:trHeight w:val="179" w:hRule="exact"/>
        </w:trPr>
        <w:tc>
          <w:tcPr>
            <w:tcW w:w="984" w:type="dxa"/>
            <w:tcBorders>
              <w:bottom w:val="nil"/>
            </w:tcBorders>
          </w:tcPr>
          <w:p>
            <w:pPr>
              <w:pStyle w:val="TableParagraph"/>
              <w:spacing w:before="17"/>
              <w:ind w:left="16"/>
              <w:jc w:val="left"/>
              <w:rPr>
                <w:sz w:val="13"/>
              </w:rPr>
            </w:pPr>
            <w:r>
              <w:rPr>
                <w:sz w:val="13"/>
              </w:rPr>
              <w:t>2319040-2319045</w:t>
            </w:r>
          </w:p>
        </w:tc>
        <w:tc>
          <w:tcPr>
            <w:tcW w:w="2429" w:type="dxa"/>
            <w:tcBorders>
              <w:bottom w:val="nil"/>
            </w:tcBorders>
          </w:tcPr>
          <w:p>
            <w:pPr>
              <w:pStyle w:val="TableParagraph"/>
              <w:spacing w:before="17"/>
              <w:ind w:left="16"/>
              <w:jc w:val="left"/>
              <w:rPr>
                <w:sz w:val="13"/>
              </w:rPr>
            </w:pPr>
            <w:r>
              <w:rPr>
                <w:sz w:val="13"/>
              </w:rPr>
              <w:t>M&amp;G FINANZIARIA SPA</w:t>
            </w:r>
          </w:p>
        </w:tc>
        <w:tc>
          <w:tcPr>
            <w:tcW w:w="1025" w:type="dxa"/>
            <w:tcBorders>
              <w:bottom w:val="nil"/>
            </w:tcBorders>
          </w:tcPr>
          <w:p>
            <w:pPr>
              <w:pStyle w:val="TableParagraph"/>
              <w:spacing w:before="17"/>
              <w:ind w:right="17"/>
              <w:rPr>
                <w:sz w:val="13"/>
              </w:rPr>
            </w:pPr>
            <w:r>
              <w:rPr>
                <w:sz w:val="13"/>
              </w:rPr>
              <w:t>(773.852)</w:t>
            </w:r>
          </w:p>
        </w:tc>
        <w:tc>
          <w:tcPr>
            <w:tcW w:w="969" w:type="dxa"/>
            <w:vMerge w:val="restart"/>
          </w:tcPr>
          <w:p>
            <w:pPr/>
          </w:p>
        </w:tc>
        <w:tc>
          <w:tcPr>
            <w:tcW w:w="952" w:type="dxa"/>
            <w:tcBorders>
              <w:bottom w:val="nil"/>
            </w:tcBorders>
          </w:tcPr>
          <w:p>
            <w:pPr>
              <w:pStyle w:val="TableParagraph"/>
              <w:spacing w:before="17"/>
              <w:ind w:right="18"/>
              <w:rPr>
                <w:sz w:val="13"/>
              </w:rPr>
            </w:pPr>
            <w:r>
              <w:rPr>
                <w:sz w:val="13"/>
              </w:rPr>
              <w:t>(773.852)</w:t>
            </w:r>
          </w:p>
        </w:tc>
        <w:tc>
          <w:tcPr>
            <w:tcW w:w="823" w:type="dxa"/>
            <w:vMerge w:val="restart"/>
          </w:tcPr>
          <w:p>
            <w:pPr/>
          </w:p>
        </w:tc>
        <w:tc>
          <w:tcPr>
            <w:tcW w:w="1098" w:type="dxa"/>
            <w:tcBorders>
              <w:bottom w:val="nil"/>
            </w:tcBorders>
          </w:tcPr>
          <w:p>
            <w:pPr/>
          </w:p>
        </w:tc>
        <w:tc>
          <w:tcPr>
            <w:tcW w:w="775" w:type="dxa"/>
            <w:tcBorders>
              <w:bottom w:val="nil"/>
            </w:tcBorders>
          </w:tcPr>
          <w:p>
            <w:pPr>
              <w:pStyle w:val="TableParagraph"/>
              <w:spacing w:before="17"/>
              <w:ind w:right="17"/>
              <w:rPr>
                <w:sz w:val="13"/>
              </w:rPr>
            </w:pPr>
            <w:r>
              <w:rPr>
                <w:sz w:val="13"/>
              </w:rPr>
              <w:t>(773.852)</w:t>
            </w:r>
          </w:p>
        </w:tc>
      </w:tr>
      <w:tr>
        <w:trPr>
          <w:trHeight w:val="169" w:hRule="exact"/>
        </w:trPr>
        <w:tc>
          <w:tcPr>
            <w:tcW w:w="984" w:type="dxa"/>
            <w:tcBorders>
              <w:top w:val="nil"/>
              <w:bottom w:val="nil"/>
            </w:tcBorders>
          </w:tcPr>
          <w:p>
            <w:pPr>
              <w:pStyle w:val="TableParagraph"/>
              <w:spacing w:before="11"/>
              <w:ind w:left="16"/>
              <w:jc w:val="left"/>
              <w:rPr>
                <w:sz w:val="13"/>
              </w:rPr>
            </w:pPr>
            <w:r>
              <w:rPr>
                <w:sz w:val="13"/>
              </w:rPr>
              <w:t>2319820</w:t>
            </w:r>
          </w:p>
        </w:tc>
        <w:tc>
          <w:tcPr>
            <w:tcW w:w="2429" w:type="dxa"/>
            <w:tcBorders>
              <w:top w:val="nil"/>
              <w:bottom w:val="nil"/>
            </w:tcBorders>
          </w:tcPr>
          <w:p>
            <w:pPr>
              <w:pStyle w:val="TableParagraph"/>
              <w:spacing w:before="11"/>
              <w:ind w:left="16"/>
              <w:jc w:val="left"/>
              <w:rPr>
                <w:sz w:val="13"/>
              </w:rPr>
            </w:pPr>
            <w:r>
              <w:rPr>
                <w:sz w:val="13"/>
              </w:rPr>
              <w:t>M&amp;G FINANZIARIA SPA</w:t>
            </w:r>
          </w:p>
        </w:tc>
        <w:tc>
          <w:tcPr>
            <w:tcW w:w="1025" w:type="dxa"/>
            <w:tcBorders>
              <w:top w:val="nil"/>
              <w:bottom w:val="nil"/>
            </w:tcBorders>
          </w:tcPr>
          <w:p>
            <w:pPr>
              <w:pStyle w:val="TableParagraph"/>
              <w:spacing w:before="11"/>
              <w:ind w:right="17"/>
              <w:rPr>
                <w:sz w:val="13"/>
              </w:rPr>
            </w:pPr>
            <w:r>
              <w:rPr>
                <w:sz w:val="13"/>
              </w:rPr>
              <w:t>(1.800)</w:t>
            </w:r>
          </w:p>
        </w:tc>
        <w:tc>
          <w:tcPr>
            <w:tcW w:w="969" w:type="dxa"/>
            <w:vMerge/>
          </w:tcPr>
          <w:p>
            <w:pPr/>
          </w:p>
        </w:tc>
        <w:tc>
          <w:tcPr>
            <w:tcW w:w="952" w:type="dxa"/>
            <w:tcBorders>
              <w:top w:val="nil"/>
              <w:bottom w:val="nil"/>
            </w:tcBorders>
          </w:tcPr>
          <w:p>
            <w:pPr>
              <w:pStyle w:val="TableParagraph"/>
              <w:spacing w:before="11"/>
              <w:ind w:right="17"/>
              <w:rPr>
                <w:sz w:val="13"/>
              </w:rPr>
            </w:pPr>
            <w:r>
              <w:rPr>
                <w:sz w:val="13"/>
              </w:rPr>
              <w:t>(1.800)</w:t>
            </w:r>
          </w:p>
        </w:tc>
        <w:tc>
          <w:tcPr>
            <w:tcW w:w="823" w:type="dxa"/>
            <w:vMerge/>
          </w:tcPr>
          <w:p>
            <w:pPr/>
          </w:p>
        </w:tc>
        <w:tc>
          <w:tcPr>
            <w:tcW w:w="1098" w:type="dxa"/>
            <w:tcBorders>
              <w:top w:val="nil"/>
              <w:bottom w:val="nil"/>
            </w:tcBorders>
          </w:tcPr>
          <w:p>
            <w:pPr/>
          </w:p>
        </w:tc>
        <w:tc>
          <w:tcPr>
            <w:tcW w:w="775" w:type="dxa"/>
            <w:tcBorders>
              <w:top w:val="nil"/>
              <w:bottom w:val="nil"/>
            </w:tcBorders>
          </w:tcPr>
          <w:p>
            <w:pPr>
              <w:pStyle w:val="TableParagraph"/>
              <w:spacing w:before="11"/>
              <w:ind w:right="17"/>
              <w:rPr>
                <w:sz w:val="13"/>
              </w:rPr>
            </w:pPr>
            <w:r>
              <w:rPr>
                <w:sz w:val="13"/>
              </w:rPr>
              <w:t>(1.800)</w:t>
            </w:r>
          </w:p>
        </w:tc>
      </w:tr>
      <w:tr>
        <w:trPr>
          <w:trHeight w:val="169" w:hRule="exact"/>
        </w:trPr>
        <w:tc>
          <w:tcPr>
            <w:tcW w:w="984" w:type="dxa"/>
            <w:tcBorders>
              <w:top w:val="nil"/>
              <w:bottom w:val="nil"/>
            </w:tcBorders>
          </w:tcPr>
          <w:p>
            <w:pPr>
              <w:pStyle w:val="TableParagraph"/>
              <w:spacing w:before="11"/>
              <w:ind w:left="16"/>
              <w:jc w:val="left"/>
              <w:rPr>
                <w:sz w:val="13"/>
              </w:rPr>
            </w:pPr>
            <w:r>
              <w:rPr>
                <w:sz w:val="13"/>
              </w:rPr>
              <w:t>2319820-2319822</w:t>
            </w:r>
          </w:p>
        </w:tc>
        <w:tc>
          <w:tcPr>
            <w:tcW w:w="2429" w:type="dxa"/>
            <w:tcBorders>
              <w:top w:val="nil"/>
              <w:bottom w:val="nil"/>
            </w:tcBorders>
          </w:tcPr>
          <w:p>
            <w:pPr>
              <w:pStyle w:val="TableParagraph"/>
              <w:spacing w:before="11"/>
              <w:ind w:left="16"/>
              <w:jc w:val="left"/>
              <w:rPr>
                <w:sz w:val="13"/>
              </w:rPr>
            </w:pPr>
            <w:r>
              <w:rPr>
                <w:sz w:val="13"/>
              </w:rPr>
              <w:t>IBP ENERGIA SRL</w:t>
            </w:r>
          </w:p>
        </w:tc>
        <w:tc>
          <w:tcPr>
            <w:tcW w:w="1025" w:type="dxa"/>
            <w:tcBorders>
              <w:top w:val="nil"/>
              <w:bottom w:val="nil"/>
            </w:tcBorders>
          </w:tcPr>
          <w:p>
            <w:pPr>
              <w:pStyle w:val="TableParagraph"/>
              <w:spacing w:before="11"/>
              <w:ind w:right="17"/>
              <w:rPr>
                <w:sz w:val="13"/>
              </w:rPr>
            </w:pPr>
            <w:r>
              <w:rPr>
                <w:sz w:val="13"/>
              </w:rPr>
              <w:t>(2.900)</w:t>
            </w:r>
          </w:p>
        </w:tc>
        <w:tc>
          <w:tcPr>
            <w:tcW w:w="969" w:type="dxa"/>
            <w:vMerge/>
          </w:tcPr>
          <w:p>
            <w:pPr/>
          </w:p>
        </w:tc>
        <w:tc>
          <w:tcPr>
            <w:tcW w:w="952" w:type="dxa"/>
            <w:tcBorders>
              <w:top w:val="nil"/>
              <w:bottom w:val="nil"/>
            </w:tcBorders>
          </w:tcPr>
          <w:p>
            <w:pPr>
              <w:pStyle w:val="TableParagraph"/>
              <w:spacing w:before="11"/>
              <w:ind w:right="17"/>
              <w:rPr>
                <w:sz w:val="13"/>
              </w:rPr>
            </w:pPr>
            <w:r>
              <w:rPr>
                <w:sz w:val="13"/>
              </w:rPr>
              <w:t>(2.900)</w:t>
            </w:r>
          </w:p>
        </w:tc>
        <w:tc>
          <w:tcPr>
            <w:tcW w:w="823" w:type="dxa"/>
            <w:vMerge/>
          </w:tcPr>
          <w:p>
            <w:pPr/>
          </w:p>
        </w:tc>
        <w:tc>
          <w:tcPr>
            <w:tcW w:w="1098" w:type="dxa"/>
            <w:tcBorders>
              <w:top w:val="nil"/>
              <w:bottom w:val="nil"/>
            </w:tcBorders>
          </w:tcPr>
          <w:p>
            <w:pPr>
              <w:pStyle w:val="TableParagraph"/>
              <w:spacing w:before="11"/>
              <w:ind w:right="17"/>
              <w:rPr>
                <w:sz w:val="13"/>
              </w:rPr>
            </w:pPr>
            <w:r>
              <w:rPr>
                <w:sz w:val="13"/>
              </w:rPr>
              <w:t>(2.900)</w:t>
            </w:r>
          </w:p>
        </w:tc>
        <w:tc>
          <w:tcPr>
            <w:tcW w:w="775" w:type="dxa"/>
            <w:tcBorders>
              <w:top w:val="nil"/>
              <w:bottom w:val="nil"/>
            </w:tcBorders>
          </w:tcPr>
          <w:p>
            <w:pPr/>
          </w:p>
        </w:tc>
      </w:tr>
      <w:tr>
        <w:trPr>
          <w:trHeight w:val="160" w:hRule="exact"/>
        </w:trPr>
        <w:tc>
          <w:tcPr>
            <w:tcW w:w="984" w:type="dxa"/>
            <w:tcBorders>
              <w:top w:val="nil"/>
            </w:tcBorders>
          </w:tcPr>
          <w:p>
            <w:pPr>
              <w:pStyle w:val="TableParagraph"/>
              <w:spacing w:before="11"/>
              <w:ind w:left="16"/>
              <w:jc w:val="left"/>
              <w:rPr>
                <w:sz w:val="13"/>
              </w:rPr>
            </w:pPr>
            <w:r>
              <w:rPr>
                <w:sz w:val="13"/>
              </w:rPr>
              <w:t>2319840</w:t>
            </w:r>
          </w:p>
        </w:tc>
        <w:tc>
          <w:tcPr>
            <w:tcW w:w="2429" w:type="dxa"/>
            <w:tcBorders>
              <w:top w:val="nil"/>
            </w:tcBorders>
          </w:tcPr>
          <w:p>
            <w:pPr>
              <w:pStyle w:val="TableParagraph"/>
              <w:spacing w:before="11"/>
              <w:ind w:left="16"/>
              <w:jc w:val="left"/>
              <w:rPr>
                <w:sz w:val="13"/>
              </w:rPr>
            </w:pPr>
            <w:r>
              <w:rPr>
                <w:sz w:val="13"/>
              </w:rPr>
              <w:t>IBP ENERGIA SRL</w:t>
            </w:r>
          </w:p>
        </w:tc>
        <w:tc>
          <w:tcPr>
            <w:tcW w:w="1025" w:type="dxa"/>
            <w:tcBorders>
              <w:top w:val="nil"/>
            </w:tcBorders>
          </w:tcPr>
          <w:p>
            <w:pPr>
              <w:pStyle w:val="TableParagraph"/>
              <w:spacing w:before="11"/>
              <w:ind w:right="17"/>
              <w:rPr>
                <w:sz w:val="13"/>
              </w:rPr>
            </w:pPr>
            <w:r>
              <w:rPr>
                <w:sz w:val="13"/>
              </w:rPr>
              <w:t>(420.326)</w:t>
            </w:r>
          </w:p>
        </w:tc>
        <w:tc>
          <w:tcPr>
            <w:tcW w:w="969" w:type="dxa"/>
            <w:vMerge/>
          </w:tcPr>
          <w:p>
            <w:pPr/>
          </w:p>
        </w:tc>
        <w:tc>
          <w:tcPr>
            <w:tcW w:w="952" w:type="dxa"/>
            <w:tcBorders>
              <w:top w:val="nil"/>
            </w:tcBorders>
          </w:tcPr>
          <w:p>
            <w:pPr>
              <w:pStyle w:val="TableParagraph"/>
              <w:spacing w:before="11"/>
              <w:ind w:right="18"/>
              <w:rPr>
                <w:sz w:val="13"/>
              </w:rPr>
            </w:pPr>
            <w:r>
              <w:rPr>
                <w:sz w:val="13"/>
              </w:rPr>
              <w:t>(420.326)</w:t>
            </w:r>
          </w:p>
        </w:tc>
        <w:tc>
          <w:tcPr>
            <w:tcW w:w="823" w:type="dxa"/>
            <w:vMerge/>
          </w:tcPr>
          <w:p>
            <w:pPr/>
          </w:p>
        </w:tc>
        <w:tc>
          <w:tcPr>
            <w:tcW w:w="1098" w:type="dxa"/>
            <w:tcBorders>
              <w:top w:val="nil"/>
            </w:tcBorders>
          </w:tcPr>
          <w:p>
            <w:pPr>
              <w:pStyle w:val="TableParagraph"/>
              <w:spacing w:before="11"/>
              <w:ind w:right="18"/>
              <w:rPr>
                <w:sz w:val="13"/>
              </w:rPr>
            </w:pPr>
            <w:r>
              <w:rPr>
                <w:sz w:val="13"/>
              </w:rPr>
              <w:t>(420.326)</w:t>
            </w:r>
          </w:p>
        </w:tc>
        <w:tc>
          <w:tcPr>
            <w:tcW w:w="775" w:type="dxa"/>
            <w:tcBorders>
              <w:top w:val="nil"/>
            </w:tcBorders>
          </w:tcPr>
          <w:p>
            <w:pPr/>
          </w:p>
        </w:tc>
      </w:tr>
      <w:tr>
        <w:trPr>
          <w:trHeight w:val="169" w:hRule="exact"/>
        </w:trPr>
        <w:tc>
          <w:tcPr>
            <w:tcW w:w="3414" w:type="dxa"/>
            <w:gridSpan w:val="2"/>
            <w:shd w:val="clear" w:color="auto" w:fill="BEBEBE"/>
          </w:tcPr>
          <w:p>
            <w:pPr>
              <w:pStyle w:val="TableParagraph"/>
              <w:spacing w:before="9"/>
              <w:ind w:left="16"/>
              <w:jc w:val="left"/>
              <w:rPr>
                <w:b/>
                <w:sz w:val="13"/>
              </w:rPr>
            </w:pPr>
            <w:r>
              <w:rPr>
                <w:b/>
                <w:sz w:val="13"/>
              </w:rPr>
              <w:t>TOTALE DEBITI CASH POOLING VERSO IL GRUPPO</w:t>
            </w:r>
          </w:p>
        </w:tc>
        <w:tc>
          <w:tcPr>
            <w:tcW w:w="1025" w:type="dxa"/>
            <w:shd w:val="clear" w:color="auto" w:fill="BEBEBE"/>
          </w:tcPr>
          <w:p>
            <w:pPr>
              <w:pStyle w:val="TableParagraph"/>
              <w:spacing w:before="17"/>
              <w:ind w:right="17"/>
              <w:rPr>
                <w:b/>
                <w:sz w:val="13"/>
              </w:rPr>
            </w:pPr>
            <w:r>
              <w:rPr>
                <w:b/>
                <w:sz w:val="13"/>
              </w:rPr>
              <w:t>(1.198.878)</w:t>
            </w:r>
          </w:p>
        </w:tc>
        <w:tc>
          <w:tcPr>
            <w:tcW w:w="969" w:type="dxa"/>
            <w:shd w:val="clear" w:color="auto" w:fill="BEBEBE"/>
          </w:tcPr>
          <w:p>
            <w:pPr>
              <w:pStyle w:val="TableParagraph"/>
              <w:spacing w:before="17"/>
              <w:ind w:right="59"/>
              <w:rPr>
                <w:b/>
                <w:sz w:val="13"/>
              </w:rPr>
            </w:pPr>
            <w:r>
              <w:rPr>
                <w:b/>
                <w:w w:val="99"/>
                <w:sz w:val="13"/>
              </w:rPr>
              <w:t>-</w:t>
            </w:r>
          </w:p>
        </w:tc>
        <w:tc>
          <w:tcPr>
            <w:tcW w:w="952" w:type="dxa"/>
            <w:shd w:val="clear" w:color="auto" w:fill="BEBEBE"/>
          </w:tcPr>
          <w:p>
            <w:pPr>
              <w:pStyle w:val="TableParagraph"/>
              <w:spacing w:before="17"/>
              <w:ind w:right="17"/>
              <w:rPr>
                <w:b/>
                <w:sz w:val="13"/>
              </w:rPr>
            </w:pPr>
            <w:r>
              <w:rPr>
                <w:b/>
                <w:sz w:val="13"/>
              </w:rPr>
              <w:t>(1.198.878)</w:t>
            </w:r>
          </w:p>
        </w:tc>
        <w:tc>
          <w:tcPr>
            <w:tcW w:w="823" w:type="dxa"/>
            <w:shd w:val="clear" w:color="auto" w:fill="BEBEBE"/>
          </w:tcPr>
          <w:p>
            <w:pPr>
              <w:pStyle w:val="TableParagraph"/>
              <w:spacing w:before="17"/>
              <w:ind w:right="59"/>
              <w:rPr>
                <w:b/>
                <w:sz w:val="13"/>
              </w:rPr>
            </w:pPr>
            <w:r>
              <w:rPr>
                <w:b/>
                <w:w w:val="99"/>
                <w:sz w:val="13"/>
              </w:rPr>
              <w:t>-</w:t>
            </w:r>
          </w:p>
        </w:tc>
        <w:tc>
          <w:tcPr>
            <w:tcW w:w="1098" w:type="dxa"/>
            <w:shd w:val="clear" w:color="auto" w:fill="BEBEBE"/>
          </w:tcPr>
          <w:p>
            <w:pPr>
              <w:pStyle w:val="TableParagraph"/>
              <w:spacing w:before="17"/>
              <w:ind w:right="17"/>
              <w:rPr>
                <w:b/>
                <w:sz w:val="13"/>
              </w:rPr>
            </w:pPr>
            <w:r>
              <w:rPr>
                <w:b/>
                <w:sz w:val="13"/>
              </w:rPr>
              <w:t>(423.226)</w:t>
            </w:r>
          </w:p>
        </w:tc>
        <w:tc>
          <w:tcPr>
            <w:tcW w:w="775" w:type="dxa"/>
            <w:shd w:val="clear" w:color="auto" w:fill="BEBEBE"/>
          </w:tcPr>
          <w:p>
            <w:pPr>
              <w:pStyle w:val="TableParagraph"/>
              <w:spacing w:before="17"/>
              <w:ind w:right="17"/>
              <w:rPr>
                <w:b/>
                <w:sz w:val="13"/>
              </w:rPr>
            </w:pPr>
            <w:r>
              <w:rPr>
                <w:b/>
                <w:sz w:val="13"/>
              </w:rPr>
              <w:t>(775.652)</w:t>
            </w:r>
          </w:p>
        </w:tc>
      </w:tr>
    </w:tbl>
    <w:p>
      <w:pPr>
        <w:pStyle w:val="BodyText"/>
        <w:rPr>
          <w:sz w:val="20"/>
        </w:rPr>
      </w:pPr>
    </w:p>
    <w:p>
      <w:pPr>
        <w:pStyle w:val="BodyText"/>
        <w:spacing w:line="480" w:lineRule="auto" w:before="217"/>
        <w:ind w:left="1418" w:right="1518"/>
      </w:pPr>
      <w:r>
        <w:rPr/>
        <w:t>Per ciò che concerne la descrizione del funzionamento del </w:t>
      </w:r>
      <w:r>
        <w:rPr>
          <w:i/>
        </w:rPr>
        <w:t>cash pooling </w:t>
      </w:r>
      <w:r>
        <w:rPr/>
        <w:t>e i contratti in essere, si rimanda al paragrafo relativo ai crediti infragruppo.</w:t>
      </w:r>
    </w:p>
    <w:p>
      <w:pPr>
        <w:pStyle w:val="BodyText"/>
        <w:ind w:left="1418"/>
      </w:pPr>
      <w:r>
        <w:rPr>
          <w:u w:val="single"/>
        </w:rPr>
        <w:t>Attività svolta</w:t>
      </w:r>
    </w:p>
    <w:p>
      <w:pPr>
        <w:pStyle w:val="BodyText"/>
      </w:pPr>
    </w:p>
    <w:p>
      <w:pPr>
        <w:pStyle w:val="BodyText"/>
        <w:spacing w:line="480" w:lineRule="auto"/>
        <w:ind w:left="1418" w:right="2756"/>
      </w:pPr>
      <w:r>
        <w:rPr/>
        <w:t>Gli scriventi hanno preso visione dei mastrini contabili e dei contratti di </w:t>
      </w:r>
      <w:r>
        <w:rPr>
          <w:i/>
        </w:rPr>
        <w:t>cash pooling</w:t>
      </w:r>
      <w:r>
        <w:rPr/>
        <w:t>. </w:t>
      </w:r>
      <w:r>
        <w:rPr>
          <w:u w:val="single"/>
        </w:rPr>
        <w:t>Valutazione concordataria</w:t>
      </w:r>
    </w:p>
    <w:p>
      <w:pPr>
        <w:pStyle w:val="BodyText"/>
        <w:spacing w:line="480" w:lineRule="auto"/>
        <w:ind w:left="1418" w:right="1423"/>
        <w:jc w:val="both"/>
      </w:pPr>
      <w:r>
        <w:rPr/>
        <w:t>I debiti verso IBP Energia di Euro 423.226 sono stati classificati come chirografari, mentre il debito verso M&amp;G Finanziaria di Euro 775.652 è stato classificato come postergato trattandosi di debiti verso la controllante.</w:t>
      </w:r>
    </w:p>
    <w:p>
      <w:pPr>
        <w:pStyle w:val="BodyText"/>
        <w:spacing w:line="480" w:lineRule="auto"/>
        <w:ind w:left="1418" w:right="1419"/>
        <w:jc w:val="both"/>
      </w:pPr>
      <w:r>
        <w:rPr/>
        <w:t>Alla luce del lavoro svolto e delle analisi effettuate, gli scriventi condividono le impostazioni effettuate dalla società.</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pPr>
      <w:r>
        <w:rPr>
          <w:u w:val="single"/>
        </w:rPr>
        <w:t>DEBITI TRIBUTARI</w:t>
      </w:r>
    </w:p>
    <w:p>
      <w:pPr>
        <w:pStyle w:val="BodyText"/>
        <w:spacing w:before="11"/>
        <w:rPr>
          <w:b/>
          <w:sz w:val="23"/>
        </w:rPr>
      </w:pPr>
    </w:p>
    <w:p>
      <w:pPr>
        <w:pStyle w:val="BodyText"/>
        <w:spacing w:line="480" w:lineRule="auto"/>
        <w:ind w:left="1418" w:right="1518"/>
      </w:pPr>
      <w:r>
        <w:rPr/>
        <w:t>Nella situazione contabile al 15 ottobre 2017 risultano iscritti debiti tributari per 604.605, così suddivisi:</w:t>
      </w:r>
    </w:p>
    <w:p>
      <w:pPr>
        <w:pStyle w:val="BodyText"/>
        <w:spacing w:before="9"/>
        <w:rPr>
          <w:sz w:val="17"/>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04"/>
        <w:gridCol w:w="2971"/>
        <w:gridCol w:w="1106"/>
        <w:gridCol w:w="962"/>
        <w:gridCol w:w="1106"/>
        <w:gridCol w:w="942"/>
        <w:gridCol w:w="1067"/>
      </w:tblGrid>
      <w:tr>
        <w:trPr>
          <w:trHeight w:val="606" w:hRule="exact"/>
        </w:trPr>
        <w:tc>
          <w:tcPr>
            <w:tcW w:w="904" w:type="dxa"/>
            <w:shd w:val="clear" w:color="auto" w:fill="BEBEBE"/>
          </w:tcPr>
          <w:p>
            <w:pPr>
              <w:pStyle w:val="TableParagraph"/>
              <w:spacing w:before="1"/>
              <w:jc w:val="left"/>
              <w:rPr>
                <w:sz w:val="20"/>
              </w:rPr>
            </w:pPr>
          </w:p>
          <w:p>
            <w:pPr>
              <w:pStyle w:val="TableParagraph"/>
              <w:spacing w:before="0"/>
              <w:ind w:left="131" w:right="125"/>
              <w:jc w:val="center"/>
              <w:rPr>
                <w:b/>
                <w:sz w:val="15"/>
              </w:rPr>
            </w:pPr>
            <w:r>
              <w:rPr>
                <w:b/>
                <w:w w:val="105"/>
                <w:sz w:val="15"/>
              </w:rPr>
              <w:t>CONTO</w:t>
            </w:r>
          </w:p>
        </w:tc>
        <w:tc>
          <w:tcPr>
            <w:tcW w:w="2971" w:type="dxa"/>
            <w:shd w:val="clear" w:color="auto" w:fill="BEBEBE"/>
          </w:tcPr>
          <w:p>
            <w:pPr>
              <w:pStyle w:val="TableParagraph"/>
              <w:spacing w:before="1"/>
              <w:jc w:val="left"/>
              <w:rPr>
                <w:sz w:val="20"/>
              </w:rPr>
            </w:pPr>
          </w:p>
          <w:p>
            <w:pPr>
              <w:pStyle w:val="TableParagraph"/>
              <w:spacing w:before="0"/>
              <w:ind w:left="932"/>
              <w:jc w:val="left"/>
              <w:rPr>
                <w:b/>
                <w:sz w:val="15"/>
              </w:rPr>
            </w:pPr>
            <w:r>
              <w:rPr>
                <w:b/>
                <w:w w:val="105"/>
                <w:sz w:val="15"/>
              </w:rPr>
              <w:t>DESCRIZIONE</w:t>
            </w:r>
          </w:p>
        </w:tc>
        <w:tc>
          <w:tcPr>
            <w:tcW w:w="1106" w:type="dxa"/>
            <w:shd w:val="clear" w:color="auto" w:fill="BEBEBE"/>
          </w:tcPr>
          <w:p>
            <w:pPr>
              <w:pStyle w:val="TableParagraph"/>
              <w:spacing w:line="288" w:lineRule="auto" w:before="24"/>
              <w:ind w:left="211" w:firstLine="58"/>
              <w:jc w:val="left"/>
              <w:rPr>
                <w:b/>
                <w:sz w:val="15"/>
              </w:rPr>
            </w:pPr>
            <w:r>
              <w:rPr>
                <w:b/>
                <w:w w:val="105"/>
                <w:sz w:val="15"/>
              </w:rPr>
              <w:t>Valori di bilancio al 15.10.2017</w:t>
            </w:r>
          </w:p>
        </w:tc>
        <w:tc>
          <w:tcPr>
            <w:tcW w:w="962" w:type="dxa"/>
            <w:shd w:val="clear" w:color="auto" w:fill="BEBEBE"/>
          </w:tcPr>
          <w:p>
            <w:pPr>
              <w:pStyle w:val="TableParagraph"/>
              <w:spacing w:line="288" w:lineRule="auto" w:before="120"/>
              <w:ind w:left="19" w:firstLine="144"/>
              <w:jc w:val="left"/>
              <w:rPr>
                <w:b/>
                <w:sz w:val="15"/>
              </w:rPr>
            </w:pPr>
            <w:r>
              <w:rPr>
                <w:b/>
                <w:w w:val="105"/>
                <w:sz w:val="15"/>
              </w:rPr>
              <w:t>Rettifiche </w:t>
            </w:r>
            <w:r>
              <w:rPr>
                <w:b/>
                <w:sz w:val="15"/>
              </w:rPr>
              <w:t>concordatarie</w:t>
            </w:r>
          </w:p>
        </w:tc>
        <w:tc>
          <w:tcPr>
            <w:tcW w:w="1106" w:type="dxa"/>
            <w:shd w:val="clear" w:color="auto" w:fill="BEBEBE"/>
          </w:tcPr>
          <w:p>
            <w:pPr>
              <w:pStyle w:val="TableParagraph"/>
              <w:spacing w:line="288" w:lineRule="auto" w:before="120"/>
              <w:ind w:left="96" w:hanging="29"/>
              <w:jc w:val="left"/>
              <w:rPr>
                <w:b/>
                <w:sz w:val="15"/>
              </w:rPr>
            </w:pPr>
            <w:r>
              <w:rPr>
                <w:b/>
                <w:w w:val="105"/>
                <w:sz w:val="15"/>
              </w:rPr>
              <w:t>Valori di piano concordatario</w:t>
            </w:r>
          </w:p>
        </w:tc>
        <w:tc>
          <w:tcPr>
            <w:tcW w:w="942" w:type="dxa"/>
            <w:shd w:val="clear" w:color="auto" w:fill="BEBEBE"/>
          </w:tcPr>
          <w:p>
            <w:pPr>
              <w:pStyle w:val="TableParagraph"/>
              <w:spacing w:before="1"/>
              <w:jc w:val="left"/>
              <w:rPr>
                <w:sz w:val="20"/>
              </w:rPr>
            </w:pPr>
          </w:p>
          <w:p>
            <w:pPr>
              <w:pStyle w:val="TableParagraph"/>
              <w:spacing w:before="0"/>
              <w:ind w:left="153"/>
              <w:jc w:val="left"/>
              <w:rPr>
                <w:b/>
                <w:sz w:val="15"/>
              </w:rPr>
            </w:pPr>
            <w:r>
              <w:rPr>
                <w:b/>
                <w:w w:val="105"/>
                <w:sz w:val="15"/>
              </w:rPr>
              <w:t>Privilegio</w:t>
            </w:r>
          </w:p>
        </w:tc>
        <w:tc>
          <w:tcPr>
            <w:tcW w:w="1067" w:type="dxa"/>
            <w:tcBorders>
              <w:right w:val="single" w:sz="4" w:space="0" w:color="000000"/>
            </w:tcBorders>
            <w:shd w:val="clear" w:color="auto" w:fill="BEBEBE"/>
          </w:tcPr>
          <w:p>
            <w:pPr>
              <w:pStyle w:val="TableParagraph"/>
              <w:spacing w:before="1"/>
              <w:jc w:val="left"/>
              <w:rPr>
                <w:sz w:val="20"/>
              </w:rPr>
            </w:pPr>
          </w:p>
          <w:p>
            <w:pPr>
              <w:pStyle w:val="TableParagraph"/>
              <w:spacing w:before="0"/>
              <w:ind w:left="86"/>
              <w:jc w:val="left"/>
              <w:rPr>
                <w:b/>
                <w:sz w:val="15"/>
              </w:rPr>
            </w:pPr>
            <w:r>
              <w:rPr>
                <w:b/>
                <w:w w:val="105"/>
                <w:sz w:val="15"/>
              </w:rPr>
              <w:t>Chirografario</w:t>
            </w:r>
          </w:p>
        </w:tc>
      </w:tr>
      <w:tr>
        <w:trPr>
          <w:trHeight w:val="213" w:hRule="exact"/>
        </w:trPr>
        <w:tc>
          <w:tcPr>
            <w:tcW w:w="904" w:type="dxa"/>
            <w:tcBorders>
              <w:bottom w:val="nil"/>
            </w:tcBorders>
          </w:tcPr>
          <w:p>
            <w:pPr>
              <w:pStyle w:val="TableParagraph"/>
              <w:spacing w:before="24"/>
              <w:ind w:left="131" w:right="122"/>
              <w:jc w:val="center"/>
              <w:rPr>
                <w:sz w:val="15"/>
              </w:rPr>
            </w:pPr>
            <w:r>
              <w:rPr>
                <w:w w:val="105"/>
                <w:sz w:val="15"/>
              </w:rPr>
              <w:t>2330030</w:t>
            </w:r>
          </w:p>
        </w:tc>
        <w:tc>
          <w:tcPr>
            <w:tcW w:w="2971" w:type="dxa"/>
            <w:tcBorders>
              <w:bottom w:val="nil"/>
            </w:tcBorders>
          </w:tcPr>
          <w:p>
            <w:pPr>
              <w:pStyle w:val="TableParagraph"/>
              <w:spacing w:before="24"/>
              <w:ind w:left="19"/>
              <w:jc w:val="left"/>
              <w:rPr>
                <w:sz w:val="15"/>
              </w:rPr>
            </w:pPr>
            <w:r>
              <w:rPr>
                <w:w w:val="105"/>
                <w:sz w:val="15"/>
              </w:rPr>
              <w:t>Output VAT</w:t>
            </w:r>
          </w:p>
        </w:tc>
        <w:tc>
          <w:tcPr>
            <w:tcW w:w="1106" w:type="dxa"/>
            <w:tcBorders>
              <w:bottom w:val="nil"/>
            </w:tcBorders>
          </w:tcPr>
          <w:p>
            <w:pPr>
              <w:pStyle w:val="TableParagraph"/>
              <w:spacing w:before="24"/>
              <w:ind w:right="22"/>
              <w:rPr>
                <w:sz w:val="15"/>
              </w:rPr>
            </w:pPr>
            <w:r>
              <w:rPr>
                <w:sz w:val="15"/>
              </w:rPr>
              <w:t>(128.753)</w:t>
            </w:r>
          </w:p>
        </w:tc>
        <w:tc>
          <w:tcPr>
            <w:tcW w:w="962" w:type="dxa"/>
            <w:tcBorders>
              <w:bottom w:val="nil"/>
            </w:tcBorders>
          </w:tcPr>
          <w:p>
            <w:pPr>
              <w:pStyle w:val="TableParagraph"/>
              <w:spacing w:before="24"/>
              <w:ind w:right="71"/>
              <w:rPr>
                <w:sz w:val="15"/>
              </w:rPr>
            </w:pPr>
            <w:r>
              <w:rPr>
                <w:sz w:val="15"/>
              </w:rPr>
              <w:t>128.753</w:t>
            </w:r>
          </w:p>
        </w:tc>
        <w:tc>
          <w:tcPr>
            <w:tcW w:w="1106" w:type="dxa"/>
            <w:tcBorders>
              <w:bottom w:val="nil"/>
            </w:tcBorders>
          </w:tcPr>
          <w:p>
            <w:pPr>
              <w:pStyle w:val="TableParagraph"/>
              <w:spacing w:before="24"/>
              <w:ind w:right="70"/>
              <w:rPr>
                <w:sz w:val="15"/>
              </w:rPr>
            </w:pPr>
            <w:r>
              <w:rPr>
                <w:w w:val="102"/>
                <w:sz w:val="15"/>
              </w:rPr>
              <w:t>0</w:t>
            </w:r>
          </w:p>
        </w:tc>
        <w:tc>
          <w:tcPr>
            <w:tcW w:w="942" w:type="dxa"/>
            <w:tcBorders>
              <w:bottom w:val="nil"/>
            </w:tcBorders>
          </w:tcPr>
          <w:p>
            <w:pPr>
              <w:pStyle w:val="TableParagraph"/>
              <w:spacing w:before="24"/>
              <w:ind w:right="69"/>
              <w:rPr>
                <w:sz w:val="15"/>
              </w:rPr>
            </w:pPr>
            <w:r>
              <w:rPr>
                <w:w w:val="102"/>
                <w:sz w:val="15"/>
              </w:rPr>
              <w:t>0</w:t>
            </w:r>
          </w:p>
        </w:tc>
        <w:tc>
          <w:tcPr>
            <w:tcW w:w="1067" w:type="dxa"/>
            <w:tcBorders>
              <w:bottom w:val="nil"/>
              <w:right w:val="single" w:sz="4" w:space="0" w:color="000000"/>
            </w:tcBorders>
          </w:tcPr>
          <w:p>
            <w:pPr/>
          </w:p>
        </w:tc>
      </w:tr>
      <w:tr>
        <w:trPr>
          <w:trHeight w:val="202" w:hRule="exact"/>
        </w:trPr>
        <w:tc>
          <w:tcPr>
            <w:tcW w:w="904" w:type="dxa"/>
            <w:tcBorders>
              <w:top w:val="nil"/>
              <w:bottom w:val="nil"/>
            </w:tcBorders>
          </w:tcPr>
          <w:p>
            <w:pPr>
              <w:pStyle w:val="TableParagraph"/>
              <w:spacing w:before="17"/>
              <w:ind w:left="131" w:right="122"/>
              <w:jc w:val="center"/>
              <w:rPr>
                <w:sz w:val="15"/>
              </w:rPr>
            </w:pPr>
            <w:r>
              <w:rPr>
                <w:w w:val="105"/>
                <w:sz w:val="15"/>
              </w:rPr>
              <w:t>2330180</w:t>
            </w:r>
          </w:p>
        </w:tc>
        <w:tc>
          <w:tcPr>
            <w:tcW w:w="2971" w:type="dxa"/>
            <w:tcBorders>
              <w:top w:val="nil"/>
              <w:bottom w:val="nil"/>
            </w:tcBorders>
          </w:tcPr>
          <w:p>
            <w:pPr>
              <w:pStyle w:val="TableParagraph"/>
              <w:spacing w:before="17"/>
              <w:ind w:left="19"/>
              <w:jc w:val="left"/>
              <w:rPr>
                <w:sz w:val="15"/>
              </w:rPr>
            </w:pPr>
            <w:r>
              <w:rPr>
                <w:w w:val="105"/>
                <w:sz w:val="15"/>
              </w:rPr>
              <w:t>Debiti per rit in acconto d'imposta dip</w:t>
            </w:r>
          </w:p>
        </w:tc>
        <w:tc>
          <w:tcPr>
            <w:tcW w:w="1106" w:type="dxa"/>
            <w:tcBorders>
              <w:top w:val="nil"/>
              <w:bottom w:val="nil"/>
            </w:tcBorders>
          </w:tcPr>
          <w:p>
            <w:pPr>
              <w:pStyle w:val="TableParagraph"/>
              <w:spacing w:before="17"/>
              <w:ind w:right="22"/>
              <w:rPr>
                <w:sz w:val="15"/>
              </w:rPr>
            </w:pPr>
            <w:r>
              <w:rPr>
                <w:sz w:val="15"/>
              </w:rPr>
              <w:t>(262.909)</w:t>
            </w:r>
          </w:p>
        </w:tc>
        <w:tc>
          <w:tcPr>
            <w:tcW w:w="962" w:type="dxa"/>
            <w:tcBorders>
              <w:top w:val="nil"/>
              <w:bottom w:val="nil"/>
            </w:tcBorders>
          </w:tcPr>
          <w:p>
            <w:pPr>
              <w:pStyle w:val="TableParagraph"/>
              <w:spacing w:before="17"/>
              <w:ind w:right="71"/>
              <w:rPr>
                <w:sz w:val="15"/>
              </w:rPr>
            </w:pPr>
            <w:r>
              <w:rPr>
                <w:sz w:val="15"/>
              </w:rPr>
              <w:t>101.578</w:t>
            </w:r>
          </w:p>
        </w:tc>
        <w:tc>
          <w:tcPr>
            <w:tcW w:w="1106" w:type="dxa"/>
            <w:tcBorders>
              <w:top w:val="nil"/>
              <w:bottom w:val="nil"/>
            </w:tcBorders>
          </w:tcPr>
          <w:p>
            <w:pPr>
              <w:pStyle w:val="TableParagraph"/>
              <w:spacing w:before="17"/>
              <w:ind w:right="22"/>
              <w:rPr>
                <w:sz w:val="15"/>
              </w:rPr>
            </w:pPr>
            <w:r>
              <w:rPr>
                <w:sz w:val="15"/>
              </w:rPr>
              <w:t>(161.331)</w:t>
            </w:r>
          </w:p>
        </w:tc>
        <w:tc>
          <w:tcPr>
            <w:tcW w:w="942" w:type="dxa"/>
            <w:tcBorders>
              <w:top w:val="nil"/>
              <w:bottom w:val="nil"/>
            </w:tcBorders>
          </w:tcPr>
          <w:p>
            <w:pPr>
              <w:pStyle w:val="TableParagraph"/>
              <w:spacing w:before="17"/>
              <w:ind w:right="22"/>
              <w:rPr>
                <w:sz w:val="15"/>
              </w:rPr>
            </w:pPr>
            <w:r>
              <w:rPr>
                <w:sz w:val="15"/>
              </w:rPr>
              <w:t>(161.331)</w:t>
            </w:r>
          </w:p>
        </w:tc>
        <w:tc>
          <w:tcPr>
            <w:tcW w:w="1067" w:type="dxa"/>
            <w:tcBorders>
              <w:top w:val="nil"/>
              <w:bottom w:val="nil"/>
              <w:right w:val="single" w:sz="4" w:space="0" w:color="000000"/>
            </w:tcBorders>
          </w:tcPr>
          <w:p>
            <w:pPr/>
          </w:p>
        </w:tc>
      </w:tr>
      <w:tr>
        <w:trPr>
          <w:trHeight w:val="202" w:hRule="exact"/>
        </w:trPr>
        <w:tc>
          <w:tcPr>
            <w:tcW w:w="904" w:type="dxa"/>
            <w:tcBorders>
              <w:top w:val="nil"/>
              <w:bottom w:val="nil"/>
            </w:tcBorders>
          </w:tcPr>
          <w:p>
            <w:pPr>
              <w:pStyle w:val="TableParagraph"/>
              <w:spacing w:before="17"/>
              <w:ind w:left="131" w:right="122"/>
              <w:jc w:val="center"/>
              <w:rPr>
                <w:sz w:val="15"/>
              </w:rPr>
            </w:pPr>
            <w:r>
              <w:rPr>
                <w:w w:val="105"/>
                <w:sz w:val="15"/>
              </w:rPr>
              <w:t>2330185</w:t>
            </w:r>
          </w:p>
        </w:tc>
        <w:tc>
          <w:tcPr>
            <w:tcW w:w="2971" w:type="dxa"/>
            <w:tcBorders>
              <w:top w:val="nil"/>
              <w:bottom w:val="nil"/>
            </w:tcBorders>
          </w:tcPr>
          <w:p>
            <w:pPr>
              <w:pStyle w:val="TableParagraph"/>
              <w:spacing w:before="17"/>
              <w:ind w:left="19"/>
              <w:jc w:val="left"/>
              <w:rPr>
                <w:sz w:val="15"/>
              </w:rPr>
            </w:pPr>
            <w:r>
              <w:rPr>
                <w:w w:val="105"/>
                <w:sz w:val="15"/>
              </w:rPr>
              <w:t>Debiti per rit in acconto d'imposta riv</w:t>
            </w:r>
          </w:p>
        </w:tc>
        <w:tc>
          <w:tcPr>
            <w:tcW w:w="1106" w:type="dxa"/>
            <w:tcBorders>
              <w:top w:val="nil"/>
              <w:bottom w:val="nil"/>
            </w:tcBorders>
          </w:tcPr>
          <w:p>
            <w:pPr>
              <w:pStyle w:val="TableParagraph"/>
              <w:spacing w:before="17"/>
              <w:ind w:right="20"/>
              <w:rPr>
                <w:sz w:val="15"/>
              </w:rPr>
            </w:pPr>
            <w:r>
              <w:rPr>
                <w:sz w:val="15"/>
              </w:rPr>
              <w:t>(81)</w:t>
            </w:r>
          </w:p>
        </w:tc>
        <w:tc>
          <w:tcPr>
            <w:tcW w:w="962" w:type="dxa"/>
            <w:tcBorders>
              <w:top w:val="nil"/>
              <w:bottom w:val="nil"/>
            </w:tcBorders>
          </w:tcPr>
          <w:p>
            <w:pPr/>
          </w:p>
        </w:tc>
        <w:tc>
          <w:tcPr>
            <w:tcW w:w="1106" w:type="dxa"/>
            <w:tcBorders>
              <w:top w:val="nil"/>
              <w:bottom w:val="nil"/>
            </w:tcBorders>
          </w:tcPr>
          <w:p>
            <w:pPr>
              <w:pStyle w:val="TableParagraph"/>
              <w:spacing w:before="17"/>
              <w:ind w:right="21"/>
              <w:rPr>
                <w:sz w:val="15"/>
              </w:rPr>
            </w:pPr>
            <w:r>
              <w:rPr>
                <w:sz w:val="15"/>
              </w:rPr>
              <w:t>(81)</w:t>
            </w:r>
          </w:p>
        </w:tc>
        <w:tc>
          <w:tcPr>
            <w:tcW w:w="942" w:type="dxa"/>
            <w:tcBorders>
              <w:top w:val="nil"/>
              <w:bottom w:val="nil"/>
            </w:tcBorders>
          </w:tcPr>
          <w:p>
            <w:pPr>
              <w:pStyle w:val="TableParagraph"/>
              <w:spacing w:before="17"/>
              <w:ind w:right="21"/>
              <w:rPr>
                <w:sz w:val="15"/>
              </w:rPr>
            </w:pPr>
            <w:r>
              <w:rPr>
                <w:sz w:val="15"/>
              </w:rPr>
              <w:t>(81)</w:t>
            </w:r>
          </w:p>
        </w:tc>
        <w:tc>
          <w:tcPr>
            <w:tcW w:w="1067" w:type="dxa"/>
            <w:tcBorders>
              <w:top w:val="nil"/>
              <w:bottom w:val="nil"/>
              <w:right w:val="single" w:sz="4" w:space="0" w:color="000000"/>
            </w:tcBorders>
          </w:tcPr>
          <w:p>
            <w:pPr/>
          </w:p>
        </w:tc>
      </w:tr>
      <w:tr>
        <w:trPr>
          <w:trHeight w:val="202" w:hRule="exact"/>
        </w:trPr>
        <w:tc>
          <w:tcPr>
            <w:tcW w:w="904" w:type="dxa"/>
            <w:tcBorders>
              <w:top w:val="nil"/>
              <w:bottom w:val="nil"/>
            </w:tcBorders>
          </w:tcPr>
          <w:p>
            <w:pPr>
              <w:pStyle w:val="TableParagraph"/>
              <w:spacing w:before="17"/>
              <w:ind w:left="131" w:right="122"/>
              <w:jc w:val="center"/>
              <w:rPr>
                <w:sz w:val="15"/>
              </w:rPr>
            </w:pPr>
            <w:r>
              <w:rPr>
                <w:w w:val="105"/>
                <w:sz w:val="15"/>
              </w:rPr>
              <w:t>2330190</w:t>
            </w:r>
          </w:p>
        </w:tc>
        <w:tc>
          <w:tcPr>
            <w:tcW w:w="2971" w:type="dxa"/>
            <w:tcBorders>
              <w:top w:val="nil"/>
              <w:bottom w:val="nil"/>
            </w:tcBorders>
          </w:tcPr>
          <w:p>
            <w:pPr>
              <w:pStyle w:val="TableParagraph"/>
              <w:spacing w:before="17"/>
              <w:ind w:left="19"/>
              <w:jc w:val="left"/>
              <w:rPr>
                <w:sz w:val="15"/>
              </w:rPr>
            </w:pPr>
            <w:r>
              <w:rPr>
                <w:w w:val="105"/>
                <w:sz w:val="15"/>
              </w:rPr>
              <w:t>Debiti per rit in acconto d'imposta con</w:t>
            </w:r>
          </w:p>
        </w:tc>
        <w:tc>
          <w:tcPr>
            <w:tcW w:w="1106" w:type="dxa"/>
            <w:tcBorders>
              <w:top w:val="nil"/>
              <w:bottom w:val="nil"/>
            </w:tcBorders>
          </w:tcPr>
          <w:p>
            <w:pPr>
              <w:pStyle w:val="TableParagraph"/>
              <w:spacing w:before="17"/>
              <w:ind w:right="21"/>
              <w:rPr>
                <w:sz w:val="15"/>
              </w:rPr>
            </w:pPr>
            <w:r>
              <w:rPr>
                <w:sz w:val="15"/>
              </w:rPr>
              <w:t>(64.161)</w:t>
            </w:r>
          </w:p>
        </w:tc>
        <w:tc>
          <w:tcPr>
            <w:tcW w:w="962" w:type="dxa"/>
            <w:tcBorders>
              <w:top w:val="nil"/>
              <w:bottom w:val="nil"/>
            </w:tcBorders>
          </w:tcPr>
          <w:p>
            <w:pPr/>
          </w:p>
        </w:tc>
        <w:tc>
          <w:tcPr>
            <w:tcW w:w="1106" w:type="dxa"/>
            <w:tcBorders>
              <w:top w:val="nil"/>
              <w:bottom w:val="nil"/>
            </w:tcBorders>
          </w:tcPr>
          <w:p>
            <w:pPr>
              <w:pStyle w:val="TableParagraph"/>
              <w:spacing w:before="17"/>
              <w:ind w:right="22"/>
              <w:rPr>
                <w:sz w:val="15"/>
              </w:rPr>
            </w:pPr>
            <w:r>
              <w:rPr>
                <w:sz w:val="15"/>
              </w:rPr>
              <w:t>(64.161)</w:t>
            </w:r>
          </w:p>
        </w:tc>
        <w:tc>
          <w:tcPr>
            <w:tcW w:w="942" w:type="dxa"/>
            <w:tcBorders>
              <w:top w:val="nil"/>
              <w:bottom w:val="nil"/>
            </w:tcBorders>
          </w:tcPr>
          <w:p>
            <w:pPr>
              <w:pStyle w:val="TableParagraph"/>
              <w:spacing w:before="17"/>
              <w:ind w:right="21"/>
              <w:rPr>
                <w:sz w:val="15"/>
              </w:rPr>
            </w:pPr>
            <w:r>
              <w:rPr>
                <w:sz w:val="15"/>
              </w:rPr>
              <w:t>(64.161)</w:t>
            </w:r>
          </w:p>
        </w:tc>
        <w:tc>
          <w:tcPr>
            <w:tcW w:w="1067" w:type="dxa"/>
            <w:tcBorders>
              <w:top w:val="nil"/>
              <w:bottom w:val="nil"/>
              <w:right w:val="single" w:sz="4" w:space="0" w:color="000000"/>
            </w:tcBorders>
          </w:tcPr>
          <w:p>
            <w:pPr/>
          </w:p>
        </w:tc>
      </w:tr>
      <w:tr>
        <w:trPr>
          <w:trHeight w:val="190" w:hRule="exact"/>
        </w:trPr>
        <w:tc>
          <w:tcPr>
            <w:tcW w:w="904" w:type="dxa"/>
            <w:tcBorders>
              <w:top w:val="nil"/>
            </w:tcBorders>
          </w:tcPr>
          <w:p>
            <w:pPr>
              <w:pStyle w:val="TableParagraph"/>
              <w:spacing w:before="17"/>
              <w:ind w:left="131" w:right="122"/>
              <w:jc w:val="center"/>
              <w:rPr>
                <w:sz w:val="15"/>
              </w:rPr>
            </w:pPr>
            <w:r>
              <w:rPr>
                <w:w w:val="105"/>
                <w:sz w:val="15"/>
              </w:rPr>
              <w:t>2330012</w:t>
            </w:r>
          </w:p>
        </w:tc>
        <w:tc>
          <w:tcPr>
            <w:tcW w:w="2971" w:type="dxa"/>
            <w:tcBorders>
              <w:top w:val="nil"/>
            </w:tcBorders>
          </w:tcPr>
          <w:p>
            <w:pPr>
              <w:pStyle w:val="TableParagraph"/>
              <w:spacing w:before="17"/>
              <w:ind w:left="19"/>
              <w:jc w:val="left"/>
              <w:rPr>
                <w:sz w:val="15"/>
              </w:rPr>
            </w:pPr>
            <w:r>
              <w:rPr>
                <w:sz w:val="15"/>
              </w:rPr>
              <w:t>Debiti  tributari (IMU-TARI-MULTE-AVVISI)</w:t>
            </w:r>
          </w:p>
        </w:tc>
        <w:tc>
          <w:tcPr>
            <w:tcW w:w="1106" w:type="dxa"/>
            <w:tcBorders>
              <w:top w:val="nil"/>
            </w:tcBorders>
          </w:tcPr>
          <w:p>
            <w:pPr>
              <w:pStyle w:val="TableParagraph"/>
              <w:spacing w:before="17"/>
              <w:ind w:right="22"/>
              <w:rPr>
                <w:sz w:val="15"/>
              </w:rPr>
            </w:pPr>
            <w:r>
              <w:rPr>
                <w:sz w:val="15"/>
              </w:rPr>
              <w:t>(148.701)</w:t>
            </w:r>
          </w:p>
        </w:tc>
        <w:tc>
          <w:tcPr>
            <w:tcW w:w="962" w:type="dxa"/>
            <w:tcBorders>
              <w:top w:val="nil"/>
            </w:tcBorders>
          </w:tcPr>
          <w:p>
            <w:pPr/>
          </w:p>
        </w:tc>
        <w:tc>
          <w:tcPr>
            <w:tcW w:w="1106" w:type="dxa"/>
            <w:tcBorders>
              <w:top w:val="nil"/>
            </w:tcBorders>
          </w:tcPr>
          <w:p>
            <w:pPr>
              <w:pStyle w:val="TableParagraph"/>
              <w:spacing w:before="17"/>
              <w:ind w:right="22"/>
              <w:rPr>
                <w:sz w:val="15"/>
              </w:rPr>
            </w:pPr>
            <w:r>
              <w:rPr>
                <w:sz w:val="15"/>
              </w:rPr>
              <w:t>(148.701)</w:t>
            </w:r>
          </w:p>
        </w:tc>
        <w:tc>
          <w:tcPr>
            <w:tcW w:w="942" w:type="dxa"/>
            <w:tcBorders>
              <w:top w:val="nil"/>
            </w:tcBorders>
          </w:tcPr>
          <w:p>
            <w:pPr>
              <w:pStyle w:val="TableParagraph"/>
              <w:spacing w:before="17"/>
              <w:ind w:right="22"/>
              <w:rPr>
                <w:sz w:val="15"/>
              </w:rPr>
            </w:pPr>
            <w:r>
              <w:rPr>
                <w:sz w:val="15"/>
              </w:rPr>
              <w:t>(148.025)</w:t>
            </w:r>
          </w:p>
        </w:tc>
        <w:tc>
          <w:tcPr>
            <w:tcW w:w="1067" w:type="dxa"/>
            <w:tcBorders>
              <w:top w:val="nil"/>
              <w:right w:val="single" w:sz="4" w:space="0" w:color="000000"/>
            </w:tcBorders>
          </w:tcPr>
          <w:p>
            <w:pPr>
              <w:pStyle w:val="TableParagraph"/>
              <w:spacing w:before="17"/>
              <w:ind w:right="21"/>
              <w:rPr>
                <w:sz w:val="15"/>
              </w:rPr>
            </w:pPr>
            <w:r>
              <w:rPr>
                <w:sz w:val="15"/>
              </w:rPr>
              <w:t>(676)</w:t>
            </w:r>
          </w:p>
        </w:tc>
      </w:tr>
      <w:tr>
        <w:trPr>
          <w:trHeight w:val="202" w:hRule="exact"/>
        </w:trPr>
        <w:tc>
          <w:tcPr>
            <w:tcW w:w="3875" w:type="dxa"/>
            <w:gridSpan w:val="2"/>
            <w:tcBorders>
              <w:bottom w:val="single" w:sz="4" w:space="0" w:color="000000"/>
            </w:tcBorders>
            <w:shd w:val="clear" w:color="auto" w:fill="BEBEBE"/>
          </w:tcPr>
          <w:p>
            <w:pPr>
              <w:pStyle w:val="TableParagraph"/>
              <w:spacing w:before="24"/>
              <w:ind w:left="19"/>
              <w:jc w:val="left"/>
              <w:rPr>
                <w:b/>
                <w:sz w:val="15"/>
              </w:rPr>
            </w:pPr>
            <w:r>
              <w:rPr>
                <w:b/>
                <w:sz w:val="15"/>
              </w:rPr>
              <w:t>TOTALE  DEBITI TRIBUTARI</w:t>
            </w:r>
          </w:p>
        </w:tc>
        <w:tc>
          <w:tcPr>
            <w:tcW w:w="1106" w:type="dxa"/>
            <w:tcBorders>
              <w:bottom w:val="single" w:sz="4" w:space="0" w:color="000000"/>
            </w:tcBorders>
            <w:shd w:val="clear" w:color="auto" w:fill="BEBEBE"/>
          </w:tcPr>
          <w:p>
            <w:pPr>
              <w:pStyle w:val="TableParagraph"/>
              <w:spacing w:before="24"/>
              <w:ind w:right="21"/>
              <w:rPr>
                <w:b/>
                <w:sz w:val="15"/>
              </w:rPr>
            </w:pPr>
            <w:r>
              <w:rPr>
                <w:b/>
                <w:sz w:val="15"/>
              </w:rPr>
              <w:t>(604.605)</w:t>
            </w:r>
          </w:p>
        </w:tc>
        <w:tc>
          <w:tcPr>
            <w:tcW w:w="962" w:type="dxa"/>
            <w:tcBorders>
              <w:bottom w:val="single" w:sz="4" w:space="0" w:color="000000"/>
            </w:tcBorders>
            <w:shd w:val="clear" w:color="auto" w:fill="BEBEBE"/>
          </w:tcPr>
          <w:p>
            <w:pPr>
              <w:pStyle w:val="TableParagraph"/>
              <w:spacing w:before="24"/>
              <w:ind w:right="72"/>
              <w:rPr>
                <w:b/>
                <w:sz w:val="15"/>
              </w:rPr>
            </w:pPr>
            <w:r>
              <w:rPr>
                <w:b/>
                <w:sz w:val="15"/>
              </w:rPr>
              <w:t>230.331</w:t>
            </w:r>
          </w:p>
        </w:tc>
        <w:tc>
          <w:tcPr>
            <w:tcW w:w="1106" w:type="dxa"/>
            <w:tcBorders>
              <w:bottom w:val="single" w:sz="4" w:space="0" w:color="000000"/>
            </w:tcBorders>
            <w:shd w:val="clear" w:color="auto" w:fill="BEBEBE"/>
          </w:tcPr>
          <w:p>
            <w:pPr>
              <w:pStyle w:val="TableParagraph"/>
              <w:spacing w:before="24"/>
              <w:ind w:right="22"/>
              <w:rPr>
                <w:b/>
                <w:sz w:val="15"/>
              </w:rPr>
            </w:pPr>
            <w:r>
              <w:rPr>
                <w:b/>
                <w:sz w:val="15"/>
              </w:rPr>
              <w:t>(374.274)</w:t>
            </w:r>
          </w:p>
        </w:tc>
        <w:tc>
          <w:tcPr>
            <w:tcW w:w="942" w:type="dxa"/>
            <w:tcBorders>
              <w:bottom w:val="single" w:sz="4" w:space="0" w:color="000000"/>
            </w:tcBorders>
            <w:shd w:val="clear" w:color="auto" w:fill="BEBEBE"/>
          </w:tcPr>
          <w:p>
            <w:pPr>
              <w:pStyle w:val="TableParagraph"/>
              <w:spacing w:before="24"/>
              <w:ind w:right="21"/>
              <w:rPr>
                <w:b/>
                <w:sz w:val="15"/>
              </w:rPr>
            </w:pPr>
            <w:r>
              <w:rPr>
                <w:b/>
                <w:sz w:val="15"/>
              </w:rPr>
              <w:t>(373.598)</w:t>
            </w:r>
          </w:p>
        </w:tc>
        <w:tc>
          <w:tcPr>
            <w:tcW w:w="1067" w:type="dxa"/>
            <w:tcBorders>
              <w:bottom w:val="single" w:sz="4" w:space="0" w:color="000000"/>
              <w:right w:val="single" w:sz="4" w:space="0" w:color="000000"/>
            </w:tcBorders>
            <w:shd w:val="clear" w:color="auto" w:fill="BEBEBE"/>
          </w:tcPr>
          <w:p>
            <w:pPr>
              <w:pStyle w:val="TableParagraph"/>
              <w:spacing w:before="24"/>
              <w:ind w:right="21"/>
              <w:rPr>
                <w:b/>
                <w:sz w:val="15"/>
              </w:rPr>
            </w:pPr>
            <w:r>
              <w:rPr>
                <w:b/>
                <w:sz w:val="15"/>
              </w:rPr>
              <w:t>(676)</w:t>
            </w:r>
          </w:p>
        </w:tc>
      </w:tr>
    </w:tbl>
    <w:p>
      <w:pPr>
        <w:pStyle w:val="BodyText"/>
        <w:rPr>
          <w:sz w:val="20"/>
        </w:rPr>
      </w:pPr>
    </w:p>
    <w:p>
      <w:pPr>
        <w:pStyle w:val="BodyText"/>
        <w:spacing w:before="1"/>
        <w:rPr>
          <w:sz w:val="22"/>
        </w:rPr>
      </w:pPr>
    </w:p>
    <w:p>
      <w:pPr>
        <w:pStyle w:val="BodyText"/>
        <w:ind w:left="1418"/>
        <w:jc w:val="both"/>
      </w:pPr>
      <w:r>
        <w:rPr/>
        <w:t>Di seguito si riporta una breve descrizione delle voci sopra esposte.</w:t>
      </w:r>
    </w:p>
    <w:p>
      <w:pPr>
        <w:pStyle w:val="BodyText"/>
        <w:spacing w:before="10"/>
        <w:rPr>
          <w:sz w:val="23"/>
        </w:rPr>
      </w:pPr>
    </w:p>
    <w:p>
      <w:pPr>
        <w:pStyle w:val="Heading2"/>
        <w:numPr>
          <w:ilvl w:val="0"/>
          <w:numId w:val="79"/>
        </w:numPr>
        <w:tabs>
          <w:tab w:pos="2126" w:val="left" w:leader="none"/>
          <w:tab w:pos="2127" w:val="left" w:leader="none"/>
        </w:tabs>
        <w:spacing w:line="240" w:lineRule="auto" w:before="0" w:after="0"/>
        <w:ind w:left="2126" w:right="0" w:hanging="348"/>
        <w:jc w:val="left"/>
      </w:pPr>
      <w:r>
        <w:rPr>
          <w:u w:val="single"/>
        </w:rPr>
        <w:t>Debiti</w:t>
      </w:r>
      <w:r>
        <w:rPr>
          <w:spacing w:val="-6"/>
          <w:u w:val="single"/>
        </w:rPr>
        <w:t> </w:t>
      </w:r>
      <w:r>
        <w:rPr>
          <w:u w:val="single"/>
        </w:rPr>
        <w:t>IVA</w:t>
      </w:r>
    </w:p>
    <w:p>
      <w:pPr>
        <w:pStyle w:val="BodyText"/>
        <w:spacing w:before="10"/>
        <w:rPr>
          <w:b/>
          <w:sz w:val="23"/>
        </w:rPr>
      </w:pPr>
    </w:p>
    <w:p>
      <w:pPr>
        <w:pStyle w:val="BodyText"/>
        <w:spacing w:line="480" w:lineRule="auto"/>
        <w:ind w:left="1418" w:right="1414"/>
        <w:jc w:val="both"/>
      </w:pPr>
      <w:r>
        <w:rPr/>
        <w:t>Si ricorda, come già precedentemente descritto nei crediti tributari, che il sistema contabile “SAP” non consente di effettuare la chiusura dell’IVA inframensile (alla data del 15.10.2017), pertanto, nella situazione contabile risultano iscritti:</w:t>
      </w:r>
    </w:p>
    <w:p>
      <w:pPr>
        <w:pStyle w:val="ListParagraph"/>
        <w:numPr>
          <w:ilvl w:val="0"/>
          <w:numId w:val="80"/>
        </w:numPr>
        <w:tabs>
          <w:tab w:pos="2127" w:val="left" w:leader="none"/>
        </w:tabs>
        <w:spacing w:line="460" w:lineRule="auto" w:before="0" w:after="0"/>
        <w:ind w:left="2138" w:right="1417" w:hanging="360"/>
        <w:jc w:val="both"/>
        <w:rPr>
          <w:rFonts w:ascii="Calibri"/>
          <w:sz w:val="24"/>
        </w:rPr>
      </w:pPr>
      <w:r>
        <w:rPr>
          <w:sz w:val="24"/>
        </w:rPr>
        <w:t>il debito IVA sorto per Euro 48.961 (mastrino 2330030) relativo a fatture registrate in  data antecedente al deposito della domanda di</w:t>
      </w:r>
      <w:r>
        <w:rPr>
          <w:spacing w:val="-28"/>
          <w:sz w:val="24"/>
        </w:rPr>
        <w:t> </w:t>
      </w:r>
      <w:r>
        <w:rPr>
          <w:sz w:val="24"/>
        </w:rPr>
        <w:t>concordato;</w:t>
      </w:r>
    </w:p>
    <w:p>
      <w:pPr>
        <w:pStyle w:val="ListParagraph"/>
        <w:numPr>
          <w:ilvl w:val="0"/>
          <w:numId w:val="80"/>
        </w:numPr>
        <w:tabs>
          <w:tab w:pos="2127" w:val="left" w:leader="none"/>
        </w:tabs>
        <w:spacing w:line="470" w:lineRule="auto" w:before="22" w:after="0"/>
        <w:ind w:left="2138" w:right="1419" w:hanging="360"/>
        <w:jc w:val="both"/>
        <w:rPr>
          <w:rFonts w:ascii="Calibri"/>
          <w:color w:val="FF0000"/>
          <w:sz w:val="24"/>
        </w:rPr>
      </w:pPr>
      <w:r>
        <w:rPr>
          <w:sz w:val="24"/>
        </w:rPr>
        <w:t>il debito IVA sorto per Euro 79.792 (mastrino 2330035) relativo a titolo di stanziamenti IVA delle fatture relative a servizi e prestazioni rese ante concordato ma registrate a  livello fiscale nel periodo</w:t>
      </w:r>
      <w:r>
        <w:rPr>
          <w:spacing w:val="-12"/>
          <w:sz w:val="24"/>
        </w:rPr>
        <w:t> </w:t>
      </w:r>
      <w:r>
        <w:rPr>
          <w:sz w:val="24"/>
        </w:rPr>
        <w:t>successivo.</w:t>
      </w:r>
    </w:p>
    <w:p>
      <w:pPr>
        <w:pStyle w:val="BodyText"/>
        <w:spacing w:before="11"/>
        <w:ind w:left="1418"/>
        <w:jc w:val="both"/>
      </w:pPr>
      <w:r>
        <w:rPr>
          <w:u w:val="single"/>
        </w:rPr>
        <w:t>Attività svolta</w:t>
      </w:r>
    </w:p>
    <w:p>
      <w:pPr>
        <w:pStyle w:val="BodyText"/>
        <w:spacing w:before="11"/>
        <w:rPr>
          <w:sz w:val="23"/>
        </w:rPr>
      </w:pPr>
    </w:p>
    <w:p>
      <w:pPr>
        <w:pStyle w:val="BodyText"/>
        <w:spacing w:line="480" w:lineRule="auto"/>
        <w:ind w:left="1418" w:right="1419"/>
        <w:jc w:val="both"/>
      </w:pPr>
      <w:r>
        <w:rPr/>
        <w:t>Gli scriventi hanno preso visione dei registri IVA dal 01 gennaio 2017 al 15 ottobre 2017 e per gli anni precedenti hanno preso visione delle dichiarazioni IVA degli anni 2015 e 2016.</w:t>
      </w:r>
    </w:p>
    <w:p>
      <w:pPr>
        <w:pStyle w:val="BodyText"/>
        <w:spacing w:line="480" w:lineRule="auto"/>
        <w:ind w:left="1418" w:right="1420"/>
        <w:jc w:val="both"/>
      </w:pPr>
      <w:r>
        <w:rPr/>
        <w:t>Infine, come già anticipato, si ricorda che il fiscalista della società, Studio legale tributario EY, nella  risposta  di  circolarizzazione  ha  precisato  che  la  Società  ha  ricevuto  un  avviso  di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3"/>
        <w:jc w:val="both"/>
      </w:pPr>
      <w:r>
        <w:rPr/>
        <w:t>accertamento IVA con riferimento al periodo di imposta 2012, per complessivi Euro 623.719,72. Per maggiori dettagli si rimanda al successivo paragrafo “Debiti tributari (IMU-TARI-MULTE- AVVISI)”, per lo stanziamento delle sanzioni e degli interessi, nonché al paragrafo dei fondi  rischi concordatari per lo stanziamento della quota parte</w:t>
      </w:r>
      <w:r>
        <w:rPr>
          <w:spacing w:val="-25"/>
        </w:rPr>
        <w:t> </w:t>
      </w:r>
      <w:r>
        <w:rPr/>
        <w:t>capitale.</w:t>
      </w:r>
    </w:p>
    <w:p>
      <w:pPr>
        <w:pStyle w:val="BodyText"/>
        <w:ind w:left="1418"/>
        <w:jc w:val="both"/>
      </w:pPr>
      <w:r>
        <w:rPr>
          <w:u w:val="single"/>
        </w:rPr>
        <w:t>Valorizzazione concordataria</w:t>
      </w:r>
    </w:p>
    <w:p>
      <w:pPr>
        <w:pStyle w:val="BodyText"/>
        <w:spacing w:before="1"/>
        <w:rPr>
          <w:sz w:val="15"/>
        </w:rPr>
      </w:pPr>
    </w:p>
    <w:p>
      <w:pPr>
        <w:pStyle w:val="BodyText"/>
        <w:spacing w:line="480" w:lineRule="auto" w:before="101"/>
        <w:ind w:left="1418" w:right="1419"/>
        <w:jc w:val="both"/>
      </w:pPr>
      <w:r>
        <w:rPr/>
        <w:t>Il saldo a debito di Euro 128.753, pari alla somma dei due dettagli sopradescritti, è stato riclassificato ai fini concordatari nei fondi rischi, fondo imposte 2017 e considerato postergato trattandosi di debito IVA di gruppo.</w:t>
      </w:r>
    </w:p>
    <w:p>
      <w:pPr>
        <w:pStyle w:val="Heading2"/>
        <w:numPr>
          <w:ilvl w:val="0"/>
          <w:numId w:val="79"/>
        </w:numPr>
        <w:tabs>
          <w:tab w:pos="2126" w:val="left" w:leader="none"/>
          <w:tab w:pos="2127" w:val="left" w:leader="none"/>
        </w:tabs>
        <w:spacing w:line="240" w:lineRule="auto" w:before="0" w:after="0"/>
        <w:ind w:left="2126" w:right="0" w:hanging="348"/>
        <w:jc w:val="left"/>
      </w:pPr>
      <w:r>
        <w:rPr>
          <w:u w:val="single"/>
        </w:rPr>
        <w:t>Debiti per ritenute su redditi da lavoro dipendente e</w:t>
      </w:r>
      <w:r>
        <w:rPr>
          <w:spacing w:val="-29"/>
          <w:u w:val="single"/>
        </w:rPr>
        <w:t> </w:t>
      </w:r>
      <w:r>
        <w:rPr>
          <w:u w:val="single"/>
        </w:rPr>
        <w:t>autonomo</w:t>
      </w:r>
    </w:p>
    <w:p>
      <w:pPr>
        <w:pStyle w:val="BodyText"/>
        <w:spacing w:before="11"/>
        <w:rPr>
          <w:b/>
          <w:sz w:val="23"/>
        </w:rPr>
      </w:pPr>
    </w:p>
    <w:p>
      <w:pPr>
        <w:pStyle w:val="BodyText"/>
        <w:spacing w:line="480" w:lineRule="auto"/>
        <w:ind w:left="1418" w:right="1412"/>
        <w:jc w:val="both"/>
      </w:pPr>
      <w:r>
        <w:rPr/>
        <w:t>In tale voce trovano allocazione i debiti per ritenute di acconto su redditi da lavoro dipendente e da lavoro autonomo per complessivi Euro 327.151, di cui dipendenti per Euro 262.990 e autonomo 64.161. Il debito per ritenute lavoro dipendenti è comprensivo di sanzioni per Euro</w:t>
      </w:r>
    </w:p>
    <w:p>
      <w:pPr>
        <w:pStyle w:val="BodyText"/>
        <w:tabs>
          <w:tab w:pos="2287" w:val="left" w:leader="none"/>
          <w:tab w:pos="3410" w:val="left" w:leader="none"/>
          <w:tab w:pos="3839" w:val="left" w:leader="none"/>
          <w:tab w:pos="4734" w:val="left" w:leader="none"/>
          <w:tab w:pos="5393" w:val="left" w:leader="none"/>
          <w:tab w:pos="5703" w:val="left" w:leader="none"/>
          <w:tab w:pos="6214" w:val="left" w:leader="none"/>
          <w:tab w:pos="6900" w:val="left" w:leader="none"/>
          <w:tab w:pos="7838" w:val="left" w:leader="none"/>
          <w:tab w:pos="8500" w:val="left" w:leader="none"/>
          <w:tab w:pos="9325" w:val="left" w:leader="none"/>
          <w:tab w:pos="9687" w:val="left" w:leader="none"/>
        </w:tabs>
        <w:spacing w:line="480" w:lineRule="auto"/>
        <w:ind w:left="1418" w:right="1418"/>
      </w:pPr>
      <w:r>
        <w:rPr/>
        <w:t>37.208 calcolate al tasso del 30% e di interessi per Euro 95 calcolati al tasso del 4%. Gli interessi sono stati calcolati unicamente sulla quota parte del debito scaduto alla data del 15 ottobre 2017. Infine, si rileva che le ritenute sul lavoro dipendente per Euro 124.027 sono riferite al periodo agosto,</w:t>
        <w:tab/>
        <w:t>settembre</w:t>
        <w:tab/>
        <w:t>ed</w:t>
        <w:tab/>
        <w:t>ottobre</w:t>
        <w:tab/>
        <w:t>2017</w:t>
        <w:tab/>
        <w:t>e</w:t>
        <w:tab/>
        <w:t>per</w:t>
        <w:tab/>
        <w:t>Euro</w:t>
        <w:tab/>
        <w:t>101.578</w:t>
        <w:tab/>
        <w:t>sono</w:t>
        <w:tab/>
        <w:t>riferite</w:t>
        <w:tab/>
        <w:t>al</w:t>
        <w:tab/>
        <w:t>cedolino dell’amministratore Guido Ghisolfi di marzo</w:t>
      </w:r>
      <w:r>
        <w:rPr>
          <w:spacing w:val="-7"/>
        </w:rPr>
        <w:t> </w:t>
      </w:r>
      <w:r>
        <w:rPr/>
        <w:t>2015.</w:t>
      </w:r>
    </w:p>
    <w:p>
      <w:pPr>
        <w:pStyle w:val="BodyText"/>
        <w:ind w:left="1418"/>
        <w:jc w:val="both"/>
      </w:pPr>
      <w:r>
        <w:rPr>
          <w:u w:val="single"/>
        </w:rPr>
        <w:t>Attività svolta</w:t>
      </w:r>
    </w:p>
    <w:p>
      <w:pPr>
        <w:pStyle w:val="BodyText"/>
        <w:spacing w:before="1"/>
        <w:rPr>
          <w:sz w:val="15"/>
        </w:rPr>
      </w:pPr>
    </w:p>
    <w:p>
      <w:pPr>
        <w:pStyle w:val="BodyText"/>
        <w:spacing w:line="480" w:lineRule="auto" w:before="100"/>
        <w:ind w:left="1418" w:right="1416"/>
        <w:jc w:val="both"/>
      </w:pPr>
      <w:r>
        <w:rPr/>
        <w:t>Gli scriventi hanno visionato i mastrini contabili ed hanno analizzato copia dell’estratto ruolo ottenuto da Equitalia. Infine, si precisa che il fiscalista della Società nella risposta di circolarizzazione non ha menzionato la presenza di contenziosi tributari in essere relativi a tributi in esame.</w:t>
      </w:r>
    </w:p>
    <w:p>
      <w:pPr>
        <w:pStyle w:val="BodyText"/>
        <w:ind w:left="1418"/>
        <w:jc w:val="both"/>
      </w:pPr>
      <w:r>
        <w:rPr>
          <w:u w:val="single"/>
        </w:rPr>
        <w:t>Valorizzazione concordataria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Tenuto conto di quanto premesso, il su descritto debito tributario è stato classificato nel piano concordatario come debito privilegiato ai sensi dell’art. 2752 c.1 – art. 2778 n. 18 c.c..</w:t>
      </w:r>
    </w:p>
    <w:p>
      <w:pPr>
        <w:pStyle w:val="BodyText"/>
        <w:spacing w:line="480" w:lineRule="auto"/>
        <w:ind w:left="1418" w:right="1418"/>
        <w:jc w:val="both"/>
      </w:pPr>
      <w:r>
        <w:rPr/>
        <w:t>Ai fini concordatari è stata effettuata la seguente rettifica: Euro 101.578 si riferiscono ai debiti per ritenute su retribuzioni dovute all’amministratore Guido Ghisolfi deceduto, i cui eredi hanno rinunciato all’eredità, pertanto la corrispondente ritenuta non è dovuta ed è stata non compresa nel debito concordatario.</w:t>
      </w:r>
    </w:p>
    <w:p>
      <w:pPr>
        <w:pStyle w:val="Heading2"/>
        <w:jc w:val="both"/>
      </w:pPr>
      <w:r>
        <w:rPr>
          <w:u w:val="single"/>
        </w:rPr>
        <w:t>Debiti tributari (IMU-TARI-MULTE-AVVISI)</w:t>
      </w:r>
    </w:p>
    <w:p>
      <w:pPr>
        <w:pStyle w:val="BodyText"/>
        <w:spacing w:before="1"/>
        <w:rPr>
          <w:b/>
          <w:sz w:val="15"/>
        </w:rPr>
      </w:pPr>
    </w:p>
    <w:p>
      <w:pPr>
        <w:pStyle w:val="BodyText"/>
        <w:spacing w:line="480" w:lineRule="auto" w:before="100"/>
        <w:ind w:left="1418" w:right="1419"/>
        <w:jc w:val="both"/>
      </w:pPr>
      <w:r>
        <w:rPr/>
        <w:t>Il debito ammonta ad Euro 148.701, di cui Euro 676 a titolo di multe, Euro 411 a titolo di Tari sull’immobile di Crescentino, 4.827 a titolo di IMU sull’immobile di Modugno ed Euro 142.787 a titolo di sanzioni e interessi sull’avviso di accertamento n. TSB060100246/2017.</w:t>
      </w:r>
    </w:p>
    <w:p>
      <w:pPr>
        <w:pStyle w:val="BodyText"/>
        <w:ind w:left="1418"/>
        <w:jc w:val="both"/>
      </w:pPr>
      <w:r>
        <w:rPr>
          <w:u w:val="single"/>
        </w:rPr>
        <w:t>Attività svolta</w:t>
      </w:r>
    </w:p>
    <w:p>
      <w:pPr>
        <w:pStyle w:val="BodyText"/>
        <w:spacing w:before="1"/>
        <w:rPr>
          <w:sz w:val="15"/>
        </w:rPr>
      </w:pPr>
    </w:p>
    <w:p>
      <w:pPr>
        <w:pStyle w:val="BodyText"/>
        <w:spacing w:line="480" w:lineRule="auto" w:before="100"/>
        <w:ind w:left="1418" w:right="1414"/>
        <w:jc w:val="both"/>
      </w:pPr>
      <w:r>
        <w:rPr/>
        <w:t>In riferimento ai tributi minori gli scriventi hanno preso visione dei solleciti inviati dal comune di Crescentino. In particolare, gli scriventi segnalano che, in riferimento alla Tari, il  debito  si riferisce al periodo 2015 per Euro 146 e 2016 per Euro 265.</w:t>
      </w:r>
    </w:p>
    <w:p>
      <w:pPr>
        <w:pStyle w:val="BodyText"/>
        <w:spacing w:line="480" w:lineRule="auto"/>
        <w:ind w:left="1418" w:right="1416"/>
        <w:jc w:val="both"/>
      </w:pPr>
      <w:r>
        <w:rPr/>
        <w:t>Hanno preso visione dei calcoli effettuati dalla Società per il debito stanziato a titolo di IMU e della cartella di pagamento n. 00120180001174542000 con la quale Equitalia chiede il pagamento di Euro 676 a titolo di multe stradali. Infine, gli scriventi hanno preso visione dell’avviso di accertamento n. TSB060100246/2017. Si rileva che le imposte relative all’accertamento sono state stanziate nel fondo rischi, al cui paragrafo si rimanda per maggiori dettagli.</w:t>
      </w:r>
    </w:p>
    <w:p>
      <w:pPr>
        <w:pStyle w:val="BodyText"/>
        <w:ind w:left="1418"/>
        <w:jc w:val="both"/>
      </w:pPr>
      <w:r>
        <w:rPr>
          <w:u w:val="single"/>
        </w:rPr>
        <w:t>Valorizzazione concordataria</w:t>
      </w:r>
    </w:p>
    <w:p>
      <w:pPr>
        <w:pStyle w:val="BodyText"/>
        <w:spacing w:before="10"/>
        <w:rPr>
          <w:sz w:val="23"/>
        </w:rPr>
      </w:pPr>
    </w:p>
    <w:p>
      <w:pPr>
        <w:pStyle w:val="BodyText"/>
        <w:spacing w:line="480" w:lineRule="auto"/>
        <w:ind w:left="1418" w:right="1413"/>
        <w:jc w:val="both"/>
      </w:pPr>
      <w:r>
        <w:rPr/>
        <w:t>I debiti sopra descritti sono stati stanziati in via chirografaria per Euro 676, in via privilegiata ex art. 2752 co. 2 c.c. per Euro 142.787 e in via privilegiata ex art. 2752 c.3 c.c. per Euro 5.238.</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pPr>
      <w:r>
        <w:rPr>
          <w:u w:val="single"/>
        </w:rPr>
        <w:t>DEBITI PREVIDENZIALI</w:t>
      </w:r>
    </w:p>
    <w:p>
      <w:pPr>
        <w:pStyle w:val="BodyText"/>
        <w:spacing w:before="11"/>
        <w:rPr>
          <w:b/>
          <w:sz w:val="23"/>
        </w:rPr>
      </w:pPr>
    </w:p>
    <w:p>
      <w:pPr>
        <w:pStyle w:val="BodyText"/>
        <w:spacing w:line="480" w:lineRule="auto"/>
        <w:ind w:left="1418" w:right="1518"/>
      </w:pPr>
      <w:r>
        <w:rPr/>
        <w:t>Nella situazione contabile al 15 ottobre 2017 risultano iscritti debiti assistenziali e previdenziali per Euro 497.409, così</w:t>
      </w:r>
      <w:r>
        <w:rPr>
          <w:spacing w:val="-8"/>
        </w:rPr>
        <w:t> </w:t>
      </w:r>
      <w:r>
        <w:rPr/>
        <w:t>suddivisi:</w:t>
      </w:r>
    </w:p>
    <w:p>
      <w:pPr>
        <w:pStyle w:val="BodyText"/>
        <w:rPr>
          <w:sz w:val="20"/>
        </w:rPr>
      </w:pPr>
    </w:p>
    <w:p>
      <w:pPr>
        <w:pStyle w:val="BodyText"/>
        <w:spacing w:before="7"/>
        <w:rPr>
          <w:sz w:val="17"/>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57"/>
        <w:gridCol w:w="3460"/>
        <w:gridCol w:w="1209"/>
        <w:gridCol w:w="1209"/>
        <w:gridCol w:w="1209"/>
        <w:gridCol w:w="1209"/>
      </w:tblGrid>
      <w:tr>
        <w:trPr>
          <w:trHeight w:val="662" w:hRule="exact"/>
        </w:trPr>
        <w:tc>
          <w:tcPr>
            <w:tcW w:w="757" w:type="dxa"/>
            <w:tcBorders>
              <w:right w:val="single" w:sz="4" w:space="0" w:color="000000"/>
            </w:tcBorders>
            <w:shd w:val="clear" w:color="auto" w:fill="BEBEBE"/>
          </w:tcPr>
          <w:p>
            <w:pPr>
              <w:pStyle w:val="TableParagraph"/>
              <w:spacing w:before="6"/>
              <w:jc w:val="left"/>
              <w:rPr>
                <w:sz w:val="21"/>
              </w:rPr>
            </w:pPr>
          </w:p>
          <w:p>
            <w:pPr>
              <w:pStyle w:val="TableParagraph"/>
              <w:spacing w:before="0"/>
              <w:ind w:left="52"/>
              <w:jc w:val="left"/>
              <w:rPr>
                <w:b/>
                <w:sz w:val="17"/>
              </w:rPr>
            </w:pPr>
            <w:r>
              <w:rPr>
                <w:b/>
                <w:sz w:val="17"/>
              </w:rPr>
              <w:t>CONTO</w:t>
            </w:r>
          </w:p>
        </w:tc>
        <w:tc>
          <w:tcPr>
            <w:tcW w:w="3460" w:type="dxa"/>
            <w:tcBorders>
              <w:left w:val="single" w:sz="4" w:space="0" w:color="000000"/>
            </w:tcBorders>
            <w:shd w:val="clear" w:color="auto" w:fill="BEBEBE"/>
          </w:tcPr>
          <w:p>
            <w:pPr>
              <w:pStyle w:val="TableParagraph"/>
              <w:spacing w:before="6"/>
              <w:jc w:val="left"/>
              <w:rPr>
                <w:sz w:val="21"/>
              </w:rPr>
            </w:pPr>
          </w:p>
          <w:p>
            <w:pPr>
              <w:pStyle w:val="TableParagraph"/>
              <w:spacing w:before="0"/>
              <w:ind w:left="1124"/>
              <w:jc w:val="left"/>
              <w:rPr>
                <w:b/>
                <w:sz w:val="17"/>
              </w:rPr>
            </w:pPr>
            <w:r>
              <w:rPr>
                <w:b/>
                <w:sz w:val="17"/>
              </w:rPr>
              <w:t>DESCRIZIONE</w:t>
            </w:r>
          </w:p>
        </w:tc>
        <w:tc>
          <w:tcPr>
            <w:tcW w:w="1209" w:type="dxa"/>
            <w:shd w:val="clear" w:color="auto" w:fill="BEBEBE"/>
          </w:tcPr>
          <w:p>
            <w:pPr>
              <w:pStyle w:val="TableParagraph"/>
              <w:spacing w:line="276" w:lineRule="auto" w:before="22"/>
              <w:ind w:left="231" w:right="100" w:firstLine="63"/>
              <w:jc w:val="left"/>
              <w:rPr>
                <w:b/>
                <w:sz w:val="17"/>
              </w:rPr>
            </w:pPr>
            <w:r>
              <w:rPr>
                <w:b/>
                <w:sz w:val="17"/>
              </w:rPr>
              <w:t>Valori di bilancio al 15.10.2017</w:t>
            </w:r>
          </w:p>
        </w:tc>
        <w:tc>
          <w:tcPr>
            <w:tcW w:w="1209" w:type="dxa"/>
            <w:shd w:val="clear" w:color="auto" w:fill="BEBEBE"/>
          </w:tcPr>
          <w:p>
            <w:pPr>
              <w:pStyle w:val="TableParagraph"/>
              <w:spacing w:line="276" w:lineRule="auto" w:before="127"/>
              <w:ind w:left="94" w:right="100" w:firstLine="158"/>
              <w:jc w:val="left"/>
              <w:rPr>
                <w:b/>
                <w:sz w:val="17"/>
              </w:rPr>
            </w:pPr>
            <w:r>
              <w:rPr>
                <w:b/>
                <w:sz w:val="17"/>
              </w:rPr>
              <w:t>Rettifiche concordatarie</w:t>
            </w:r>
          </w:p>
        </w:tc>
        <w:tc>
          <w:tcPr>
            <w:tcW w:w="1209" w:type="dxa"/>
            <w:shd w:val="clear" w:color="auto" w:fill="BEBEBE"/>
          </w:tcPr>
          <w:p>
            <w:pPr>
              <w:pStyle w:val="TableParagraph"/>
              <w:spacing w:line="276" w:lineRule="auto" w:before="127"/>
              <w:ind w:left="105" w:hanging="32"/>
              <w:jc w:val="left"/>
              <w:rPr>
                <w:b/>
                <w:sz w:val="17"/>
              </w:rPr>
            </w:pPr>
            <w:r>
              <w:rPr>
                <w:b/>
                <w:sz w:val="17"/>
              </w:rPr>
              <w:t>Valori di piano concordatario</w:t>
            </w:r>
          </w:p>
        </w:tc>
        <w:tc>
          <w:tcPr>
            <w:tcW w:w="1209" w:type="dxa"/>
            <w:shd w:val="clear" w:color="auto" w:fill="BEBEBE"/>
          </w:tcPr>
          <w:p>
            <w:pPr>
              <w:pStyle w:val="TableParagraph"/>
              <w:spacing w:before="6"/>
              <w:jc w:val="left"/>
              <w:rPr>
                <w:sz w:val="21"/>
              </w:rPr>
            </w:pPr>
          </w:p>
          <w:p>
            <w:pPr>
              <w:pStyle w:val="TableParagraph"/>
              <w:spacing w:before="0"/>
              <w:ind w:left="262"/>
              <w:jc w:val="left"/>
              <w:rPr>
                <w:b/>
                <w:sz w:val="17"/>
              </w:rPr>
            </w:pPr>
            <w:r>
              <w:rPr>
                <w:b/>
                <w:sz w:val="17"/>
              </w:rPr>
              <w:t>Privilegio</w:t>
            </w:r>
          </w:p>
        </w:tc>
      </w:tr>
      <w:tr>
        <w:trPr>
          <w:trHeight w:val="234" w:hRule="exact"/>
        </w:trPr>
        <w:tc>
          <w:tcPr>
            <w:tcW w:w="757" w:type="dxa"/>
            <w:tcBorders>
              <w:bottom w:val="nil"/>
              <w:right w:val="single" w:sz="4" w:space="0" w:color="000000"/>
            </w:tcBorders>
          </w:tcPr>
          <w:p>
            <w:pPr>
              <w:pStyle w:val="TableParagraph"/>
              <w:spacing w:before="22"/>
              <w:ind w:left="21"/>
              <w:jc w:val="left"/>
              <w:rPr>
                <w:sz w:val="17"/>
              </w:rPr>
            </w:pPr>
            <w:r>
              <w:rPr>
                <w:sz w:val="17"/>
              </w:rPr>
              <w:t>2330120</w:t>
            </w:r>
          </w:p>
        </w:tc>
        <w:tc>
          <w:tcPr>
            <w:tcW w:w="3460" w:type="dxa"/>
            <w:tcBorders>
              <w:left w:val="single" w:sz="4" w:space="0" w:color="000000"/>
              <w:bottom w:val="nil"/>
            </w:tcBorders>
          </w:tcPr>
          <w:p>
            <w:pPr>
              <w:pStyle w:val="TableParagraph"/>
              <w:spacing w:before="22"/>
              <w:ind w:left="147"/>
              <w:jc w:val="left"/>
              <w:rPr>
                <w:sz w:val="17"/>
              </w:rPr>
            </w:pPr>
            <w:r>
              <w:rPr>
                <w:sz w:val="17"/>
              </w:rPr>
              <w:t>Contributi per Ferie Residue</w:t>
            </w:r>
          </w:p>
        </w:tc>
        <w:tc>
          <w:tcPr>
            <w:tcW w:w="1209" w:type="dxa"/>
            <w:tcBorders>
              <w:bottom w:val="nil"/>
            </w:tcBorders>
          </w:tcPr>
          <w:p>
            <w:pPr>
              <w:pStyle w:val="TableParagraph"/>
              <w:spacing w:before="22"/>
              <w:ind w:right="24"/>
              <w:rPr>
                <w:sz w:val="17"/>
              </w:rPr>
            </w:pPr>
            <w:r>
              <w:rPr>
                <w:w w:val="95"/>
                <w:sz w:val="17"/>
              </w:rPr>
              <w:t>(71.619)</w:t>
            </w:r>
          </w:p>
        </w:tc>
        <w:tc>
          <w:tcPr>
            <w:tcW w:w="1209" w:type="dxa"/>
            <w:vMerge w:val="restart"/>
          </w:tcPr>
          <w:p>
            <w:pPr/>
          </w:p>
        </w:tc>
        <w:tc>
          <w:tcPr>
            <w:tcW w:w="1209" w:type="dxa"/>
            <w:tcBorders>
              <w:bottom w:val="nil"/>
            </w:tcBorders>
          </w:tcPr>
          <w:p>
            <w:pPr>
              <w:pStyle w:val="TableParagraph"/>
              <w:spacing w:before="22"/>
              <w:ind w:right="24"/>
              <w:rPr>
                <w:sz w:val="17"/>
              </w:rPr>
            </w:pPr>
            <w:r>
              <w:rPr>
                <w:w w:val="95"/>
                <w:sz w:val="17"/>
              </w:rPr>
              <w:t>(71.619)</w:t>
            </w:r>
          </w:p>
        </w:tc>
        <w:tc>
          <w:tcPr>
            <w:tcW w:w="1209" w:type="dxa"/>
            <w:tcBorders>
              <w:bottom w:val="nil"/>
            </w:tcBorders>
          </w:tcPr>
          <w:p>
            <w:pPr>
              <w:pStyle w:val="TableParagraph"/>
              <w:spacing w:before="22"/>
              <w:ind w:right="24"/>
              <w:rPr>
                <w:sz w:val="17"/>
              </w:rPr>
            </w:pPr>
            <w:r>
              <w:rPr>
                <w:w w:val="95"/>
                <w:sz w:val="17"/>
              </w:rPr>
              <w:t>(71.619)</w:t>
            </w:r>
          </w:p>
        </w:tc>
      </w:tr>
      <w:tr>
        <w:trPr>
          <w:trHeight w:val="221" w:hRule="exact"/>
        </w:trPr>
        <w:tc>
          <w:tcPr>
            <w:tcW w:w="757" w:type="dxa"/>
            <w:tcBorders>
              <w:top w:val="nil"/>
              <w:bottom w:val="nil"/>
              <w:right w:val="single" w:sz="4" w:space="0" w:color="000000"/>
            </w:tcBorders>
          </w:tcPr>
          <w:p>
            <w:pPr>
              <w:pStyle w:val="TableParagraph"/>
              <w:spacing w:before="14"/>
              <w:ind w:left="21"/>
              <w:jc w:val="left"/>
              <w:rPr>
                <w:sz w:val="17"/>
              </w:rPr>
            </w:pPr>
            <w:r>
              <w:rPr>
                <w:sz w:val="17"/>
              </w:rPr>
              <w:t>2330240</w:t>
            </w:r>
          </w:p>
        </w:tc>
        <w:tc>
          <w:tcPr>
            <w:tcW w:w="3460" w:type="dxa"/>
            <w:tcBorders>
              <w:top w:val="nil"/>
              <w:left w:val="single" w:sz="4" w:space="0" w:color="000000"/>
              <w:bottom w:val="nil"/>
            </w:tcBorders>
          </w:tcPr>
          <w:p>
            <w:pPr>
              <w:pStyle w:val="TableParagraph"/>
              <w:spacing w:before="14"/>
              <w:ind w:left="147"/>
              <w:jc w:val="left"/>
              <w:rPr>
                <w:sz w:val="17"/>
              </w:rPr>
            </w:pPr>
            <w:r>
              <w:rPr>
                <w:sz w:val="17"/>
              </w:rPr>
              <w:t>FASCHIM</w:t>
            </w:r>
          </w:p>
        </w:tc>
        <w:tc>
          <w:tcPr>
            <w:tcW w:w="1209" w:type="dxa"/>
            <w:tcBorders>
              <w:top w:val="nil"/>
              <w:bottom w:val="nil"/>
            </w:tcBorders>
          </w:tcPr>
          <w:p>
            <w:pPr>
              <w:pStyle w:val="TableParagraph"/>
              <w:spacing w:before="14"/>
              <w:ind w:right="24"/>
              <w:rPr>
                <w:sz w:val="17"/>
              </w:rPr>
            </w:pPr>
            <w:r>
              <w:rPr>
                <w:w w:val="95"/>
                <w:sz w:val="17"/>
              </w:rPr>
              <w:t>(3.671)</w:t>
            </w:r>
          </w:p>
        </w:tc>
        <w:tc>
          <w:tcPr>
            <w:tcW w:w="1209" w:type="dxa"/>
            <w:vMerge/>
          </w:tcPr>
          <w:p>
            <w:pPr/>
          </w:p>
        </w:tc>
        <w:tc>
          <w:tcPr>
            <w:tcW w:w="1209" w:type="dxa"/>
            <w:tcBorders>
              <w:top w:val="nil"/>
              <w:bottom w:val="nil"/>
            </w:tcBorders>
          </w:tcPr>
          <w:p>
            <w:pPr>
              <w:pStyle w:val="TableParagraph"/>
              <w:spacing w:before="14"/>
              <w:ind w:right="24"/>
              <w:rPr>
                <w:sz w:val="17"/>
              </w:rPr>
            </w:pPr>
            <w:r>
              <w:rPr>
                <w:w w:val="95"/>
                <w:sz w:val="17"/>
              </w:rPr>
              <w:t>(3.671)</w:t>
            </w:r>
          </w:p>
        </w:tc>
        <w:tc>
          <w:tcPr>
            <w:tcW w:w="1209" w:type="dxa"/>
            <w:tcBorders>
              <w:top w:val="nil"/>
              <w:bottom w:val="nil"/>
            </w:tcBorders>
          </w:tcPr>
          <w:p>
            <w:pPr>
              <w:pStyle w:val="TableParagraph"/>
              <w:spacing w:before="14"/>
              <w:ind w:right="24"/>
              <w:rPr>
                <w:sz w:val="17"/>
              </w:rPr>
            </w:pPr>
            <w:r>
              <w:rPr>
                <w:w w:val="95"/>
                <w:sz w:val="17"/>
              </w:rPr>
              <w:t>(3.671)</w:t>
            </w:r>
          </w:p>
        </w:tc>
      </w:tr>
      <w:tr>
        <w:trPr>
          <w:trHeight w:val="221" w:hRule="exact"/>
        </w:trPr>
        <w:tc>
          <w:tcPr>
            <w:tcW w:w="757" w:type="dxa"/>
            <w:tcBorders>
              <w:top w:val="nil"/>
              <w:bottom w:val="nil"/>
              <w:right w:val="single" w:sz="4" w:space="0" w:color="000000"/>
            </w:tcBorders>
          </w:tcPr>
          <w:p>
            <w:pPr>
              <w:pStyle w:val="TableParagraph"/>
              <w:spacing w:before="14"/>
              <w:ind w:left="21"/>
              <w:jc w:val="left"/>
              <w:rPr>
                <w:sz w:val="17"/>
              </w:rPr>
            </w:pPr>
            <w:r>
              <w:rPr>
                <w:sz w:val="17"/>
              </w:rPr>
              <w:t>2330270</w:t>
            </w:r>
          </w:p>
        </w:tc>
        <w:tc>
          <w:tcPr>
            <w:tcW w:w="3460" w:type="dxa"/>
            <w:tcBorders>
              <w:top w:val="nil"/>
              <w:left w:val="single" w:sz="4" w:space="0" w:color="000000"/>
              <w:bottom w:val="nil"/>
            </w:tcBorders>
          </w:tcPr>
          <w:p>
            <w:pPr>
              <w:pStyle w:val="TableParagraph"/>
              <w:spacing w:before="14"/>
              <w:ind w:left="147"/>
              <w:jc w:val="left"/>
              <w:rPr>
                <w:sz w:val="17"/>
              </w:rPr>
            </w:pPr>
            <w:r>
              <w:rPr>
                <w:sz w:val="17"/>
              </w:rPr>
              <w:t>FONCHIM</w:t>
            </w:r>
          </w:p>
        </w:tc>
        <w:tc>
          <w:tcPr>
            <w:tcW w:w="1209" w:type="dxa"/>
            <w:tcBorders>
              <w:top w:val="nil"/>
              <w:bottom w:val="nil"/>
            </w:tcBorders>
          </w:tcPr>
          <w:p>
            <w:pPr>
              <w:pStyle w:val="TableParagraph"/>
              <w:spacing w:before="14"/>
              <w:ind w:right="24"/>
              <w:rPr>
                <w:sz w:val="17"/>
              </w:rPr>
            </w:pPr>
            <w:r>
              <w:rPr>
                <w:w w:val="95"/>
                <w:sz w:val="17"/>
              </w:rPr>
              <w:t>(15.638)</w:t>
            </w:r>
          </w:p>
        </w:tc>
        <w:tc>
          <w:tcPr>
            <w:tcW w:w="1209" w:type="dxa"/>
            <w:vMerge/>
          </w:tcPr>
          <w:p>
            <w:pPr/>
          </w:p>
        </w:tc>
        <w:tc>
          <w:tcPr>
            <w:tcW w:w="1209" w:type="dxa"/>
            <w:tcBorders>
              <w:top w:val="nil"/>
              <w:bottom w:val="nil"/>
            </w:tcBorders>
          </w:tcPr>
          <w:p>
            <w:pPr>
              <w:pStyle w:val="TableParagraph"/>
              <w:spacing w:before="14"/>
              <w:ind w:right="24"/>
              <w:rPr>
                <w:sz w:val="17"/>
              </w:rPr>
            </w:pPr>
            <w:r>
              <w:rPr>
                <w:w w:val="95"/>
                <w:sz w:val="17"/>
              </w:rPr>
              <w:t>(15.638)</w:t>
            </w:r>
          </w:p>
        </w:tc>
        <w:tc>
          <w:tcPr>
            <w:tcW w:w="1209" w:type="dxa"/>
            <w:tcBorders>
              <w:top w:val="nil"/>
              <w:bottom w:val="nil"/>
            </w:tcBorders>
          </w:tcPr>
          <w:p>
            <w:pPr>
              <w:pStyle w:val="TableParagraph"/>
              <w:spacing w:before="14"/>
              <w:ind w:right="24"/>
              <w:rPr>
                <w:sz w:val="17"/>
              </w:rPr>
            </w:pPr>
            <w:r>
              <w:rPr>
                <w:w w:val="95"/>
                <w:sz w:val="17"/>
              </w:rPr>
              <w:t>(15.638)</w:t>
            </w:r>
          </w:p>
        </w:tc>
      </w:tr>
      <w:tr>
        <w:trPr>
          <w:trHeight w:val="221" w:hRule="exact"/>
        </w:trPr>
        <w:tc>
          <w:tcPr>
            <w:tcW w:w="757" w:type="dxa"/>
            <w:tcBorders>
              <w:top w:val="nil"/>
              <w:bottom w:val="nil"/>
              <w:right w:val="single" w:sz="4" w:space="0" w:color="000000"/>
            </w:tcBorders>
          </w:tcPr>
          <w:p>
            <w:pPr>
              <w:pStyle w:val="TableParagraph"/>
              <w:spacing w:before="14"/>
              <w:ind w:left="21"/>
              <w:jc w:val="left"/>
              <w:rPr>
                <w:sz w:val="17"/>
              </w:rPr>
            </w:pPr>
            <w:r>
              <w:rPr>
                <w:sz w:val="17"/>
              </w:rPr>
              <w:t>2330290</w:t>
            </w:r>
          </w:p>
        </w:tc>
        <w:tc>
          <w:tcPr>
            <w:tcW w:w="3460" w:type="dxa"/>
            <w:tcBorders>
              <w:top w:val="nil"/>
              <w:left w:val="single" w:sz="4" w:space="0" w:color="000000"/>
              <w:bottom w:val="nil"/>
            </w:tcBorders>
          </w:tcPr>
          <w:p>
            <w:pPr>
              <w:pStyle w:val="TableParagraph"/>
              <w:spacing w:before="14"/>
              <w:ind w:left="147"/>
              <w:jc w:val="left"/>
              <w:rPr>
                <w:sz w:val="17"/>
              </w:rPr>
            </w:pPr>
            <w:r>
              <w:rPr>
                <w:sz w:val="17"/>
              </w:rPr>
              <w:t>FASI</w:t>
            </w:r>
          </w:p>
        </w:tc>
        <w:tc>
          <w:tcPr>
            <w:tcW w:w="1209" w:type="dxa"/>
            <w:tcBorders>
              <w:top w:val="nil"/>
              <w:bottom w:val="nil"/>
            </w:tcBorders>
          </w:tcPr>
          <w:p>
            <w:pPr>
              <w:pStyle w:val="TableParagraph"/>
              <w:spacing w:before="14"/>
              <w:ind w:right="24"/>
              <w:rPr>
                <w:sz w:val="17"/>
              </w:rPr>
            </w:pPr>
            <w:r>
              <w:rPr>
                <w:w w:val="95"/>
                <w:sz w:val="17"/>
              </w:rPr>
              <w:t>(1.324)</w:t>
            </w:r>
          </w:p>
        </w:tc>
        <w:tc>
          <w:tcPr>
            <w:tcW w:w="1209" w:type="dxa"/>
            <w:vMerge/>
          </w:tcPr>
          <w:p>
            <w:pPr/>
          </w:p>
        </w:tc>
        <w:tc>
          <w:tcPr>
            <w:tcW w:w="1209" w:type="dxa"/>
            <w:tcBorders>
              <w:top w:val="nil"/>
              <w:bottom w:val="nil"/>
            </w:tcBorders>
          </w:tcPr>
          <w:p>
            <w:pPr>
              <w:pStyle w:val="TableParagraph"/>
              <w:spacing w:before="14"/>
              <w:ind w:right="24"/>
              <w:rPr>
                <w:sz w:val="17"/>
              </w:rPr>
            </w:pPr>
            <w:r>
              <w:rPr>
                <w:w w:val="95"/>
                <w:sz w:val="17"/>
              </w:rPr>
              <w:t>(1.324)</w:t>
            </w:r>
          </w:p>
        </w:tc>
        <w:tc>
          <w:tcPr>
            <w:tcW w:w="1209" w:type="dxa"/>
            <w:tcBorders>
              <w:top w:val="nil"/>
              <w:bottom w:val="nil"/>
            </w:tcBorders>
          </w:tcPr>
          <w:p>
            <w:pPr>
              <w:pStyle w:val="TableParagraph"/>
              <w:spacing w:before="14"/>
              <w:ind w:right="24"/>
              <w:rPr>
                <w:sz w:val="17"/>
              </w:rPr>
            </w:pPr>
            <w:r>
              <w:rPr>
                <w:w w:val="95"/>
                <w:sz w:val="17"/>
              </w:rPr>
              <w:t>(1.324)</w:t>
            </w:r>
          </w:p>
        </w:tc>
      </w:tr>
      <w:tr>
        <w:trPr>
          <w:trHeight w:val="221" w:hRule="exact"/>
        </w:trPr>
        <w:tc>
          <w:tcPr>
            <w:tcW w:w="757" w:type="dxa"/>
            <w:tcBorders>
              <w:top w:val="nil"/>
              <w:bottom w:val="nil"/>
              <w:right w:val="single" w:sz="4" w:space="0" w:color="000000"/>
            </w:tcBorders>
          </w:tcPr>
          <w:p>
            <w:pPr>
              <w:pStyle w:val="TableParagraph"/>
              <w:spacing w:before="14"/>
              <w:ind w:left="21"/>
              <w:jc w:val="left"/>
              <w:rPr>
                <w:sz w:val="17"/>
              </w:rPr>
            </w:pPr>
            <w:r>
              <w:rPr>
                <w:sz w:val="17"/>
              </w:rPr>
              <w:t>2330300</w:t>
            </w:r>
          </w:p>
        </w:tc>
        <w:tc>
          <w:tcPr>
            <w:tcW w:w="3460" w:type="dxa"/>
            <w:tcBorders>
              <w:top w:val="nil"/>
              <w:left w:val="single" w:sz="4" w:space="0" w:color="000000"/>
              <w:bottom w:val="nil"/>
            </w:tcBorders>
          </w:tcPr>
          <w:p>
            <w:pPr>
              <w:pStyle w:val="TableParagraph"/>
              <w:spacing w:before="14"/>
              <w:ind w:left="147"/>
              <w:jc w:val="left"/>
              <w:rPr>
                <w:sz w:val="17"/>
              </w:rPr>
            </w:pPr>
            <w:r>
              <w:rPr>
                <w:sz w:val="17"/>
              </w:rPr>
              <w:t>PREVINDAI</w:t>
            </w:r>
          </w:p>
        </w:tc>
        <w:tc>
          <w:tcPr>
            <w:tcW w:w="1209" w:type="dxa"/>
            <w:tcBorders>
              <w:top w:val="nil"/>
              <w:bottom w:val="nil"/>
            </w:tcBorders>
          </w:tcPr>
          <w:p>
            <w:pPr>
              <w:pStyle w:val="TableParagraph"/>
              <w:spacing w:before="14"/>
              <w:ind w:right="24"/>
              <w:rPr>
                <w:sz w:val="17"/>
              </w:rPr>
            </w:pPr>
            <w:r>
              <w:rPr>
                <w:w w:val="95"/>
                <w:sz w:val="17"/>
              </w:rPr>
              <w:t>(25.120)</w:t>
            </w:r>
          </w:p>
        </w:tc>
        <w:tc>
          <w:tcPr>
            <w:tcW w:w="1209" w:type="dxa"/>
            <w:vMerge/>
          </w:tcPr>
          <w:p>
            <w:pPr/>
          </w:p>
        </w:tc>
        <w:tc>
          <w:tcPr>
            <w:tcW w:w="1209" w:type="dxa"/>
            <w:tcBorders>
              <w:top w:val="nil"/>
              <w:bottom w:val="nil"/>
            </w:tcBorders>
          </w:tcPr>
          <w:p>
            <w:pPr>
              <w:pStyle w:val="TableParagraph"/>
              <w:spacing w:before="14"/>
              <w:ind w:right="24"/>
              <w:rPr>
                <w:sz w:val="17"/>
              </w:rPr>
            </w:pPr>
            <w:r>
              <w:rPr>
                <w:w w:val="95"/>
                <w:sz w:val="17"/>
              </w:rPr>
              <w:t>(25.120)</w:t>
            </w:r>
          </w:p>
        </w:tc>
        <w:tc>
          <w:tcPr>
            <w:tcW w:w="1209" w:type="dxa"/>
            <w:tcBorders>
              <w:top w:val="nil"/>
              <w:bottom w:val="nil"/>
            </w:tcBorders>
          </w:tcPr>
          <w:p>
            <w:pPr>
              <w:pStyle w:val="TableParagraph"/>
              <w:spacing w:before="14"/>
              <w:ind w:right="24"/>
              <w:rPr>
                <w:sz w:val="17"/>
              </w:rPr>
            </w:pPr>
            <w:r>
              <w:rPr>
                <w:w w:val="95"/>
                <w:sz w:val="17"/>
              </w:rPr>
              <w:t>(25.120)</w:t>
            </w:r>
          </w:p>
        </w:tc>
      </w:tr>
      <w:tr>
        <w:trPr>
          <w:trHeight w:val="221" w:hRule="exact"/>
        </w:trPr>
        <w:tc>
          <w:tcPr>
            <w:tcW w:w="757" w:type="dxa"/>
            <w:tcBorders>
              <w:top w:val="nil"/>
              <w:bottom w:val="nil"/>
              <w:right w:val="single" w:sz="4" w:space="0" w:color="000000"/>
            </w:tcBorders>
          </w:tcPr>
          <w:p>
            <w:pPr>
              <w:pStyle w:val="TableParagraph"/>
              <w:spacing w:before="14"/>
              <w:ind w:left="21"/>
              <w:jc w:val="left"/>
              <w:rPr>
                <w:sz w:val="17"/>
              </w:rPr>
            </w:pPr>
            <w:r>
              <w:rPr>
                <w:sz w:val="17"/>
              </w:rPr>
              <w:t>2330310</w:t>
            </w:r>
          </w:p>
        </w:tc>
        <w:tc>
          <w:tcPr>
            <w:tcW w:w="3460" w:type="dxa"/>
            <w:tcBorders>
              <w:top w:val="nil"/>
              <w:left w:val="single" w:sz="4" w:space="0" w:color="000000"/>
              <w:bottom w:val="nil"/>
            </w:tcBorders>
          </w:tcPr>
          <w:p>
            <w:pPr>
              <w:pStyle w:val="TableParagraph"/>
              <w:spacing w:before="14"/>
              <w:ind w:left="147"/>
              <w:jc w:val="left"/>
              <w:rPr>
                <w:sz w:val="17"/>
              </w:rPr>
            </w:pPr>
            <w:r>
              <w:rPr>
                <w:sz w:val="17"/>
              </w:rPr>
              <w:t>Debiti vs INPS</w:t>
            </w:r>
          </w:p>
        </w:tc>
        <w:tc>
          <w:tcPr>
            <w:tcW w:w="1209" w:type="dxa"/>
            <w:tcBorders>
              <w:top w:val="nil"/>
              <w:bottom w:val="nil"/>
            </w:tcBorders>
          </w:tcPr>
          <w:p>
            <w:pPr>
              <w:pStyle w:val="TableParagraph"/>
              <w:spacing w:before="14"/>
              <w:ind w:right="24"/>
              <w:rPr>
                <w:sz w:val="17"/>
              </w:rPr>
            </w:pPr>
            <w:r>
              <w:rPr>
                <w:w w:val="95"/>
                <w:sz w:val="17"/>
              </w:rPr>
              <w:t>(366.791)</w:t>
            </w:r>
          </w:p>
        </w:tc>
        <w:tc>
          <w:tcPr>
            <w:tcW w:w="1209" w:type="dxa"/>
            <w:vMerge/>
          </w:tcPr>
          <w:p>
            <w:pPr/>
          </w:p>
        </w:tc>
        <w:tc>
          <w:tcPr>
            <w:tcW w:w="1209" w:type="dxa"/>
            <w:tcBorders>
              <w:top w:val="nil"/>
              <w:bottom w:val="nil"/>
            </w:tcBorders>
          </w:tcPr>
          <w:p>
            <w:pPr>
              <w:pStyle w:val="TableParagraph"/>
              <w:spacing w:before="14"/>
              <w:ind w:right="24"/>
              <w:rPr>
                <w:sz w:val="17"/>
              </w:rPr>
            </w:pPr>
            <w:r>
              <w:rPr>
                <w:w w:val="95"/>
                <w:sz w:val="17"/>
              </w:rPr>
              <w:t>(366.791)</w:t>
            </w:r>
          </w:p>
        </w:tc>
        <w:tc>
          <w:tcPr>
            <w:tcW w:w="1209" w:type="dxa"/>
            <w:tcBorders>
              <w:top w:val="nil"/>
              <w:bottom w:val="nil"/>
            </w:tcBorders>
          </w:tcPr>
          <w:p>
            <w:pPr>
              <w:pStyle w:val="TableParagraph"/>
              <w:spacing w:before="14"/>
              <w:ind w:right="24"/>
              <w:rPr>
                <w:sz w:val="17"/>
              </w:rPr>
            </w:pPr>
            <w:r>
              <w:rPr>
                <w:w w:val="95"/>
                <w:sz w:val="17"/>
              </w:rPr>
              <w:t>(366.791)</w:t>
            </w:r>
          </w:p>
        </w:tc>
      </w:tr>
      <w:tr>
        <w:trPr>
          <w:trHeight w:val="221" w:hRule="exact"/>
        </w:trPr>
        <w:tc>
          <w:tcPr>
            <w:tcW w:w="757" w:type="dxa"/>
            <w:tcBorders>
              <w:top w:val="nil"/>
              <w:bottom w:val="nil"/>
              <w:right w:val="single" w:sz="4" w:space="0" w:color="000000"/>
            </w:tcBorders>
          </w:tcPr>
          <w:p>
            <w:pPr>
              <w:pStyle w:val="TableParagraph"/>
              <w:spacing w:before="14"/>
              <w:ind w:left="21"/>
              <w:jc w:val="left"/>
              <w:rPr>
                <w:sz w:val="17"/>
              </w:rPr>
            </w:pPr>
            <w:r>
              <w:rPr>
                <w:sz w:val="17"/>
              </w:rPr>
              <w:t>2330012</w:t>
            </w:r>
          </w:p>
        </w:tc>
        <w:tc>
          <w:tcPr>
            <w:tcW w:w="3460" w:type="dxa"/>
            <w:tcBorders>
              <w:top w:val="nil"/>
              <w:left w:val="single" w:sz="4" w:space="0" w:color="000000"/>
              <w:bottom w:val="nil"/>
            </w:tcBorders>
          </w:tcPr>
          <w:p>
            <w:pPr>
              <w:pStyle w:val="TableParagraph"/>
              <w:spacing w:before="14"/>
              <w:ind w:left="147"/>
              <w:jc w:val="left"/>
              <w:rPr>
                <w:sz w:val="17"/>
              </w:rPr>
            </w:pPr>
            <w:r>
              <w:rPr>
                <w:sz w:val="17"/>
              </w:rPr>
              <w:t>Debiti vs INPS</w:t>
            </w:r>
          </w:p>
        </w:tc>
        <w:tc>
          <w:tcPr>
            <w:tcW w:w="1209" w:type="dxa"/>
            <w:tcBorders>
              <w:top w:val="nil"/>
              <w:bottom w:val="nil"/>
            </w:tcBorders>
          </w:tcPr>
          <w:p>
            <w:pPr>
              <w:pStyle w:val="TableParagraph"/>
              <w:spacing w:before="14"/>
              <w:ind w:right="24"/>
              <w:rPr>
                <w:sz w:val="17"/>
              </w:rPr>
            </w:pPr>
            <w:r>
              <w:rPr>
                <w:w w:val="95"/>
                <w:sz w:val="17"/>
              </w:rPr>
              <w:t>(11.373)</w:t>
            </w:r>
          </w:p>
        </w:tc>
        <w:tc>
          <w:tcPr>
            <w:tcW w:w="1209" w:type="dxa"/>
            <w:vMerge/>
          </w:tcPr>
          <w:p>
            <w:pPr/>
          </w:p>
        </w:tc>
        <w:tc>
          <w:tcPr>
            <w:tcW w:w="1209" w:type="dxa"/>
            <w:tcBorders>
              <w:top w:val="nil"/>
              <w:bottom w:val="nil"/>
            </w:tcBorders>
          </w:tcPr>
          <w:p>
            <w:pPr>
              <w:pStyle w:val="TableParagraph"/>
              <w:spacing w:before="14"/>
              <w:ind w:right="24"/>
              <w:rPr>
                <w:sz w:val="17"/>
              </w:rPr>
            </w:pPr>
            <w:r>
              <w:rPr>
                <w:w w:val="95"/>
                <w:sz w:val="17"/>
              </w:rPr>
              <w:t>(11.373)</w:t>
            </w:r>
          </w:p>
        </w:tc>
        <w:tc>
          <w:tcPr>
            <w:tcW w:w="1209" w:type="dxa"/>
            <w:tcBorders>
              <w:top w:val="nil"/>
              <w:bottom w:val="nil"/>
            </w:tcBorders>
          </w:tcPr>
          <w:p>
            <w:pPr>
              <w:pStyle w:val="TableParagraph"/>
              <w:spacing w:before="14"/>
              <w:ind w:right="24"/>
              <w:rPr>
                <w:sz w:val="17"/>
              </w:rPr>
            </w:pPr>
            <w:r>
              <w:rPr>
                <w:w w:val="95"/>
                <w:sz w:val="17"/>
              </w:rPr>
              <w:t>(11.373)</w:t>
            </w:r>
          </w:p>
        </w:tc>
      </w:tr>
      <w:tr>
        <w:trPr>
          <w:trHeight w:val="221" w:hRule="exact"/>
        </w:trPr>
        <w:tc>
          <w:tcPr>
            <w:tcW w:w="757" w:type="dxa"/>
            <w:tcBorders>
              <w:top w:val="nil"/>
              <w:bottom w:val="nil"/>
              <w:right w:val="single" w:sz="4" w:space="0" w:color="000000"/>
            </w:tcBorders>
          </w:tcPr>
          <w:p>
            <w:pPr>
              <w:pStyle w:val="TableParagraph"/>
              <w:spacing w:before="14"/>
              <w:ind w:left="21"/>
              <w:jc w:val="left"/>
              <w:rPr>
                <w:sz w:val="17"/>
              </w:rPr>
            </w:pPr>
            <w:r>
              <w:rPr>
                <w:sz w:val="17"/>
              </w:rPr>
              <w:t>2330445</w:t>
            </w:r>
          </w:p>
        </w:tc>
        <w:tc>
          <w:tcPr>
            <w:tcW w:w="3460" w:type="dxa"/>
            <w:tcBorders>
              <w:top w:val="nil"/>
              <w:left w:val="single" w:sz="4" w:space="0" w:color="000000"/>
              <w:bottom w:val="nil"/>
            </w:tcBorders>
          </w:tcPr>
          <w:p>
            <w:pPr>
              <w:pStyle w:val="TableParagraph"/>
              <w:spacing w:before="14"/>
              <w:ind w:left="147"/>
              <w:jc w:val="left"/>
              <w:rPr>
                <w:sz w:val="17"/>
              </w:rPr>
            </w:pPr>
            <w:r>
              <w:rPr>
                <w:sz w:val="17"/>
              </w:rPr>
              <w:t>Fondo Tesoreria INPS</w:t>
            </w:r>
          </w:p>
        </w:tc>
        <w:tc>
          <w:tcPr>
            <w:tcW w:w="1209" w:type="dxa"/>
            <w:tcBorders>
              <w:top w:val="nil"/>
              <w:bottom w:val="nil"/>
            </w:tcBorders>
          </w:tcPr>
          <w:p>
            <w:pPr>
              <w:pStyle w:val="TableParagraph"/>
              <w:spacing w:before="14"/>
              <w:ind w:right="23"/>
              <w:rPr>
                <w:sz w:val="17"/>
              </w:rPr>
            </w:pPr>
            <w:r>
              <w:rPr>
                <w:sz w:val="17"/>
              </w:rPr>
              <w:t>(637)</w:t>
            </w:r>
          </w:p>
        </w:tc>
        <w:tc>
          <w:tcPr>
            <w:tcW w:w="1209" w:type="dxa"/>
            <w:vMerge/>
          </w:tcPr>
          <w:p>
            <w:pPr/>
          </w:p>
        </w:tc>
        <w:tc>
          <w:tcPr>
            <w:tcW w:w="1209" w:type="dxa"/>
            <w:tcBorders>
              <w:top w:val="nil"/>
              <w:bottom w:val="nil"/>
            </w:tcBorders>
          </w:tcPr>
          <w:p>
            <w:pPr>
              <w:pStyle w:val="TableParagraph"/>
              <w:spacing w:before="14"/>
              <w:ind w:right="23"/>
              <w:rPr>
                <w:sz w:val="17"/>
              </w:rPr>
            </w:pPr>
            <w:r>
              <w:rPr>
                <w:sz w:val="17"/>
              </w:rPr>
              <w:t>(637)</w:t>
            </w:r>
          </w:p>
        </w:tc>
        <w:tc>
          <w:tcPr>
            <w:tcW w:w="1209" w:type="dxa"/>
            <w:tcBorders>
              <w:top w:val="nil"/>
              <w:bottom w:val="nil"/>
            </w:tcBorders>
          </w:tcPr>
          <w:p>
            <w:pPr>
              <w:pStyle w:val="TableParagraph"/>
              <w:spacing w:before="14"/>
              <w:ind w:right="23"/>
              <w:rPr>
                <w:sz w:val="17"/>
              </w:rPr>
            </w:pPr>
            <w:r>
              <w:rPr>
                <w:sz w:val="17"/>
              </w:rPr>
              <w:t>(637)</w:t>
            </w:r>
          </w:p>
        </w:tc>
      </w:tr>
      <w:tr>
        <w:trPr>
          <w:trHeight w:val="208" w:hRule="exact"/>
        </w:trPr>
        <w:tc>
          <w:tcPr>
            <w:tcW w:w="757" w:type="dxa"/>
            <w:tcBorders>
              <w:top w:val="nil"/>
              <w:right w:val="single" w:sz="4" w:space="0" w:color="000000"/>
            </w:tcBorders>
          </w:tcPr>
          <w:p>
            <w:pPr>
              <w:pStyle w:val="TableParagraph"/>
              <w:spacing w:before="14"/>
              <w:ind w:left="21"/>
              <w:jc w:val="left"/>
              <w:rPr>
                <w:sz w:val="17"/>
              </w:rPr>
            </w:pPr>
            <w:r>
              <w:rPr>
                <w:sz w:val="17"/>
              </w:rPr>
              <w:t>2331590</w:t>
            </w:r>
          </w:p>
        </w:tc>
        <w:tc>
          <w:tcPr>
            <w:tcW w:w="3460" w:type="dxa"/>
            <w:tcBorders>
              <w:top w:val="nil"/>
              <w:left w:val="single" w:sz="4" w:space="0" w:color="000000"/>
            </w:tcBorders>
          </w:tcPr>
          <w:p>
            <w:pPr>
              <w:pStyle w:val="TableParagraph"/>
              <w:spacing w:before="14"/>
              <w:ind w:left="147"/>
              <w:jc w:val="left"/>
              <w:rPr>
                <w:sz w:val="17"/>
              </w:rPr>
            </w:pPr>
            <w:r>
              <w:rPr>
                <w:sz w:val="17"/>
              </w:rPr>
              <w:t>Contributo per Conto Ore</w:t>
            </w:r>
          </w:p>
        </w:tc>
        <w:tc>
          <w:tcPr>
            <w:tcW w:w="1209" w:type="dxa"/>
            <w:tcBorders>
              <w:top w:val="nil"/>
            </w:tcBorders>
          </w:tcPr>
          <w:p>
            <w:pPr>
              <w:pStyle w:val="TableParagraph"/>
              <w:spacing w:before="14"/>
              <w:ind w:right="24"/>
              <w:rPr>
                <w:sz w:val="17"/>
              </w:rPr>
            </w:pPr>
            <w:r>
              <w:rPr>
                <w:w w:val="95"/>
                <w:sz w:val="17"/>
              </w:rPr>
              <w:t>(1.236)</w:t>
            </w:r>
          </w:p>
        </w:tc>
        <w:tc>
          <w:tcPr>
            <w:tcW w:w="1209" w:type="dxa"/>
            <w:vMerge/>
          </w:tcPr>
          <w:p>
            <w:pPr/>
          </w:p>
        </w:tc>
        <w:tc>
          <w:tcPr>
            <w:tcW w:w="1209" w:type="dxa"/>
            <w:tcBorders>
              <w:top w:val="nil"/>
            </w:tcBorders>
          </w:tcPr>
          <w:p>
            <w:pPr>
              <w:pStyle w:val="TableParagraph"/>
              <w:spacing w:before="14"/>
              <w:ind w:right="24"/>
              <w:rPr>
                <w:sz w:val="17"/>
              </w:rPr>
            </w:pPr>
            <w:r>
              <w:rPr>
                <w:w w:val="95"/>
                <w:sz w:val="17"/>
              </w:rPr>
              <w:t>(1.236)</w:t>
            </w:r>
          </w:p>
        </w:tc>
        <w:tc>
          <w:tcPr>
            <w:tcW w:w="1209" w:type="dxa"/>
            <w:tcBorders>
              <w:top w:val="nil"/>
            </w:tcBorders>
          </w:tcPr>
          <w:p>
            <w:pPr>
              <w:pStyle w:val="TableParagraph"/>
              <w:spacing w:before="14"/>
              <w:ind w:right="24"/>
              <w:rPr>
                <w:sz w:val="17"/>
              </w:rPr>
            </w:pPr>
            <w:r>
              <w:rPr>
                <w:w w:val="95"/>
                <w:sz w:val="17"/>
              </w:rPr>
              <w:t>(1.236)</w:t>
            </w:r>
          </w:p>
        </w:tc>
      </w:tr>
      <w:tr>
        <w:trPr>
          <w:trHeight w:val="221" w:hRule="exact"/>
        </w:trPr>
        <w:tc>
          <w:tcPr>
            <w:tcW w:w="4217" w:type="dxa"/>
            <w:gridSpan w:val="2"/>
            <w:shd w:val="clear" w:color="auto" w:fill="BEBEBE"/>
          </w:tcPr>
          <w:p>
            <w:pPr>
              <w:pStyle w:val="TableParagraph"/>
              <w:spacing w:before="22"/>
              <w:ind w:left="21"/>
              <w:jc w:val="left"/>
              <w:rPr>
                <w:b/>
                <w:sz w:val="17"/>
              </w:rPr>
            </w:pPr>
            <w:r>
              <w:rPr>
                <w:b/>
                <w:sz w:val="17"/>
              </w:rPr>
              <w:t>TOTALE</w:t>
            </w:r>
            <w:r>
              <w:rPr>
                <w:b/>
                <w:spacing w:val="-17"/>
                <w:sz w:val="17"/>
              </w:rPr>
              <w:t> </w:t>
            </w:r>
            <w:r>
              <w:rPr>
                <w:b/>
                <w:sz w:val="17"/>
              </w:rPr>
              <w:t>DEBITI</w:t>
            </w:r>
            <w:r>
              <w:rPr>
                <w:b/>
                <w:spacing w:val="-17"/>
                <w:sz w:val="17"/>
              </w:rPr>
              <w:t> </w:t>
            </w:r>
            <w:r>
              <w:rPr>
                <w:b/>
                <w:sz w:val="17"/>
              </w:rPr>
              <w:t>PREVIDENZIALI</w:t>
            </w:r>
            <w:r>
              <w:rPr>
                <w:b/>
                <w:spacing w:val="-17"/>
                <w:sz w:val="17"/>
              </w:rPr>
              <w:t> </w:t>
            </w:r>
            <w:r>
              <w:rPr>
                <w:b/>
                <w:sz w:val="17"/>
              </w:rPr>
              <w:t>E</w:t>
            </w:r>
            <w:r>
              <w:rPr>
                <w:b/>
                <w:spacing w:val="-17"/>
                <w:sz w:val="17"/>
              </w:rPr>
              <w:t> </w:t>
            </w:r>
            <w:r>
              <w:rPr>
                <w:b/>
                <w:sz w:val="17"/>
              </w:rPr>
              <w:t>ASSISTENZIAL</w:t>
            </w:r>
          </w:p>
        </w:tc>
        <w:tc>
          <w:tcPr>
            <w:tcW w:w="1209" w:type="dxa"/>
            <w:shd w:val="clear" w:color="auto" w:fill="BEBEBE"/>
          </w:tcPr>
          <w:p>
            <w:pPr>
              <w:pStyle w:val="TableParagraph"/>
              <w:spacing w:before="22"/>
              <w:ind w:right="24"/>
              <w:rPr>
                <w:b/>
                <w:sz w:val="17"/>
              </w:rPr>
            </w:pPr>
            <w:r>
              <w:rPr>
                <w:b/>
                <w:sz w:val="17"/>
              </w:rPr>
              <w:t>(497.409)</w:t>
            </w:r>
          </w:p>
        </w:tc>
        <w:tc>
          <w:tcPr>
            <w:tcW w:w="1209" w:type="dxa"/>
            <w:shd w:val="clear" w:color="auto" w:fill="BEBEBE"/>
          </w:tcPr>
          <w:p>
            <w:pPr>
              <w:pStyle w:val="TableParagraph"/>
              <w:spacing w:before="22"/>
              <w:ind w:right="78"/>
              <w:rPr>
                <w:b/>
                <w:sz w:val="17"/>
              </w:rPr>
            </w:pPr>
            <w:r>
              <w:rPr>
                <w:b/>
                <w:w w:val="99"/>
                <w:sz w:val="17"/>
              </w:rPr>
              <w:t>-</w:t>
            </w:r>
          </w:p>
        </w:tc>
        <w:tc>
          <w:tcPr>
            <w:tcW w:w="1209" w:type="dxa"/>
            <w:shd w:val="clear" w:color="auto" w:fill="BEBEBE"/>
          </w:tcPr>
          <w:p>
            <w:pPr>
              <w:pStyle w:val="TableParagraph"/>
              <w:spacing w:before="22"/>
              <w:ind w:right="24"/>
              <w:rPr>
                <w:b/>
                <w:sz w:val="17"/>
              </w:rPr>
            </w:pPr>
            <w:r>
              <w:rPr>
                <w:b/>
                <w:sz w:val="17"/>
              </w:rPr>
              <w:t>(497.409)</w:t>
            </w:r>
          </w:p>
        </w:tc>
        <w:tc>
          <w:tcPr>
            <w:tcW w:w="1209" w:type="dxa"/>
            <w:shd w:val="clear" w:color="auto" w:fill="BEBEBE"/>
          </w:tcPr>
          <w:p>
            <w:pPr>
              <w:pStyle w:val="TableParagraph"/>
              <w:spacing w:before="22"/>
              <w:ind w:right="24"/>
              <w:rPr>
                <w:b/>
                <w:sz w:val="17"/>
              </w:rPr>
            </w:pPr>
            <w:r>
              <w:rPr>
                <w:b/>
                <w:sz w:val="17"/>
              </w:rPr>
              <w:t>(497.409)</w:t>
            </w:r>
          </w:p>
        </w:tc>
      </w:tr>
    </w:tbl>
    <w:p>
      <w:pPr>
        <w:pStyle w:val="BodyText"/>
        <w:rPr>
          <w:sz w:val="20"/>
        </w:rPr>
      </w:pPr>
    </w:p>
    <w:p>
      <w:pPr>
        <w:pStyle w:val="BodyText"/>
        <w:spacing w:before="4"/>
        <w:rPr>
          <w:sz w:val="23"/>
        </w:rPr>
      </w:pPr>
    </w:p>
    <w:p>
      <w:pPr>
        <w:pStyle w:val="BodyText"/>
        <w:spacing w:line="480" w:lineRule="auto"/>
        <w:ind w:left="1418" w:right="1413"/>
      </w:pPr>
      <w:r>
        <w:rPr/>
        <w:t>In questa voce trovano allocazione tutti i debiti previdenziali e assistenziali riferiti ai dipendenti e ai dirigenti in funzione della loro categoria di appartenenza.</w:t>
      </w:r>
    </w:p>
    <w:p>
      <w:pPr>
        <w:pStyle w:val="BodyText"/>
        <w:ind w:left="1418"/>
      </w:pPr>
      <w:r>
        <w:rPr/>
        <w:t>In riferimento ai debiti INPS si segnala che il debito risulta così costituito:</w:t>
      </w:r>
    </w:p>
    <w:p>
      <w:pPr>
        <w:pStyle w:val="BodyText"/>
      </w:pPr>
    </w:p>
    <w:p>
      <w:pPr>
        <w:pStyle w:val="ListParagraph"/>
        <w:numPr>
          <w:ilvl w:val="0"/>
          <w:numId w:val="81"/>
        </w:numPr>
        <w:tabs>
          <w:tab w:pos="2126" w:val="left" w:leader="none"/>
          <w:tab w:pos="2127" w:val="left" w:leader="none"/>
        </w:tabs>
        <w:spacing w:line="460" w:lineRule="auto" w:before="0" w:after="0"/>
        <w:ind w:left="2138" w:right="1412" w:hanging="360"/>
        <w:jc w:val="left"/>
        <w:rPr>
          <w:sz w:val="24"/>
        </w:rPr>
      </w:pPr>
      <w:r>
        <w:rPr>
          <w:sz w:val="24"/>
        </w:rPr>
        <w:t>Euro 11.373 a titolo di contributi dovuti per il periodo giugno - ottobre 2014 a seguito della comunicazione di avviso bonario da parte dell’INPS in data 14 febbraio</w:t>
      </w:r>
      <w:r>
        <w:rPr>
          <w:spacing w:val="-11"/>
          <w:sz w:val="24"/>
        </w:rPr>
        <w:t> </w:t>
      </w:r>
      <w:r>
        <w:rPr>
          <w:sz w:val="24"/>
        </w:rPr>
        <w:t>2018;</w:t>
      </w:r>
    </w:p>
    <w:p>
      <w:pPr>
        <w:pStyle w:val="ListParagraph"/>
        <w:numPr>
          <w:ilvl w:val="0"/>
          <w:numId w:val="81"/>
        </w:numPr>
        <w:tabs>
          <w:tab w:pos="2126" w:val="left" w:leader="none"/>
          <w:tab w:pos="2127" w:val="left" w:leader="none"/>
        </w:tabs>
        <w:spacing w:line="240" w:lineRule="auto" w:before="21" w:after="0"/>
        <w:ind w:left="2126" w:right="0" w:hanging="348"/>
        <w:jc w:val="left"/>
        <w:rPr>
          <w:sz w:val="24"/>
        </w:rPr>
      </w:pPr>
      <w:r>
        <w:rPr>
          <w:sz w:val="24"/>
        </w:rPr>
        <w:t>Euro 71.619 a titolo di contributi maturati sulle ferie e sul ROL non</w:t>
      </w:r>
      <w:r>
        <w:rPr>
          <w:spacing w:val="-16"/>
          <w:sz w:val="24"/>
        </w:rPr>
        <w:t> </w:t>
      </w:r>
      <w:r>
        <w:rPr>
          <w:sz w:val="24"/>
        </w:rPr>
        <w:t>goduti;</w:t>
      </w:r>
    </w:p>
    <w:p>
      <w:pPr>
        <w:pStyle w:val="BodyText"/>
        <w:spacing w:before="10"/>
        <w:rPr>
          <w:sz w:val="23"/>
        </w:rPr>
      </w:pPr>
    </w:p>
    <w:p>
      <w:pPr>
        <w:pStyle w:val="ListParagraph"/>
        <w:numPr>
          <w:ilvl w:val="0"/>
          <w:numId w:val="81"/>
        </w:numPr>
        <w:tabs>
          <w:tab w:pos="2126" w:val="left" w:leader="none"/>
          <w:tab w:pos="2127" w:val="left" w:leader="none"/>
        </w:tabs>
        <w:spacing w:line="240" w:lineRule="auto" w:before="0" w:after="0"/>
        <w:ind w:left="2126" w:right="0" w:hanging="348"/>
        <w:jc w:val="left"/>
        <w:rPr>
          <w:sz w:val="24"/>
        </w:rPr>
      </w:pPr>
      <w:r>
        <w:rPr>
          <w:sz w:val="24"/>
        </w:rPr>
        <w:t>Euro 1.236 a titolo di contributi su banca</w:t>
      </w:r>
      <w:r>
        <w:rPr>
          <w:spacing w:val="-17"/>
          <w:sz w:val="24"/>
        </w:rPr>
        <w:t> </w:t>
      </w:r>
      <w:r>
        <w:rPr>
          <w:sz w:val="24"/>
        </w:rPr>
        <w:t>ore;</w:t>
      </w:r>
    </w:p>
    <w:p>
      <w:pPr>
        <w:pStyle w:val="BodyText"/>
        <w:spacing w:before="9"/>
        <w:rPr>
          <w:sz w:val="23"/>
        </w:rPr>
      </w:pPr>
    </w:p>
    <w:p>
      <w:pPr>
        <w:pStyle w:val="ListParagraph"/>
        <w:numPr>
          <w:ilvl w:val="0"/>
          <w:numId w:val="81"/>
        </w:numPr>
        <w:tabs>
          <w:tab w:pos="2126" w:val="left" w:leader="none"/>
          <w:tab w:pos="2127" w:val="left" w:leader="none"/>
        </w:tabs>
        <w:spacing w:line="240" w:lineRule="auto" w:before="1" w:after="0"/>
        <w:ind w:left="2126" w:right="0" w:hanging="348"/>
        <w:jc w:val="left"/>
        <w:rPr>
          <w:sz w:val="24"/>
        </w:rPr>
      </w:pPr>
      <w:r>
        <w:rPr>
          <w:sz w:val="24"/>
        </w:rPr>
        <w:t>Euro 637 a titolo di contributi fondo</w:t>
      </w:r>
      <w:r>
        <w:rPr>
          <w:spacing w:val="-27"/>
          <w:sz w:val="24"/>
        </w:rPr>
        <w:t> </w:t>
      </w:r>
      <w:r>
        <w:rPr>
          <w:sz w:val="24"/>
        </w:rPr>
        <w:t>tesoreria;</w:t>
      </w:r>
    </w:p>
    <w:p>
      <w:pPr>
        <w:pStyle w:val="BodyText"/>
        <w:spacing w:before="10"/>
        <w:rPr>
          <w:sz w:val="23"/>
        </w:rPr>
      </w:pPr>
    </w:p>
    <w:p>
      <w:pPr>
        <w:pStyle w:val="ListParagraph"/>
        <w:numPr>
          <w:ilvl w:val="0"/>
          <w:numId w:val="81"/>
        </w:numPr>
        <w:tabs>
          <w:tab w:pos="2127" w:val="left" w:leader="none"/>
        </w:tabs>
        <w:spacing w:line="470" w:lineRule="auto" w:before="0" w:after="0"/>
        <w:ind w:left="2138" w:right="1413" w:hanging="360"/>
        <w:jc w:val="both"/>
        <w:rPr>
          <w:sz w:val="24"/>
        </w:rPr>
      </w:pPr>
      <w:r>
        <w:rPr>
          <w:sz w:val="24"/>
        </w:rPr>
        <w:t>Euro 195.023 a titolo di debito INPS maturato nel periodo agosto, settembre, ottobre 2017, oltre Euro 31.976 per sanzioni e interessi calcolati per il debito in linea capitale del mese di</w:t>
      </w:r>
      <w:r>
        <w:rPr>
          <w:spacing w:val="-5"/>
          <w:sz w:val="24"/>
        </w:rPr>
        <w:t> </w:t>
      </w:r>
      <w:r>
        <w:rPr>
          <w:sz w:val="24"/>
        </w:rPr>
        <w:t>agosto;</w:t>
      </w:r>
    </w:p>
    <w:p>
      <w:pPr>
        <w:pStyle w:val="ListParagraph"/>
        <w:numPr>
          <w:ilvl w:val="0"/>
          <w:numId w:val="81"/>
        </w:numPr>
        <w:tabs>
          <w:tab w:pos="2126" w:val="left" w:leader="none"/>
          <w:tab w:pos="2127" w:val="left" w:leader="none"/>
        </w:tabs>
        <w:spacing w:line="460" w:lineRule="auto" w:before="10" w:after="0"/>
        <w:ind w:left="2138" w:right="1412" w:hanging="360"/>
        <w:jc w:val="left"/>
        <w:rPr>
          <w:sz w:val="24"/>
        </w:rPr>
      </w:pPr>
      <w:r>
        <w:rPr>
          <w:sz w:val="24"/>
        </w:rPr>
        <w:t>Euro 107.532 a titolo di debito INPS maturato negli anni 2014-2015-2016 per il dipendente distaccato Di Cecio, oltre Euro 32.259 a titolo di sanzioni e</w:t>
      </w:r>
      <w:r>
        <w:rPr>
          <w:spacing w:val="-31"/>
          <w:sz w:val="24"/>
        </w:rPr>
        <w:t> </w:t>
      </w:r>
      <w:r>
        <w:rPr>
          <w:sz w:val="24"/>
        </w:rPr>
        <w:t>interessi.</w:t>
      </w:r>
    </w:p>
    <w:p>
      <w:pPr>
        <w:spacing w:after="0" w:line="46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3"/>
      </w:pPr>
      <w:r>
        <w:rPr/>
        <w:pict>
          <v:line style="position:absolute;mso-position-horizontal-relative:page;mso-position-vertical-relative:paragraph;z-index:-845944" from="86.400002pt,531.931781pt" to="479.600002pt,55.481781pt" stroked="true" strokeweight=".75pt" strokecolor="#000000">
            <v:stroke dashstyle="solid"/>
            <w10:wrap type="none"/>
          </v:line>
        </w:pict>
      </w:r>
      <w:r>
        <w:rPr/>
        <w:t>Si riportano la tabella riepilogativa del dettaglio contributi per ferie residue e ROL non goduti per Euro 71.619 e dei contributi su banca ore per 1.236:</w:t>
      </w:r>
    </w:p>
    <w:p>
      <w:pPr>
        <w:spacing w:after="0" w:line="480" w:lineRule="auto"/>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2"/>
        <w:rPr>
          <w:rFonts w:ascii="Times New Roman"/>
          <w:sz w:val="29"/>
        </w:rPr>
      </w:pPr>
    </w:p>
    <w:tbl>
      <w:tblPr>
        <w:tblW w:w="0" w:type="auto"/>
        <w:jc w:val="left"/>
        <w:tblInd w:w="2533"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586"/>
        <w:gridCol w:w="2190"/>
        <w:gridCol w:w="865"/>
        <w:gridCol w:w="784"/>
        <w:gridCol w:w="865"/>
        <w:gridCol w:w="676"/>
        <w:gridCol w:w="866"/>
      </w:tblGrid>
      <w:tr>
        <w:trPr>
          <w:trHeight w:val="166" w:hRule="exact"/>
        </w:trPr>
        <w:tc>
          <w:tcPr>
            <w:tcW w:w="586" w:type="dxa"/>
            <w:vMerge w:val="restart"/>
            <w:tcBorders>
              <w:left w:val="single" w:sz="4" w:space="0" w:color="000000"/>
              <w:right w:val="single" w:sz="4" w:space="0" w:color="000000"/>
            </w:tcBorders>
            <w:shd w:val="clear" w:color="auto" w:fill="BEBEBE"/>
          </w:tcPr>
          <w:p>
            <w:pPr>
              <w:pStyle w:val="TableParagraph"/>
              <w:spacing w:before="95"/>
              <w:ind w:left="27"/>
              <w:jc w:val="left"/>
              <w:rPr>
                <w:b/>
                <w:sz w:val="13"/>
              </w:rPr>
            </w:pPr>
            <w:r>
              <w:rPr>
                <w:b/>
                <w:w w:val="110"/>
                <w:sz w:val="13"/>
              </w:rPr>
              <w:t>Cod dip.</w:t>
            </w:r>
          </w:p>
        </w:tc>
        <w:tc>
          <w:tcPr>
            <w:tcW w:w="2190" w:type="dxa"/>
            <w:vMerge w:val="restart"/>
            <w:tcBorders>
              <w:left w:val="single" w:sz="4" w:space="0" w:color="000000"/>
              <w:right w:val="single" w:sz="4" w:space="0" w:color="000000"/>
            </w:tcBorders>
            <w:shd w:val="clear" w:color="auto" w:fill="BEBEBE"/>
          </w:tcPr>
          <w:p>
            <w:pPr>
              <w:pStyle w:val="TableParagraph"/>
              <w:spacing w:before="95"/>
              <w:ind w:left="721"/>
              <w:jc w:val="left"/>
              <w:rPr>
                <w:b/>
                <w:sz w:val="13"/>
              </w:rPr>
            </w:pPr>
            <w:r>
              <w:rPr>
                <w:b/>
                <w:w w:val="110"/>
                <w:sz w:val="13"/>
              </w:rPr>
              <w:t>Dipendente</w:t>
            </w:r>
          </w:p>
        </w:tc>
        <w:tc>
          <w:tcPr>
            <w:tcW w:w="1650" w:type="dxa"/>
            <w:gridSpan w:val="2"/>
            <w:tcBorders>
              <w:left w:val="single" w:sz="4" w:space="0" w:color="000000"/>
              <w:right w:val="single" w:sz="4" w:space="0" w:color="000000"/>
            </w:tcBorders>
            <w:shd w:val="clear" w:color="auto" w:fill="BEBEBE"/>
          </w:tcPr>
          <w:p>
            <w:pPr>
              <w:pStyle w:val="TableParagraph"/>
              <w:spacing w:before="12"/>
              <w:ind w:left="288"/>
              <w:jc w:val="left"/>
              <w:rPr>
                <w:b/>
                <w:sz w:val="13"/>
              </w:rPr>
            </w:pPr>
            <w:r>
              <w:rPr>
                <w:b/>
                <w:w w:val="110"/>
                <w:sz w:val="13"/>
              </w:rPr>
              <w:t>Ferie non godute</w:t>
            </w:r>
          </w:p>
        </w:tc>
        <w:tc>
          <w:tcPr>
            <w:tcW w:w="1542" w:type="dxa"/>
            <w:gridSpan w:val="2"/>
            <w:tcBorders>
              <w:left w:val="single" w:sz="4" w:space="0" w:color="000000"/>
              <w:right w:val="single" w:sz="4" w:space="0" w:color="000000"/>
            </w:tcBorders>
            <w:shd w:val="clear" w:color="auto" w:fill="BEBEBE"/>
          </w:tcPr>
          <w:p>
            <w:pPr>
              <w:pStyle w:val="TableParagraph"/>
              <w:spacing w:before="12"/>
              <w:ind w:left="297"/>
              <w:jc w:val="left"/>
              <w:rPr>
                <w:b/>
                <w:sz w:val="13"/>
              </w:rPr>
            </w:pPr>
            <w:r>
              <w:rPr>
                <w:b/>
                <w:w w:val="110"/>
                <w:sz w:val="13"/>
              </w:rPr>
              <w:t>Rol non goduto</w:t>
            </w:r>
          </w:p>
        </w:tc>
        <w:tc>
          <w:tcPr>
            <w:tcW w:w="866" w:type="dxa"/>
            <w:vMerge w:val="restart"/>
            <w:tcBorders>
              <w:left w:val="single" w:sz="4" w:space="0" w:color="000000"/>
              <w:right w:val="single" w:sz="4" w:space="0" w:color="000000"/>
            </w:tcBorders>
            <w:shd w:val="clear" w:color="auto" w:fill="BEBEBE"/>
          </w:tcPr>
          <w:p>
            <w:pPr>
              <w:pStyle w:val="TableParagraph"/>
              <w:spacing w:before="95"/>
              <w:ind w:left="234"/>
              <w:jc w:val="left"/>
              <w:rPr>
                <w:b/>
                <w:sz w:val="13"/>
              </w:rPr>
            </w:pPr>
            <w:r>
              <w:rPr>
                <w:b/>
                <w:w w:val="110"/>
                <w:sz w:val="13"/>
              </w:rPr>
              <w:t>Totale</w:t>
            </w:r>
          </w:p>
        </w:tc>
      </w:tr>
      <w:tr>
        <w:trPr>
          <w:trHeight w:val="174" w:hRule="exact"/>
        </w:trPr>
        <w:tc>
          <w:tcPr>
            <w:tcW w:w="586" w:type="dxa"/>
            <w:vMerge/>
            <w:tcBorders>
              <w:left w:val="single" w:sz="4" w:space="0" w:color="000000"/>
              <w:right w:val="single" w:sz="4" w:space="0" w:color="000000"/>
            </w:tcBorders>
            <w:shd w:val="clear" w:color="auto" w:fill="BEBEBE"/>
          </w:tcPr>
          <w:p>
            <w:pPr/>
          </w:p>
        </w:tc>
        <w:tc>
          <w:tcPr>
            <w:tcW w:w="2190" w:type="dxa"/>
            <w:vMerge/>
            <w:tcBorders>
              <w:left w:val="single" w:sz="4" w:space="0" w:color="000000"/>
              <w:right w:val="single" w:sz="4" w:space="0" w:color="000000"/>
            </w:tcBorders>
            <w:shd w:val="clear" w:color="auto" w:fill="BEBEBE"/>
          </w:tcPr>
          <w:p>
            <w:pPr/>
          </w:p>
        </w:tc>
        <w:tc>
          <w:tcPr>
            <w:tcW w:w="865" w:type="dxa"/>
            <w:tcBorders>
              <w:left w:val="single" w:sz="4" w:space="0" w:color="000000"/>
              <w:right w:val="single" w:sz="4" w:space="0" w:color="000000"/>
            </w:tcBorders>
            <w:shd w:val="clear" w:color="auto" w:fill="BEBEBE"/>
          </w:tcPr>
          <w:p>
            <w:pPr>
              <w:pStyle w:val="TableParagraph"/>
              <w:spacing w:before="20"/>
              <w:ind w:right="102"/>
              <w:rPr>
                <w:b/>
                <w:sz w:val="13"/>
              </w:rPr>
            </w:pPr>
            <w:r>
              <w:rPr>
                <w:b/>
                <w:w w:val="110"/>
                <w:sz w:val="13"/>
              </w:rPr>
              <w:t>Contributi</w:t>
            </w:r>
          </w:p>
        </w:tc>
        <w:tc>
          <w:tcPr>
            <w:tcW w:w="784" w:type="dxa"/>
            <w:tcBorders>
              <w:left w:val="single" w:sz="4" w:space="0" w:color="000000"/>
              <w:right w:val="single" w:sz="4" w:space="0" w:color="000000"/>
            </w:tcBorders>
            <w:shd w:val="clear" w:color="auto" w:fill="BEBEBE"/>
          </w:tcPr>
          <w:p>
            <w:pPr>
              <w:pStyle w:val="TableParagraph"/>
              <w:spacing w:before="20"/>
              <w:ind w:left="252"/>
              <w:jc w:val="left"/>
              <w:rPr>
                <w:b/>
                <w:sz w:val="13"/>
              </w:rPr>
            </w:pPr>
            <w:r>
              <w:rPr>
                <w:b/>
                <w:w w:val="110"/>
                <w:sz w:val="13"/>
              </w:rPr>
              <w:t>Inail</w:t>
            </w:r>
          </w:p>
        </w:tc>
        <w:tc>
          <w:tcPr>
            <w:tcW w:w="865" w:type="dxa"/>
            <w:tcBorders>
              <w:left w:val="single" w:sz="4" w:space="0" w:color="000000"/>
              <w:right w:val="single" w:sz="4" w:space="0" w:color="000000"/>
            </w:tcBorders>
            <w:shd w:val="clear" w:color="auto" w:fill="BEBEBE"/>
          </w:tcPr>
          <w:p>
            <w:pPr>
              <w:pStyle w:val="TableParagraph"/>
              <w:spacing w:before="20"/>
              <w:ind w:right="102"/>
              <w:rPr>
                <w:b/>
                <w:sz w:val="13"/>
              </w:rPr>
            </w:pPr>
            <w:r>
              <w:rPr>
                <w:b/>
                <w:w w:val="110"/>
                <w:sz w:val="13"/>
              </w:rPr>
              <w:t>Contributi</w:t>
            </w:r>
          </w:p>
        </w:tc>
        <w:tc>
          <w:tcPr>
            <w:tcW w:w="676" w:type="dxa"/>
            <w:tcBorders>
              <w:left w:val="single" w:sz="4" w:space="0" w:color="000000"/>
              <w:right w:val="single" w:sz="4" w:space="0" w:color="000000"/>
            </w:tcBorders>
            <w:shd w:val="clear" w:color="auto" w:fill="BEBEBE"/>
          </w:tcPr>
          <w:p>
            <w:pPr>
              <w:pStyle w:val="TableParagraph"/>
              <w:spacing w:before="20"/>
              <w:ind w:left="198"/>
              <w:jc w:val="left"/>
              <w:rPr>
                <w:b/>
                <w:sz w:val="13"/>
              </w:rPr>
            </w:pPr>
            <w:r>
              <w:rPr>
                <w:b/>
                <w:w w:val="110"/>
                <w:sz w:val="13"/>
              </w:rPr>
              <w:t>Inail</w:t>
            </w:r>
          </w:p>
        </w:tc>
        <w:tc>
          <w:tcPr>
            <w:tcW w:w="866" w:type="dxa"/>
            <w:vMerge/>
            <w:tcBorders>
              <w:left w:val="single" w:sz="4" w:space="0" w:color="000000"/>
              <w:right w:val="single" w:sz="4" w:space="0" w:color="000000"/>
            </w:tcBorders>
            <w:shd w:val="clear" w:color="auto" w:fill="BEBEBE"/>
          </w:tcPr>
          <w:p>
            <w:pPr/>
          </w:p>
        </w:tc>
      </w:tr>
      <w:tr>
        <w:trPr>
          <w:trHeight w:val="184" w:hRule="exact"/>
        </w:trPr>
        <w:tc>
          <w:tcPr>
            <w:tcW w:w="586" w:type="dxa"/>
            <w:tcBorders>
              <w:left w:val="single" w:sz="4" w:space="0" w:color="000000"/>
              <w:bottom w:val="nil"/>
              <w:right w:val="single" w:sz="4" w:space="0" w:color="000000"/>
            </w:tcBorders>
          </w:tcPr>
          <w:p>
            <w:pPr>
              <w:pStyle w:val="TableParagraph"/>
              <w:spacing w:before="20"/>
              <w:ind w:left="100" w:right="100"/>
              <w:jc w:val="center"/>
              <w:rPr>
                <w:sz w:val="13"/>
              </w:rPr>
            </w:pPr>
            <w:r>
              <w:rPr>
                <w:w w:val="110"/>
                <w:sz w:val="13"/>
              </w:rPr>
              <w:t>10023</w:t>
            </w:r>
          </w:p>
        </w:tc>
        <w:tc>
          <w:tcPr>
            <w:tcW w:w="2190" w:type="dxa"/>
            <w:tcBorders>
              <w:left w:val="single" w:sz="4" w:space="0" w:color="000000"/>
              <w:bottom w:val="nil"/>
              <w:right w:val="single" w:sz="4" w:space="0" w:color="000000"/>
            </w:tcBorders>
          </w:tcPr>
          <w:p>
            <w:pPr>
              <w:pStyle w:val="TableParagraph"/>
              <w:spacing w:before="20"/>
              <w:ind w:left="18"/>
              <w:jc w:val="left"/>
              <w:rPr>
                <w:sz w:val="13"/>
              </w:rPr>
            </w:pPr>
            <w:r>
              <w:rPr>
                <w:w w:val="110"/>
                <w:sz w:val="13"/>
              </w:rPr>
              <w:t>BALDI ANDREA</w:t>
            </w:r>
          </w:p>
        </w:tc>
        <w:tc>
          <w:tcPr>
            <w:tcW w:w="865" w:type="dxa"/>
            <w:tcBorders>
              <w:left w:val="single" w:sz="4" w:space="0" w:color="000000"/>
              <w:bottom w:val="nil"/>
              <w:right w:val="single" w:sz="4" w:space="0" w:color="000000"/>
            </w:tcBorders>
          </w:tcPr>
          <w:p>
            <w:pPr>
              <w:pStyle w:val="TableParagraph"/>
              <w:spacing w:before="20"/>
              <w:ind w:right="61"/>
              <w:rPr>
                <w:sz w:val="13"/>
              </w:rPr>
            </w:pPr>
            <w:r>
              <w:rPr>
                <w:w w:val="110"/>
                <w:sz w:val="13"/>
              </w:rPr>
              <w:t>3.402</w:t>
            </w:r>
          </w:p>
        </w:tc>
        <w:tc>
          <w:tcPr>
            <w:tcW w:w="784" w:type="dxa"/>
            <w:tcBorders>
              <w:left w:val="single" w:sz="4" w:space="0" w:color="000000"/>
              <w:bottom w:val="nil"/>
              <w:right w:val="single" w:sz="4" w:space="0" w:color="000000"/>
            </w:tcBorders>
          </w:tcPr>
          <w:p>
            <w:pPr>
              <w:pStyle w:val="TableParagraph"/>
              <w:spacing w:before="20"/>
              <w:ind w:right="61"/>
              <w:rPr>
                <w:sz w:val="13"/>
              </w:rPr>
            </w:pPr>
            <w:r>
              <w:rPr>
                <w:w w:val="110"/>
                <w:sz w:val="13"/>
              </w:rPr>
              <w:t>220</w:t>
            </w:r>
          </w:p>
        </w:tc>
        <w:tc>
          <w:tcPr>
            <w:tcW w:w="865" w:type="dxa"/>
            <w:tcBorders>
              <w:left w:val="single" w:sz="4" w:space="0" w:color="000000"/>
              <w:bottom w:val="nil"/>
              <w:right w:val="single" w:sz="4" w:space="0" w:color="000000"/>
            </w:tcBorders>
          </w:tcPr>
          <w:p>
            <w:pPr>
              <w:pStyle w:val="TableParagraph"/>
              <w:spacing w:before="20"/>
              <w:ind w:right="61"/>
              <w:rPr>
                <w:sz w:val="13"/>
              </w:rPr>
            </w:pPr>
            <w:r>
              <w:rPr>
                <w:w w:val="110"/>
                <w:sz w:val="13"/>
              </w:rPr>
              <w:t>2.075</w:t>
            </w:r>
          </w:p>
        </w:tc>
        <w:tc>
          <w:tcPr>
            <w:tcW w:w="676" w:type="dxa"/>
            <w:tcBorders>
              <w:left w:val="single" w:sz="4" w:space="0" w:color="000000"/>
              <w:bottom w:val="nil"/>
              <w:right w:val="single" w:sz="4" w:space="0" w:color="000000"/>
            </w:tcBorders>
          </w:tcPr>
          <w:p>
            <w:pPr>
              <w:pStyle w:val="TableParagraph"/>
              <w:spacing w:before="20"/>
              <w:ind w:right="61"/>
              <w:rPr>
                <w:sz w:val="13"/>
              </w:rPr>
            </w:pPr>
            <w:r>
              <w:rPr>
                <w:w w:val="110"/>
                <w:sz w:val="13"/>
              </w:rPr>
              <w:t>134</w:t>
            </w:r>
          </w:p>
        </w:tc>
        <w:tc>
          <w:tcPr>
            <w:tcW w:w="866" w:type="dxa"/>
            <w:tcBorders>
              <w:left w:val="single" w:sz="4" w:space="0" w:color="000000"/>
              <w:bottom w:val="nil"/>
              <w:right w:val="single" w:sz="4" w:space="0" w:color="000000"/>
            </w:tcBorders>
          </w:tcPr>
          <w:p>
            <w:pPr>
              <w:pStyle w:val="TableParagraph"/>
              <w:spacing w:before="20"/>
              <w:ind w:right="61"/>
              <w:rPr>
                <w:sz w:val="13"/>
              </w:rPr>
            </w:pPr>
            <w:r>
              <w:rPr>
                <w:w w:val="110"/>
                <w:sz w:val="13"/>
              </w:rPr>
              <w:t>5.832</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10139</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BERNARDI MARCO</w:t>
            </w:r>
          </w:p>
        </w:tc>
        <w:tc>
          <w:tcPr>
            <w:tcW w:w="865"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(180)</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(6)</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(135)</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(4)</w:t>
            </w:r>
          </w:p>
        </w:tc>
        <w:tc>
          <w:tcPr>
            <w:tcW w:w="866"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(324)</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10173</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BIANCO FRANCESCO</w:t>
            </w:r>
          </w:p>
        </w:tc>
        <w:tc>
          <w:tcPr>
            <w:tcW w:w="865"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(118)</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(4)</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(64)</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w:t>
            </w:r>
          </w:p>
        </w:tc>
        <w:tc>
          <w:tcPr>
            <w:tcW w:w="866"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(188)</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10019</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BOVERI GIUSEPPINA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3.635</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3.635</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10047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BOZZINI LARA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313</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5</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276</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599</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10298</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BRUNO CARLO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119</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4</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148</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5</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276</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10057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CAMINADA GIANLUCA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180</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232</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20</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448</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12004</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CARLI NADIA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282</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5</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248</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539</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10212</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CARPINO SABRINA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295</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9</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224</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7</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535</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10048</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CASTELLANO DANIELA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98</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2</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326</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5</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432</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10206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CASTELLI CLAUDIA</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(0)</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(16)</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(0)</w:t>
            </w:r>
          </w:p>
        </w:tc>
        <w:tc>
          <w:tcPr>
            <w:tcW w:w="86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(18)</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10140</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CERETI ALESSANDRA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68</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2</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110</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3</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10321</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COBROR SANDRO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516</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516</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10167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COLLA MICHELE</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223</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4</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216</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446</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10042</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CORBELLANI PAOLO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2.373</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90</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2.147</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81</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4.691</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10076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DE FAVERI DANILO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2.091</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144</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1.332</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92</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3.658</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10319</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DE VITA ANDREA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1.925</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1.925</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10056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FERRARI GIANLUCA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3.993</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3.993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10049</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FERRERO SIMONE</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19</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77</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3</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100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10069</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FRANCHINI ELENA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358</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6</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189</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3</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556</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10146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GELMI GIUSEPPE</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1.883</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71</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1.786</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68</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3.809</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10329</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GIUSTI ALESSANDRA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3.530</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3.530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10168</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GRASSANO GIUSEPPE</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973</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892</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1.895</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10033</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KULICH ISABELLA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615</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10</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691</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1.327</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10328</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LAZZERI PAOLO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1.139</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1.139</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10331</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LENTI ROBERTO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892</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15</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731</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13</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1.651</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10171</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LINCE FEDERICA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371</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6</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239</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620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10246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MARCON STEFANO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116</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2</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327</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6</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450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10004</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MARGUTTI PATRIZIA LAURA</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(25)</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(0)</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(50)</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w:t>
            </w:r>
          </w:p>
        </w:tc>
        <w:tc>
          <w:tcPr>
            <w:tcW w:w="86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(77)</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10201</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MORANDO MATTEO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206</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14</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257</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495</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10258</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MORINI FEDERICA</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(7)</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(0)</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(9)</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(0)</w:t>
            </w:r>
          </w:p>
        </w:tc>
        <w:tc>
          <w:tcPr>
            <w:tcW w:w="86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(17)</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10098</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MULE' MARIELLA</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(71)</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(0)</w:t>
            </w:r>
          </w:p>
        </w:tc>
        <w:tc>
          <w:tcPr>
            <w:tcW w:w="86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(74)</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10175</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NICORA ILARIA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36</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118</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2</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157</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10200</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OLIVA DESDEMONA</w:t>
            </w:r>
          </w:p>
        </w:tc>
        <w:tc>
          <w:tcPr>
            <w:tcW w:w="865"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(363)</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(11)</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(273)</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(8)</w:t>
            </w:r>
          </w:p>
        </w:tc>
        <w:tc>
          <w:tcPr>
            <w:tcW w:w="866"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(656)</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10125</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PARACHINI MARCO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1.803</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1.803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10094</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PESCAROLO STEFANIA</w:t>
            </w:r>
          </w:p>
        </w:tc>
        <w:tc>
          <w:tcPr>
            <w:tcW w:w="865"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0</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309</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7</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317</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12006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PIETROZOTTO SARA</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(36)</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(10)</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(0)</w:t>
            </w:r>
          </w:p>
        </w:tc>
        <w:tc>
          <w:tcPr>
            <w:tcW w:w="86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(48)</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10186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PIRTAC VLAD IONUT</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122</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10</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258</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21</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411</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11050</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PORTA TOMMASO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652</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790</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1.467</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10286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PUTIGNANO LUCA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119</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2</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167</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3</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290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10054</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QUIRICO  ERIKA CINZIA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552</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344</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10</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922</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12007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RACCAGNI ELISA</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(25)</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(25)</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10017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RAITERI PAOLA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956</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266</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5</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1.243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10283</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REDAELLI SILVIA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456</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8</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297</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5</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766</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10137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RIVA DANIELE</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704</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48</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873</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60</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1.686</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10207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RIVAS TORRES BEATRIZ</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50</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78</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130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10073</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SARCHI PAOLO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3.535</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134</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2.738</w:t>
            </w:r>
          </w:p>
        </w:tc>
        <w:tc>
          <w:tcPr>
            <w:tcW w:w="67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104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6.510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12005</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SCORZA SONIA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269</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8</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246</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7</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530</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12002</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SCREMIN SIMONETTA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86</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202</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3</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293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10271</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SIMONE MARCO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151</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2</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275</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4</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433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10130</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STAFIE VASILE</w:t>
            </w:r>
          </w:p>
        </w:tc>
        <w:tc>
          <w:tcPr>
            <w:tcW w:w="865"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(129)</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(7)</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(116)</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(6)</w:t>
            </w:r>
          </w:p>
        </w:tc>
        <w:tc>
          <w:tcPr>
            <w:tcW w:w="866"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(259)</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10067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STRACCAMORE FRANCESCO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1.673</w:t>
            </w:r>
          </w:p>
        </w:tc>
        <w:tc>
          <w:tcPr>
            <w:tcW w:w="784"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5"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676" w:type="dxa"/>
            <w:tcBorders>
              <w:top w:val="nil"/>
              <w:left w:val="single" w:sz="4" w:space="0" w:color="000000"/>
              <w:bottom w:val="nil"/>
              <w:right w:val="single" w:sz="4" w:space="0" w:color="000000"/>
            </w:tcBorders>
          </w:tcPr>
          <w:p>
            <w:pPr>
              <w:pStyle w:val="TableParagraph"/>
              <w:spacing w:before="14"/>
              <w:ind w:right="62"/>
              <w:rPr>
                <w:sz w:val="13"/>
              </w:rPr>
            </w:pPr>
            <w:r>
              <w:rPr>
                <w:w w:val="110"/>
                <w:sz w:val="13"/>
              </w:rPr>
              <w:t>-</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1.673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10300</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TANGORRA ROCCO ROBERTO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205</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6</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220</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7</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439</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10163</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TODARO DANIELA</w:t>
            </w:r>
          </w:p>
        </w:tc>
        <w:tc>
          <w:tcPr>
            <w:tcW w:w="865"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0</w:t>
            </w:r>
          </w:p>
        </w:tc>
        <w:tc>
          <w:tcPr>
            <w:tcW w:w="865"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1</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0</w:t>
            </w:r>
          </w:p>
        </w:tc>
        <w:tc>
          <w:tcPr>
            <w:tcW w:w="86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3</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10070</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TORRE PAOLO</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145</w:t>
            </w:r>
          </w:p>
        </w:tc>
        <w:tc>
          <w:tcPr>
            <w:tcW w:w="784"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5</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252</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9</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412</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10327</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TRUNFIO SEBASTIANO</w:t>
            </w:r>
          </w:p>
        </w:tc>
        <w:tc>
          <w:tcPr>
            <w:tcW w:w="865"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(117)</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(10)</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(90)</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(7)</w:t>
            </w:r>
          </w:p>
        </w:tc>
        <w:tc>
          <w:tcPr>
            <w:tcW w:w="866"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(224)</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12003</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TURNI DANIELE</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(70)</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(4)</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(33)</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(2)</w:t>
            </w:r>
          </w:p>
        </w:tc>
        <w:tc>
          <w:tcPr>
            <w:tcW w:w="866"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(108)</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10334</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VACCARELLA DARIO PAOLO</w:t>
            </w:r>
          </w:p>
        </w:tc>
        <w:tc>
          <w:tcPr>
            <w:tcW w:w="865"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(111)</w:t>
            </w:r>
          </w:p>
        </w:tc>
        <w:tc>
          <w:tcPr>
            <w:tcW w:w="784"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(8)</w:t>
            </w:r>
          </w:p>
        </w:tc>
        <w:tc>
          <w:tcPr>
            <w:tcW w:w="865"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(85)</w:t>
            </w:r>
          </w:p>
        </w:tc>
        <w:tc>
          <w:tcPr>
            <w:tcW w:w="676" w:type="dxa"/>
            <w:tcBorders>
              <w:top w:val="nil"/>
              <w:left w:val="single" w:sz="4" w:space="0" w:color="000000"/>
              <w:bottom w:val="nil"/>
              <w:right w:val="single" w:sz="4" w:space="0" w:color="000000"/>
            </w:tcBorders>
          </w:tcPr>
          <w:p>
            <w:pPr>
              <w:pStyle w:val="TableParagraph"/>
              <w:spacing w:before="14"/>
              <w:ind w:right="19"/>
              <w:rPr>
                <w:sz w:val="13"/>
              </w:rPr>
            </w:pPr>
            <w:r>
              <w:rPr>
                <w:w w:val="110"/>
                <w:sz w:val="13"/>
              </w:rPr>
              <w:t>(6)</w:t>
            </w:r>
          </w:p>
        </w:tc>
        <w:tc>
          <w:tcPr>
            <w:tcW w:w="866" w:type="dxa"/>
            <w:tcBorders>
              <w:top w:val="nil"/>
              <w:left w:val="single" w:sz="4" w:space="0" w:color="000000"/>
              <w:bottom w:val="nil"/>
              <w:right w:val="single" w:sz="4" w:space="0" w:color="000000"/>
            </w:tcBorders>
          </w:tcPr>
          <w:p>
            <w:pPr>
              <w:pStyle w:val="TableParagraph"/>
              <w:spacing w:before="14"/>
              <w:ind w:right="20"/>
              <w:rPr>
                <w:sz w:val="13"/>
              </w:rPr>
            </w:pPr>
            <w:r>
              <w:rPr>
                <w:w w:val="110"/>
                <w:sz w:val="13"/>
              </w:rPr>
              <w:t>(211)</w:t>
            </w:r>
          </w:p>
        </w:tc>
      </w:tr>
      <w:tr>
        <w:trPr>
          <w:trHeight w:val="174" w:hRule="exact"/>
        </w:trPr>
        <w:tc>
          <w:tcPr>
            <w:tcW w:w="586" w:type="dxa"/>
            <w:tcBorders>
              <w:top w:val="nil"/>
              <w:left w:val="single" w:sz="4" w:space="0" w:color="000000"/>
              <w:bottom w:val="nil"/>
              <w:right w:val="single" w:sz="4" w:space="0" w:color="000000"/>
            </w:tcBorders>
          </w:tcPr>
          <w:p>
            <w:pPr>
              <w:pStyle w:val="TableParagraph"/>
              <w:spacing w:before="14"/>
              <w:ind w:left="100" w:right="100"/>
              <w:jc w:val="center"/>
              <w:rPr>
                <w:sz w:val="13"/>
              </w:rPr>
            </w:pPr>
            <w:r>
              <w:rPr>
                <w:w w:val="110"/>
                <w:sz w:val="13"/>
              </w:rPr>
              <w:t>10116</w:t>
            </w:r>
          </w:p>
        </w:tc>
        <w:tc>
          <w:tcPr>
            <w:tcW w:w="2190" w:type="dxa"/>
            <w:tcBorders>
              <w:top w:val="nil"/>
              <w:left w:val="single" w:sz="4" w:space="0" w:color="000000"/>
              <w:bottom w:val="nil"/>
              <w:right w:val="single" w:sz="4" w:space="0" w:color="000000"/>
            </w:tcBorders>
          </w:tcPr>
          <w:p>
            <w:pPr>
              <w:pStyle w:val="TableParagraph"/>
              <w:spacing w:before="14"/>
              <w:ind w:left="18"/>
              <w:jc w:val="left"/>
              <w:rPr>
                <w:sz w:val="13"/>
              </w:rPr>
            </w:pPr>
            <w:r>
              <w:rPr>
                <w:w w:val="110"/>
                <w:sz w:val="13"/>
              </w:rPr>
              <w:t>VISCARDI KATIA</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609</w:t>
            </w:r>
          </w:p>
        </w:tc>
        <w:tc>
          <w:tcPr>
            <w:tcW w:w="784"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41</w:t>
            </w:r>
          </w:p>
        </w:tc>
        <w:tc>
          <w:tcPr>
            <w:tcW w:w="865"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112</w:t>
            </w:r>
          </w:p>
        </w:tc>
        <w:tc>
          <w:tcPr>
            <w:tcW w:w="676" w:type="dxa"/>
            <w:tcBorders>
              <w:top w:val="nil"/>
              <w:left w:val="single" w:sz="4" w:space="0" w:color="000000"/>
              <w:bottom w:val="nil"/>
              <w:right w:val="single" w:sz="4" w:space="0" w:color="000000"/>
            </w:tcBorders>
          </w:tcPr>
          <w:p>
            <w:pPr>
              <w:pStyle w:val="TableParagraph"/>
              <w:spacing w:before="14"/>
              <w:ind w:right="65"/>
              <w:rPr>
                <w:sz w:val="13"/>
              </w:rPr>
            </w:pPr>
            <w:r>
              <w:rPr>
                <w:w w:val="110"/>
                <w:sz w:val="13"/>
              </w:rPr>
              <w:t>8</w:t>
            </w:r>
          </w:p>
        </w:tc>
        <w:tc>
          <w:tcPr>
            <w:tcW w:w="866" w:type="dxa"/>
            <w:tcBorders>
              <w:top w:val="nil"/>
              <w:left w:val="single" w:sz="4" w:space="0" w:color="000000"/>
              <w:bottom w:val="nil"/>
              <w:right w:val="single" w:sz="4" w:space="0" w:color="000000"/>
            </w:tcBorders>
          </w:tcPr>
          <w:p>
            <w:pPr>
              <w:pStyle w:val="TableParagraph"/>
              <w:spacing w:before="14"/>
              <w:ind w:right="61"/>
              <w:rPr>
                <w:sz w:val="13"/>
              </w:rPr>
            </w:pPr>
            <w:r>
              <w:rPr>
                <w:w w:val="110"/>
                <w:sz w:val="13"/>
              </w:rPr>
              <w:t>770</w:t>
            </w:r>
          </w:p>
        </w:tc>
      </w:tr>
      <w:tr>
        <w:trPr>
          <w:trHeight w:val="164" w:hRule="exact"/>
        </w:trPr>
        <w:tc>
          <w:tcPr>
            <w:tcW w:w="586" w:type="dxa"/>
            <w:tcBorders>
              <w:top w:val="nil"/>
              <w:left w:val="single" w:sz="4" w:space="0" w:color="000000"/>
              <w:right w:val="single" w:sz="4" w:space="0" w:color="000000"/>
            </w:tcBorders>
          </w:tcPr>
          <w:p>
            <w:pPr>
              <w:pStyle w:val="TableParagraph"/>
              <w:spacing w:before="14"/>
              <w:ind w:left="100" w:right="100"/>
              <w:jc w:val="center"/>
              <w:rPr>
                <w:sz w:val="13"/>
              </w:rPr>
            </w:pPr>
            <w:r>
              <w:rPr>
                <w:w w:val="110"/>
                <w:sz w:val="13"/>
              </w:rPr>
              <w:t>10012</w:t>
            </w:r>
          </w:p>
        </w:tc>
        <w:tc>
          <w:tcPr>
            <w:tcW w:w="2190" w:type="dxa"/>
            <w:tcBorders>
              <w:top w:val="nil"/>
              <w:left w:val="single" w:sz="4" w:space="0" w:color="000000"/>
              <w:right w:val="single" w:sz="4" w:space="0" w:color="000000"/>
            </w:tcBorders>
          </w:tcPr>
          <w:p>
            <w:pPr>
              <w:pStyle w:val="TableParagraph"/>
              <w:spacing w:before="14"/>
              <w:ind w:left="18"/>
              <w:jc w:val="left"/>
              <w:rPr>
                <w:sz w:val="13"/>
              </w:rPr>
            </w:pPr>
            <w:r>
              <w:rPr>
                <w:w w:val="110"/>
                <w:sz w:val="13"/>
              </w:rPr>
              <w:t>ZANETTE FEDERICO</w:t>
            </w:r>
          </w:p>
        </w:tc>
        <w:tc>
          <w:tcPr>
            <w:tcW w:w="865" w:type="dxa"/>
            <w:tcBorders>
              <w:top w:val="nil"/>
              <w:left w:val="single" w:sz="4" w:space="0" w:color="000000"/>
              <w:right w:val="single" w:sz="4" w:space="0" w:color="000000"/>
            </w:tcBorders>
          </w:tcPr>
          <w:p>
            <w:pPr>
              <w:pStyle w:val="TableParagraph"/>
              <w:spacing w:before="14"/>
              <w:ind w:right="61"/>
              <w:rPr>
                <w:sz w:val="13"/>
              </w:rPr>
            </w:pPr>
            <w:r>
              <w:rPr>
                <w:w w:val="110"/>
                <w:sz w:val="13"/>
              </w:rPr>
              <w:t>4.666</w:t>
            </w:r>
          </w:p>
        </w:tc>
        <w:tc>
          <w:tcPr>
            <w:tcW w:w="784" w:type="dxa"/>
            <w:tcBorders>
              <w:top w:val="nil"/>
              <w:left w:val="single" w:sz="4" w:space="0" w:color="000000"/>
              <w:right w:val="single" w:sz="4" w:space="0" w:color="000000"/>
            </w:tcBorders>
          </w:tcPr>
          <w:p>
            <w:pPr>
              <w:pStyle w:val="TableParagraph"/>
              <w:spacing w:before="14"/>
              <w:ind w:right="61"/>
              <w:rPr>
                <w:sz w:val="13"/>
              </w:rPr>
            </w:pPr>
            <w:r>
              <w:rPr>
                <w:w w:val="110"/>
                <w:sz w:val="13"/>
              </w:rPr>
              <w:t>166</w:t>
            </w:r>
          </w:p>
        </w:tc>
        <w:tc>
          <w:tcPr>
            <w:tcW w:w="865" w:type="dxa"/>
            <w:tcBorders>
              <w:top w:val="nil"/>
              <w:left w:val="single" w:sz="4" w:space="0" w:color="000000"/>
              <w:right w:val="single" w:sz="4" w:space="0" w:color="000000"/>
            </w:tcBorders>
          </w:tcPr>
          <w:p>
            <w:pPr>
              <w:pStyle w:val="TableParagraph"/>
              <w:spacing w:before="14"/>
              <w:ind w:right="61"/>
              <w:rPr>
                <w:sz w:val="13"/>
              </w:rPr>
            </w:pPr>
            <w:r>
              <w:rPr>
                <w:w w:val="110"/>
                <w:sz w:val="13"/>
              </w:rPr>
              <w:t>5.293</w:t>
            </w:r>
          </w:p>
        </w:tc>
        <w:tc>
          <w:tcPr>
            <w:tcW w:w="676" w:type="dxa"/>
            <w:tcBorders>
              <w:top w:val="nil"/>
              <w:left w:val="single" w:sz="4" w:space="0" w:color="000000"/>
              <w:right w:val="single" w:sz="4" w:space="0" w:color="000000"/>
            </w:tcBorders>
          </w:tcPr>
          <w:p>
            <w:pPr>
              <w:pStyle w:val="TableParagraph"/>
              <w:spacing w:before="14"/>
              <w:ind w:right="61"/>
              <w:rPr>
                <w:sz w:val="13"/>
              </w:rPr>
            </w:pPr>
            <w:r>
              <w:rPr>
                <w:w w:val="110"/>
                <w:sz w:val="13"/>
              </w:rPr>
              <w:t>189</w:t>
            </w:r>
          </w:p>
        </w:tc>
        <w:tc>
          <w:tcPr>
            <w:tcW w:w="866" w:type="dxa"/>
            <w:tcBorders>
              <w:top w:val="nil"/>
              <w:left w:val="single" w:sz="4" w:space="0" w:color="000000"/>
              <w:right w:val="single" w:sz="4" w:space="0" w:color="000000"/>
            </w:tcBorders>
          </w:tcPr>
          <w:p>
            <w:pPr>
              <w:pStyle w:val="TableParagraph"/>
              <w:spacing w:before="14"/>
              <w:ind w:right="61"/>
              <w:rPr>
                <w:sz w:val="13"/>
              </w:rPr>
            </w:pPr>
            <w:r>
              <w:rPr>
                <w:w w:val="110"/>
                <w:sz w:val="13"/>
              </w:rPr>
              <w:t>10.314</w:t>
            </w:r>
          </w:p>
        </w:tc>
      </w:tr>
      <w:tr>
        <w:trPr>
          <w:trHeight w:val="174" w:hRule="exact"/>
        </w:trPr>
        <w:tc>
          <w:tcPr>
            <w:tcW w:w="2777" w:type="dxa"/>
            <w:gridSpan w:val="2"/>
            <w:tcBorders>
              <w:left w:val="single" w:sz="4" w:space="0" w:color="000000"/>
              <w:right w:val="single" w:sz="4" w:space="0" w:color="000000"/>
            </w:tcBorders>
            <w:shd w:val="clear" w:color="auto" w:fill="BEBEBE"/>
          </w:tcPr>
          <w:p>
            <w:pPr>
              <w:pStyle w:val="TableParagraph"/>
              <w:spacing w:before="20"/>
              <w:ind w:left="18"/>
              <w:jc w:val="left"/>
              <w:rPr>
                <w:b/>
                <w:sz w:val="13"/>
              </w:rPr>
            </w:pPr>
            <w:r>
              <w:rPr>
                <w:b/>
                <w:w w:val="110"/>
                <w:sz w:val="13"/>
              </w:rPr>
              <w:t>TOTALE</w:t>
            </w:r>
          </w:p>
        </w:tc>
        <w:tc>
          <w:tcPr>
            <w:tcW w:w="865" w:type="dxa"/>
            <w:tcBorders>
              <w:left w:val="single" w:sz="4" w:space="0" w:color="000000"/>
              <w:right w:val="single" w:sz="4" w:space="0" w:color="000000"/>
            </w:tcBorders>
            <w:shd w:val="clear" w:color="auto" w:fill="BEBEBE"/>
          </w:tcPr>
          <w:p>
            <w:pPr>
              <w:pStyle w:val="TableParagraph"/>
              <w:spacing w:before="20"/>
              <w:ind w:left="306"/>
              <w:jc w:val="left"/>
              <w:rPr>
                <w:b/>
                <w:sz w:val="13"/>
              </w:rPr>
            </w:pPr>
            <w:r>
              <w:rPr>
                <w:b/>
                <w:w w:val="110"/>
                <w:sz w:val="13"/>
              </w:rPr>
              <w:t>45.156</w:t>
            </w:r>
          </w:p>
        </w:tc>
        <w:tc>
          <w:tcPr>
            <w:tcW w:w="784" w:type="dxa"/>
            <w:tcBorders>
              <w:left w:val="single" w:sz="4" w:space="0" w:color="000000"/>
              <w:right w:val="single" w:sz="4" w:space="0" w:color="000000"/>
            </w:tcBorders>
            <w:shd w:val="clear" w:color="auto" w:fill="BEBEBE"/>
          </w:tcPr>
          <w:p>
            <w:pPr>
              <w:pStyle w:val="TableParagraph"/>
              <w:spacing w:before="20"/>
              <w:ind w:left="297"/>
              <w:jc w:val="left"/>
              <w:rPr>
                <w:b/>
                <w:sz w:val="13"/>
              </w:rPr>
            </w:pPr>
            <w:r>
              <w:rPr>
                <w:b/>
                <w:w w:val="110"/>
                <w:sz w:val="13"/>
              </w:rPr>
              <w:t>1.067</w:t>
            </w:r>
          </w:p>
        </w:tc>
        <w:tc>
          <w:tcPr>
            <w:tcW w:w="865" w:type="dxa"/>
            <w:tcBorders>
              <w:left w:val="single" w:sz="4" w:space="0" w:color="000000"/>
              <w:right w:val="single" w:sz="4" w:space="0" w:color="000000"/>
            </w:tcBorders>
            <w:shd w:val="clear" w:color="auto" w:fill="BEBEBE"/>
          </w:tcPr>
          <w:p>
            <w:pPr>
              <w:pStyle w:val="TableParagraph"/>
              <w:spacing w:before="20"/>
              <w:ind w:left="288"/>
              <w:jc w:val="left"/>
              <w:rPr>
                <w:b/>
                <w:sz w:val="13"/>
              </w:rPr>
            </w:pPr>
            <w:r>
              <w:rPr>
                <w:b/>
                <w:w w:val="110"/>
                <w:sz w:val="13"/>
              </w:rPr>
              <w:t>24.477</w:t>
            </w:r>
          </w:p>
        </w:tc>
        <w:tc>
          <w:tcPr>
            <w:tcW w:w="676" w:type="dxa"/>
            <w:tcBorders>
              <w:left w:val="single" w:sz="4" w:space="0" w:color="000000"/>
              <w:right w:val="single" w:sz="4" w:space="0" w:color="000000"/>
            </w:tcBorders>
            <w:shd w:val="clear" w:color="auto" w:fill="BEBEBE"/>
          </w:tcPr>
          <w:p>
            <w:pPr>
              <w:pStyle w:val="TableParagraph"/>
              <w:spacing w:before="20"/>
              <w:ind w:left="297"/>
              <w:jc w:val="left"/>
              <w:rPr>
                <w:b/>
                <w:sz w:val="13"/>
              </w:rPr>
            </w:pPr>
            <w:r>
              <w:rPr>
                <w:b/>
                <w:w w:val="110"/>
                <w:sz w:val="13"/>
              </w:rPr>
              <w:t>919</w:t>
            </w:r>
          </w:p>
        </w:tc>
        <w:tc>
          <w:tcPr>
            <w:tcW w:w="866" w:type="dxa"/>
            <w:tcBorders>
              <w:left w:val="single" w:sz="4" w:space="0" w:color="000000"/>
              <w:right w:val="single" w:sz="4" w:space="0" w:color="000000"/>
            </w:tcBorders>
            <w:shd w:val="clear" w:color="auto" w:fill="BEBEBE"/>
          </w:tcPr>
          <w:p>
            <w:pPr>
              <w:pStyle w:val="TableParagraph"/>
              <w:spacing w:before="20"/>
              <w:ind w:left="324"/>
              <w:jc w:val="left"/>
              <w:rPr>
                <w:b/>
                <w:sz w:val="13"/>
              </w:rPr>
            </w:pPr>
            <w:r>
              <w:rPr>
                <w:b/>
                <w:w w:val="110"/>
                <w:sz w:val="13"/>
              </w:rPr>
              <w:t>71.619</w:t>
            </w:r>
          </w:p>
        </w:tc>
      </w:tr>
    </w:tbl>
    <w:p>
      <w:pPr>
        <w:spacing w:after="0"/>
        <w:jc w:val="left"/>
        <w:rPr>
          <w:sz w:val="13"/>
        </w:rPr>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7" w:after="1"/>
        <w:rPr>
          <w:rFonts w:ascii="Times New Roman"/>
          <w:sz w:val="16"/>
        </w:rPr>
      </w:pPr>
    </w:p>
    <w:tbl>
      <w:tblPr>
        <w:tblW w:w="0" w:type="auto"/>
        <w:jc w:val="left"/>
        <w:tblInd w:w="2624"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top w:w="0" w:type="dxa"/>
          <w:left w:w="0" w:type="dxa"/>
          <w:bottom w:w="0" w:type="dxa"/>
          <w:right w:w="0" w:type="dxa"/>
        </w:tblCellMar>
        <w:tblLook w:val="01E0"/>
      </w:tblPr>
      <w:tblGrid>
        <w:gridCol w:w="808"/>
        <w:gridCol w:w="2845"/>
        <w:gridCol w:w="1080"/>
        <w:gridCol w:w="832"/>
        <w:gridCol w:w="1081"/>
      </w:tblGrid>
      <w:tr>
        <w:trPr>
          <w:trHeight w:val="260" w:hRule="exact"/>
        </w:trPr>
        <w:tc>
          <w:tcPr>
            <w:tcW w:w="808" w:type="dxa"/>
            <w:tcBorders>
              <w:left w:val="single" w:sz="5" w:space="0" w:color="000000"/>
              <w:bottom w:val="single" w:sz="5" w:space="0" w:color="000000"/>
              <w:right w:val="single" w:sz="5" w:space="0" w:color="000000"/>
            </w:tcBorders>
            <w:shd w:val="clear" w:color="auto" w:fill="BEBEBE"/>
          </w:tcPr>
          <w:p>
            <w:pPr>
              <w:pStyle w:val="TableParagraph"/>
              <w:spacing w:before="26"/>
              <w:ind w:left="31" w:right="30"/>
              <w:jc w:val="center"/>
              <w:rPr>
                <w:b/>
                <w:sz w:val="19"/>
              </w:rPr>
            </w:pPr>
            <w:r>
              <w:rPr>
                <w:b/>
                <w:sz w:val="19"/>
              </w:rPr>
              <w:t>Cod dip.</w:t>
            </w:r>
          </w:p>
        </w:tc>
        <w:tc>
          <w:tcPr>
            <w:tcW w:w="2845" w:type="dxa"/>
            <w:tcBorders>
              <w:left w:val="single" w:sz="5" w:space="0" w:color="000000"/>
              <w:bottom w:val="single" w:sz="5" w:space="0" w:color="000000"/>
              <w:right w:val="single" w:sz="5" w:space="0" w:color="000000"/>
            </w:tcBorders>
            <w:shd w:val="clear" w:color="auto" w:fill="BEBEBE"/>
          </w:tcPr>
          <w:p>
            <w:pPr>
              <w:pStyle w:val="TableParagraph"/>
              <w:spacing w:before="26"/>
              <w:ind w:left="24"/>
              <w:jc w:val="left"/>
              <w:rPr>
                <w:b/>
                <w:sz w:val="19"/>
              </w:rPr>
            </w:pPr>
            <w:r>
              <w:rPr>
                <w:b/>
                <w:sz w:val="19"/>
              </w:rPr>
              <w:t>Cognome</w:t>
            </w:r>
          </w:p>
        </w:tc>
        <w:tc>
          <w:tcPr>
            <w:tcW w:w="1080" w:type="dxa"/>
            <w:tcBorders>
              <w:left w:val="single" w:sz="5" w:space="0" w:color="000000"/>
              <w:bottom w:val="single" w:sz="5" w:space="0" w:color="000000"/>
              <w:right w:val="single" w:sz="5" w:space="0" w:color="000000"/>
            </w:tcBorders>
            <w:shd w:val="clear" w:color="auto" w:fill="BEBEBE"/>
          </w:tcPr>
          <w:p>
            <w:pPr>
              <w:pStyle w:val="TableParagraph"/>
              <w:spacing w:before="26"/>
              <w:ind w:right="115"/>
              <w:rPr>
                <w:b/>
                <w:sz w:val="19"/>
              </w:rPr>
            </w:pPr>
            <w:r>
              <w:rPr>
                <w:b/>
                <w:sz w:val="19"/>
              </w:rPr>
              <w:t>Contributi</w:t>
            </w:r>
          </w:p>
        </w:tc>
        <w:tc>
          <w:tcPr>
            <w:tcW w:w="832" w:type="dxa"/>
            <w:tcBorders>
              <w:left w:val="single" w:sz="5" w:space="0" w:color="000000"/>
              <w:bottom w:val="single" w:sz="5" w:space="0" w:color="000000"/>
              <w:right w:val="single" w:sz="5" w:space="0" w:color="000000"/>
            </w:tcBorders>
            <w:shd w:val="clear" w:color="auto" w:fill="BEBEBE"/>
          </w:tcPr>
          <w:p>
            <w:pPr>
              <w:pStyle w:val="TableParagraph"/>
              <w:spacing w:before="26"/>
              <w:ind w:right="207"/>
              <w:rPr>
                <w:b/>
                <w:sz w:val="19"/>
              </w:rPr>
            </w:pPr>
            <w:r>
              <w:rPr>
                <w:b/>
                <w:sz w:val="19"/>
              </w:rPr>
              <w:t>Inail</w:t>
            </w:r>
          </w:p>
        </w:tc>
        <w:tc>
          <w:tcPr>
            <w:tcW w:w="1081" w:type="dxa"/>
            <w:tcBorders>
              <w:left w:val="single" w:sz="5" w:space="0" w:color="000000"/>
              <w:bottom w:val="single" w:sz="5" w:space="0" w:color="000000"/>
              <w:right w:val="single" w:sz="5" w:space="0" w:color="000000"/>
            </w:tcBorders>
            <w:shd w:val="clear" w:color="auto" w:fill="BEBEBE"/>
          </w:tcPr>
          <w:p>
            <w:pPr>
              <w:pStyle w:val="TableParagraph"/>
              <w:spacing w:before="26"/>
              <w:ind w:right="265"/>
              <w:rPr>
                <w:b/>
                <w:sz w:val="19"/>
              </w:rPr>
            </w:pPr>
            <w:r>
              <w:rPr>
                <w:b/>
                <w:sz w:val="19"/>
              </w:rPr>
              <w:t>Totale</w:t>
            </w:r>
          </w:p>
        </w:tc>
      </w:tr>
      <w:tr>
        <w:trPr>
          <w:trHeight w:val="275" w:hRule="exact"/>
        </w:trPr>
        <w:tc>
          <w:tcPr>
            <w:tcW w:w="808" w:type="dxa"/>
            <w:tcBorders>
              <w:top w:val="single" w:sz="5" w:space="0" w:color="000000"/>
              <w:left w:val="single" w:sz="5" w:space="0" w:color="000000"/>
              <w:bottom w:val="nil"/>
              <w:right w:val="single" w:sz="5" w:space="0" w:color="000000"/>
            </w:tcBorders>
          </w:tcPr>
          <w:p>
            <w:pPr>
              <w:pStyle w:val="TableParagraph"/>
              <w:spacing w:before="26"/>
              <w:ind w:left="30" w:right="30"/>
              <w:jc w:val="center"/>
              <w:rPr>
                <w:sz w:val="19"/>
              </w:rPr>
            </w:pPr>
            <w:r>
              <w:rPr>
                <w:sz w:val="19"/>
              </w:rPr>
              <w:t>10212</w:t>
            </w:r>
          </w:p>
        </w:tc>
        <w:tc>
          <w:tcPr>
            <w:tcW w:w="2845" w:type="dxa"/>
            <w:tcBorders>
              <w:top w:val="single" w:sz="5" w:space="0" w:color="000000"/>
              <w:left w:val="single" w:sz="5" w:space="0" w:color="000000"/>
              <w:bottom w:val="nil"/>
              <w:right w:val="single" w:sz="5" w:space="0" w:color="000000"/>
            </w:tcBorders>
          </w:tcPr>
          <w:p>
            <w:pPr>
              <w:pStyle w:val="TableParagraph"/>
              <w:spacing w:before="26"/>
              <w:ind w:left="24"/>
              <w:jc w:val="left"/>
              <w:rPr>
                <w:sz w:val="19"/>
              </w:rPr>
            </w:pPr>
            <w:r>
              <w:rPr>
                <w:sz w:val="19"/>
              </w:rPr>
              <w:t>CARPINO SABRINA</w:t>
            </w:r>
          </w:p>
        </w:tc>
        <w:tc>
          <w:tcPr>
            <w:tcW w:w="1080" w:type="dxa"/>
            <w:tcBorders>
              <w:top w:val="single" w:sz="5" w:space="0" w:color="000000"/>
              <w:left w:val="single" w:sz="5" w:space="0" w:color="000000"/>
              <w:bottom w:val="nil"/>
              <w:right w:val="single" w:sz="5" w:space="0" w:color="000000"/>
            </w:tcBorders>
          </w:tcPr>
          <w:p>
            <w:pPr>
              <w:pStyle w:val="TableParagraph"/>
              <w:spacing w:before="26"/>
              <w:ind w:left="533"/>
              <w:jc w:val="left"/>
              <w:rPr>
                <w:sz w:val="19"/>
              </w:rPr>
            </w:pPr>
            <w:r>
              <w:rPr>
                <w:sz w:val="19"/>
              </w:rPr>
              <w:t>350</w:t>
            </w:r>
          </w:p>
        </w:tc>
        <w:tc>
          <w:tcPr>
            <w:tcW w:w="832" w:type="dxa"/>
            <w:tcBorders>
              <w:top w:val="single" w:sz="5" w:space="0" w:color="000000"/>
              <w:left w:val="single" w:sz="5" w:space="0" w:color="000000"/>
              <w:bottom w:val="nil"/>
              <w:right w:val="single" w:sz="5" w:space="0" w:color="000000"/>
            </w:tcBorders>
          </w:tcPr>
          <w:p>
            <w:pPr>
              <w:pStyle w:val="TableParagraph"/>
              <w:spacing w:before="26"/>
              <w:ind w:right="234"/>
              <w:rPr>
                <w:sz w:val="19"/>
              </w:rPr>
            </w:pPr>
            <w:r>
              <w:rPr>
                <w:sz w:val="19"/>
              </w:rPr>
              <w:t>11</w:t>
            </w:r>
          </w:p>
        </w:tc>
        <w:tc>
          <w:tcPr>
            <w:tcW w:w="1081" w:type="dxa"/>
            <w:tcBorders>
              <w:top w:val="single" w:sz="5" w:space="0" w:color="000000"/>
              <w:left w:val="single" w:sz="5" w:space="0" w:color="000000"/>
              <w:bottom w:val="nil"/>
              <w:right w:val="single" w:sz="5" w:space="0" w:color="000000"/>
            </w:tcBorders>
          </w:tcPr>
          <w:p>
            <w:pPr>
              <w:pStyle w:val="TableParagraph"/>
              <w:spacing w:before="26"/>
              <w:ind w:right="234"/>
              <w:rPr>
                <w:sz w:val="19"/>
              </w:rPr>
            </w:pPr>
            <w:r>
              <w:rPr>
                <w:sz w:val="19"/>
              </w:rPr>
              <w:t>361</w:t>
            </w:r>
          </w:p>
        </w:tc>
      </w:tr>
      <w:tr>
        <w:trPr>
          <w:trHeight w:val="260" w:hRule="exact"/>
        </w:trPr>
        <w:tc>
          <w:tcPr>
            <w:tcW w:w="808" w:type="dxa"/>
            <w:tcBorders>
              <w:top w:val="nil"/>
              <w:left w:val="single" w:sz="5" w:space="0" w:color="000000"/>
              <w:bottom w:val="nil"/>
              <w:right w:val="single" w:sz="5" w:space="0" w:color="000000"/>
            </w:tcBorders>
          </w:tcPr>
          <w:p>
            <w:pPr>
              <w:pStyle w:val="TableParagraph"/>
              <w:spacing w:before="17"/>
              <w:ind w:left="30" w:right="30"/>
              <w:jc w:val="center"/>
              <w:rPr>
                <w:sz w:val="19"/>
              </w:rPr>
            </w:pPr>
            <w:r>
              <w:rPr>
                <w:sz w:val="19"/>
              </w:rPr>
              <w:t>10054</w:t>
            </w:r>
          </w:p>
        </w:tc>
        <w:tc>
          <w:tcPr>
            <w:tcW w:w="2845" w:type="dxa"/>
            <w:tcBorders>
              <w:top w:val="nil"/>
              <w:left w:val="single" w:sz="5" w:space="0" w:color="000000"/>
              <w:bottom w:val="nil"/>
              <w:right w:val="single" w:sz="5" w:space="0" w:color="000000"/>
            </w:tcBorders>
          </w:tcPr>
          <w:p>
            <w:pPr>
              <w:pStyle w:val="TableParagraph"/>
              <w:spacing w:before="17"/>
              <w:ind w:left="24"/>
              <w:jc w:val="left"/>
              <w:rPr>
                <w:sz w:val="19"/>
              </w:rPr>
            </w:pPr>
            <w:r>
              <w:rPr>
                <w:sz w:val="19"/>
              </w:rPr>
              <w:t>QUIRICO ERIKA CINZIA</w:t>
            </w:r>
          </w:p>
        </w:tc>
        <w:tc>
          <w:tcPr>
            <w:tcW w:w="1080" w:type="dxa"/>
            <w:tcBorders>
              <w:top w:val="nil"/>
              <w:left w:val="single" w:sz="5" w:space="0" w:color="000000"/>
              <w:bottom w:val="nil"/>
              <w:right w:val="single" w:sz="5" w:space="0" w:color="000000"/>
            </w:tcBorders>
          </w:tcPr>
          <w:p>
            <w:pPr>
              <w:pStyle w:val="TableParagraph"/>
              <w:spacing w:before="17"/>
              <w:ind w:right="239"/>
              <w:rPr>
                <w:sz w:val="19"/>
              </w:rPr>
            </w:pPr>
            <w:r>
              <w:rPr>
                <w:w w:val="99"/>
                <w:sz w:val="19"/>
              </w:rPr>
              <w:t>4</w:t>
            </w:r>
          </w:p>
        </w:tc>
        <w:tc>
          <w:tcPr>
            <w:tcW w:w="832" w:type="dxa"/>
            <w:tcBorders>
              <w:top w:val="nil"/>
              <w:left w:val="single" w:sz="5" w:space="0" w:color="000000"/>
              <w:bottom w:val="nil"/>
              <w:right w:val="single" w:sz="5" w:space="0" w:color="000000"/>
            </w:tcBorders>
          </w:tcPr>
          <w:p>
            <w:pPr>
              <w:pStyle w:val="TableParagraph"/>
              <w:spacing w:before="17"/>
              <w:ind w:right="239"/>
              <w:rPr>
                <w:sz w:val="19"/>
              </w:rPr>
            </w:pPr>
            <w:r>
              <w:rPr>
                <w:w w:val="99"/>
                <w:sz w:val="19"/>
              </w:rPr>
              <w:t>0</w:t>
            </w:r>
          </w:p>
        </w:tc>
        <w:tc>
          <w:tcPr>
            <w:tcW w:w="1081" w:type="dxa"/>
            <w:tcBorders>
              <w:top w:val="nil"/>
              <w:left w:val="single" w:sz="5" w:space="0" w:color="000000"/>
              <w:bottom w:val="nil"/>
              <w:right w:val="single" w:sz="5" w:space="0" w:color="000000"/>
            </w:tcBorders>
          </w:tcPr>
          <w:p>
            <w:pPr>
              <w:pStyle w:val="TableParagraph"/>
              <w:spacing w:before="17"/>
              <w:ind w:right="239"/>
              <w:rPr>
                <w:sz w:val="19"/>
              </w:rPr>
            </w:pPr>
            <w:r>
              <w:rPr>
                <w:w w:val="99"/>
                <w:sz w:val="19"/>
              </w:rPr>
              <w:t>5</w:t>
            </w:r>
          </w:p>
        </w:tc>
      </w:tr>
      <w:tr>
        <w:trPr>
          <w:trHeight w:val="245" w:hRule="exact"/>
        </w:trPr>
        <w:tc>
          <w:tcPr>
            <w:tcW w:w="808" w:type="dxa"/>
            <w:tcBorders>
              <w:top w:val="nil"/>
              <w:left w:val="single" w:sz="5" w:space="0" w:color="000000"/>
              <w:bottom w:val="single" w:sz="5" w:space="0" w:color="000000"/>
              <w:right w:val="single" w:sz="5" w:space="0" w:color="000000"/>
            </w:tcBorders>
          </w:tcPr>
          <w:p>
            <w:pPr>
              <w:pStyle w:val="TableParagraph"/>
              <w:spacing w:before="17"/>
              <w:ind w:left="30" w:right="30"/>
              <w:jc w:val="center"/>
              <w:rPr>
                <w:sz w:val="19"/>
              </w:rPr>
            </w:pPr>
            <w:r>
              <w:rPr>
                <w:sz w:val="19"/>
              </w:rPr>
              <w:t>10017</w:t>
            </w:r>
          </w:p>
        </w:tc>
        <w:tc>
          <w:tcPr>
            <w:tcW w:w="2845" w:type="dxa"/>
            <w:tcBorders>
              <w:top w:val="nil"/>
              <w:left w:val="single" w:sz="5" w:space="0" w:color="000000"/>
              <w:bottom w:val="single" w:sz="5" w:space="0" w:color="000000"/>
              <w:right w:val="single" w:sz="5" w:space="0" w:color="000000"/>
            </w:tcBorders>
          </w:tcPr>
          <w:p>
            <w:pPr>
              <w:pStyle w:val="TableParagraph"/>
              <w:spacing w:before="17"/>
              <w:ind w:left="24"/>
              <w:jc w:val="left"/>
              <w:rPr>
                <w:sz w:val="19"/>
              </w:rPr>
            </w:pPr>
            <w:r>
              <w:rPr>
                <w:sz w:val="19"/>
              </w:rPr>
              <w:t>RAITERI PAOLA</w:t>
            </w:r>
          </w:p>
        </w:tc>
        <w:tc>
          <w:tcPr>
            <w:tcW w:w="1080" w:type="dxa"/>
            <w:tcBorders>
              <w:top w:val="nil"/>
              <w:left w:val="single" w:sz="5" w:space="0" w:color="000000"/>
              <w:bottom w:val="single" w:sz="5" w:space="0" w:color="000000"/>
              <w:right w:val="single" w:sz="5" w:space="0" w:color="000000"/>
            </w:tcBorders>
          </w:tcPr>
          <w:p>
            <w:pPr>
              <w:pStyle w:val="TableParagraph"/>
              <w:spacing w:before="17"/>
              <w:ind w:left="533"/>
              <w:jc w:val="left"/>
              <w:rPr>
                <w:sz w:val="19"/>
              </w:rPr>
            </w:pPr>
            <w:r>
              <w:rPr>
                <w:sz w:val="19"/>
              </w:rPr>
              <w:t>856</w:t>
            </w:r>
          </w:p>
        </w:tc>
        <w:tc>
          <w:tcPr>
            <w:tcW w:w="832" w:type="dxa"/>
            <w:tcBorders>
              <w:top w:val="nil"/>
              <w:left w:val="single" w:sz="5" w:space="0" w:color="000000"/>
              <w:bottom w:val="single" w:sz="5" w:space="0" w:color="000000"/>
              <w:right w:val="single" w:sz="5" w:space="0" w:color="000000"/>
            </w:tcBorders>
          </w:tcPr>
          <w:p>
            <w:pPr>
              <w:pStyle w:val="TableParagraph"/>
              <w:spacing w:before="17"/>
              <w:ind w:right="234"/>
              <w:rPr>
                <w:sz w:val="19"/>
              </w:rPr>
            </w:pPr>
            <w:r>
              <w:rPr>
                <w:sz w:val="19"/>
              </w:rPr>
              <w:t>15</w:t>
            </w:r>
          </w:p>
        </w:tc>
        <w:tc>
          <w:tcPr>
            <w:tcW w:w="1081" w:type="dxa"/>
            <w:tcBorders>
              <w:top w:val="nil"/>
              <w:left w:val="single" w:sz="5" w:space="0" w:color="000000"/>
              <w:bottom w:val="single" w:sz="5" w:space="0" w:color="000000"/>
              <w:right w:val="single" w:sz="5" w:space="0" w:color="000000"/>
            </w:tcBorders>
          </w:tcPr>
          <w:p>
            <w:pPr>
              <w:pStyle w:val="TableParagraph"/>
              <w:spacing w:before="17"/>
              <w:ind w:right="234"/>
              <w:rPr>
                <w:sz w:val="19"/>
              </w:rPr>
            </w:pPr>
            <w:r>
              <w:rPr>
                <w:sz w:val="19"/>
              </w:rPr>
              <w:t>871</w:t>
            </w:r>
          </w:p>
        </w:tc>
      </w:tr>
      <w:tr>
        <w:trPr>
          <w:trHeight w:val="260" w:hRule="exact"/>
        </w:trPr>
        <w:tc>
          <w:tcPr>
            <w:tcW w:w="3652" w:type="dxa"/>
            <w:gridSpan w:val="2"/>
            <w:tcBorders>
              <w:top w:val="single" w:sz="5" w:space="0" w:color="000000"/>
              <w:left w:val="single" w:sz="5" w:space="0" w:color="000000"/>
              <w:bottom w:val="single" w:sz="5" w:space="0" w:color="000000"/>
              <w:right w:val="single" w:sz="5" w:space="0" w:color="000000"/>
            </w:tcBorders>
            <w:shd w:val="clear" w:color="auto" w:fill="BEBEBE"/>
          </w:tcPr>
          <w:p>
            <w:pPr>
              <w:pStyle w:val="TableParagraph"/>
              <w:spacing w:before="26"/>
              <w:ind w:left="24"/>
              <w:jc w:val="left"/>
              <w:rPr>
                <w:b/>
                <w:sz w:val="19"/>
              </w:rPr>
            </w:pPr>
            <w:r>
              <w:rPr>
                <w:b/>
                <w:sz w:val="19"/>
              </w:rPr>
              <w:t>TOTALE CONTRIBUTI CONTO ORE</w:t>
            </w:r>
          </w:p>
        </w:tc>
        <w:tc>
          <w:tcPr>
            <w:tcW w:w="1080" w:type="dxa"/>
            <w:tcBorders>
              <w:top w:val="single" w:sz="5" w:space="0" w:color="000000"/>
              <w:left w:val="single" w:sz="5" w:space="0" w:color="000000"/>
              <w:bottom w:val="single" w:sz="5" w:space="0" w:color="000000"/>
              <w:right w:val="single" w:sz="5" w:space="0" w:color="000000"/>
            </w:tcBorders>
            <w:shd w:val="clear" w:color="auto" w:fill="BEBEBE"/>
          </w:tcPr>
          <w:p>
            <w:pPr>
              <w:pStyle w:val="TableParagraph"/>
              <w:spacing w:before="26"/>
              <w:ind w:left="434"/>
              <w:jc w:val="left"/>
              <w:rPr>
                <w:b/>
                <w:sz w:val="19"/>
              </w:rPr>
            </w:pPr>
            <w:r>
              <w:rPr>
                <w:b/>
                <w:sz w:val="19"/>
              </w:rPr>
              <w:t>1.210</w:t>
            </w:r>
          </w:p>
        </w:tc>
        <w:tc>
          <w:tcPr>
            <w:tcW w:w="832" w:type="dxa"/>
            <w:tcBorders>
              <w:top w:val="single" w:sz="5" w:space="0" w:color="000000"/>
              <w:left w:val="single" w:sz="5" w:space="0" w:color="000000"/>
              <w:bottom w:val="single" w:sz="5" w:space="0" w:color="000000"/>
              <w:right w:val="single" w:sz="5" w:space="0" w:color="000000"/>
            </w:tcBorders>
            <w:shd w:val="clear" w:color="auto" w:fill="BEBEBE"/>
          </w:tcPr>
          <w:p>
            <w:pPr>
              <w:pStyle w:val="TableParagraph"/>
              <w:spacing w:before="26"/>
              <w:ind w:right="234"/>
              <w:rPr>
                <w:b/>
                <w:sz w:val="19"/>
              </w:rPr>
            </w:pPr>
            <w:r>
              <w:rPr>
                <w:b/>
                <w:sz w:val="19"/>
              </w:rPr>
              <w:t>26</w:t>
            </w:r>
          </w:p>
        </w:tc>
        <w:tc>
          <w:tcPr>
            <w:tcW w:w="1081" w:type="dxa"/>
            <w:tcBorders>
              <w:top w:val="single" w:sz="5" w:space="0" w:color="000000"/>
              <w:left w:val="single" w:sz="5" w:space="0" w:color="000000"/>
              <w:bottom w:val="single" w:sz="5" w:space="0" w:color="000000"/>
              <w:right w:val="single" w:sz="5" w:space="0" w:color="000000"/>
            </w:tcBorders>
            <w:shd w:val="clear" w:color="auto" w:fill="BEBEBE"/>
          </w:tcPr>
          <w:p>
            <w:pPr>
              <w:pStyle w:val="TableParagraph"/>
              <w:spacing w:before="26"/>
              <w:ind w:right="240"/>
              <w:rPr>
                <w:b/>
                <w:sz w:val="19"/>
              </w:rPr>
            </w:pPr>
            <w:r>
              <w:rPr>
                <w:b/>
                <w:sz w:val="19"/>
              </w:rPr>
              <w:t>1.236</w:t>
            </w:r>
          </w:p>
        </w:tc>
      </w:tr>
    </w:tbl>
    <w:p>
      <w:pPr>
        <w:pStyle w:val="BodyText"/>
        <w:rPr>
          <w:rFonts w:ascii="Times New Roman"/>
          <w:sz w:val="20"/>
        </w:rPr>
      </w:pPr>
    </w:p>
    <w:p>
      <w:pPr>
        <w:pStyle w:val="BodyText"/>
        <w:spacing w:before="6"/>
        <w:rPr>
          <w:rFonts w:ascii="Times New Roman"/>
          <w:sz w:val="17"/>
        </w:rPr>
      </w:pPr>
    </w:p>
    <w:p>
      <w:pPr>
        <w:pStyle w:val="BodyText"/>
        <w:spacing w:line="480" w:lineRule="auto" w:before="100"/>
        <w:ind w:left="1418" w:right="1415"/>
        <w:jc w:val="both"/>
      </w:pPr>
      <w:r>
        <w:rPr/>
        <w:t>In riferimento ai debiti per Faschim, Fonchim, Fasi e Previndai, rispettivamente pari ad Euro 3.671, Euro 15.638, Euro 1.324, Euro 25.120, gli scriventi segnalano che hanno preso visione del tabulato dettagliato per singolo dipendente e/o dirigente.</w:t>
      </w:r>
    </w:p>
    <w:p>
      <w:pPr>
        <w:pStyle w:val="BodyText"/>
        <w:spacing w:line="480" w:lineRule="auto"/>
        <w:ind w:left="1418" w:right="1421"/>
        <w:jc w:val="both"/>
      </w:pPr>
      <w:r>
        <w:rPr/>
        <w:t>Il debito verso Faschim e Previndai si riferisce al periodo dall’1° luglio 2017 al 15 ottobre 2017, il debito Fonchim si riferisce al periodo agosto e settembre 2017 e il debito Fasi si riferisce solo alla prima metà di ottobre 2017.</w:t>
      </w:r>
    </w:p>
    <w:p>
      <w:pPr>
        <w:pStyle w:val="BodyText"/>
        <w:ind w:left="1418"/>
        <w:jc w:val="both"/>
      </w:pPr>
      <w:r>
        <w:rPr>
          <w:u w:val="single"/>
        </w:rPr>
        <w:t>Attività svolta</w:t>
      </w:r>
    </w:p>
    <w:p>
      <w:pPr>
        <w:pStyle w:val="BodyText"/>
        <w:spacing w:before="1"/>
        <w:rPr>
          <w:sz w:val="15"/>
        </w:rPr>
      </w:pPr>
    </w:p>
    <w:p>
      <w:pPr>
        <w:pStyle w:val="BodyText"/>
        <w:spacing w:line="480" w:lineRule="auto" w:before="100"/>
        <w:ind w:left="1418" w:right="1414"/>
        <w:jc w:val="both"/>
      </w:pPr>
      <w:r>
        <w:rPr/>
        <w:t>Per quanto riguarda il debito INPS e i contributi, gli scriventi hanno preso visione dei mastrini contabili, della comunicazione di avviso bonario da parte dell’INPS per contributi non pagati nell’anno 2014, dell’estratto dei ruoli e del certificato dei carichi pendenti.</w:t>
      </w:r>
    </w:p>
    <w:p>
      <w:pPr>
        <w:pStyle w:val="BodyText"/>
        <w:spacing w:line="480" w:lineRule="auto"/>
        <w:ind w:left="1418" w:right="1421"/>
        <w:jc w:val="both"/>
      </w:pPr>
      <w:r>
        <w:rPr/>
        <w:t>Per quanto riguarda il debito per Faschim, Fonchim, Fasi e Previndai, gli scriventi hanno preso visione dei prospetti riepilogativi forniti dalla società.</w:t>
      </w:r>
    </w:p>
    <w:p>
      <w:pPr>
        <w:pStyle w:val="BodyText"/>
        <w:ind w:left="1418"/>
        <w:jc w:val="both"/>
      </w:pPr>
      <w:r>
        <w:rPr>
          <w:u w:val="single"/>
        </w:rPr>
        <w:t>Valorizzazione concordataria</w:t>
      </w:r>
    </w:p>
    <w:p>
      <w:pPr>
        <w:pStyle w:val="BodyText"/>
        <w:spacing w:before="11"/>
        <w:rPr>
          <w:sz w:val="23"/>
        </w:rPr>
      </w:pPr>
    </w:p>
    <w:p>
      <w:pPr>
        <w:pStyle w:val="BodyText"/>
        <w:ind w:left="1418"/>
        <w:jc w:val="both"/>
      </w:pPr>
      <w:r>
        <w:rPr/>
        <w:t>Ai fini del piano concordatario il debito è stato classificato come segue:</w:t>
      </w:r>
    </w:p>
    <w:p>
      <w:pPr>
        <w:pStyle w:val="BodyText"/>
      </w:pPr>
    </w:p>
    <w:p>
      <w:pPr>
        <w:pStyle w:val="ListParagraph"/>
        <w:numPr>
          <w:ilvl w:val="0"/>
          <w:numId w:val="81"/>
        </w:numPr>
        <w:tabs>
          <w:tab w:pos="2126" w:val="left" w:leader="none"/>
          <w:tab w:pos="2127" w:val="left" w:leader="none"/>
        </w:tabs>
        <w:spacing w:line="240" w:lineRule="auto" w:before="0" w:after="0"/>
        <w:ind w:left="2126" w:right="0" w:hanging="348"/>
        <w:jc w:val="left"/>
        <w:rPr>
          <w:sz w:val="24"/>
        </w:rPr>
      </w:pPr>
      <w:r>
        <w:rPr>
          <w:sz w:val="24"/>
        </w:rPr>
        <w:t>Euro 20.254 in via privilegiata ex art. 2751 bis n.1</w:t>
      </w:r>
      <w:r>
        <w:rPr>
          <w:spacing w:val="-24"/>
          <w:sz w:val="24"/>
        </w:rPr>
        <w:t> </w:t>
      </w:r>
      <w:r>
        <w:rPr>
          <w:sz w:val="24"/>
        </w:rPr>
        <w:t>c.c.;</w:t>
      </w:r>
    </w:p>
    <w:p>
      <w:pPr>
        <w:pStyle w:val="BodyText"/>
        <w:spacing w:before="9"/>
        <w:rPr>
          <w:sz w:val="23"/>
        </w:rPr>
      </w:pPr>
    </w:p>
    <w:p>
      <w:pPr>
        <w:pStyle w:val="ListParagraph"/>
        <w:numPr>
          <w:ilvl w:val="0"/>
          <w:numId w:val="81"/>
        </w:numPr>
        <w:tabs>
          <w:tab w:pos="2126" w:val="left" w:leader="none"/>
          <w:tab w:pos="2127" w:val="left" w:leader="none"/>
        </w:tabs>
        <w:spacing w:line="240" w:lineRule="auto" w:before="0" w:after="0"/>
        <w:ind w:left="2126" w:right="0" w:hanging="348"/>
        <w:jc w:val="left"/>
        <w:rPr>
          <w:sz w:val="24"/>
        </w:rPr>
      </w:pPr>
      <w:r>
        <w:rPr>
          <w:sz w:val="24"/>
        </w:rPr>
        <w:t>Euro 6.867 in via privilegiata ex art. 2753 e art. 2778 n.1</w:t>
      </w:r>
      <w:r>
        <w:rPr>
          <w:spacing w:val="-23"/>
          <w:sz w:val="24"/>
        </w:rPr>
        <w:t> </w:t>
      </w:r>
      <w:r>
        <w:rPr>
          <w:sz w:val="24"/>
        </w:rPr>
        <w:t>c.c.;</w:t>
      </w:r>
    </w:p>
    <w:p>
      <w:pPr>
        <w:pStyle w:val="BodyText"/>
        <w:spacing w:before="9"/>
        <w:rPr>
          <w:sz w:val="23"/>
        </w:rPr>
      </w:pPr>
    </w:p>
    <w:p>
      <w:pPr>
        <w:pStyle w:val="ListParagraph"/>
        <w:numPr>
          <w:ilvl w:val="0"/>
          <w:numId w:val="81"/>
        </w:numPr>
        <w:tabs>
          <w:tab w:pos="2126" w:val="left" w:leader="none"/>
          <w:tab w:pos="2127" w:val="left" w:leader="none"/>
        </w:tabs>
        <w:spacing w:line="240" w:lineRule="auto" w:before="0" w:after="0"/>
        <w:ind w:left="2126" w:right="0" w:hanging="348"/>
        <w:jc w:val="left"/>
        <w:rPr>
          <w:sz w:val="24"/>
        </w:rPr>
      </w:pPr>
      <w:r>
        <w:rPr>
          <w:sz w:val="24"/>
        </w:rPr>
        <w:t>Euro 470.288 in via privilegiata ex art 2754 e art. 2778 n.8</w:t>
      </w:r>
      <w:r>
        <w:rPr>
          <w:spacing w:val="-24"/>
          <w:sz w:val="24"/>
        </w:rPr>
        <w:t> </w:t>
      </w:r>
      <w:r>
        <w:rPr>
          <w:sz w:val="24"/>
        </w:rPr>
        <w:t>c.c.</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spacing w:before="100"/>
      </w:pPr>
      <w:r>
        <w:rPr>
          <w:u w:val="single"/>
        </w:rPr>
        <w:t>ALTRI DEBITI</w:t>
      </w:r>
    </w:p>
    <w:p>
      <w:pPr>
        <w:pStyle w:val="BodyText"/>
        <w:spacing w:before="11"/>
        <w:rPr>
          <w:b/>
          <w:sz w:val="23"/>
        </w:rPr>
      </w:pPr>
    </w:p>
    <w:p>
      <w:pPr>
        <w:pStyle w:val="BodyText"/>
        <w:ind w:left="1418"/>
      </w:pPr>
      <w:r>
        <w:rPr/>
        <w:t>In questa voce contabile trovano allocazione i debiti versi i dipendenti e i debiti diversi.</w:t>
      </w:r>
    </w:p>
    <w:p>
      <w:pPr>
        <w:pStyle w:val="BodyText"/>
        <w:spacing w:before="11"/>
        <w:rPr>
          <w:sz w:val="23"/>
        </w:rPr>
      </w:pPr>
    </w:p>
    <w:p>
      <w:pPr>
        <w:pStyle w:val="Heading2"/>
      </w:pPr>
      <w:r>
        <w:rPr>
          <w:u w:val="single"/>
        </w:rPr>
        <w:t>ALTRI DEBITI - Debiti Diversi</w:t>
      </w:r>
    </w:p>
    <w:p>
      <w:pPr>
        <w:pStyle w:val="BodyText"/>
        <w:spacing w:before="11"/>
        <w:rPr>
          <w:b/>
          <w:sz w:val="23"/>
        </w:rPr>
      </w:pPr>
    </w:p>
    <w:p>
      <w:pPr>
        <w:pStyle w:val="BodyText"/>
        <w:spacing w:line="480" w:lineRule="auto"/>
        <w:ind w:left="1418" w:right="1518"/>
      </w:pPr>
      <w:r>
        <w:rPr/>
        <w:t>Nella situazione contabile al 15 ottobre 2017 risultano iscritti debiti verso altri per Euro 23.417.871, così composti:</w:t>
      </w:r>
    </w:p>
    <w:p>
      <w:pPr>
        <w:pStyle w:val="BodyText"/>
        <w:spacing w:before="6"/>
        <w:rPr>
          <w:sz w:val="16"/>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89"/>
        <w:gridCol w:w="3036"/>
        <w:gridCol w:w="1030"/>
        <w:gridCol w:w="1030"/>
        <w:gridCol w:w="1263"/>
        <w:gridCol w:w="913"/>
        <w:gridCol w:w="1092"/>
      </w:tblGrid>
      <w:tr>
        <w:trPr>
          <w:trHeight w:val="564" w:hRule="exact"/>
        </w:trPr>
        <w:tc>
          <w:tcPr>
            <w:tcW w:w="689" w:type="dxa"/>
            <w:shd w:val="clear" w:color="auto" w:fill="BEBEBE"/>
          </w:tcPr>
          <w:p>
            <w:pPr>
              <w:pStyle w:val="TableParagraph"/>
              <w:spacing w:before="8"/>
              <w:jc w:val="left"/>
              <w:rPr>
                <w:sz w:val="18"/>
              </w:rPr>
            </w:pPr>
          </w:p>
          <w:p>
            <w:pPr>
              <w:pStyle w:val="TableParagraph"/>
              <w:spacing w:before="0"/>
              <w:ind w:left="41" w:right="42"/>
              <w:jc w:val="center"/>
              <w:rPr>
                <w:b/>
                <w:sz w:val="14"/>
              </w:rPr>
            </w:pPr>
            <w:r>
              <w:rPr>
                <w:b/>
                <w:w w:val="105"/>
                <w:sz w:val="14"/>
              </w:rPr>
              <w:t>CONTO</w:t>
            </w:r>
          </w:p>
        </w:tc>
        <w:tc>
          <w:tcPr>
            <w:tcW w:w="3036" w:type="dxa"/>
            <w:shd w:val="clear" w:color="auto" w:fill="BEBEBE"/>
          </w:tcPr>
          <w:p>
            <w:pPr>
              <w:pStyle w:val="TableParagraph"/>
              <w:spacing w:before="8"/>
              <w:jc w:val="left"/>
              <w:rPr>
                <w:sz w:val="18"/>
              </w:rPr>
            </w:pPr>
          </w:p>
          <w:p>
            <w:pPr>
              <w:pStyle w:val="TableParagraph"/>
              <w:spacing w:before="0"/>
              <w:ind w:left="1003"/>
              <w:jc w:val="left"/>
              <w:rPr>
                <w:b/>
                <w:sz w:val="14"/>
              </w:rPr>
            </w:pPr>
            <w:r>
              <w:rPr>
                <w:b/>
                <w:w w:val="105"/>
                <w:sz w:val="14"/>
              </w:rPr>
              <w:t>DESCRIZIONE</w:t>
            </w:r>
          </w:p>
        </w:tc>
        <w:tc>
          <w:tcPr>
            <w:tcW w:w="1030" w:type="dxa"/>
            <w:shd w:val="clear" w:color="auto" w:fill="BEBEBE"/>
          </w:tcPr>
          <w:p>
            <w:pPr>
              <w:pStyle w:val="TableParagraph"/>
              <w:spacing w:line="285" w:lineRule="auto" w:before="22"/>
              <w:ind w:left="197" w:firstLine="53"/>
              <w:jc w:val="left"/>
              <w:rPr>
                <w:b/>
                <w:sz w:val="14"/>
              </w:rPr>
            </w:pPr>
            <w:r>
              <w:rPr>
                <w:b/>
                <w:w w:val="105"/>
                <w:sz w:val="14"/>
              </w:rPr>
              <w:t>Valori di bilancio al 15.10.2017</w:t>
            </w:r>
          </w:p>
        </w:tc>
        <w:tc>
          <w:tcPr>
            <w:tcW w:w="1030" w:type="dxa"/>
            <w:shd w:val="clear" w:color="auto" w:fill="BEBEBE"/>
          </w:tcPr>
          <w:p>
            <w:pPr>
              <w:pStyle w:val="TableParagraph"/>
              <w:spacing w:line="285" w:lineRule="auto" w:before="112"/>
              <w:ind w:left="80" w:firstLine="134"/>
              <w:jc w:val="left"/>
              <w:rPr>
                <w:b/>
                <w:sz w:val="14"/>
              </w:rPr>
            </w:pPr>
            <w:r>
              <w:rPr>
                <w:b/>
                <w:w w:val="105"/>
                <w:sz w:val="14"/>
              </w:rPr>
              <w:t>Rettifiche </w:t>
            </w:r>
            <w:r>
              <w:rPr>
                <w:b/>
                <w:sz w:val="14"/>
              </w:rPr>
              <w:t>concordatarie</w:t>
            </w:r>
          </w:p>
        </w:tc>
        <w:tc>
          <w:tcPr>
            <w:tcW w:w="1263" w:type="dxa"/>
            <w:shd w:val="clear" w:color="auto" w:fill="BEBEBE"/>
          </w:tcPr>
          <w:p>
            <w:pPr>
              <w:pStyle w:val="TableParagraph"/>
              <w:spacing w:line="285" w:lineRule="auto" w:before="112"/>
              <w:ind w:left="206" w:hanging="27"/>
              <w:jc w:val="left"/>
              <w:rPr>
                <w:b/>
                <w:sz w:val="14"/>
              </w:rPr>
            </w:pPr>
            <w:r>
              <w:rPr>
                <w:b/>
                <w:w w:val="105"/>
                <w:sz w:val="14"/>
              </w:rPr>
              <w:t>Valori di piano concordatario</w:t>
            </w:r>
          </w:p>
        </w:tc>
        <w:tc>
          <w:tcPr>
            <w:tcW w:w="913" w:type="dxa"/>
            <w:shd w:val="clear" w:color="auto" w:fill="BEBEBE"/>
          </w:tcPr>
          <w:p>
            <w:pPr>
              <w:pStyle w:val="TableParagraph"/>
              <w:spacing w:before="8"/>
              <w:jc w:val="left"/>
              <w:rPr>
                <w:sz w:val="18"/>
              </w:rPr>
            </w:pPr>
          </w:p>
          <w:p>
            <w:pPr>
              <w:pStyle w:val="TableParagraph"/>
              <w:spacing w:before="0"/>
              <w:ind w:left="161"/>
              <w:jc w:val="left"/>
              <w:rPr>
                <w:b/>
                <w:sz w:val="14"/>
              </w:rPr>
            </w:pPr>
            <w:r>
              <w:rPr>
                <w:b/>
                <w:w w:val="105"/>
                <w:sz w:val="14"/>
              </w:rPr>
              <w:t>Privilegio</w:t>
            </w:r>
          </w:p>
        </w:tc>
        <w:tc>
          <w:tcPr>
            <w:tcW w:w="1092" w:type="dxa"/>
            <w:shd w:val="clear" w:color="auto" w:fill="BEBEBE"/>
          </w:tcPr>
          <w:p>
            <w:pPr>
              <w:pStyle w:val="TableParagraph"/>
              <w:spacing w:before="8"/>
              <w:jc w:val="left"/>
              <w:rPr>
                <w:sz w:val="18"/>
              </w:rPr>
            </w:pPr>
          </w:p>
          <w:p>
            <w:pPr>
              <w:pStyle w:val="TableParagraph"/>
              <w:spacing w:before="0"/>
              <w:ind w:left="134"/>
              <w:jc w:val="left"/>
              <w:rPr>
                <w:b/>
                <w:sz w:val="14"/>
              </w:rPr>
            </w:pPr>
            <w:r>
              <w:rPr>
                <w:b/>
                <w:w w:val="105"/>
                <w:sz w:val="14"/>
              </w:rPr>
              <w:t>Chirografario</w:t>
            </w:r>
          </w:p>
        </w:tc>
      </w:tr>
      <w:tr>
        <w:trPr>
          <w:trHeight w:val="199" w:hRule="exact"/>
        </w:trPr>
        <w:tc>
          <w:tcPr>
            <w:tcW w:w="689" w:type="dxa"/>
            <w:tcBorders>
              <w:bottom w:val="nil"/>
            </w:tcBorders>
          </w:tcPr>
          <w:p>
            <w:pPr>
              <w:pStyle w:val="TableParagraph"/>
              <w:spacing w:before="23"/>
              <w:ind w:left="41" w:right="41"/>
              <w:jc w:val="center"/>
              <w:rPr>
                <w:sz w:val="14"/>
              </w:rPr>
            </w:pPr>
            <w:r>
              <w:rPr>
                <w:w w:val="105"/>
                <w:sz w:val="14"/>
              </w:rPr>
              <w:t>2330012</w:t>
            </w:r>
          </w:p>
        </w:tc>
        <w:tc>
          <w:tcPr>
            <w:tcW w:w="3036" w:type="dxa"/>
            <w:tcBorders>
              <w:bottom w:val="nil"/>
            </w:tcBorders>
          </w:tcPr>
          <w:p>
            <w:pPr>
              <w:pStyle w:val="TableParagraph"/>
              <w:spacing w:before="23"/>
              <w:ind w:left="17"/>
              <w:jc w:val="left"/>
              <w:rPr>
                <w:sz w:val="14"/>
              </w:rPr>
            </w:pPr>
            <w:r>
              <w:rPr>
                <w:w w:val="105"/>
                <w:sz w:val="14"/>
              </w:rPr>
              <w:t>Debiti diversi verso terzi</w:t>
            </w:r>
          </w:p>
        </w:tc>
        <w:tc>
          <w:tcPr>
            <w:tcW w:w="1030" w:type="dxa"/>
            <w:tcBorders>
              <w:bottom w:val="nil"/>
            </w:tcBorders>
          </w:tcPr>
          <w:p>
            <w:pPr>
              <w:pStyle w:val="TableParagraph"/>
              <w:spacing w:before="23"/>
              <w:ind w:right="20"/>
              <w:rPr>
                <w:sz w:val="14"/>
              </w:rPr>
            </w:pPr>
            <w:r>
              <w:rPr>
                <w:sz w:val="14"/>
              </w:rPr>
              <w:t>(37.322)</w:t>
            </w:r>
          </w:p>
        </w:tc>
        <w:tc>
          <w:tcPr>
            <w:tcW w:w="1030" w:type="dxa"/>
            <w:tcBorders>
              <w:bottom w:val="nil"/>
            </w:tcBorders>
          </w:tcPr>
          <w:p>
            <w:pPr/>
          </w:p>
        </w:tc>
        <w:tc>
          <w:tcPr>
            <w:tcW w:w="1263" w:type="dxa"/>
            <w:tcBorders>
              <w:bottom w:val="nil"/>
            </w:tcBorders>
          </w:tcPr>
          <w:p>
            <w:pPr>
              <w:pStyle w:val="TableParagraph"/>
              <w:spacing w:before="23"/>
              <w:ind w:right="20"/>
              <w:rPr>
                <w:sz w:val="14"/>
              </w:rPr>
            </w:pPr>
            <w:r>
              <w:rPr>
                <w:sz w:val="14"/>
              </w:rPr>
              <w:t>(37.322)</w:t>
            </w:r>
          </w:p>
        </w:tc>
        <w:tc>
          <w:tcPr>
            <w:tcW w:w="913" w:type="dxa"/>
            <w:tcBorders>
              <w:bottom w:val="nil"/>
            </w:tcBorders>
          </w:tcPr>
          <w:p>
            <w:pPr>
              <w:pStyle w:val="TableParagraph"/>
              <w:spacing w:before="23"/>
              <w:ind w:right="20"/>
              <w:rPr>
                <w:sz w:val="14"/>
              </w:rPr>
            </w:pPr>
            <w:r>
              <w:rPr>
                <w:sz w:val="14"/>
              </w:rPr>
              <w:t>(2.172)</w:t>
            </w:r>
          </w:p>
        </w:tc>
        <w:tc>
          <w:tcPr>
            <w:tcW w:w="1092" w:type="dxa"/>
            <w:tcBorders>
              <w:bottom w:val="nil"/>
            </w:tcBorders>
          </w:tcPr>
          <w:p>
            <w:pPr>
              <w:pStyle w:val="TableParagraph"/>
              <w:spacing w:before="23"/>
              <w:ind w:right="20"/>
              <w:rPr>
                <w:sz w:val="14"/>
              </w:rPr>
            </w:pPr>
            <w:r>
              <w:rPr>
                <w:sz w:val="14"/>
              </w:rPr>
              <w:t>(35.150)</w:t>
            </w: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2330800</w:t>
            </w:r>
          </w:p>
        </w:tc>
        <w:tc>
          <w:tcPr>
            <w:tcW w:w="3036" w:type="dxa"/>
            <w:tcBorders>
              <w:top w:val="nil"/>
              <w:bottom w:val="nil"/>
            </w:tcBorders>
          </w:tcPr>
          <w:p>
            <w:pPr>
              <w:pStyle w:val="TableParagraph"/>
              <w:spacing w:before="16"/>
              <w:ind w:left="17"/>
              <w:jc w:val="left"/>
              <w:rPr>
                <w:sz w:val="14"/>
              </w:rPr>
            </w:pPr>
            <w:r>
              <w:rPr>
                <w:w w:val="105"/>
                <w:sz w:val="14"/>
              </w:rPr>
              <w:t>Debiti verso Amministratori</w:t>
            </w:r>
          </w:p>
        </w:tc>
        <w:tc>
          <w:tcPr>
            <w:tcW w:w="1030" w:type="dxa"/>
            <w:tcBorders>
              <w:top w:val="nil"/>
              <w:bottom w:val="nil"/>
            </w:tcBorders>
          </w:tcPr>
          <w:p>
            <w:pPr>
              <w:pStyle w:val="TableParagraph"/>
              <w:spacing w:before="16"/>
              <w:ind w:right="20"/>
              <w:rPr>
                <w:sz w:val="14"/>
              </w:rPr>
            </w:pPr>
            <w:r>
              <w:rPr>
                <w:sz w:val="14"/>
              </w:rPr>
              <w:t>(340.066)</w:t>
            </w:r>
          </w:p>
        </w:tc>
        <w:tc>
          <w:tcPr>
            <w:tcW w:w="1030" w:type="dxa"/>
            <w:tcBorders>
              <w:top w:val="nil"/>
              <w:bottom w:val="nil"/>
            </w:tcBorders>
          </w:tcPr>
          <w:p>
            <w:pPr>
              <w:pStyle w:val="TableParagraph"/>
              <w:spacing w:before="16"/>
              <w:ind w:right="65"/>
              <w:rPr>
                <w:sz w:val="14"/>
              </w:rPr>
            </w:pPr>
            <w:r>
              <w:rPr>
                <w:sz w:val="14"/>
              </w:rPr>
              <w:t>340.066</w:t>
            </w:r>
          </w:p>
        </w:tc>
        <w:tc>
          <w:tcPr>
            <w:tcW w:w="1263" w:type="dxa"/>
            <w:tcBorders>
              <w:top w:val="nil"/>
              <w:bottom w:val="nil"/>
            </w:tcBorders>
          </w:tcPr>
          <w:p>
            <w:pPr/>
          </w:p>
        </w:tc>
        <w:tc>
          <w:tcPr>
            <w:tcW w:w="913" w:type="dxa"/>
            <w:tcBorders>
              <w:top w:val="nil"/>
              <w:bottom w:val="nil"/>
            </w:tcBorders>
          </w:tcPr>
          <w:p>
            <w:pPr/>
          </w:p>
        </w:tc>
        <w:tc>
          <w:tcPr>
            <w:tcW w:w="1092" w:type="dxa"/>
            <w:tcBorders>
              <w:top w:val="nil"/>
              <w:bottom w:val="nil"/>
            </w:tcBorders>
          </w:tcPr>
          <w:p>
            <w:pP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2320080</w:t>
            </w:r>
          </w:p>
        </w:tc>
        <w:tc>
          <w:tcPr>
            <w:tcW w:w="3036" w:type="dxa"/>
            <w:tcBorders>
              <w:top w:val="nil"/>
              <w:bottom w:val="nil"/>
            </w:tcBorders>
          </w:tcPr>
          <w:p>
            <w:pPr>
              <w:pStyle w:val="TableParagraph"/>
              <w:spacing w:before="16"/>
              <w:ind w:left="17"/>
              <w:jc w:val="left"/>
              <w:rPr>
                <w:sz w:val="14"/>
              </w:rPr>
            </w:pPr>
            <w:r>
              <w:rPr>
                <w:w w:val="105"/>
                <w:sz w:val="14"/>
              </w:rPr>
              <w:t>Billed in Excess of Earned 3P</w:t>
            </w:r>
          </w:p>
        </w:tc>
        <w:tc>
          <w:tcPr>
            <w:tcW w:w="1030" w:type="dxa"/>
            <w:tcBorders>
              <w:top w:val="nil"/>
              <w:bottom w:val="nil"/>
            </w:tcBorders>
          </w:tcPr>
          <w:p>
            <w:pPr>
              <w:pStyle w:val="TableParagraph"/>
              <w:spacing w:before="16"/>
              <w:ind w:right="21"/>
              <w:rPr>
                <w:sz w:val="14"/>
              </w:rPr>
            </w:pPr>
            <w:r>
              <w:rPr>
                <w:sz w:val="14"/>
              </w:rPr>
              <w:t>(13.369.732)</w:t>
            </w:r>
          </w:p>
        </w:tc>
        <w:tc>
          <w:tcPr>
            <w:tcW w:w="1030" w:type="dxa"/>
            <w:tcBorders>
              <w:top w:val="nil"/>
              <w:bottom w:val="nil"/>
            </w:tcBorders>
          </w:tcPr>
          <w:p>
            <w:pPr>
              <w:pStyle w:val="TableParagraph"/>
              <w:spacing w:before="16"/>
              <w:ind w:right="66"/>
              <w:rPr>
                <w:sz w:val="14"/>
              </w:rPr>
            </w:pPr>
            <w:r>
              <w:rPr>
                <w:sz w:val="14"/>
              </w:rPr>
              <w:t>11.685.089</w:t>
            </w:r>
          </w:p>
        </w:tc>
        <w:tc>
          <w:tcPr>
            <w:tcW w:w="1263" w:type="dxa"/>
            <w:tcBorders>
              <w:top w:val="nil"/>
              <w:bottom w:val="nil"/>
            </w:tcBorders>
          </w:tcPr>
          <w:p>
            <w:pPr>
              <w:pStyle w:val="TableParagraph"/>
              <w:spacing w:before="16"/>
              <w:ind w:right="20"/>
              <w:rPr>
                <w:sz w:val="14"/>
              </w:rPr>
            </w:pPr>
            <w:r>
              <w:rPr>
                <w:sz w:val="14"/>
              </w:rPr>
              <w:t>(1.684.643)</w:t>
            </w:r>
          </w:p>
        </w:tc>
        <w:tc>
          <w:tcPr>
            <w:tcW w:w="913" w:type="dxa"/>
            <w:tcBorders>
              <w:top w:val="nil"/>
              <w:bottom w:val="nil"/>
            </w:tcBorders>
          </w:tcPr>
          <w:p>
            <w:pPr/>
          </w:p>
        </w:tc>
        <w:tc>
          <w:tcPr>
            <w:tcW w:w="1092" w:type="dxa"/>
            <w:tcBorders>
              <w:top w:val="nil"/>
              <w:bottom w:val="nil"/>
            </w:tcBorders>
          </w:tcPr>
          <w:p>
            <w:pPr>
              <w:pStyle w:val="TableParagraph"/>
              <w:spacing w:before="16"/>
              <w:ind w:right="20"/>
              <w:rPr>
                <w:sz w:val="14"/>
              </w:rPr>
            </w:pPr>
            <w:r>
              <w:rPr>
                <w:sz w:val="14"/>
              </w:rPr>
              <w:t>(1.684.643)</w:t>
            </w:r>
          </w:p>
        </w:tc>
      </w:tr>
      <w:tr>
        <w:trPr>
          <w:trHeight w:val="177" w:hRule="exact"/>
        </w:trPr>
        <w:tc>
          <w:tcPr>
            <w:tcW w:w="689" w:type="dxa"/>
            <w:tcBorders>
              <w:top w:val="nil"/>
            </w:tcBorders>
          </w:tcPr>
          <w:p>
            <w:pPr>
              <w:pStyle w:val="TableParagraph"/>
              <w:spacing w:before="16"/>
              <w:ind w:left="41" w:right="41"/>
              <w:jc w:val="center"/>
              <w:rPr>
                <w:sz w:val="14"/>
              </w:rPr>
            </w:pPr>
            <w:r>
              <w:rPr>
                <w:w w:val="105"/>
                <w:sz w:val="14"/>
              </w:rPr>
              <w:t>2331730</w:t>
            </w:r>
          </w:p>
        </w:tc>
        <w:tc>
          <w:tcPr>
            <w:tcW w:w="3036" w:type="dxa"/>
            <w:tcBorders>
              <w:top w:val="nil"/>
            </w:tcBorders>
          </w:tcPr>
          <w:p>
            <w:pPr>
              <w:pStyle w:val="TableParagraph"/>
              <w:spacing w:before="16"/>
              <w:ind w:left="17"/>
              <w:jc w:val="left"/>
              <w:rPr>
                <w:sz w:val="14"/>
              </w:rPr>
            </w:pPr>
            <w:r>
              <w:rPr>
                <w:w w:val="105"/>
                <w:sz w:val="14"/>
              </w:rPr>
              <w:t>Debito Contributi Conto Esercizio</w:t>
            </w:r>
          </w:p>
        </w:tc>
        <w:tc>
          <w:tcPr>
            <w:tcW w:w="1030" w:type="dxa"/>
            <w:tcBorders>
              <w:top w:val="nil"/>
            </w:tcBorders>
          </w:tcPr>
          <w:p>
            <w:pPr>
              <w:pStyle w:val="TableParagraph"/>
              <w:spacing w:before="16"/>
              <w:ind w:right="20"/>
              <w:rPr>
                <w:sz w:val="14"/>
              </w:rPr>
            </w:pPr>
            <w:r>
              <w:rPr>
                <w:sz w:val="14"/>
              </w:rPr>
              <w:t>(9.670.751)</w:t>
            </w:r>
          </w:p>
        </w:tc>
        <w:tc>
          <w:tcPr>
            <w:tcW w:w="1030" w:type="dxa"/>
            <w:tcBorders>
              <w:top w:val="nil"/>
            </w:tcBorders>
          </w:tcPr>
          <w:p>
            <w:pPr>
              <w:pStyle w:val="TableParagraph"/>
              <w:spacing w:before="16"/>
              <w:ind w:right="66"/>
              <w:rPr>
                <w:sz w:val="14"/>
              </w:rPr>
            </w:pPr>
            <w:r>
              <w:rPr>
                <w:sz w:val="14"/>
              </w:rPr>
              <w:t>9.483.744</w:t>
            </w:r>
          </w:p>
        </w:tc>
        <w:tc>
          <w:tcPr>
            <w:tcW w:w="1263" w:type="dxa"/>
            <w:tcBorders>
              <w:top w:val="nil"/>
            </w:tcBorders>
          </w:tcPr>
          <w:p>
            <w:pPr>
              <w:pStyle w:val="TableParagraph"/>
              <w:spacing w:before="16"/>
              <w:ind w:right="20"/>
              <w:rPr>
                <w:sz w:val="14"/>
              </w:rPr>
            </w:pPr>
            <w:r>
              <w:rPr>
                <w:sz w:val="14"/>
              </w:rPr>
              <w:t>(187.007)</w:t>
            </w:r>
          </w:p>
        </w:tc>
        <w:tc>
          <w:tcPr>
            <w:tcW w:w="913" w:type="dxa"/>
            <w:tcBorders>
              <w:top w:val="nil"/>
            </w:tcBorders>
          </w:tcPr>
          <w:p>
            <w:pPr>
              <w:pStyle w:val="TableParagraph"/>
              <w:spacing w:before="16"/>
              <w:ind w:right="20"/>
              <w:rPr>
                <w:sz w:val="14"/>
              </w:rPr>
            </w:pPr>
            <w:r>
              <w:rPr>
                <w:sz w:val="14"/>
              </w:rPr>
              <w:t>(187.007)</w:t>
            </w:r>
          </w:p>
        </w:tc>
        <w:tc>
          <w:tcPr>
            <w:tcW w:w="1092" w:type="dxa"/>
            <w:tcBorders>
              <w:top w:val="nil"/>
            </w:tcBorders>
          </w:tcPr>
          <w:p>
            <w:pPr>
              <w:pStyle w:val="TableParagraph"/>
              <w:spacing w:before="16"/>
              <w:ind w:right="60"/>
              <w:rPr>
                <w:sz w:val="14"/>
              </w:rPr>
            </w:pPr>
            <w:r>
              <w:rPr>
                <w:w w:val="102"/>
                <w:sz w:val="14"/>
              </w:rPr>
              <w:t>-</w:t>
            </w:r>
          </w:p>
        </w:tc>
      </w:tr>
      <w:tr>
        <w:trPr>
          <w:trHeight w:val="188" w:hRule="exact"/>
        </w:trPr>
        <w:tc>
          <w:tcPr>
            <w:tcW w:w="3725" w:type="dxa"/>
            <w:gridSpan w:val="2"/>
            <w:tcBorders>
              <w:bottom w:val="single" w:sz="4" w:space="0" w:color="000000"/>
            </w:tcBorders>
            <w:shd w:val="clear" w:color="auto" w:fill="BEBEBE"/>
          </w:tcPr>
          <w:p>
            <w:pPr>
              <w:pStyle w:val="TableParagraph"/>
              <w:spacing w:before="14"/>
              <w:ind w:left="17"/>
              <w:jc w:val="left"/>
              <w:rPr>
                <w:b/>
                <w:sz w:val="14"/>
              </w:rPr>
            </w:pPr>
            <w:r>
              <w:rPr>
                <w:b/>
                <w:w w:val="105"/>
                <w:sz w:val="14"/>
              </w:rPr>
              <w:t>TOTALE DEBITI VERSO ALTRI</w:t>
            </w:r>
          </w:p>
        </w:tc>
        <w:tc>
          <w:tcPr>
            <w:tcW w:w="1030" w:type="dxa"/>
            <w:tcBorders>
              <w:bottom w:val="single" w:sz="4" w:space="0" w:color="000000"/>
            </w:tcBorders>
            <w:shd w:val="clear" w:color="auto" w:fill="BEBEBE"/>
          </w:tcPr>
          <w:p>
            <w:pPr>
              <w:pStyle w:val="TableParagraph"/>
              <w:spacing w:before="23"/>
              <w:ind w:right="20"/>
              <w:rPr>
                <w:b/>
                <w:sz w:val="14"/>
              </w:rPr>
            </w:pPr>
            <w:r>
              <w:rPr>
                <w:b/>
                <w:sz w:val="14"/>
              </w:rPr>
              <w:t>(23.417.871)</w:t>
            </w:r>
          </w:p>
        </w:tc>
        <w:tc>
          <w:tcPr>
            <w:tcW w:w="1030" w:type="dxa"/>
            <w:tcBorders>
              <w:bottom w:val="single" w:sz="4" w:space="0" w:color="000000"/>
            </w:tcBorders>
            <w:shd w:val="clear" w:color="auto" w:fill="BEBEBE"/>
          </w:tcPr>
          <w:p>
            <w:pPr>
              <w:pStyle w:val="TableParagraph"/>
              <w:spacing w:before="23"/>
              <w:ind w:right="75"/>
              <w:rPr>
                <w:b/>
                <w:sz w:val="14"/>
              </w:rPr>
            </w:pPr>
            <w:r>
              <w:rPr>
                <w:b/>
                <w:w w:val="105"/>
                <w:sz w:val="14"/>
              </w:rPr>
              <w:t>21.508.899</w:t>
            </w:r>
          </w:p>
        </w:tc>
        <w:tc>
          <w:tcPr>
            <w:tcW w:w="1263" w:type="dxa"/>
            <w:tcBorders>
              <w:bottom w:val="single" w:sz="4" w:space="0" w:color="000000"/>
            </w:tcBorders>
            <w:shd w:val="clear" w:color="auto" w:fill="BEBEBE"/>
          </w:tcPr>
          <w:p>
            <w:pPr>
              <w:pStyle w:val="TableParagraph"/>
              <w:spacing w:before="23"/>
              <w:ind w:right="20"/>
              <w:rPr>
                <w:b/>
                <w:sz w:val="14"/>
              </w:rPr>
            </w:pPr>
            <w:r>
              <w:rPr>
                <w:b/>
                <w:w w:val="105"/>
                <w:sz w:val="14"/>
              </w:rPr>
              <w:t>(1.908.972)</w:t>
            </w:r>
          </w:p>
        </w:tc>
        <w:tc>
          <w:tcPr>
            <w:tcW w:w="913" w:type="dxa"/>
            <w:tcBorders>
              <w:bottom w:val="single" w:sz="4" w:space="0" w:color="000000"/>
            </w:tcBorders>
            <w:shd w:val="clear" w:color="auto" w:fill="BEBEBE"/>
          </w:tcPr>
          <w:p>
            <w:pPr>
              <w:pStyle w:val="TableParagraph"/>
              <w:spacing w:before="23"/>
              <w:ind w:right="20"/>
              <w:rPr>
                <w:b/>
                <w:sz w:val="14"/>
              </w:rPr>
            </w:pPr>
            <w:r>
              <w:rPr>
                <w:b/>
                <w:sz w:val="14"/>
              </w:rPr>
              <w:t>(189.179)</w:t>
            </w:r>
          </w:p>
        </w:tc>
        <w:tc>
          <w:tcPr>
            <w:tcW w:w="1092" w:type="dxa"/>
            <w:tcBorders>
              <w:bottom w:val="single" w:sz="4" w:space="0" w:color="000000"/>
            </w:tcBorders>
            <w:shd w:val="clear" w:color="auto" w:fill="BEBEBE"/>
          </w:tcPr>
          <w:p>
            <w:pPr>
              <w:pStyle w:val="TableParagraph"/>
              <w:spacing w:before="23"/>
              <w:ind w:right="20"/>
              <w:rPr>
                <w:b/>
                <w:sz w:val="14"/>
              </w:rPr>
            </w:pPr>
            <w:r>
              <w:rPr>
                <w:b/>
                <w:sz w:val="14"/>
              </w:rPr>
              <w:t>(1.719.793)</w:t>
            </w:r>
          </w:p>
        </w:tc>
      </w:tr>
    </w:tbl>
    <w:p>
      <w:pPr>
        <w:pStyle w:val="BodyText"/>
        <w:rPr>
          <w:sz w:val="20"/>
        </w:rPr>
      </w:pPr>
    </w:p>
    <w:p>
      <w:pPr>
        <w:pStyle w:val="Heading2"/>
        <w:numPr>
          <w:ilvl w:val="0"/>
          <w:numId w:val="82"/>
        </w:numPr>
        <w:tabs>
          <w:tab w:pos="2126" w:val="left" w:leader="none"/>
          <w:tab w:pos="2127" w:val="left" w:leader="none"/>
        </w:tabs>
        <w:spacing w:line="240" w:lineRule="auto" w:before="234" w:after="0"/>
        <w:ind w:left="2126" w:right="0" w:hanging="348"/>
        <w:jc w:val="left"/>
      </w:pPr>
      <w:r>
        <w:rPr/>
        <w:t>Debiti diversi verso</w:t>
      </w:r>
      <w:r>
        <w:rPr>
          <w:spacing w:val="-13"/>
        </w:rPr>
        <w:t> </w:t>
      </w:r>
      <w:r>
        <w:rPr/>
        <w:t>terzi</w:t>
      </w:r>
    </w:p>
    <w:p>
      <w:pPr>
        <w:pStyle w:val="BodyText"/>
        <w:spacing w:before="269"/>
        <w:ind w:left="1418"/>
      </w:pPr>
      <w:r>
        <w:rPr/>
        <w:t>In riferimento ai debiti diversi verso terzi, si segnala che la voce è così composta:</w:t>
      </w:r>
    </w:p>
    <w:p>
      <w:pPr>
        <w:pStyle w:val="BodyText"/>
        <w:spacing w:before="11"/>
        <w:rPr>
          <w:sz w:val="23"/>
        </w:rPr>
      </w:pPr>
    </w:p>
    <w:p>
      <w:pPr>
        <w:pStyle w:val="ListParagraph"/>
        <w:numPr>
          <w:ilvl w:val="0"/>
          <w:numId w:val="81"/>
        </w:numPr>
        <w:tabs>
          <w:tab w:pos="2127" w:val="left" w:leader="none"/>
        </w:tabs>
        <w:spacing w:line="460" w:lineRule="auto" w:before="0" w:after="0"/>
        <w:ind w:left="2138" w:right="1411" w:hanging="360"/>
        <w:jc w:val="both"/>
        <w:rPr>
          <w:sz w:val="24"/>
        </w:rPr>
      </w:pPr>
      <w:r>
        <w:rPr>
          <w:sz w:val="24"/>
        </w:rPr>
        <w:t>Euro 150 stanziati a titolo di indennizzo per posa impianti pubblicitari, per l’anno 2017, utilizzati nella città di</w:t>
      </w:r>
      <w:r>
        <w:rPr>
          <w:spacing w:val="-13"/>
          <w:sz w:val="24"/>
        </w:rPr>
        <w:t> </w:t>
      </w:r>
      <w:r>
        <w:rPr>
          <w:sz w:val="24"/>
        </w:rPr>
        <w:t>Tortona;</w:t>
      </w:r>
    </w:p>
    <w:p>
      <w:pPr>
        <w:pStyle w:val="ListParagraph"/>
        <w:numPr>
          <w:ilvl w:val="0"/>
          <w:numId w:val="81"/>
        </w:numPr>
        <w:tabs>
          <w:tab w:pos="2127" w:val="left" w:leader="none"/>
        </w:tabs>
        <w:spacing w:line="470" w:lineRule="auto" w:before="21" w:after="0"/>
        <w:ind w:left="2138" w:right="1419" w:hanging="360"/>
        <w:jc w:val="both"/>
        <w:rPr>
          <w:sz w:val="24"/>
        </w:rPr>
      </w:pPr>
      <w:r>
        <w:rPr>
          <w:sz w:val="24"/>
        </w:rPr>
        <w:t>Euro 2.172 a titolo di ritenute sul lavoro autonomo, relative al periodo d’imposta 2015, iscritte in bilancio a seguito della notifica dell’avviso bonario inviato dall’Agenzia delle Entrate in data 14 marzo 2018 (Prot.</w:t>
      </w:r>
      <w:r>
        <w:rPr>
          <w:spacing w:val="-12"/>
          <w:sz w:val="24"/>
        </w:rPr>
        <w:t> </w:t>
      </w:r>
      <w:r>
        <w:rPr>
          <w:sz w:val="24"/>
        </w:rPr>
        <w:t>2018/25395);</w:t>
      </w:r>
    </w:p>
    <w:p>
      <w:pPr>
        <w:pStyle w:val="ListParagraph"/>
        <w:numPr>
          <w:ilvl w:val="0"/>
          <w:numId w:val="81"/>
        </w:numPr>
        <w:tabs>
          <w:tab w:pos="2127" w:val="left" w:leader="none"/>
        </w:tabs>
        <w:spacing w:line="475" w:lineRule="auto" w:before="10" w:after="0"/>
        <w:ind w:left="2138" w:right="1413" w:hanging="360"/>
        <w:jc w:val="both"/>
        <w:rPr>
          <w:sz w:val="24"/>
        </w:rPr>
      </w:pPr>
      <w:r>
        <w:rPr>
          <w:sz w:val="24"/>
        </w:rPr>
        <w:t>Euro 20.000 a titolo di debito residuo verso la città di Tortona in riferimento alla convenzione stipulata il 23 dicembre 2015 tra il Comune di Tortona, la Fondazione Cassa di risparmio comune di Tortona, Biochemtex e Itinera S.p.A., volta a regolamentare le modalità di utilizzo da parte del comune di Tortona delle risorse ricevute dalla società al fine di ristrutturare e ampliare la caserma dei</w:t>
      </w:r>
      <w:r>
        <w:rPr>
          <w:spacing w:val="-26"/>
          <w:sz w:val="24"/>
        </w:rPr>
        <w:t> </w:t>
      </w:r>
      <w:r>
        <w:rPr>
          <w:sz w:val="24"/>
        </w:rPr>
        <w:t>Carabinieri.</w:t>
      </w:r>
    </w:p>
    <w:p>
      <w:pPr>
        <w:spacing w:line="480" w:lineRule="auto" w:before="5"/>
        <w:ind w:left="2138" w:right="1413" w:firstLine="0"/>
        <w:jc w:val="left"/>
        <w:rPr>
          <w:i/>
          <w:sz w:val="24"/>
        </w:rPr>
      </w:pPr>
      <w:r>
        <w:rPr>
          <w:sz w:val="24"/>
        </w:rPr>
        <w:t>Gli scriventi segnalano che nel verbale del consiglio di amministrazione del 30 marzo del 2016 il Presidente informa “</w:t>
      </w:r>
      <w:r>
        <w:rPr>
          <w:i/>
          <w:sz w:val="24"/>
        </w:rPr>
        <w:t>che nello spirito di attenzione verso le istituzioni, la Biochemtex  S.p.A.</w:t>
      </w:r>
    </w:p>
    <w:p>
      <w:pPr>
        <w:spacing w:after="0" w:line="480" w:lineRule="auto"/>
        <w:jc w:val="left"/>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2138" w:right="1411" w:firstLine="0"/>
        <w:jc w:val="both"/>
        <w:rPr>
          <w:i/>
          <w:sz w:val="24"/>
        </w:rPr>
      </w:pPr>
      <w:r>
        <w:rPr>
          <w:i/>
          <w:sz w:val="24"/>
        </w:rPr>
        <w:t>ha accolto la richiesta di partecipare aile spese per la ristrutturazione e l'ampliamento della Caserma dei </w:t>
      </w:r>
      <w:r>
        <w:rPr>
          <w:i/>
          <w:sz w:val="24"/>
        </w:rPr>
        <w:t>Carabinieri della Citta di Tortona (AL).” </w:t>
      </w:r>
      <w:r>
        <w:rPr>
          <w:sz w:val="24"/>
        </w:rPr>
        <w:t>Dopo un breve dibattito il consiglio delibera </w:t>
      </w:r>
      <w:r>
        <w:rPr>
          <w:i/>
          <w:sz w:val="24"/>
        </w:rPr>
        <w:t>“di </w:t>
      </w:r>
      <w:r>
        <w:rPr>
          <w:i/>
          <w:sz w:val="24"/>
        </w:rPr>
        <w:t>conferire ampio mandato all'Ing. Giovanni Bolcheni nella sua qualita di Amministratore Delegate a sottoscrivere tutti gli atti relativi alla ristrutturazione ed ampliamento della Caserma dei Carabinieri di Tortona attraverso una donazione per l'importo massimo di € 50.000 (Cinquantarnila)”;</w:t>
      </w:r>
    </w:p>
    <w:p>
      <w:pPr>
        <w:pStyle w:val="ListParagraph"/>
        <w:numPr>
          <w:ilvl w:val="0"/>
          <w:numId w:val="81"/>
        </w:numPr>
        <w:tabs>
          <w:tab w:pos="2127" w:val="left" w:leader="none"/>
        </w:tabs>
        <w:spacing w:line="472" w:lineRule="auto" w:before="0" w:after="0"/>
        <w:ind w:left="2138" w:right="1418" w:hanging="360"/>
        <w:jc w:val="both"/>
        <w:rPr>
          <w:sz w:val="24"/>
        </w:rPr>
      </w:pPr>
      <w:r>
        <w:rPr>
          <w:sz w:val="24"/>
        </w:rPr>
        <w:t>Euro 15.000 verso l’Università degli Studi di Sassari in forza dell’art. 8 della convenzione del 23 dicembre 2016, per la collaborazione scientifica stipulata fra Biochemtex e il nucleo di ricerca sulla desertificazione dell’Università degli Studi di Sassari al fine di svolgere attività di ricerca</w:t>
      </w:r>
      <w:r>
        <w:rPr>
          <w:spacing w:val="-9"/>
          <w:sz w:val="24"/>
        </w:rPr>
        <w:t> </w:t>
      </w:r>
      <w:r>
        <w:rPr>
          <w:sz w:val="24"/>
        </w:rPr>
        <w:t>congiunta.</w:t>
      </w:r>
    </w:p>
    <w:p>
      <w:pPr>
        <w:pStyle w:val="BodyText"/>
        <w:spacing w:before="7"/>
        <w:ind w:left="1418"/>
        <w:jc w:val="both"/>
      </w:pPr>
      <w:r>
        <w:rPr>
          <w:u w:val="single"/>
        </w:rPr>
        <w:t>Attività Svolta</w:t>
      </w:r>
    </w:p>
    <w:p>
      <w:pPr>
        <w:pStyle w:val="BodyText"/>
        <w:spacing w:before="10"/>
        <w:rPr>
          <w:sz w:val="23"/>
        </w:rPr>
      </w:pPr>
    </w:p>
    <w:p>
      <w:pPr>
        <w:pStyle w:val="BodyText"/>
        <w:spacing w:line="480" w:lineRule="auto"/>
        <w:ind w:left="1418" w:right="1420"/>
        <w:jc w:val="both"/>
      </w:pPr>
      <w:r>
        <w:rPr/>
        <w:t>Ai fini della verifica dell’attendibilità dei dati, gli scriventi hanno preso visione dei seguenti documenti: comunicazioni del comune di Tortona e dell’Università degli Studi di Sassari, convenzioni stipulate con città di Tortona e Università degli Studi di Sassari e Verbale del CDA del 30 marzo 2016.</w:t>
      </w:r>
    </w:p>
    <w:p>
      <w:pPr>
        <w:pStyle w:val="BodyText"/>
        <w:ind w:left="1418"/>
        <w:jc w:val="both"/>
      </w:pPr>
      <w:r>
        <w:rPr>
          <w:u w:val="single"/>
        </w:rPr>
        <w:t>Valorizzazione concordataria</w:t>
      </w:r>
    </w:p>
    <w:p>
      <w:pPr>
        <w:pStyle w:val="BodyText"/>
      </w:pPr>
    </w:p>
    <w:p>
      <w:pPr>
        <w:pStyle w:val="BodyText"/>
        <w:spacing w:line="480" w:lineRule="auto"/>
        <w:ind w:left="1418" w:right="1415"/>
        <w:jc w:val="both"/>
      </w:pPr>
      <w:r>
        <w:rPr/>
        <w:t>Ai fini del piano concordatario, il debito è stato così classificato: in via chirografaria Euro 35.150  e in via privilegiata per Euro 2.172 ex art. 2752</w:t>
      </w:r>
      <w:r>
        <w:rPr>
          <w:spacing w:val="-20"/>
        </w:rPr>
        <w:t> </w:t>
      </w:r>
      <w:r>
        <w:rPr/>
        <w:t>c.c..</w:t>
      </w:r>
    </w:p>
    <w:p>
      <w:pPr>
        <w:pStyle w:val="Heading2"/>
        <w:numPr>
          <w:ilvl w:val="0"/>
          <w:numId w:val="82"/>
        </w:numPr>
        <w:tabs>
          <w:tab w:pos="2126" w:val="left" w:leader="none"/>
          <w:tab w:pos="2127" w:val="left" w:leader="none"/>
        </w:tabs>
        <w:spacing w:line="304" w:lineRule="exact" w:before="0" w:after="0"/>
        <w:ind w:left="2126" w:right="0" w:hanging="348"/>
        <w:jc w:val="left"/>
      </w:pPr>
      <w:r>
        <w:rPr/>
        <w:t>Debiti verso</w:t>
      </w:r>
      <w:r>
        <w:rPr>
          <w:spacing w:val="-15"/>
        </w:rPr>
        <w:t> </w:t>
      </w:r>
      <w:r>
        <w:rPr/>
        <w:t>amministratore</w:t>
      </w:r>
    </w:p>
    <w:p>
      <w:pPr>
        <w:pStyle w:val="BodyText"/>
        <w:spacing w:before="3"/>
        <w:rPr>
          <w:b/>
        </w:rPr>
      </w:pPr>
    </w:p>
    <w:p>
      <w:pPr>
        <w:pStyle w:val="BodyText"/>
        <w:spacing w:line="480" w:lineRule="auto"/>
        <w:ind w:left="1418" w:right="1416"/>
        <w:jc w:val="both"/>
      </w:pPr>
      <w:r>
        <w:rPr/>
        <w:t>Il debito ammonta ad Euro 340.066 e si riferisce al cedolino di marzo 2015 al compenso  spettante all’Ingegnere Guido Ghisolfi, deceduto. Si precisa che gli eredi hanno rinunciato al suddetto</w:t>
      </w:r>
      <w:r>
        <w:rPr>
          <w:spacing w:val="-8"/>
        </w:rPr>
        <w:t> </w:t>
      </w:r>
      <w:r>
        <w:rPr/>
        <w:t>compenso.</w:t>
      </w:r>
    </w:p>
    <w:p>
      <w:pPr>
        <w:pStyle w:val="BodyText"/>
        <w:ind w:left="1418"/>
        <w:jc w:val="both"/>
      </w:pPr>
      <w:r>
        <w:rPr>
          <w:u w:val="single"/>
        </w:rPr>
        <w:t>Attività Svolta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Ai fini della veridicità dei dati contabili gli scriventi hanno preso visione del cedolino dell’Ing. Ghisolfi.</w:t>
      </w:r>
    </w:p>
    <w:p>
      <w:pPr>
        <w:pStyle w:val="BodyText"/>
        <w:ind w:left="1418"/>
      </w:pPr>
      <w:r>
        <w:rPr>
          <w:u w:val="single"/>
        </w:rPr>
        <w:t>Valorizzazione concordataria</w:t>
      </w:r>
    </w:p>
    <w:p>
      <w:pPr>
        <w:pStyle w:val="BodyText"/>
      </w:pPr>
    </w:p>
    <w:p>
      <w:pPr>
        <w:pStyle w:val="BodyText"/>
        <w:spacing w:line="480" w:lineRule="auto"/>
        <w:ind w:left="1418" w:right="1518"/>
      </w:pPr>
      <w:r>
        <w:rPr/>
        <w:t>Ai fini del piano concordatario il debito è stato rettificato alla luce della rinuncia al credito da parte degli</w:t>
      </w:r>
      <w:r>
        <w:rPr>
          <w:spacing w:val="-3"/>
        </w:rPr>
        <w:t> </w:t>
      </w:r>
      <w:r>
        <w:rPr/>
        <w:t>eredi.</w:t>
      </w:r>
    </w:p>
    <w:p>
      <w:pPr>
        <w:pStyle w:val="Heading2"/>
        <w:numPr>
          <w:ilvl w:val="0"/>
          <w:numId w:val="82"/>
        </w:numPr>
        <w:tabs>
          <w:tab w:pos="2126" w:val="left" w:leader="none"/>
          <w:tab w:pos="2127" w:val="left" w:leader="none"/>
        </w:tabs>
        <w:spacing w:line="304" w:lineRule="exact" w:before="0" w:after="0"/>
        <w:ind w:left="2126" w:right="0" w:hanging="348"/>
        <w:jc w:val="left"/>
      </w:pPr>
      <w:r>
        <w:rPr/>
        <w:t>Debiti per contributi in conto</w:t>
      </w:r>
      <w:r>
        <w:rPr>
          <w:spacing w:val="-18"/>
        </w:rPr>
        <w:t> </w:t>
      </w:r>
      <w:r>
        <w:rPr/>
        <w:t>esercizio</w:t>
      </w:r>
    </w:p>
    <w:p>
      <w:pPr>
        <w:pStyle w:val="BodyText"/>
        <w:spacing w:before="2"/>
        <w:rPr>
          <w:b/>
        </w:rPr>
      </w:pPr>
    </w:p>
    <w:p>
      <w:pPr>
        <w:pStyle w:val="BodyText"/>
        <w:spacing w:line="480" w:lineRule="auto"/>
        <w:ind w:left="1418" w:right="1413"/>
      </w:pPr>
      <w:r>
        <w:rPr/>
        <w:t>In tale voce trovano allocazione gli importi ricevuti a titolo di anticipazione su contributi a fondo perduto per progetti avviati con la Comunità Europea e con il Ministero Sec.</w:t>
      </w:r>
    </w:p>
    <w:p>
      <w:pPr>
        <w:pStyle w:val="BodyText"/>
        <w:spacing w:before="8"/>
        <w:rPr>
          <w:sz w:val="27"/>
        </w:rPr>
      </w:pPr>
    </w:p>
    <w:tbl>
      <w:tblPr>
        <w:tblW w:w="0" w:type="auto"/>
        <w:jc w:val="left"/>
        <w:tblInd w:w="14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35"/>
        <w:gridCol w:w="2115"/>
        <w:gridCol w:w="2625"/>
        <w:gridCol w:w="2910"/>
      </w:tblGrid>
      <w:tr>
        <w:trPr>
          <w:trHeight w:val="315" w:hRule="exact"/>
        </w:trPr>
        <w:tc>
          <w:tcPr>
            <w:tcW w:w="1335" w:type="dxa"/>
            <w:tcBorders>
              <w:left w:val="single" w:sz="6" w:space="0" w:color="000000"/>
              <w:bottom w:val="single" w:sz="6" w:space="0" w:color="000000"/>
              <w:right w:val="single" w:sz="6" w:space="0" w:color="000000"/>
            </w:tcBorders>
            <w:shd w:val="clear" w:color="auto" w:fill="A6A6A6"/>
          </w:tcPr>
          <w:p>
            <w:pPr>
              <w:pStyle w:val="TableParagraph"/>
              <w:spacing w:before="32"/>
              <w:ind w:left="135" w:right="126"/>
              <w:jc w:val="center"/>
              <w:rPr>
                <w:b/>
                <w:sz w:val="24"/>
              </w:rPr>
            </w:pPr>
            <w:r>
              <w:rPr>
                <w:b/>
                <w:sz w:val="24"/>
              </w:rPr>
              <w:t>DURATA</w:t>
            </w:r>
          </w:p>
        </w:tc>
        <w:tc>
          <w:tcPr>
            <w:tcW w:w="2115" w:type="dxa"/>
            <w:tcBorders>
              <w:left w:val="single" w:sz="6" w:space="0" w:color="000000"/>
              <w:bottom w:val="single" w:sz="6" w:space="0" w:color="000000"/>
              <w:right w:val="single" w:sz="6" w:space="0" w:color="000000"/>
            </w:tcBorders>
            <w:shd w:val="clear" w:color="auto" w:fill="A6A6A6"/>
          </w:tcPr>
          <w:p>
            <w:pPr>
              <w:pStyle w:val="TableParagraph"/>
              <w:spacing w:before="32"/>
              <w:ind w:left="-1" w:right="-7"/>
              <w:jc w:val="center"/>
              <w:rPr>
                <w:b/>
                <w:sz w:val="24"/>
              </w:rPr>
            </w:pPr>
            <w:r>
              <w:rPr>
                <w:b/>
                <w:spacing w:val="3"/>
                <w:sz w:val="24"/>
              </w:rPr>
              <w:t>DATA DI</w:t>
            </w:r>
            <w:r>
              <w:rPr>
                <w:b/>
                <w:spacing w:val="8"/>
                <w:sz w:val="24"/>
              </w:rPr>
              <w:t> </w:t>
            </w:r>
            <w:r>
              <w:rPr>
                <w:b/>
                <w:spacing w:val="-3"/>
                <w:sz w:val="24"/>
              </w:rPr>
              <w:t>STIPULA</w:t>
            </w:r>
          </w:p>
        </w:tc>
        <w:tc>
          <w:tcPr>
            <w:tcW w:w="2625" w:type="dxa"/>
            <w:tcBorders>
              <w:left w:val="single" w:sz="6" w:space="0" w:color="000000"/>
              <w:bottom w:val="single" w:sz="6" w:space="0" w:color="000000"/>
              <w:right w:val="single" w:sz="6" w:space="0" w:color="000000"/>
            </w:tcBorders>
            <w:shd w:val="clear" w:color="auto" w:fill="A6A6A6"/>
          </w:tcPr>
          <w:p>
            <w:pPr>
              <w:pStyle w:val="TableParagraph"/>
              <w:spacing w:before="32"/>
              <w:ind w:left="-16" w:right="-10"/>
              <w:rPr>
                <w:b/>
                <w:sz w:val="24"/>
              </w:rPr>
            </w:pPr>
            <w:r>
              <w:rPr>
                <w:b/>
                <w:sz w:val="24"/>
              </w:rPr>
              <w:t>IMPORTO</w:t>
            </w:r>
            <w:r>
              <w:rPr>
                <w:b/>
                <w:spacing w:val="20"/>
                <w:sz w:val="24"/>
              </w:rPr>
              <w:t> </w:t>
            </w:r>
            <w:r>
              <w:rPr>
                <w:b/>
                <w:sz w:val="24"/>
              </w:rPr>
              <w:t>INCASSATO</w:t>
            </w:r>
          </w:p>
        </w:tc>
        <w:tc>
          <w:tcPr>
            <w:tcW w:w="2910" w:type="dxa"/>
            <w:tcBorders>
              <w:left w:val="single" w:sz="6" w:space="0" w:color="000000"/>
              <w:bottom w:val="single" w:sz="6" w:space="0" w:color="000000"/>
              <w:right w:val="single" w:sz="6" w:space="0" w:color="000000"/>
            </w:tcBorders>
            <w:shd w:val="clear" w:color="auto" w:fill="A6A6A6"/>
          </w:tcPr>
          <w:p>
            <w:pPr>
              <w:pStyle w:val="TableParagraph"/>
              <w:spacing w:before="32"/>
              <w:ind w:left="765"/>
              <w:jc w:val="left"/>
              <w:rPr>
                <w:b/>
                <w:sz w:val="24"/>
              </w:rPr>
            </w:pPr>
            <w:r>
              <w:rPr>
                <w:b/>
                <w:sz w:val="24"/>
              </w:rPr>
              <w:t>PROGETTO</w:t>
            </w:r>
          </w:p>
        </w:tc>
      </w:tr>
      <w:tr>
        <w:trPr>
          <w:trHeight w:val="333" w:hRule="exact"/>
        </w:trPr>
        <w:tc>
          <w:tcPr>
            <w:tcW w:w="1335" w:type="dxa"/>
            <w:tcBorders>
              <w:top w:val="single" w:sz="6" w:space="0" w:color="000000"/>
              <w:left w:val="single" w:sz="6" w:space="0" w:color="000000"/>
              <w:bottom w:val="nil"/>
              <w:right w:val="single" w:sz="6" w:space="0" w:color="000000"/>
            </w:tcBorders>
          </w:tcPr>
          <w:p>
            <w:pPr>
              <w:pStyle w:val="TableParagraph"/>
              <w:spacing w:before="33"/>
              <w:ind w:left="134" w:right="126"/>
              <w:jc w:val="center"/>
              <w:rPr>
                <w:sz w:val="24"/>
              </w:rPr>
            </w:pPr>
            <w:r>
              <w:rPr>
                <w:sz w:val="24"/>
              </w:rPr>
              <w:t>36 mesi</w:t>
            </w:r>
          </w:p>
        </w:tc>
        <w:tc>
          <w:tcPr>
            <w:tcW w:w="2115" w:type="dxa"/>
            <w:tcBorders>
              <w:top w:val="single" w:sz="6" w:space="0" w:color="000000"/>
              <w:left w:val="single" w:sz="6" w:space="0" w:color="000000"/>
              <w:bottom w:val="nil"/>
              <w:right w:val="single" w:sz="6" w:space="0" w:color="000000"/>
            </w:tcBorders>
          </w:tcPr>
          <w:p>
            <w:pPr>
              <w:pStyle w:val="TableParagraph"/>
              <w:spacing w:before="33"/>
              <w:ind w:left="456" w:right="464"/>
              <w:jc w:val="center"/>
              <w:rPr>
                <w:sz w:val="24"/>
              </w:rPr>
            </w:pPr>
            <w:r>
              <w:rPr>
                <w:sz w:val="24"/>
              </w:rPr>
              <w:t>01/06/2015</w:t>
            </w:r>
          </w:p>
        </w:tc>
        <w:tc>
          <w:tcPr>
            <w:tcW w:w="2625" w:type="dxa"/>
            <w:tcBorders>
              <w:top w:val="single" w:sz="6" w:space="0" w:color="000000"/>
              <w:left w:val="single" w:sz="6" w:space="0" w:color="000000"/>
              <w:bottom w:val="nil"/>
              <w:right w:val="single" w:sz="6" w:space="0" w:color="000000"/>
            </w:tcBorders>
          </w:tcPr>
          <w:p>
            <w:pPr>
              <w:pStyle w:val="TableParagraph"/>
              <w:spacing w:before="33"/>
              <w:ind w:left="-16" w:right="113"/>
              <w:rPr>
                <w:sz w:val="24"/>
              </w:rPr>
            </w:pPr>
            <w:r>
              <w:rPr>
                <w:sz w:val="24"/>
              </w:rPr>
              <w:t>172.079,13</w:t>
            </w:r>
          </w:p>
        </w:tc>
        <w:tc>
          <w:tcPr>
            <w:tcW w:w="2910" w:type="dxa"/>
            <w:tcBorders>
              <w:top w:val="single" w:sz="6" w:space="0" w:color="000000"/>
              <w:left w:val="single" w:sz="6" w:space="0" w:color="000000"/>
              <w:bottom w:val="nil"/>
              <w:right w:val="single" w:sz="6" w:space="0" w:color="000000"/>
            </w:tcBorders>
          </w:tcPr>
          <w:p>
            <w:pPr>
              <w:pStyle w:val="TableParagraph"/>
              <w:spacing w:before="33"/>
              <w:ind w:left="29"/>
              <w:jc w:val="left"/>
              <w:rPr>
                <w:sz w:val="24"/>
              </w:rPr>
            </w:pPr>
            <w:r>
              <w:rPr>
                <w:sz w:val="24"/>
              </w:rPr>
              <w:t>Comunità Europea - Resintex</w:t>
            </w:r>
          </w:p>
        </w:tc>
      </w:tr>
      <w:tr>
        <w:trPr>
          <w:trHeight w:val="315" w:hRule="exact"/>
        </w:trPr>
        <w:tc>
          <w:tcPr>
            <w:tcW w:w="1335" w:type="dxa"/>
            <w:tcBorders>
              <w:top w:val="nil"/>
              <w:left w:val="single" w:sz="6" w:space="0" w:color="000000"/>
              <w:bottom w:val="nil"/>
              <w:right w:val="single" w:sz="6" w:space="0" w:color="000000"/>
            </w:tcBorders>
          </w:tcPr>
          <w:p>
            <w:pPr>
              <w:pStyle w:val="TableParagraph"/>
              <w:spacing w:before="22"/>
              <w:ind w:left="134" w:right="126"/>
              <w:jc w:val="center"/>
              <w:rPr>
                <w:sz w:val="24"/>
              </w:rPr>
            </w:pPr>
            <w:r>
              <w:rPr>
                <w:sz w:val="24"/>
              </w:rPr>
              <w:t>60 mesi</w:t>
            </w:r>
          </w:p>
        </w:tc>
        <w:tc>
          <w:tcPr>
            <w:tcW w:w="2115" w:type="dxa"/>
            <w:tcBorders>
              <w:top w:val="nil"/>
              <w:left w:val="single" w:sz="6" w:space="0" w:color="000000"/>
              <w:bottom w:val="nil"/>
              <w:right w:val="single" w:sz="6" w:space="0" w:color="000000"/>
            </w:tcBorders>
          </w:tcPr>
          <w:p>
            <w:pPr>
              <w:pStyle w:val="TableParagraph"/>
              <w:spacing w:before="22"/>
              <w:ind w:left="456" w:right="464"/>
              <w:jc w:val="center"/>
              <w:rPr>
                <w:sz w:val="24"/>
              </w:rPr>
            </w:pPr>
            <w:r>
              <w:rPr>
                <w:sz w:val="24"/>
              </w:rPr>
              <w:t>01/01/2014</w:t>
            </w:r>
          </w:p>
        </w:tc>
        <w:tc>
          <w:tcPr>
            <w:tcW w:w="2625" w:type="dxa"/>
            <w:tcBorders>
              <w:top w:val="nil"/>
              <w:left w:val="single" w:sz="6" w:space="0" w:color="000000"/>
              <w:bottom w:val="nil"/>
              <w:right w:val="single" w:sz="6" w:space="0" w:color="000000"/>
            </w:tcBorders>
          </w:tcPr>
          <w:p>
            <w:pPr>
              <w:pStyle w:val="TableParagraph"/>
              <w:spacing w:before="22"/>
              <w:ind w:left="-16" w:right="114"/>
              <w:rPr>
                <w:sz w:val="24"/>
              </w:rPr>
            </w:pPr>
            <w:r>
              <w:rPr>
                <w:sz w:val="24"/>
              </w:rPr>
              <w:t>4.895.357,91</w:t>
            </w:r>
          </w:p>
        </w:tc>
        <w:tc>
          <w:tcPr>
            <w:tcW w:w="2910"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Comunità Europea - Cometa</w:t>
            </w:r>
          </w:p>
        </w:tc>
      </w:tr>
      <w:tr>
        <w:trPr>
          <w:trHeight w:val="315" w:hRule="exact"/>
        </w:trPr>
        <w:tc>
          <w:tcPr>
            <w:tcW w:w="1335" w:type="dxa"/>
            <w:tcBorders>
              <w:top w:val="nil"/>
              <w:left w:val="single" w:sz="6" w:space="0" w:color="000000"/>
              <w:bottom w:val="nil"/>
              <w:right w:val="single" w:sz="6" w:space="0" w:color="000000"/>
            </w:tcBorders>
          </w:tcPr>
          <w:p>
            <w:pPr>
              <w:pStyle w:val="TableParagraph"/>
              <w:spacing w:before="22"/>
              <w:ind w:left="134" w:right="126"/>
              <w:jc w:val="center"/>
              <w:rPr>
                <w:sz w:val="24"/>
              </w:rPr>
            </w:pPr>
            <w:r>
              <w:rPr>
                <w:sz w:val="24"/>
              </w:rPr>
              <w:t>48 mesi</w:t>
            </w:r>
          </w:p>
        </w:tc>
        <w:tc>
          <w:tcPr>
            <w:tcW w:w="2115" w:type="dxa"/>
            <w:tcBorders>
              <w:top w:val="nil"/>
              <w:left w:val="single" w:sz="6" w:space="0" w:color="000000"/>
              <w:bottom w:val="nil"/>
              <w:right w:val="single" w:sz="6" w:space="0" w:color="000000"/>
            </w:tcBorders>
          </w:tcPr>
          <w:p>
            <w:pPr>
              <w:pStyle w:val="TableParagraph"/>
              <w:spacing w:before="22"/>
              <w:ind w:left="456" w:right="464"/>
              <w:jc w:val="center"/>
              <w:rPr>
                <w:sz w:val="24"/>
              </w:rPr>
            </w:pPr>
            <w:r>
              <w:rPr>
                <w:sz w:val="24"/>
              </w:rPr>
              <w:t>01/07/2014</w:t>
            </w:r>
          </w:p>
        </w:tc>
        <w:tc>
          <w:tcPr>
            <w:tcW w:w="2625" w:type="dxa"/>
            <w:tcBorders>
              <w:top w:val="nil"/>
              <w:left w:val="single" w:sz="6" w:space="0" w:color="000000"/>
              <w:bottom w:val="nil"/>
              <w:right w:val="single" w:sz="6" w:space="0" w:color="000000"/>
            </w:tcBorders>
          </w:tcPr>
          <w:p>
            <w:pPr>
              <w:pStyle w:val="TableParagraph"/>
              <w:spacing w:before="22"/>
              <w:ind w:left="-16" w:right="114"/>
              <w:rPr>
                <w:sz w:val="24"/>
              </w:rPr>
            </w:pPr>
            <w:r>
              <w:rPr>
                <w:sz w:val="24"/>
              </w:rPr>
              <w:t>3.613.946,00</w:t>
            </w:r>
          </w:p>
        </w:tc>
        <w:tc>
          <w:tcPr>
            <w:tcW w:w="2910"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Comunità Europea - Bioreflay</w:t>
            </w:r>
          </w:p>
        </w:tc>
      </w:tr>
      <w:tr>
        <w:trPr>
          <w:trHeight w:val="315" w:hRule="exact"/>
        </w:trPr>
        <w:tc>
          <w:tcPr>
            <w:tcW w:w="1335" w:type="dxa"/>
            <w:tcBorders>
              <w:top w:val="nil"/>
              <w:left w:val="single" w:sz="6" w:space="0" w:color="000000"/>
              <w:bottom w:val="nil"/>
              <w:right w:val="single" w:sz="6" w:space="0" w:color="000000"/>
            </w:tcBorders>
          </w:tcPr>
          <w:p>
            <w:pPr>
              <w:pStyle w:val="TableParagraph"/>
              <w:spacing w:before="22"/>
              <w:ind w:left="134" w:right="126"/>
              <w:jc w:val="center"/>
              <w:rPr>
                <w:sz w:val="24"/>
              </w:rPr>
            </w:pPr>
            <w:r>
              <w:rPr>
                <w:sz w:val="24"/>
              </w:rPr>
              <w:t>60 mesi</w:t>
            </w:r>
          </w:p>
        </w:tc>
        <w:tc>
          <w:tcPr>
            <w:tcW w:w="2115" w:type="dxa"/>
            <w:tcBorders>
              <w:top w:val="nil"/>
              <w:left w:val="single" w:sz="6" w:space="0" w:color="000000"/>
              <w:bottom w:val="nil"/>
              <w:right w:val="single" w:sz="6" w:space="0" w:color="000000"/>
            </w:tcBorders>
          </w:tcPr>
          <w:p>
            <w:pPr>
              <w:pStyle w:val="TableParagraph"/>
              <w:spacing w:before="22"/>
              <w:ind w:left="456" w:right="464"/>
              <w:jc w:val="center"/>
              <w:rPr>
                <w:sz w:val="24"/>
              </w:rPr>
            </w:pPr>
            <w:r>
              <w:rPr>
                <w:sz w:val="24"/>
              </w:rPr>
              <w:t>01/06/2016</w:t>
            </w:r>
          </w:p>
        </w:tc>
        <w:tc>
          <w:tcPr>
            <w:tcW w:w="2625" w:type="dxa"/>
            <w:tcBorders>
              <w:top w:val="nil"/>
              <w:left w:val="single" w:sz="6" w:space="0" w:color="000000"/>
              <w:bottom w:val="nil"/>
              <w:right w:val="single" w:sz="6" w:space="0" w:color="000000"/>
            </w:tcBorders>
          </w:tcPr>
          <w:p>
            <w:pPr>
              <w:pStyle w:val="TableParagraph"/>
              <w:spacing w:before="22"/>
              <w:ind w:left="-16" w:right="113"/>
              <w:rPr>
                <w:sz w:val="24"/>
              </w:rPr>
            </w:pPr>
            <w:r>
              <w:rPr>
                <w:sz w:val="24"/>
              </w:rPr>
              <w:t>374.735,24</w:t>
            </w:r>
          </w:p>
        </w:tc>
        <w:tc>
          <w:tcPr>
            <w:tcW w:w="2910"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Comunità Europea - Bioskoh</w:t>
            </w:r>
          </w:p>
        </w:tc>
      </w:tr>
      <w:tr>
        <w:trPr>
          <w:trHeight w:val="315" w:hRule="exact"/>
        </w:trPr>
        <w:tc>
          <w:tcPr>
            <w:tcW w:w="1335" w:type="dxa"/>
            <w:tcBorders>
              <w:top w:val="nil"/>
              <w:left w:val="single" w:sz="6" w:space="0" w:color="000000"/>
              <w:bottom w:val="nil"/>
              <w:right w:val="single" w:sz="6" w:space="0" w:color="000000"/>
            </w:tcBorders>
          </w:tcPr>
          <w:p>
            <w:pPr>
              <w:pStyle w:val="TableParagraph"/>
              <w:spacing w:before="22"/>
              <w:ind w:left="134" w:right="126"/>
              <w:jc w:val="center"/>
              <w:rPr>
                <w:sz w:val="24"/>
              </w:rPr>
            </w:pPr>
            <w:r>
              <w:rPr>
                <w:sz w:val="24"/>
              </w:rPr>
              <w:t>48 mesi</w:t>
            </w:r>
          </w:p>
        </w:tc>
        <w:tc>
          <w:tcPr>
            <w:tcW w:w="2115" w:type="dxa"/>
            <w:tcBorders>
              <w:top w:val="nil"/>
              <w:left w:val="single" w:sz="6" w:space="0" w:color="000000"/>
              <w:bottom w:val="nil"/>
              <w:right w:val="single" w:sz="6" w:space="0" w:color="000000"/>
            </w:tcBorders>
          </w:tcPr>
          <w:p>
            <w:pPr>
              <w:pStyle w:val="TableParagraph"/>
              <w:spacing w:before="22"/>
              <w:ind w:left="456" w:right="464"/>
              <w:jc w:val="center"/>
              <w:rPr>
                <w:sz w:val="24"/>
              </w:rPr>
            </w:pPr>
            <w:r>
              <w:rPr>
                <w:sz w:val="24"/>
              </w:rPr>
              <w:t>01/10/2016</w:t>
            </w:r>
          </w:p>
        </w:tc>
        <w:tc>
          <w:tcPr>
            <w:tcW w:w="2625" w:type="dxa"/>
            <w:tcBorders>
              <w:top w:val="nil"/>
              <w:left w:val="single" w:sz="6" w:space="0" w:color="000000"/>
              <w:bottom w:val="nil"/>
              <w:right w:val="single" w:sz="6" w:space="0" w:color="000000"/>
            </w:tcBorders>
          </w:tcPr>
          <w:p>
            <w:pPr>
              <w:pStyle w:val="TableParagraph"/>
              <w:spacing w:before="22"/>
              <w:ind w:left="-16" w:right="113"/>
              <w:rPr>
                <w:sz w:val="24"/>
              </w:rPr>
            </w:pPr>
            <w:r>
              <w:rPr>
                <w:sz w:val="24"/>
              </w:rPr>
              <w:t>130.567,50</w:t>
            </w:r>
          </w:p>
        </w:tc>
        <w:tc>
          <w:tcPr>
            <w:tcW w:w="2910"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Comunità Europea - REHAP</w:t>
            </w:r>
          </w:p>
        </w:tc>
      </w:tr>
      <w:tr>
        <w:trPr>
          <w:trHeight w:val="315" w:hRule="exact"/>
        </w:trPr>
        <w:tc>
          <w:tcPr>
            <w:tcW w:w="1335" w:type="dxa"/>
            <w:tcBorders>
              <w:top w:val="nil"/>
              <w:left w:val="single" w:sz="6" w:space="0" w:color="000000"/>
              <w:bottom w:val="nil"/>
              <w:right w:val="single" w:sz="6" w:space="0" w:color="000000"/>
            </w:tcBorders>
          </w:tcPr>
          <w:p>
            <w:pPr>
              <w:pStyle w:val="TableParagraph"/>
              <w:spacing w:before="22"/>
              <w:ind w:left="134" w:right="126"/>
              <w:jc w:val="center"/>
              <w:rPr>
                <w:sz w:val="24"/>
              </w:rPr>
            </w:pPr>
            <w:r>
              <w:rPr>
                <w:sz w:val="24"/>
              </w:rPr>
              <w:t>48 mesi</w:t>
            </w:r>
          </w:p>
        </w:tc>
        <w:tc>
          <w:tcPr>
            <w:tcW w:w="2115" w:type="dxa"/>
            <w:tcBorders>
              <w:top w:val="nil"/>
              <w:left w:val="single" w:sz="6" w:space="0" w:color="000000"/>
              <w:bottom w:val="nil"/>
              <w:right w:val="single" w:sz="6" w:space="0" w:color="000000"/>
            </w:tcBorders>
          </w:tcPr>
          <w:p>
            <w:pPr>
              <w:pStyle w:val="TableParagraph"/>
              <w:spacing w:before="22"/>
              <w:ind w:left="456" w:right="464"/>
              <w:jc w:val="center"/>
              <w:rPr>
                <w:sz w:val="24"/>
              </w:rPr>
            </w:pPr>
            <w:r>
              <w:rPr>
                <w:sz w:val="24"/>
              </w:rPr>
              <w:t>01/06/2017</w:t>
            </w:r>
          </w:p>
        </w:tc>
        <w:tc>
          <w:tcPr>
            <w:tcW w:w="2625" w:type="dxa"/>
            <w:tcBorders>
              <w:top w:val="nil"/>
              <w:left w:val="single" w:sz="6" w:space="0" w:color="000000"/>
              <w:bottom w:val="nil"/>
              <w:right w:val="single" w:sz="6" w:space="0" w:color="000000"/>
            </w:tcBorders>
          </w:tcPr>
          <w:p>
            <w:pPr>
              <w:pStyle w:val="TableParagraph"/>
              <w:spacing w:before="22"/>
              <w:ind w:left="-16" w:right="113"/>
              <w:rPr>
                <w:sz w:val="24"/>
              </w:rPr>
            </w:pPr>
            <w:r>
              <w:rPr>
                <w:sz w:val="24"/>
              </w:rPr>
              <w:t>193.152,08</w:t>
            </w:r>
          </w:p>
        </w:tc>
        <w:tc>
          <w:tcPr>
            <w:tcW w:w="2910"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Comunità Europea - Biecool</w:t>
            </w:r>
          </w:p>
        </w:tc>
      </w:tr>
      <w:tr>
        <w:trPr>
          <w:trHeight w:val="315" w:hRule="exact"/>
        </w:trPr>
        <w:tc>
          <w:tcPr>
            <w:tcW w:w="1335" w:type="dxa"/>
            <w:tcBorders>
              <w:top w:val="nil"/>
              <w:left w:val="single" w:sz="6" w:space="0" w:color="000000"/>
              <w:bottom w:val="nil"/>
              <w:right w:val="single" w:sz="6" w:space="0" w:color="000000"/>
            </w:tcBorders>
          </w:tcPr>
          <w:p>
            <w:pPr>
              <w:pStyle w:val="TableParagraph"/>
              <w:spacing w:before="22"/>
              <w:ind w:left="134" w:right="126"/>
              <w:jc w:val="center"/>
              <w:rPr>
                <w:sz w:val="24"/>
              </w:rPr>
            </w:pPr>
            <w:r>
              <w:rPr>
                <w:sz w:val="24"/>
              </w:rPr>
              <w:t>48 mesi</w:t>
            </w:r>
          </w:p>
        </w:tc>
        <w:tc>
          <w:tcPr>
            <w:tcW w:w="2115" w:type="dxa"/>
            <w:tcBorders>
              <w:top w:val="nil"/>
              <w:left w:val="single" w:sz="6" w:space="0" w:color="000000"/>
              <w:bottom w:val="nil"/>
              <w:right w:val="single" w:sz="6" w:space="0" w:color="000000"/>
            </w:tcBorders>
          </w:tcPr>
          <w:p>
            <w:pPr>
              <w:pStyle w:val="TableParagraph"/>
              <w:spacing w:before="22"/>
              <w:ind w:left="456" w:right="464"/>
              <w:jc w:val="center"/>
              <w:rPr>
                <w:sz w:val="24"/>
              </w:rPr>
            </w:pPr>
            <w:r>
              <w:rPr>
                <w:sz w:val="24"/>
              </w:rPr>
              <w:t>01/06/2017</w:t>
            </w:r>
          </w:p>
        </w:tc>
        <w:tc>
          <w:tcPr>
            <w:tcW w:w="2625" w:type="dxa"/>
            <w:tcBorders>
              <w:top w:val="nil"/>
              <w:left w:val="single" w:sz="6" w:space="0" w:color="000000"/>
              <w:bottom w:val="nil"/>
              <w:right w:val="single" w:sz="6" w:space="0" w:color="000000"/>
            </w:tcBorders>
          </w:tcPr>
          <w:p>
            <w:pPr>
              <w:pStyle w:val="TableParagraph"/>
              <w:spacing w:before="22"/>
              <w:ind w:left="-16" w:right="113"/>
              <w:rPr>
                <w:sz w:val="24"/>
              </w:rPr>
            </w:pPr>
            <w:r>
              <w:rPr>
                <w:sz w:val="24"/>
              </w:rPr>
              <w:t>103.906,25</w:t>
            </w:r>
          </w:p>
        </w:tc>
        <w:tc>
          <w:tcPr>
            <w:tcW w:w="2910" w:type="dxa"/>
            <w:tcBorders>
              <w:top w:val="nil"/>
              <w:left w:val="single" w:sz="6" w:space="0" w:color="000000"/>
              <w:bottom w:val="nil"/>
              <w:right w:val="single" w:sz="6" w:space="0" w:color="000000"/>
            </w:tcBorders>
          </w:tcPr>
          <w:p>
            <w:pPr>
              <w:pStyle w:val="TableParagraph"/>
              <w:spacing w:before="22"/>
              <w:ind w:left="29"/>
              <w:jc w:val="left"/>
              <w:rPr>
                <w:sz w:val="24"/>
              </w:rPr>
            </w:pPr>
            <w:r>
              <w:rPr>
                <w:sz w:val="24"/>
              </w:rPr>
              <w:t>Comunità Europea - Lignox</w:t>
            </w:r>
          </w:p>
        </w:tc>
      </w:tr>
      <w:tr>
        <w:trPr>
          <w:trHeight w:val="297" w:hRule="exact"/>
        </w:trPr>
        <w:tc>
          <w:tcPr>
            <w:tcW w:w="1335" w:type="dxa"/>
            <w:tcBorders>
              <w:top w:val="nil"/>
              <w:left w:val="single" w:sz="6" w:space="0" w:color="000000"/>
              <w:bottom w:val="single" w:sz="6" w:space="0" w:color="000000"/>
              <w:right w:val="single" w:sz="6" w:space="0" w:color="000000"/>
            </w:tcBorders>
          </w:tcPr>
          <w:p>
            <w:pPr>
              <w:pStyle w:val="TableParagraph"/>
              <w:spacing w:before="22"/>
              <w:ind w:left="134" w:right="126"/>
              <w:jc w:val="center"/>
              <w:rPr>
                <w:sz w:val="24"/>
              </w:rPr>
            </w:pPr>
            <w:r>
              <w:rPr>
                <w:sz w:val="24"/>
              </w:rPr>
              <w:t>24 mesi</w:t>
            </w:r>
          </w:p>
        </w:tc>
        <w:tc>
          <w:tcPr>
            <w:tcW w:w="2115" w:type="dxa"/>
            <w:tcBorders>
              <w:top w:val="nil"/>
              <w:left w:val="single" w:sz="6" w:space="0" w:color="000000"/>
              <w:bottom w:val="single" w:sz="6" w:space="0" w:color="000000"/>
              <w:right w:val="single" w:sz="6" w:space="0" w:color="000000"/>
            </w:tcBorders>
          </w:tcPr>
          <w:p>
            <w:pPr>
              <w:pStyle w:val="TableParagraph"/>
              <w:spacing w:before="22"/>
              <w:ind w:left="456" w:right="464"/>
              <w:jc w:val="center"/>
              <w:rPr>
                <w:sz w:val="24"/>
              </w:rPr>
            </w:pPr>
            <w:r>
              <w:rPr>
                <w:sz w:val="24"/>
              </w:rPr>
              <w:t>01/01/2017</w:t>
            </w:r>
          </w:p>
        </w:tc>
        <w:tc>
          <w:tcPr>
            <w:tcW w:w="2625" w:type="dxa"/>
            <w:tcBorders>
              <w:top w:val="nil"/>
              <w:left w:val="single" w:sz="6" w:space="0" w:color="000000"/>
              <w:bottom w:val="single" w:sz="6" w:space="0" w:color="000000"/>
              <w:right w:val="single" w:sz="6" w:space="0" w:color="000000"/>
            </w:tcBorders>
          </w:tcPr>
          <w:p>
            <w:pPr>
              <w:pStyle w:val="TableParagraph"/>
              <w:spacing w:before="22"/>
              <w:ind w:left="-16" w:right="113"/>
              <w:rPr>
                <w:sz w:val="24"/>
              </w:rPr>
            </w:pPr>
            <w:r>
              <w:rPr>
                <w:sz w:val="24"/>
              </w:rPr>
              <w:t>187.006,47</w:t>
            </w:r>
          </w:p>
        </w:tc>
        <w:tc>
          <w:tcPr>
            <w:tcW w:w="2910" w:type="dxa"/>
            <w:tcBorders>
              <w:top w:val="nil"/>
              <w:left w:val="single" w:sz="6" w:space="0" w:color="000000"/>
              <w:bottom w:val="single" w:sz="6" w:space="0" w:color="000000"/>
              <w:right w:val="single" w:sz="6" w:space="0" w:color="000000"/>
            </w:tcBorders>
          </w:tcPr>
          <w:p>
            <w:pPr>
              <w:pStyle w:val="TableParagraph"/>
              <w:spacing w:before="22"/>
              <w:ind w:left="29"/>
              <w:jc w:val="left"/>
              <w:rPr>
                <w:sz w:val="24"/>
              </w:rPr>
            </w:pPr>
            <w:r>
              <w:rPr>
                <w:sz w:val="24"/>
              </w:rPr>
              <w:t>Ministero S.Ec. - Elettra</w:t>
            </w:r>
          </w:p>
        </w:tc>
      </w:tr>
      <w:tr>
        <w:trPr>
          <w:trHeight w:val="315" w:hRule="exact"/>
        </w:trPr>
        <w:tc>
          <w:tcPr>
            <w:tcW w:w="1335" w:type="dxa"/>
            <w:tcBorders>
              <w:top w:val="single" w:sz="6" w:space="0" w:color="000000"/>
              <w:left w:val="single" w:sz="6" w:space="0" w:color="000000"/>
              <w:bottom w:val="single" w:sz="6" w:space="0" w:color="000000"/>
              <w:right w:val="single" w:sz="6" w:space="0" w:color="000000"/>
            </w:tcBorders>
            <w:shd w:val="clear" w:color="auto" w:fill="A6A6A6"/>
          </w:tcPr>
          <w:p>
            <w:pPr/>
          </w:p>
        </w:tc>
        <w:tc>
          <w:tcPr>
            <w:tcW w:w="2115" w:type="dxa"/>
            <w:tcBorders>
              <w:top w:val="single" w:sz="6" w:space="0" w:color="000000"/>
              <w:left w:val="single" w:sz="6" w:space="0" w:color="000000"/>
              <w:bottom w:val="single" w:sz="6" w:space="0" w:color="000000"/>
              <w:right w:val="single" w:sz="6" w:space="0" w:color="000000"/>
            </w:tcBorders>
            <w:shd w:val="clear" w:color="auto" w:fill="A6A6A6"/>
          </w:tcPr>
          <w:p>
            <w:pPr/>
          </w:p>
        </w:tc>
        <w:tc>
          <w:tcPr>
            <w:tcW w:w="2625" w:type="dxa"/>
            <w:tcBorders>
              <w:top w:val="single" w:sz="6" w:space="0" w:color="000000"/>
              <w:left w:val="single" w:sz="6" w:space="0" w:color="000000"/>
              <w:bottom w:val="single" w:sz="6" w:space="0" w:color="000000"/>
              <w:right w:val="single" w:sz="6" w:space="0" w:color="000000"/>
            </w:tcBorders>
            <w:shd w:val="clear" w:color="auto" w:fill="A6A6A6"/>
          </w:tcPr>
          <w:p>
            <w:pPr>
              <w:pStyle w:val="TableParagraph"/>
              <w:spacing w:before="33"/>
              <w:ind w:left="-16" w:right="113"/>
              <w:rPr>
                <w:b/>
                <w:sz w:val="24"/>
              </w:rPr>
            </w:pPr>
            <w:r>
              <w:rPr>
                <w:b/>
                <w:sz w:val="24"/>
              </w:rPr>
              <w:t>9.670.750,58</w:t>
            </w:r>
          </w:p>
        </w:tc>
        <w:tc>
          <w:tcPr>
            <w:tcW w:w="2910" w:type="dxa"/>
            <w:tcBorders>
              <w:top w:val="single" w:sz="6" w:space="0" w:color="000000"/>
              <w:left w:val="single" w:sz="6" w:space="0" w:color="000000"/>
              <w:bottom w:val="single" w:sz="6" w:space="0" w:color="000000"/>
              <w:right w:val="single" w:sz="6" w:space="0" w:color="000000"/>
            </w:tcBorders>
            <w:shd w:val="clear" w:color="auto" w:fill="A6A6A6"/>
          </w:tcPr>
          <w:p>
            <w:pPr/>
          </w:p>
        </w:tc>
      </w:tr>
    </w:tbl>
    <w:p>
      <w:pPr>
        <w:pStyle w:val="BodyText"/>
        <w:rPr>
          <w:sz w:val="20"/>
        </w:rPr>
      </w:pPr>
    </w:p>
    <w:p>
      <w:pPr>
        <w:pStyle w:val="BodyText"/>
        <w:spacing w:before="2"/>
        <w:rPr>
          <w:sz w:val="23"/>
        </w:rPr>
      </w:pPr>
    </w:p>
    <w:p>
      <w:pPr>
        <w:pStyle w:val="BodyText"/>
        <w:spacing w:line="480" w:lineRule="auto" w:before="101"/>
        <w:ind w:left="1418" w:right="1413"/>
        <w:jc w:val="both"/>
      </w:pPr>
      <w:r>
        <w:rPr/>
        <w:t>In riferimento al </w:t>
      </w:r>
      <w:r>
        <w:rPr>
          <w:b/>
        </w:rPr>
        <w:t>progetto RESINTEX</w:t>
      </w:r>
      <w:r>
        <w:rPr/>
        <w:t>, si segnala che in data 22 aprile 2015 Biochemtex e altre 19 Società hanno sottoscritto con la Comunità Europea il </w:t>
      </w:r>
      <w:r>
        <w:rPr>
          <w:i/>
        </w:rPr>
        <w:t>Grant Agreement </w:t>
      </w:r>
      <w:r>
        <w:rPr/>
        <w:t>n. 641942 volto allo sviluppo delle tecniche di conversione dei rifiuti tessili in prodotti chimici.</w:t>
      </w:r>
    </w:p>
    <w:p>
      <w:pPr>
        <w:pStyle w:val="BodyText"/>
        <w:spacing w:line="480" w:lineRule="auto"/>
        <w:ind w:left="1418" w:right="1415"/>
        <w:jc w:val="both"/>
      </w:pPr>
      <w:r>
        <w:rPr/>
        <w:t>Biochemtex ha ricevuto un pre-finanziamento di Euro 287.827,32 (incassato nel 09.2015), a novembre 2017 è stata effettuata la seconda rendicontazione, per cui è maturato un credito di Euro 115.748 che viene decurtato dal pre-finanziamento. Alla data del 15 ottobre pertanto il debito residuo in riferimento al suddetto progetto ammonta ad Euro 172.079.</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In riferimento al </w:t>
      </w:r>
      <w:r>
        <w:rPr>
          <w:b/>
        </w:rPr>
        <w:t>progetto COMETA</w:t>
      </w:r>
      <w:r>
        <w:rPr/>
        <w:t>, Biochemtex (coordinatore) ha ricevuto un pre- finanziamento pari ad Euro 4.895.357,91 (incassato al 04.2014):</w:t>
      </w:r>
    </w:p>
    <w:p>
      <w:pPr>
        <w:pStyle w:val="ListParagraph"/>
        <w:numPr>
          <w:ilvl w:val="0"/>
          <w:numId w:val="83"/>
        </w:numPr>
        <w:tabs>
          <w:tab w:pos="2274" w:val="left" w:leader="none"/>
        </w:tabs>
        <w:spacing w:line="480" w:lineRule="auto" w:before="0" w:after="0"/>
        <w:ind w:left="2138" w:right="1416" w:firstLine="0"/>
        <w:jc w:val="both"/>
        <w:rPr>
          <w:sz w:val="24"/>
        </w:rPr>
      </w:pPr>
      <w:r>
        <w:rPr>
          <w:sz w:val="24"/>
        </w:rPr>
        <w:t>a giugno 2015 il Budget rendicontato è stato pari ad Euro 650.188,56, ed è stato ricevuto un contributo a fondo perduto pari a Euro</w:t>
      </w:r>
      <w:r>
        <w:rPr>
          <w:spacing w:val="-19"/>
          <w:sz w:val="24"/>
        </w:rPr>
        <w:t> </w:t>
      </w:r>
      <w:r>
        <w:rPr>
          <w:sz w:val="24"/>
        </w:rPr>
        <w:t>367.101,73;</w:t>
      </w:r>
    </w:p>
    <w:p>
      <w:pPr>
        <w:pStyle w:val="ListParagraph"/>
        <w:numPr>
          <w:ilvl w:val="0"/>
          <w:numId w:val="83"/>
        </w:numPr>
        <w:tabs>
          <w:tab w:pos="2298" w:val="left" w:leader="none"/>
        </w:tabs>
        <w:spacing w:line="480" w:lineRule="auto" w:before="0" w:after="0"/>
        <w:ind w:left="2138" w:right="1414" w:firstLine="0"/>
        <w:jc w:val="both"/>
        <w:rPr>
          <w:sz w:val="24"/>
        </w:rPr>
      </w:pPr>
      <w:r>
        <w:rPr>
          <w:sz w:val="24"/>
        </w:rPr>
        <w:t>a dicembre 2016 il Budget rendicontato è stato pari ad Euro 529.832,36, il contributo incassato a fondo perduto è stato pari ad Euro</w:t>
      </w:r>
      <w:r>
        <w:rPr>
          <w:spacing w:val="-24"/>
          <w:sz w:val="24"/>
        </w:rPr>
        <w:t> </w:t>
      </w:r>
      <w:r>
        <w:rPr>
          <w:sz w:val="24"/>
        </w:rPr>
        <w:t>356.093,07;</w:t>
      </w:r>
    </w:p>
    <w:p>
      <w:pPr>
        <w:pStyle w:val="ListParagraph"/>
        <w:numPr>
          <w:ilvl w:val="0"/>
          <w:numId w:val="83"/>
        </w:numPr>
        <w:tabs>
          <w:tab w:pos="2317" w:val="left" w:leader="none"/>
        </w:tabs>
        <w:spacing w:line="480" w:lineRule="auto" w:before="0" w:after="0"/>
        <w:ind w:left="2138" w:right="1417" w:firstLine="0"/>
        <w:jc w:val="both"/>
        <w:rPr>
          <w:sz w:val="24"/>
        </w:rPr>
      </w:pPr>
      <w:r>
        <w:rPr>
          <w:sz w:val="24"/>
        </w:rPr>
        <w:t>a dicembre 2017 il Budget rendicontato è stato pari ad Euro 109.513,33, per cui si prevede di incassare un contributo a fondo perduto maturato, per un importo pari ad Euro</w:t>
      </w:r>
      <w:r>
        <w:rPr>
          <w:spacing w:val="-2"/>
          <w:sz w:val="24"/>
        </w:rPr>
        <w:t> </w:t>
      </w:r>
      <w:r>
        <w:rPr>
          <w:sz w:val="24"/>
        </w:rPr>
        <w:t>69.208,18.</w:t>
      </w:r>
    </w:p>
    <w:p>
      <w:pPr>
        <w:pStyle w:val="BodyText"/>
        <w:spacing w:line="480" w:lineRule="auto"/>
        <w:ind w:left="1418" w:right="1518"/>
      </w:pPr>
      <w:r>
        <w:rPr/>
        <w:t>Alla data del 15 ottobre pertanto il debito residuo in riferimento al suddetto progetto ammonta  ad Euro</w:t>
      </w:r>
      <w:r>
        <w:rPr>
          <w:spacing w:val="-4"/>
        </w:rPr>
        <w:t> </w:t>
      </w:r>
      <w:r>
        <w:rPr/>
        <w:t>4.895.358.</w:t>
      </w:r>
    </w:p>
    <w:p>
      <w:pPr>
        <w:pStyle w:val="BodyText"/>
        <w:spacing w:line="480" w:lineRule="auto"/>
        <w:ind w:left="1418" w:right="1518"/>
      </w:pPr>
      <w:r>
        <w:rPr/>
        <w:t>Per maggiori informazioni in merito al progetto in esame si rimanda al paragrafo relativo alle immobilizzazioni immateriali.</w:t>
      </w:r>
    </w:p>
    <w:p>
      <w:pPr>
        <w:pStyle w:val="BodyText"/>
        <w:spacing w:line="480" w:lineRule="auto"/>
        <w:ind w:left="1418" w:right="1518"/>
      </w:pPr>
      <w:r>
        <w:rPr/>
        <w:t>In riferimento al </w:t>
      </w:r>
      <w:r>
        <w:rPr>
          <w:b/>
        </w:rPr>
        <w:t>progetto BIOREFLAY, </w:t>
      </w:r>
      <w:r>
        <w:rPr/>
        <w:t>Biochemtex (coordinatore) ha ricevuto un pre- finanziamento pari ad Euro 3.613.946 (incassato il 12/2014):</w:t>
      </w:r>
    </w:p>
    <w:p>
      <w:pPr>
        <w:pStyle w:val="ListParagraph"/>
        <w:numPr>
          <w:ilvl w:val="0"/>
          <w:numId w:val="84"/>
        </w:numPr>
        <w:tabs>
          <w:tab w:pos="2012" w:val="left" w:leader="none"/>
        </w:tabs>
        <w:spacing w:line="480" w:lineRule="auto" w:before="0" w:after="0"/>
        <w:ind w:left="1846" w:right="1418" w:firstLine="0"/>
        <w:jc w:val="both"/>
        <w:rPr>
          <w:sz w:val="24"/>
        </w:rPr>
      </w:pPr>
      <w:r>
        <w:rPr>
          <w:sz w:val="24"/>
        </w:rPr>
        <w:t>a giugno 2015 il Budget rendicontato è stato pari ad Euro 945.540 per cui il contributo incassato a fondo perduto è stato pari ad Euro</w:t>
      </w:r>
      <w:r>
        <w:rPr>
          <w:spacing w:val="-24"/>
          <w:sz w:val="24"/>
        </w:rPr>
        <w:t> </w:t>
      </w:r>
      <w:r>
        <w:rPr>
          <w:sz w:val="24"/>
        </w:rPr>
        <w:t>534.800;</w:t>
      </w:r>
    </w:p>
    <w:p>
      <w:pPr>
        <w:pStyle w:val="ListParagraph"/>
        <w:numPr>
          <w:ilvl w:val="0"/>
          <w:numId w:val="84"/>
        </w:numPr>
        <w:tabs>
          <w:tab w:pos="1991" w:val="left" w:leader="none"/>
        </w:tabs>
        <w:spacing w:line="480" w:lineRule="auto" w:before="0" w:after="0"/>
        <w:ind w:left="1846" w:right="1413" w:firstLine="0"/>
        <w:jc w:val="both"/>
        <w:rPr>
          <w:sz w:val="24"/>
        </w:rPr>
      </w:pPr>
      <w:r>
        <w:rPr>
          <w:sz w:val="24"/>
        </w:rPr>
        <w:t>a dicembre 2017 il Budget rendicontato è stato pari ad Euro 618.604, per cui si prevede di incassare un contributo a fondo perduto pari ad Euro 372.523 (che andrà a ridurre il </w:t>
      </w:r>
      <w:r>
        <w:rPr>
          <w:i/>
          <w:sz w:val="24"/>
        </w:rPr>
        <w:t>pre- </w:t>
      </w:r>
      <w:r>
        <w:rPr>
          <w:i/>
          <w:sz w:val="24"/>
        </w:rPr>
        <w:t>financing </w:t>
      </w:r>
      <w:r>
        <w:rPr>
          <w:sz w:val="24"/>
        </w:rPr>
        <w:t>nel momento in cui sarà</w:t>
      </w:r>
      <w:r>
        <w:rPr>
          <w:spacing w:val="-17"/>
          <w:sz w:val="24"/>
        </w:rPr>
        <w:t> </w:t>
      </w:r>
      <w:r>
        <w:rPr>
          <w:sz w:val="24"/>
        </w:rPr>
        <w:t>incassato).</w:t>
      </w:r>
    </w:p>
    <w:p>
      <w:pPr>
        <w:pStyle w:val="BodyText"/>
        <w:spacing w:line="480" w:lineRule="auto"/>
        <w:ind w:left="1418" w:right="1518"/>
      </w:pPr>
      <w:r>
        <w:rPr/>
        <w:t>Il debito nei confronti della commissione Europea alla data del 15 ottobre 2017 ammonta ad Euro</w:t>
      </w:r>
      <w:r>
        <w:rPr>
          <w:spacing w:val="-2"/>
        </w:rPr>
        <w:t> </w:t>
      </w:r>
      <w:r>
        <w:rPr/>
        <w:t>3.613.946.</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Per maggiori informazioni in merito al progetto in esame si rimanda al paragrafo relativo alle immobilizzazioni immateriali.</w:t>
      </w:r>
    </w:p>
    <w:p>
      <w:pPr>
        <w:pStyle w:val="BodyText"/>
        <w:spacing w:line="480" w:lineRule="auto"/>
        <w:ind w:left="1418" w:right="1413"/>
        <w:jc w:val="both"/>
      </w:pPr>
      <w:r>
        <w:rPr/>
        <w:t>In riferimento al </w:t>
      </w:r>
      <w:r>
        <w:rPr>
          <w:b/>
        </w:rPr>
        <w:t>progetto BIOSKOH </w:t>
      </w:r>
      <w:r>
        <w:rPr/>
        <w:t>di cui Biochemtex è il coordinatore, si segnala che in data 30 maggio 2016 Biochemtex e altre dieci società hanno sottoscritto con la Comunità Europea il </w:t>
      </w:r>
      <w:r>
        <w:rPr>
          <w:i/>
        </w:rPr>
        <w:t>Consortium Agreement </w:t>
      </w:r>
      <w:r>
        <w:rPr/>
        <w:t>n. 709557 volto allo sviluppo degli “</w:t>
      </w:r>
      <w:r>
        <w:rPr>
          <w:i/>
        </w:rPr>
        <w:t>stepping stones</w:t>
      </w:r>
      <w:r>
        <w:rPr/>
        <w:t>” per la produzione di bioeatanolo di seconda generazione.</w:t>
      </w:r>
    </w:p>
    <w:p>
      <w:pPr>
        <w:pStyle w:val="BodyText"/>
        <w:spacing w:line="480" w:lineRule="auto"/>
        <w:ind w:left="1418" w:right="1419"/>
        <w:jc w:val="both"/>
      </w:pPr>
      <w:r>
        <w:rPr/>
        <w:t>In particolare, gli scriventi segnalano che la Bio-Based Industries Joint Undertaking (BBI JU), regolarmente informata del concordato, ha chiesto di predisporre tutta la documentazione necessaria per sostituire il coordinatore.</w:t>
      </w:r>
    </w:p>
    <w:p>
      <w:pPr>
        <w:pStyle w:val="BodyText"/>
        <w:spacing w:line="480" w:lineRule="auto"/>
        <w:ind w:left="1418" w:right="1413"/>
      </w:pPr>
      <w:r>
        <w:rPr/>
        <w:t>Biochemtex ha ricevuto un Prefinanziamento pari ad Euro 374.735,24 (incassato nel 05/2016). Infine, si segnala che a dicembre 2017 il Budget rendicontato è stato pari ad Euro 517,152,66, per cui si prevede un possibile contributo a fondo perduto maturato pari ad Euro 362.006,86.</w:t>
      </w:r>
    </w:p>
    <w:p>
      <w:pPr>
        <w:pStyle w:val="BodyText"/>
        <w:ind w:left="1418"/>
        <w:jc w:val="both"/>
      </w:pPr>
      <w:r>
        <w:rPr/>
        <w:t>In riferimento al </w:t>
      </w:r>
      <w:r>
        <w:rPr>
          <w:b/>
        </w:rPr>
        <w:t>progetto REHAP, </w:t>
      </w:r>
      <w:r>
        <w:rPr/>
        <w:t>si segnala che in data 4 novembre 2016 Biochemtex e   altre</w:t>
      </w:r>
    </w:p>
    <w:p>
      <w:pPr>
        <w:pStyle w:val="BodyText"/>
        <w:spacing w:before="11"/>
        <w:rPr>
          <w:sz w:val="23"/>
        </w:rPr>
      </w:pPr>
    </w:p>
    <w:p>
      <w:pPr>
        <w:pStyle w:val="ListParagraph"/>
        <w:numPr>
          <w:ilvl w:val="0"/>
          <w:numId w:val="85"/>
        </w:numPr>
        <w:tabs>
          <w:tab w:pos="1770" w:val="left" w:leader="none"/>
        </w:tabs>
        <w:spacing w:line="480" w:lineRule="auto" w:before="0" w:after="0"/>
        <w:ind w:left="1418" w:right="1415" w:firstLine="0"/>
        <w:jc w:val="both"/>
        <w:rPr>
          <w:sz w:val="24"/>
        </w:rPr>
      </w:pPr>
      <w:r>
        <w:rPr>
          <w:sz w:val="24"/>
        </w:rPr>
        <w:t>società hanno sottoscritto un </w:t>
      </w:r>
      <w:r>
        <w:rPr>
          <w:i/>
          <w:sz w:val="24"/>
        </w:rPr>
        <w:t>Consortium Agreement </w:t>
      </w:r>
      <w:r>
        <w:rPr>
          <w:sz w:val="24"/>
        </w:rPr>
        <w:t>con la Comunità Europea volto allo sviluppo di un sistema che permetta di ridurre la CO2 nei processi di trasformazione dei prodotti agroforestali in prodotti ad alto valore</w:t>
      </w:r>
      <w:r>
        <w:rPr>
          <w:spacing w:val="-17"/>
          <w:sz w:val="24"/>
        </w:rPr>
        <w:t> </w:t>
      </w:r>
      <w:r>
        <w:rPr>
          <w:sz w:val="24"/>
        </w:rPr>
        <w:t>aggiunto.</w:t>
      </w:r>
    </w:p>
    <w:p>
      <w:pPr>
        <w:pStyle w:val="BodyText"/>
        <w:spacing w:line="480" w:lineRule="auto"/>
        <w:ind w:left="1418" w:right="1416"/>
        <w:jc w:val="both"/>
      </w:pPr>
      <w:r>
        <w:rPr/>
        <w:t>Si precisa che Biochemtex ha ricevuto un pre-finanziamento pari ad Euro 130.567,50 (incassato a dicembre 2016), non è stata effettuata nessuna rendicontazione, per cui il debito nei confronti della commissione Europea alla data del 15 ottobre 2017 ammonta ad Euro 130.567,50.</w:t>
      </w:r>
    </w:p>
    <w:p>
      <w:pPr>
        <w:pStyle w:val="BodyText"/>
        <w:spacing w:line="480" w:lineRule="auto"/>
        <w:ind w:left="1418" w:right="1413"/>
        <w:jc w:val="both"/>
      </w:pPr>
      <w:r>
        <w:rPr/>
        <w:t>In riferimento al </w:t>
      </w:r>
      <w:r>
        <w:rPr>
          <w:b/>
        </w:rPr>
        <w:t>progetto BIOECOOL, </w:t>
      </w:r>
      <w:r>
        <w:rPr/>
        <w:t>si segnala che Biochemtex e altre 12 società in data 3 aprile 2017 hanno sottoscritto con la Comunità Europea il </w:t>
      </w:r>
      <w:r>
        <w:rPr>
          <w:i/>
        </w:rPr>
        <w:t>Grant Agreement </w:t>
      </w:r>
      <w:r>
        <w:rPr/>
        <w:t>n. 744821 volto allo sviluppo dei biocarburanti lignocellulosici.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6"/>
        <w:jc w:val="both"/>
      </w:pPr>
      <w:r>
        <w:rPr/>
        <w:t>Si segnala che Biochemtex ha ricevuto un pre-finanziamento pari ad Euro 193.152,08 (incassato a 06/2017), non è stata effettuata nessuna rendicontazione, per cui il debito nei confronti della commissione Europea alla data del 15 ottobre 2017 ammonta ad Euro 193.152,08.</w:t>
      </w:r>
    </w:p>
    <w:p>
      <w:pPr>
        <w:pStyle w:val="BodyText"/>
        <w:spacing w:line="480" w:lineRule="auto"/>
        <w:ind w:left="1418" w:right="1414"/>
        <w:jc w:val="both"/>
      </w:pPr>
      <w:r>
        <w:rPr/>
        <w:t>In riferimento al </w:t>
      </w:r>
      <w:r>
        <w:rPr>
          <w:b/>
        </w:rPr>
        <w:t>progetto LIGNOX, </w:t>
      </w:r>
      <w:r>
        <w:rPr/>
        <w:t>si segnala che in data 25 aprile 2017 Biochemtex e altre nove società hanno sottoscritto il </w:t>
      </w:r>
      <w:r>
        <w:rPr>
          <w:i/>
        </w:rPr>
        <w:t>Grant Agreement </w:t>
      </w:r>
      <w:r>
        <w:rPr/>
        <w:t>n. 745246 volto allo sviluppo delle tecnologie di ossidazione della lignina.</w:t>
      </w:r>
    </w:p>
    <w:p>
      <w:pPr>
        <w:pStyle w:val="BodyText"/>
        <w:spacing w:line="480" w:lineRule="auto"/>
        <w:ind w:left="1418" w:right="1414"/>
        <w:jc w:val="both"/>
      </w:pPr>
      <w:r>
        <w:rPr/>
        <w:t>In particolare, Biochemtex ha ricevuto un pre-finanziamento Euro 130.906,25 (incassato a 06/2017), non è stata effettuata nessuna rendicontazione, per cui il debito nei confronti della commissione Europea alla data del 15 ottobre 2017 ammonta ad Euro 130.906,25.</w:t>
      </w:r>
    </w:p>
    <w:p>
      <w:pPr>
        <w:pStyle w:val="BodyText"/>
        <w:spacing w:line="480" w:lineRule="auto"/>
        <w:ind w:left="1418" w:right="1415"/>
        <w:jc w:val="both"/>
      </w:pPr>
      <w:r>
        <w:rPr/>
        <w:t>Per quanto riguarda il </w:t>
      </w:r>
      <w:r>
        <w:rPr>
          <w:b/>
        </w:rPr>
        <w:t>progetto ELETTRA, </w:t>
      </w:r>
      <w:r>
        <w:rPr/>
        <w:t>Biochemtex (coordinatore) e altre tre società (inclusa IBP S.r.l.) hanno sottoscritto un accordo di collaborazione con il Ministero volto allo sviluppo delle tecnologie di produzione di energia elettrica dal residuo di lignina derivante da impianti di bioetanolo. Biochemtex ha ricevuto un prefinanziamento pari ad Euro 187.006,47 (incassato a 05.2017).</w:t>
      </w:r>
    </w:p>
    <w:p>
      <w:pPr>
        <w:pStyle w:val="BodyText"/>
        <w:spacing w:line="480" w:lineRule="auto"/>
        <w:ind w:left="1418" w:right="1414"/>
        <w:jc w:val="both"/>
      </w:pPr>
      <w:r>
        <w:rPr/>
        <w:t>La società Biochemtex ha effettuato il primo SAL, CSEA-Ministero MISE, nel mese di maggio 2017 ma non è maturato nessun contributo da ricevere.</w:t>
      </w:r>
    </w:p>
    <w:p>
      <w:pPr>
        <w:pStyle w:val="BodyText"/>
        <w:spacing w:line="480" w:lineRule="auto"/>
        <w:ind w:left="1418" w:right="1423"/>
        <w:jc w:val="both"/>
      </w:pPr>
      <w:r>
        <w:rPr/>
        <w:t>Il secondo SAL era previsto a dicembre 2017 e non è stato ricevuto nessun contributo. Per cui il debito nei confronti della MISE alla data del 15 ottobre 2017 ammonta ad Euro 187.006,47.</w:t>
      </w:r>
    </w:p>
    <w:p>
      <w:pPr>
        <w:pStyle w:val="BodyText"/>
        <w:spacing w:line="480" w:lineRule="auto"/>
        <w:ind w:left="1418" w:right="1420"/>
        <w:jc w:val="both"/>
      </w:pPr>
      <w:r>
        <w:rPr/>
        <w:t>Per maggiori informazioni in merito al progetto in esame si rimanda al paragrafo relativo alle immobilizzazioni immateriali.</w:t>
      </w:r>
    </w:p>
    <w:p>
      <w:pPr>
        <w:pStyle w:val="BodyText"/>
        <w:ind w:left="1418"/>
        <w:jc w:val="both"/>
      </w:pPr>
      <w:r>
        <w:rPr>
          <w:u w:val="single"/>
        </w:rPr>
        <w:t>Attività Svolta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2"/>
        <w:jc w:val="both"/>
      </w:pPr>
      <w:r>
        <w:rPr/>
        <w:t>Ai fini della veridicità dei dati contabili, gli scriventi hanno preso visione dei </w:t>
      </w:r>
      <w:r>
        <w:rPr>
          <w:i/>
        </w:rPr>
        <w:t>Grant Agreement </w:t>
      </w:r>
      <w:r>
        <w:rPr/>
        <w:t>e </w:t>
      </w:r>
      <w:r>
        <w:rPr>
          <w:i/>
        </w:rPr>
        <w:t>Consortium Agreement </w:t>
      </w:r>
      <w:r>
        <w:rPr/>
        <w:t>sopra citati, nonché del prospetto riepilogativo dei contributi e dei progetti fornito dal management della Società.</w:t>
      </w:r>
    </w:p>
    <w:p>
      <w:pPr>
        <w:pStyle w:val="BodyText"/>
        <w:ind w:left="1418"/>
        <w:jc w:val="both"/>
      </w:pPr>
      <w:r>
        <w:rPr>
          <w:u w:val="single"/>
        </w:rPr>
        <w:t>Valorizzazione concordataria</w:t>
      </w:r>
    </w:p>
    <w:p>
      <w:pPr>
        <w:pStyle w:val="BodyText"/>
      </w:pPr>
    </w:p>
    <w:p>
      <w:pPr>
        <w:spacing w:line="480" w:lineRule="auto" w:before="0"/>
        <w:ind w:left="1418" w:right="1410" w:firstLine="0"/>
        <w:jc w:val="both"/>
        <w:rPr>
          <w:i/>
          <w:sz w:val="24"/>
        </w:rPr>
      </w:pPr>
      <w:r>
        <w:rPr>
          <w:sz w:val="24"/>
        </w:rPr>
        <w:t>Ai fini del piano concordatario, il debito riferito al progetto Elettra è stato classificato come debito privilegiato in quanto vantato dal Ministero, mentre i debiti riferiti ai restanti progetti sono stati interamente rettificati a zero, considerato che in data 19 aprile 2018 lo studio legale GOP precisa che: </w:t>
      </w:r>
      <w:r>
        <w:rPr>
          <w:i/>
          <w:sz w:val="24"/>
        </w:rPr>
        <w:t>“facciamo seguito alla pregressa corrispondenza in argomento e alle comunicazioni di Beta </w:t>
      </w:r>
      <w:r>
        <w:rPr>
          <w:i/>
          <w:sz w:val="24"/>
        </w:rPr>
        <w:t>Renewables e di Biochemtex, in data odierna, che si allegano alla presente e con la quale le Società hanno precisato inter alia:</w:t>
      </w:r>
    </w:p>
    <w:p>
      <w:pPr>
        <w:pStyle w:val="ListParagraph"/>
        <w:numPr>
          <w:ilvl w:val="1"/>
          <w:numId w:val="85"/>
        </w:numPr>
        <w:tabs>
          <w:tab w:pos="2127" w:val="left" w:leader="none"/>
        </w:tabs>
        <w:spacing w:line="475" w:lineRule="auto" w:before="0" w:after="0"/>
        <w:ind w:left="2138" w:right="1424" w:hanging="360"/>
        <w:jc w:val="both"/>
        <w:rPr>
          <w:i/>
          <w:sz w:val="24"/>
        </w:rPr>
      </w:pPr>
      <w:r>
        <w:rPr>
          <w:i/>
          <w:sz w:val="24"/>
        </w:rPr>
        <w:t>che la lista dei progetti soggetti a finanza agevolata conclusi ed in corso è stata caricata nella data room </w:t>
      </w:r>
      <w:r>
        <w:rPr>
          <w:i/>
          <w:sz w:val="24"/>
        </w:rPr>
        <w:t>aperta a Versalis per la propria attività di due diligence, il 20 novembre 2017 e il 15 gennaio</w:t>
      </w:r>
      <w:r>
        <w:rPr>
          <w:i/>
          <w:spacing w:val="-27"/>
          <w:sz w:val="24"/>
        </w:rPr>
        <w:t> </w:t>
      </w:r>
      <w:r>
        <w:rPr>
          <w:i/>
          <w:sz w:val="24"/>
        </w:rPr>
        <w:t>2018;</w:t>
      </w:r>
    </w:p>
    <w:p>
      <w:pPr>
        <w:pStyle w:val="ListParagraph"/>
        <w:numPr>
          <w:ilvl w:val="1"/>
          <w:numId w:val="85"/>
        </w:numPr>
        <w:tabs>
          <w:tab w:pos="2127" w:val="left" w:leader="none"/>
        </w:tabs>
        <w:spacing w:line="475" w:lineRule="auto" w:before="5" w:after="0"/>
        <w:ind w:left="2138" w:right="1416" w:hanging="360"/>
        <w:jc w:val="both"/>
        <w:rPr>
          <w:i/>
          <w:sz w:val="24"/>
        </w:rPr>
      </w:pPr>
      <w:r>
        <w:rPr>
          <w:i/>
          <w:sz w:val="24"/>
        </w:rPr>
        <w:t>che anche i contratti relativi ai suddetti progetti finanziati sono stati caricati in data room nelle medesime </w:t>
      </w:r>
      <w:r>
        <w:rPr>
          <w:i/>
          <w:sz w:val="24"/>
        </w:rPr>
        <w:t>date;</w:t>
      </w:r>
    </w:p>
    <w:p>
      <w:pPr>
        <w:pStyle w:val="ListParagraph"/>
        <w:numPr>
          <w:ilvl w:val="1"/>
          <w:numId w:val="85"/>
        </w:numPr>
        <w:tabs>
          <w:tab w:pos="2127" w:val="left" w:leader="none"/>
        </w:tabs>
        <w:spacing w:line="472" w:lineRule="auto" w:before="3" w:after="0"/>
        <w:ind w:left="2138" w:right="1413" w:hanging="360"/>
        <w:jc w:val="both"/>
        <w:rPr>
          <w:i/>
          <w:sz w:val="24"/>
        </w:rPr>
      </w:pPr>
      <w:r>
        <w:rPr>
          <w:i/>
          <w:sz w:val="24"/>
        </w:rPr>
        <w:t>che, in particolare, i progetti di cui si tratta sono tutti relativi e/o funzionali ad attività o tecnologie </w:t>
      </w:r>
      <w:r>
        <w:rPr>
          <w:i/>
          <w:sz w:val="24"/>
        </w:rPr>
        <w:t>“Bio”;</w:t>
      </w:r>
    </w:p>
    <w:p>
      <w:pPr>
        <w:pStyle w:val="ListParagraph"/>
        <w:numPr>
          <w:ilvl w:val="1"/>
          <w:numId w:val="85"/>
        </w:numPr>
        <w:tabs>
          <w:tab w:pos="2127" w:val="left" w:leader="none"/>
        </w:tabs>
        <w:spacing w:line="475" w:lineRule="auto" w:before="6" w:after="0"/>
        <w:ind w:left="2138" w:right="1412" w:hanging="360"/>
        <w:jc w:val="both"/>
        <w:rPr>
          <w:i/>
          <w:sz w:val="24"/>
        </w:rPr>
      </w:pPr>
      <w:r>
        <w:rPr>
          <w:i/>
          <w:sz w:val="24"/>
        </w:rPr>
        <w:t>che, relativamente ai progetti in corso, ad oggi le società hanno incassato solamente contributi a fondo </w:t>
      </w:r>
      <w:r>
        <w:rPr>
          <w:i/>
          <w:sz w:val="24"/>
        </w:rPr>
        <w:t>perduto a titolo di</w:t>
      </w:r>
      <w:r>
        <w:rPr>
          <w:i/>
          <w:spacing w:val="-13"/>
          <w:sz w:val="24"/>
        </w:rPr>
        <w:t> </w:t>
      </w:r>
      <w:r>
        <w:rPr>
          <w:i/>
          <w:sz w:val="24"/>
        </w:rPr>
        <w:t>pre-finanziamento;</w:t>
      </w:r>
    </w:p>
    <w:p>
      <w:pPr>
        <w:pStyle w:val="ListParagraph"/>
        <w:numPr>
          <w:ilvl w:val="1"/>
          <w:numId w:val="85"/>
        </w:numPr>
        <w:tabs>
          <w:tab w:pos="2127" w:val="left" w:leader="none"/>
        </w:tabs>
        <w:spacing w:line="477" w:lineRule="auto" w:before="4" w:after="0"/>
        <w:ind w:left="2138" w:right="1414" w:hanging="360"/>
        <w:jc w:val="both"/>
        <w:rPr>
          <w:i/>
          <w:sz w:val="24"/>
        </w:rPr>
      </w:pPr>
      <w:r>
        <w:rPr>
          <w:i/>
          <w:sz w:val="24"/>
        </w:rPr>
        <w:t>che tali pre-finanziamenti vengono riportati nella contabilità aziendale tra le passività, che vengono via via </w:t>
      </w:r>
      <w:r>
        <w:rPr>
          <w:i/>
          <w:sz w:val="24"/>
        </w:rPr>
        <w:t>ridotte in funzione dell’avanzamento lavori dietro emissione di SAL, soggetti ad approvazione delle autorità competenti, riportati tra le attività</w:t>
      </w:r>
      <w:r>
        <w:rPr>
          <w:i/>
          <w:spacing w:val="-30"/>
          <w:sz w:val="24"/>
        </w:rPr>
        <w:t> </w:t>
      </w:r>
      <w:r>
        <w:rPr>
          <w:i/>
          <w:sz w:val="24"/>
        </w:rPr>
        <w:t>aziendali;</w:t>
      </w:r>
    </w:p>
    <w:p>
      <w:pPr>
        <w:pStyle w:val="ListParagraph"/>
        <w:numPr>
          <w:ilvl w:val="1"/>
          <w:numId w:val="85"/>
        </w:numPr>
        <w:tabs>
          <w:tab w:pos="2127" w:val="left" w:leader="none"/>
        </w:tabs>
        <w:spacing w:line="240" w:lineRule="auto" w:before="1" w:after="0"/>
        <w:ind w:left="2126" w:right="0" w:hanging="348"/>
        <w:jc w:val="left"/>
        <w:rPr>
          <w:i/>
          <w:sz w:val="24"/>
        </w:rPr>
      </w:pPr>
      <w:r>
        <w:rPr>
          <w:i/>
          <w:sz w:val="24"/>
        </w:rPr>
        <w:t>che solo in caso di mancato completamento del progetto i pre-finanziamenti dovrebbero essere</w:t>
      </w:r>
      <w:r>
        <w:rPr>
          <w:i/>
          <w:spacing w:val="-33"/>
          <w:sz w:val="24"/>
        </w:rPr>
        <w:t> </w:t>
      </w:r>
      <w:r>
        <w:rPr>
          <w:i/>
          <w:sz w:val="24"/>
        </w:rPr>
        <w:t>restituiti;</w:t>
      </w:r>
    </w:p>
    <w:p>
      <w:pPr>
        <w:spacing w:after="0" w:line="240" w:lineRule="auto"/>
        <w:jc w:val="left"/>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2"/>
        <w:rPr>
          <w:i/>
          <w:sz w:val="27"/>
        </w:rPr>
      </w:pPr>
    </w:p>
    <w:p>
      <w:pPr>
        <w:pStyle w:val="ListParagraph"/>
        <w:numPr>
          <w:ilvl w:val="1"/>
          <w:numId w:val="85"/>
        </w:numPr>
        <w:tabs>
          <w:tab w:pos="2127" w:val="left" w:leader="none"/>
        </w:tabs>
        <w:spacing w:line="475" w:lineRule="auto" w:before="100" w:after="0"/>
        <w:ind w:left="2138" w:right="1413" w:hanging="360"/>
        <w:jc w:val="both"/>
        <w:rPr>
          <w:i/>
          <w:sz w:val="24"/>
        </w:rPr>
      </w:pPr>
      <w:r>
        <w:rPr>
          <w:i/>
          <w:sz w:val="24"/>
        </w:rPr>
        <w:t>che i pre-finanziamenti ricevuti sono stati utilizzati per lo sviluppo dei progetti relativi alle </w:t>
      </w:r>
      <w:r>
        <w:rPr>
          <w:i/>
          <w:sz w:val="24"/>
        </w:rPr>
        <w:t>attività/tecnologie</w:t>
      </w:r>
      <w:r>
        <w:rPr>
          <w:i/>
          <w:spacing w:val="-5"/>
          <w:sz w:val="24"/>
        </w:rPr>
        <w:t> </w:t>
      </w:r>
      <w:r>
        <w:rPr>
          <w:i/>
          <w:sz w:val="24"/>
        </w:rPr>
        <w:t>Bio.</w:t>
      </w:r>
    </w:p>
    <w:p>
      <w:pPr>
        <w:spacing w:line="480" w:lineRule="auto" w:before="5"/>
        <w:ind w:left="1418" w:right="1413" w:firstLine="0"/>
        <w:jc w:val="left"/>
        <w:rPr>
          <w:i/>
          <w:sz w:val="24"/>
        </w:rPr>
      </w:pPr>
      <w:r>
        <w:rPr>
          <w:i/>
          <w:sz w:val="24"/>
        </w:rPr>
        <w:t>Il meccanismo descritto da parte delle Società ci pare conforme e coerente con le General Conditions del FP7 Grant </w:t>
      </w:r>
      <w:r>
        <w:rPr>
          <w:i/>
          <w:sz w:val="24"/>
        </w:rPr>
        <w:t>Agreement (Annex II), le quali:</w:t>
      </w:r>
    </w:p>
    <w:p>
      <w:pPr>
        <w:pStyle w:val="ListParagraph"/>
        <w:numPr>
          <w:ilvl w:val="1"/>
          <w:numId w:val="85"/>
        </w:numPr>
        <w:tabs>
          <w:tab w:pos="2127" w:val="left" w:leader="none"/>
        </w:tabs>
        <w:spacing w:line="477" w:lineRule="auto" w:before="0" w:after="0"/>
        <w:ind w:left="2138" w:right="1412" w:hanging="360"/>
        <w:jc w:val="both"/>
        <w:rPr>
          <w:i/>
          <w:sz w:val="24"/>
        </w:rPr>
      </w:pPr>
      <w:r>
        <w:rPr>
          <w:i/>
          <w:sz w:val="24"/>
        </w:rPr>
        <w:t>al paragrafo II.19, prevedono che il “pre-financing remains the property of the Unione until the final </w:t>
      </w:r>
      <w:r>
        <w:rPr>
          <w:i/>
          <w:sz w:val="24"/>
        </w:rPr>
        <w:t>payment” (intendendo per “final payment” il pagamento dell’ultima tranche di contributi da parte della Commissione, cfr. par. II.6), con ciò stabilendo che al termine del progetto, il prefinanziamento debba ragionevolmente intendersi definitivamente acquisito in capo al</w:t>
      </w:r>
      <w:r>
        <w:rPr>
          <w:i/>
          <w:spacing w:val="-25"/>
          <w:sz w:val="24"/>
        </w:rPr>
        <w:t> </w:t>
      </w:r>
      <w:r>
        <w:rPr>
          <w:i/>
          <w:sz w:val="24"/>
        </w:rPr>
        <w:t>beneficiario;</w:t>
      </w:r>
    </w:p>
    <w:p>
      <w:pPr>
        <w:pStyle w:val="ListParagraph"/>
        <w:numPr>
          <w:ilvl w:val="1"/>
          <w:numId w:val="85"/>
        </w:numPr>
        <w:tabs>
          <w:tab w:pos="2127" w:val="left" w:leader="none"/>
        </w:tabs>
        <w:spacing w:line="240" w:lineRule="auto" w:before="2" w:after="0"/>
        <w:ind w:left="2126" w:right="0" w:hanging="348"/>
        <w:jc w:val="left"/>
        <w:rPr>
          <w:i/>
          <w:sz w:val="24"/>
        </w:rPr>
      </w:pPr>
      <w:r>
        <w:rPr>
          <w:i/>
          <w:sz w:val="24"/>
        </w:rPr>
        <w:t>non prevedono una disciplina di rimborso fisiologico del</w:t>
      </w:r>
      <w:r>
        <w:rPr>
          <w:i/>
          <w:spacing w:val="-24"/>
          <w:sz w:val="24"/>
        </w:rPr>
        <w:t> </w:t>
      </w:r>
      <w:r>
        <w:rPr>
          <w:i/>
          <w:sz w:val="24"/>
        </w:rPr>
        <w:t>prefinanziamento;</w:t>
      </w:r>
    </w:p>
    <w:p>
      <w:pPr>
        <w:pStyle w:val="BodyText"/>
        <w:spacing w:before="8"/>
        <w:rPr>
          <w:i/>
          <w:sz w:val="23"/>
        </w:rPr>
      </w:pPr>
    </w:p>
    <w:p>
      <w:pPr>
        <w:pStyle w:val="ListParagraph"/>
        <w:numPr>
          <w:ilvl w:val="1"/>
          <w:numId w:val="85"/>
        </w:numPr>
        <w:tabs>
          <w:tab w:pos="2127" w:val="left" w:leader="none"/>
        </w:tabs>
        <w:spacing w:line="480" w:lineRule="auto" w:before="1" w:after="0"/>
        <w:ind w:left="2138" w:right="1411" w:hanging="360"/>
        <w:jc w:val="both"/>
        <w:rPr>
          <w:i/>
          <w:sz w:val="24"/>
        </w:rPr>
      </w:pPr>
      <w:r>
        <w:rPr>
          <w:i/>
          <w:sz w:val="24"/>
        </w:rPr>
        <w:t>prevedono un unico meccanismo di rimborso al par. II.21, relativo alle restituzioni dovute in caso di eventi </w:t>
      </w:r>
      <w:r>
        <w:rPr>
          <w:i/>
          <w:sz w:val="24"/>
        </w:rPr>
        <w:t>patologici del rapporto tra i quali, in particolare e per quanto più ci riguarda, per il caso di mancato completamento del progetto finanziato. In tale ipotesi, peraltro, va sottolineato che i contratti prevedono, contestualmente all’erogazione dei Pre-finanziamenti, che l’Organo erogante trattenga un importo pari al 5% delle somme concesse, quale </w:t>
      </w:r>
      <w:r>
        <w:rPr>
          <w:i/>
          <w:sz w:val="24"/>
          <w:u w:val="single"/>
        </w:rPr>
        <w:t>Fondo a garanzia del mancato rimborso </w:t>
      </w:r>
      <w:r>
        <w:rPr>
          <w:i/>
          <w:sz w:val="24"/>
        </w:rPr>
        <w:t>del Pre-finanziamento ove, al verificarsi di uno dei predetti eventi patologici, la Società non provveda alla restituzione del Pre- finanziamento erogato, entro 30 giorni dall’eventuale richiesta in tal senso formulata dalla</w:t>
      </w:r>
      <w:r>
        <w:rPr>
          <w:i/>
          <w:spacing w:val="-21"/>
          <w:sz w:val="24"/>
        </w:rPr>
        <w:t> </w:t>
      </w:r>
      <w:r>
        <w:rPr>
          <w:i/>
          <w:sz w:val="24"/>
        </w:rPr>
        <w:t>UE.</w:t>
      </w:r>
    </w:p>
    <w:p>
      <w:pPr>
        <w:spacing w:line="480" w:lineRule="auto" w:before="0"/>
        <w:ind w:left="1418" w:right="1518" w:firstLine="0"/>
        <w:jc w:val="left"/>
        <w:rPr>
          <w:i/>
          <w:sz w:val="24"/>
        </w:rPr>
      </w:pPr>
      <w:r>
        <w:rPr>
          <w:i/>
          <w:sz w:val="24"/>
        </w:rPr>
        <w:t>Venendo al caso di specie e alla valutazione del rischio che la Comunità Europea possa chiedere il rimborso di  </w:t>
      </w:r>
      <w:r>
        <w:rPr>
          <w:i/>
          <w:sz w:val="24"/>
        </w:rPr>
        <w:t>detti finanziamenti, rileviamo</w:t>
      </w:r>
      <w:r>
        <w:rPr>
          <w:i/>
          <w:spacing w:val="-14"/>
          <w:sz w:val="24"/>
        </w:rPr>
        <w:t> </w:t>
      </w:r>
      <w:r>
        <w:rPr>
          <w:i/>
          <w:sz w:val="24"/>
        </w:rPr>
        <w:t>che:</w:t>
      </w:r>
    </w:p>
    <w:p>
      <w:pPr>
        <w:pStyle w:val="ListParagraph"/>
        <w:numPr>
          <w:ilvl w:val="1"/>
          <w:numId w:val="85"/>
        </w:numPr>
        <w:tabs>
          <w:tab w:pos="2127" w:val="left" w:leader="none"/>
        </w:tabs>
        <w:spacing w:line="463" w:lineRule="auto" w:before="0" w:after="0"/>
        <w:ind w:left="2138" w:right="1411" w:hanging="360"/>
        <w:jc w:val="both"/>
        <w:rPr>
          <w:i/>
          <w:sz w:val="24"/>
        </w:rPr>
      </w:pPr>
      <w:r>
        <w:rPr>
          <w:i/>
          <w:sz w:val="24"/>
        </w:rPr>
        <w:t>l’Offerta Versalis prevede espressamente che “</w:t>
      </w:r>
      <w:r>
        <w:rPr>
          <w:b/>
          <w:i/>
          <w:sz w:val="25"/>
        </w:rPr>
        <w:t>fanno parte delle Aziende Bio </w:t>
      </w:r>
      <w:r>
        <w:rPr>
          <w:i/>
          <w:sz w:val="24"/>
        </w:rPr>
        <w:t>e sono pertanto </w:t>
      </w:r>
      <w:r>
        <w:rPr>
          <w:i/>
          <w:sz w:val="24"/>
        </w:rPr>
        <w:t>oggetto della presente Offerta e saranno trasferiti a all’Offerente, </w:t>
      </w:r>
      <w:r>
        <w:rPr>
          <w:b/>
          <w:i/>
          <w:sz w:val="25"/>
        </w:rPr>
        <w:t>tutti i singoli beni, diritti e rapporti inerenti e/o funzionali alle Attività Bio e/o alle Tecnologie Bio </w:t>
      </w:r>
      <w:r>
        <w:rPr>
          <w:i/>
          <w:sz w:val="24"/>
        </w:rPr>
        <w:t>(complessivamente i “Beni e Rapporti Trasferiti”, ivi inclusi, a titolo esemplificativo e non esaustivo  </w:t>
      </w:r>
      <w:r>
        <w:rPr>
          <w:i/>
          <w:spacing w:val="43"/>
          <w:sz w:val="24"/>
        </w:rPr>
        <w:t> </w:t>
      </w:r>
      <w:r>
        <w:rPr>
          <w:i/>
          <w:sz w:val="24"/>
        </w:rPr>
        <w:t>…:</w:t>
      </w:r>
    </w:p>
    <w:p>
      <w:pPr>
        <w:spacing w:before="11"/>
        <w:ind w:left="2138" w:right="0" w:firstLine="0"/>
        <w:jc w:val="left"/>
        <w:rPr>
          <w:b/>
          <w:i/>
          <w:sz w:val="25"/>
        </w:rPr>
      </w:pPr>
      <w:r>
        <w:rPr>
          <w:i/>
          <w:sz w:val="24"/>
        </w:rPr>
        <w:t>(vii)  </w:t>
      </w:r>
      <w:r>
        <w:rPr>
          <w:b/>
          <w:i/>
          <w:sz w:val="25"/>
        </w:rPr>
        <w:t>Finanziamenti  agevolati</w:t>
      </w:r>
      <w:r>
        <w:rPr>
          <w:i/>
          <w:sz w:val="24"/>
        </w:rPr>
        <w:t>:  la  documentazione,  </w:t>
      </w:r>
      <w:r>
        <w:rPr>
          <w:b/>
          <w:i/>
          <w:sz w:val="25"/>
        </w:rPr>
        <w:t>i  progetti  (incluso  lo  stato  </w:t>
      </w:r>
      <w:r>
        <w:rPr>
          <w:b/>
          <w:i/>
          <w:spacing w:val="53"/>
          <w:sz w:val="25"/>
        </w:rPr>
        <w:t> </w:t>
      </w:r>
      <w:r>
        <w:rPr>
          <w:b/>
          <w:i/>
          <w:sz w:val="25"/>
        </w:rPr>
        <w:t>di</w:t>
      </w:r>
    </w:p>
    <w:p>
      <w:pPr>
        <w:spacing w:after="0"/>
        <w:jc w:val="left"/>
        <w:rPr>
          <w:sz w:val="25"/>
        </w:rPr>
        <w:sectPr>
          <w:pgSz w:w="11910" w:h="16840"/>
          <w:pgMar w:header="707" w:footer="1025" w:top="1740" w:bottom="1220" w:left="0" w:right="0"/>
        </w:sectPr>
      </w:pPr>
    </w:p>
    <w:p>
      <w:pPr>
        <w:pStyle w:val="BodyText"/>
        <w:rPr>
          <w:b/>
          <w:i/>
          <w:sz w:val="20"/>
        </w:rPr>
      </w:pPr>
    </w:p>
    <w:p>
      <w:pPr>
        <w:pStyle w:val="BodyText"/>
        <w:rPr>
          <w:b/>
          <w:i/>
          <w:sz w:val="20"/>
        </w:rPr>
      </w:pPr>
    </w:p>
    <w:p>
      <w:pPr>
        <w:pStyle w:val="BodyText"/>
        <w:rPr>
          <w:b/>
          <w:i/>
          <w:sz w:val="20"/>
        </w:rPr>
      </w:pPr>
    </w:p>
    <w:p>
      <w:pPr>
        <w:pStyle w:val="BodyText"/>
        <w:spacing w:before="4"/>
        <w:rPr>
          <w:b/>
          <w:i/>
          <w:sz w:val="26"/>
        </w:rPr>
      </w:pPr>
    </w:p>
    <w:p>
      <w:pPr>
        <w:spacing w:line="460" w:lineRule="auto" w:before="102"/>
        <w:ind w:left="2138" w:right="1412" w:firstLine="0"/>
        <w:jc w:val="both"/>
        <w:rPr>
          <w:i/>
          <w:sz w:val="24"/>
        </w:rPr>
      </w:pPr>
      <w:r>
        <w:rPr>
          <w:b/>
          <w:i/>
          <w:sz w:val="25"/>
        </w:rPr>
        <w:t>avanzamento </w:t>
      </w:r>
      <w:r>
        <w:rPr>
          <w:i/>
          <w:sz w:val="24"/>
        </w:rPr>
        <w:t>sino alla Data di Esecuzione) … i rapporti, i contratti, le convenzioni e ogni altro </w:t>
      </w:r>
      <w:r>
        <w:rPr>
          <w:i/>
          <w:sz w:val="24"/>
        </w:rPr>
        <w:t>elemento relativo e/o necessari al mantenimento dei finanziamenti agevolati, </w:t>
      </w:r>
      <w:r>
        <w:rPr>
          <w:b/>
          <w:i/>
          <w:sz w:val="25"/>
        </w:rPr>
        <w:t>sovvenzioni, </w:t>
      </w:r>
      <w:r>
        <w:rPr>
          <w:b/>
          <w:i/>
          <w:sz w:val="25"/>
          <w:u w:val="single"/>
        </w:rPr>
        <w:t>grant, </w:t>
      </w:r>
      <w:r>
        <w:rPr>
          <w:b/>
          <w:i/>
          <w:sz w:val="25"/>
        </w:rPr>
        <w:t>finanziamenti alla ricerca e sviluppo </w:t>
      </w:r>
      <w:r>
        <w:rPr>
          <w:i/>
          <w:sz w:val="24"/>
        </w:rPr>
        <w:t>e altra agevolazione o sovvenzione … </w:t>
      </w:r>
      <w:r>
        <w:rPr>
          <w:b/>
          <w:i/>
          <w:sz w:val="25"/>
        </w:rPr>
        <w:t>restando espressamente esclusi i debiti e gli obblighi, </w:t>
      </w:r>
      <w:r>
        <w:rPr>
          <w:i/>
          <w:sz w:val="24"/>
        </w:rPr>
        <w:t>anche di rimborso o relativi a inadempimenti, </w:t>
      </w:r>
      <w:r>
        <w:rPr>
          <w:i/>
          <w:sz w:val="24"/>
        </w:rPr>
        <w:t>penali,</w:t>
      </w:r>
      <w:r>
        <w:rPr>
          <w:i/>
          <w:spacing w:val="-13"/>
          <w:sz w:val="24"/>
        </w:rPr>
        <w:t> </w:t>
      </w:r>
      <w:r>
        <w:rPr>
          <w:b/>
          <w:i/>
          <w:sz w:val="25"/>
        </w:rPr>
        <w:t>maturati</w:t>
      </w:r>
      <w:r>
        <w:rPr>
          <w:b/>
          <w:i/>
          <w:spacing w:val="-15"/>
          <w:sz w:val="25"/>
        </w:rPr>
        <w:t> </w:t>
      </w:r>
      <w:r>
        <w:rPr>
          <w:b/>
          <w:i/>
          <w:sz w:val="25"/>
        </w:rPr>
        <w:t>sino</w:t>
      </w:r>
      <w:r>
        <w:rPr>
          <w:b/>
          <w:i/>
          <w:spacing w:val="-15"/>
          <w:sz w:val="25"/>
        </w:rPr>
        <w:t> </w:t>
      </w:r>
      <w:r>
        <w:rPr>
          <w:b/>
          <w:i/>
          <w:sz w:val="25"/>
        </w:rPr>
        <w:t>alla</w:t>
      </w:r>
      <w:r>
        <w:rPr>
          <w:b/>
          <w:i/>
          <w:spacing w:val="-14"/>
          <w:sz w:val="25"/>
        </w:rPr>
        <w:t> </w:t>
      </w:r>
      <w:r>
        <w:rPr>
          <w:b/>
          <w:i/>
          <w:sz w:val="25"/>
        </w:rPr>
        <w:t>Data</w:t>
      </w:r>
      <w:r>
        <w:rPr>
          <w:b/>
          <w:i/>
          <w:spacing w:val="-14"/>
          <w:sz w:val="25"/>
        </w:rPr>
        <w:t> </w:t>
      </w:r>
      <w:r>
        <w:rPr>
          <w:b/>
          <w:i/>
          <w:sz w:val="25"/>
        </w:rPr>
        <w:t>di</w:t>
      </w:r>
      <w:r>
        <w:rPr>
          <w:b/>
          <w:i/>
          <w:spacing w:val="-15"/>
          <w:sz w:val="25"/>
        </w:rPr>
        <w:t> </w:t>
      </w:r>
      <w:r>
        <w:rPr>
          <w:b/>
          <w:i/>
          <w:sz w:val="25"/>
        </w:rPr>
        <w:t>Esecuzione</w:t>
      </w:r>
      <w:r>
        <w:rPr>
          <w:b/>
          <w:i/>
          <w:spacing w:val="-14"/>
          <w:sz w:val="25"/>
        </w:rPr>
        <w:t> </w:t>
      </w:r>
      <w:r>
        <w:rPr>
          <w:b/>
          <w:i/>
          <w:sz w:val="25"/>
        </w:rPr>
        <w:t>o</w:t>
      </w:r>
      <w:r>
        <w:rPr>
          <w:b/>
          <w:i/>
          <w:spacing w:val="-16"/>
          <w:sz w:val="25"/>
        </w:rPr>
        <w:t> </w:t>
      </w:r>
      <w:r>
        <w:rPr>
          <w:b/>
          <w:i/>
          <w:sz w:val="25"/>
        </w:rPr>
        <w:t>comunque</w:t>
      </w:r>
      <w:r>
        <w:rPr>
          <w:b/>
          <w:i/>
          <w:spacing w:val="-14"/>
          <w:sz w:val="25"/>
        </w:rPr>
        <w:t> </w:t>
      </w:r>
      <w:r>
        <w:rPr>
          <w:b/>
          <w:i/>
          <w:sz w:val="25"/>
        </w:rPr>
        <w:t>conseguenti</w:t>
      </w:r>
      <w:r>
        <w:rPr>
          <w:b/>
          <w:i/>
          <w:spacing w:val="-14"/>
          <w:sz w:val="25"/>
        </w:rPr>
        <w:t> </w:t>
      </w:r>
      <w:r>
        <w:rPr>
          <w:b/>
          <w:i/>
          <w:sz w:val="25"/>
        </w:rPr>
        <w:t>a</w:t>
      </w:r>
      <w:r>
        <w:rPr>
          <w:b/>
          <w:i/>
          <w:spacing w:val="-14"/>
          <w:sz w:val="25"/>
        </w:rPr>
        <w:t> </w:t>
      </w:r>
      <w:r>
        <w:rPr>
          <w:b/>
          <w:i/>
          <w:sz w:val="25"/>
        </w:rPr>
        <w:t>eventuali azioni</w:t>
      </w:r>
      <w:r>
        <w:rPr>
          <w:b/>
          <w:i/>
          <w:spacing w:val="-26"/>
          <w:sz w:val="25"/>
        </w:rPr>
        <w:t> </w:t>
      </w:r>
      <w:r>
        <w:rPr>
          <w:b/>
          <w:i/>
          <w:sz w:val="25"/>
        </w:rPr>
        <w:t>o</w:t>
      </w:r>
      <w:r>
        <w:rPr>
          <w:b/>
          <w:i/>
          <w:spacing w:val="-25"/>
          <w:sz w:val="25"/>
        </w:rPr>
        <w:t> </w:t>
      </w:r>
      <w:r>
        <w:rPr>
          <w:b/>
          <w:i/>
          <w:sz w:val="25"/>
        </w:rPr>
        <w:t>omissioni</w:t>
      </w:r>
      <w:r>
        <w:rPr>
          <w:b/>
          <w:i/>
          <w:spacing w:val="-25"/>
          <w:sz w:val="25"/>
        </w:rPr>
        <w:t> </w:t>
      </w:r>
      <w:r>
        <w:rPr>
          <w:b/>
          <w:i/>
          <w:sz w:val="25"/>
        </w:rPr>
        <w:t>compiute</w:t>
      </w:r>
      <w:r>
        <w:rPr>
          <w:b/>
          <w:i/>
          <w:spacing w:val="-25"/>
          <w:sz w:val="25"/>
        </w:rPr>
        <w:t> </w:t>
      </w:r>
      <w:r>
        <w:rPr>
          <w:b/>
          <w:i/>
          <w:sz w:val="25"/>
        </w:rPr>
        <w:t>dalla</w:t>
      </w:r>
      <w:r>
        <w:rPr>
          <w:b/>
          <w:i/>
          <w:spacing w:val="-25"/>
          <w:sz w:val="25"/>
        </w:rPr>
        <w:t> </w:t>
      </w:r>
      <w:r>
        <w:rPr>
          <w:b/>
          <w:i/>
          <w:sz w:val="25"/>
        </w:rPr>
        <w:t>Società</w:t>
      </w:r>
      <w:r>
        <w:rPr>
          <w:b/>
          <w:i/>
          <w:spacing w:val="-25"/>
          <w:sz w:val="25"/>
        </w:rPr>
        <w:t> </w:t>
      </w:r>
      <w:r>
        <w:rPr>
          <w:b/>
          <w:i/>
          <w:sz w:val="25"/>
        </w:rPr>
        <w:t>fino</w:t>
      </w:r>
      <w:r>
        <w:rPr>
          <w:b/>
          <w:i/>
          <w:spacing w:val="-25"/>
          <w:sz w:val="25"/>
        </w:rPr>
        <w:t> </w:t>
      </w:r>
      <w:r>
        <w:rPr>
          <w:b/>
          <w:i/>
          <w:sz w:val="25"/>
        </w:rPr>
        <w:t>alla</w:t>
      </w:r>
      <w:r>
        <w:rPr>
          <w:b/>
          <w:i/>
          <w:spacing w:val="-24"/>
          <w:sz w:val="25"/>
        </w:rPr>
        <w:t> </w:t>
      </w:r>
      <w:r>
        <w:rPr>
          <w:b/>
          <w:i/>
          <w:sz w:val="25"/>
        </w:rPr>
        <w:t>Data</w:t>
      </w:r>
      <w:r>
        <w:rPr>
          <w:b/>
          <w:i/>
          <w:spacing w:val="-25"/>
          <w:sz w:val="25"/>
        </w:rPr>
        <w:t> </w:t>
      </w:r>
      <w:r>
        <w:rPr>
          <w:b/>
          <w:i/>
          <w:sz w:val="25"/>
        </w:rPr>
        <w:t>di</w:t>
      </w:r>
      <w:r>
        <w:rPr>
          <w:b/>
          <w:i/>
          <w:spacing w:val="-26"/>
          <w:sz w:val="25"/>
        </w:rPr>
        <w:t> </w:t>
      </w:r>
      <w:r>
        <w:rPr>
          <w:b/>
          <w:i/>
          <w:sz w:val="25"/>
        </w:rPr>
        <w:t>Esecuzione</w:t>
      </w:r>
      <w:r>
        <w:rPr>
          <w:i/>
          <w:sz w:val="24"/>
        </w:rPr>
        <w:t>”</w:t>
      </w:r>
      <w:r>
        <w:rPr>
          <w:i/>
          <w:spacing w:val="-22"/>
          <w:sz w:val="24"/>
        </w:rPr>
        <w:t> </w:t>
      </w:r>
      <w:r>
        <w:rPr>
          <w:i/>
          <w:sz w:val="24"/>
        </w:rPr>
        <w:t>(cfr.</w:t>
      </w:r>
      <w:r>
        <w:rPr>
          <w:i/>
          <w:spacing w:val="-22"/>
          <w:sz w:val="24"/>
        </w:rPr>
        <w:t> </w:t>
      </w:r>
      <w:r>
        <w:rPr>
          <w:i/>
          <w:sz w:val="24"/>
        </w:rPr>
        <w:t>art.</w:t>
      </w:r>
      <w:r>
        <w:rPr>
          <w:i/>
          <w:spacing w:val="-24"/>
          <w:sz w:val="24"/>
        </w:rPr>
        <w:t> </w:t>
      </w:r>
      <w:r>
        <w:rPr>
          <w:i/>
          <w:sz w:val="24"/>
        </w:rPr>
        <w:t>1.2.</w:t>
      </w:r>
    </w:p>
    <w:p>
      <w:pPr>
        <w:spacing w:before="8"/>
        <w:ind w:left="2138" w:right="0" w:firstLine="0"/>
        <w:jc w:val="both"/>
        <w:rPr>
          <w:i/>
          <w:sz w:val="24"/>
        </w:rPr>
      </w:pPr>
      <w:r>
        <w:rPr>
          <w:i/>
          <w:sz w:val="24"/>
        </w:rPr>
        <w:t>– (vii) 1 dell’“Offerta Versalis”);</w:t>
      </w:r>
    </w:p>
    <w:p>
      <w:pPr>
        <w:pStyle w:val="BodyText"/>
        <w:spacing w:before="9"/>
        <w:rPr>
          <w:i/>
          <w:sz w:val="23"/>
        </w:rPr>
      </w:pPr>
    </w:p>
    <w:p>
      <w:pPr>
        <w:pStyle w:val="ListParagraph"/>
        <w:numPr>
          <w:ilvl w:val="0"/>
          <w:numId w:val="86"/>
        </w:numPr>
        <w:tabs>
          <w:tab w:pos="2127" w:val="left" w:leader="none"/>
        </w:tabs>
        <w:spacing w:line="475" w:lineRule="auto" w:before="0" w:after="0"/>
        <w:ind w:left="2138" w:right="1420" w:hanging="360"/>
        <w:jc w:val="both"/>
        <w:rPr>
          <w:i/>
          <w:sz w:val="24"/>
        </w:rPr>
      </w:pPr>
      <w:r>
        <w:rPr>
          <w:i/>
          <w:sz w:val="24"/>
        </w:rPr>
        <w:t>i Pre-finanziamenti concessi, come confermato dalla Società, hanno tutti ad oggetto lo sviluppo del </w:t>
      </w:r>
      <w:r>
        <w:rPr>
          <w:i/>
          <w:sz w:val="24"/>
        </w:rPr>
        <w:t>Bioetanolo e pertanto, a nostro avviso, dovrebbero rientrare nel perimetro dell’Offerta</w:t>
      </w:r>
      <w:r>
        <w:rPr>
          <w:i/>
          <w:spacing w:val="-15"/>
          <w:sz w:val="24"/>
        </w:rPr>
        <w:t> </w:t>
      </w:r>
      <w:r>
        <w:rPr>
          <w:i/>
          <w:sz w:val="24"/>
        </w:rPr>
        <w:t>Versalis;</w:t>
      </w:r>
    </w:p>
    <w:p>
      <w:pPr>
        <w:pStyle w:val="ListParagraph"/>
        <w:numPr>
          <w:ilvl w:val="0"/>
          <w:numId w:val="86"/>
        </w:numPr>
        <w:tabs>
          <w:tab w:pos="2127" w:val="left" w:leader="none"/>
        </w:tabs>
        <w:spacing w:line="477" w:lineRule="auto" w:before="3" w:after="0"/>
        <w:ind w:left="2138" w:right="1415" w:hanging="360"/>
        <w:jc w:val="both"/>
        <w:rPr>
          <w:i/>
          <w:sz w:val="24"/>
        </w:rPr>
      </w:pPr>
      <w:r>
        <w:rPr>
          <w:i/>
          <w:sz w:val="24"/>
        </w:rPr>
        <w:t>sulla base della ricostruzione contrattuale sopra rappresentata, allo stato (e ragionevolmente anche alla </w:t>
      </w:r>
      <w:r>
        <w:rPr>
          <w:i/>
          <w:sz w:val="24"/>
        </w:rPr>
        <w:t>“Data di Esecuzione”, come indicata nell’Offerta Versalis) non sussistono in capo alle Società verso la UE né “debiti né obblighi di rimborso”, né penali conseguenti ad azioni o omissioni delle Società medesime.</w:t>
      </w:r>
    </w:p>
    <w:p>
      <w:pPr>
        <w:spacing w:line="480" w:lineRule="auto" w:before="2"/>
        <w:ind w:left="1418" w:right="1416" w:firstLine="0"/>
        <w:jc w:val="both"/>
        <w:rPr>
          <w:i/>
          <w:sz w:val="24"/>
        </w:rPr>
      </w:pPr>
      <w:r>
        <w:rPr>
          <w:i/>
          <w:sz w:val="24"/>
        </w:rPr>
        <w:t>Sulla base di tali assunti e visto il tenore letterale dell’Offerta formulata, riteniamo che i Progetti (e i relativi oneri </w:t>
      </w:r>
      <w:r>
        <w:rPr>
          <w:i/>
          <w:sz w:val="24"/>
        </w:rPr>
        <w:t>potenziali) rientrino nell’Offerta Versalis, anche alla luce del fatto che quest’ultima ne ha potuto prendere visione nel corso della due diligence. Inoltre, riteniamo plausibile considerare l’eventuale restituzione del prefinanziamento erogato dalla Commissione Europea, tutt’al più, quale passività potenziale che, afferendo al “Perimetro Bio”, dovrà essere gestita da Versalis. Questa infatti, acquisendo i Progetti, avrà anche l’onere di portarli a compimento o, in caso decidesse di non farlo, dovrà sostenerne gli eventuali costi. Non è infatti ipotizzabile il caso in cui le conseguenze rivenienti dal portare o meno avanti i Progetti – che, dopo la loro cessione a Versalis, dipenderanno da scelte imprenditoriali fatte da quest’ultima – posano ricadere sulle Società del Gruppo M&amp;G che, come dalle stesse dichiarato, hanno sino ad oggi dato corso ai progetti e utilizzato i pre-finanziamenti per lo sviluppo delle attività e delle</w:t>
      </w:r>
      <w:r>
        <w:rPr>
          <w:i/>
          <w:spacing w:val="36"/>
          <w:sz w:val="24"/>
        </w:rPr>
        <w:t> </w:t>
      </w:r>
      <w:r>
        <w:rPr>
          <w:i/>
          <w:sz w:val="24"/>
        </w:rPr>
        <w:t>tecnologie</w:t>
      </w:r>
      <w:r>
        <w:rPr>
          <w:i/>
          <w:spacing w:val="36"/>
          <w:sz w:val="24"/>
        </w:rPr>
        <w:t> </w:t>
      </w:r>
      <w:r>
        <w:rPr>
          <w:i/>
          <w:sz w:val="24"/>
        </w:rPr>
        <w:t>Bio</w:t>
      </w:r>
      <w:r>
        <w:rPr>
          <w:sz w:val="24"/>
        </w:rPr>
        <w:t>.</w:t>
      </w:r>
      <w:r>
        <w:rPr>
          <w:spacing w:val="38"/>
          <w:sz w:val="24"/>
        </w:rPr>
        <w:t> </w:t>
      </w:r>
      <w:r>
        <w:rPr>
          <w:i/>
          <w:sz w:val="24"/>
        </w:rPr>
        <w:t>In</w:t>
      </w:r>
      <w:r>
        <w:rPr>
          <w:i/>
          <w:spacing w:val="37"/>
          <w:sz w:val="24"/>
        </w:rPr>
        <w:t> </w:t>
      </w:r>
      <w:r>
        <w:rPr>
          <w:i/>
          <w:sz w:val="24"/>
        </w:rPr>
        <w:t>questa</w:t>
      </w:r>
      <w:r>
        <w:rPr>
          <w:i/>
          <w:spacing w:val="38"/>
          <w:sz w:val="24"/>
        </w:rPr>
        <w:t> </w:t>
      </w:r>
      <w:r>
        <w:rPr>
          <w:i/>
          <w:sz w:val="24"/>
        </w:rPr>
        <w:t>situazione</w:t>
      </w:r>
      <w:r>
        <w:rPr>
          <w:i/>
          <w:spacing w:val="37"/>
          <w:sz w:val="24"/>
        </w:rPr>
        <w:t> </w:t>
      </w:r>
      <w:r>
        <w:rPr>
          <w:i/>
          <w:sz w:val="24"/>
        </w:rPr>
        <w:t>ci</w:t>
      </w:r>
      <w:r>
        <w:rPr>
          <w:i/>
          <w:spacing w:val="37"/>
          <w:sz w:val="24"/>
        </w:rPr>
        <w:t> </w:t>
      </w:r>
      <w:r>
        <w:rPr>
          <w:i/>
          <w:sz w:val="24"/>
        </w:rPr>
        <w:t>pare</w:t>
      </w:r>
      <w:r>
        <w:rPr>
          <w:i/>
          <w:spacing w:val="36"/>
          <w:sz w:val="24"/>
        </w:rPr>
        <w:t> </w:t>
      </w:r>
      <w:r>
        <w:rPr>
          <w:i/>
          <w:sz w:val="24"/>
        </w:rPr>
        <w:t>ragionevole</w:t>
      </w:r>
      <w:r>
        <w:rPr>
          <w:i/>
          <w:spacing w:val="37"/>
          <w:sz w:val="24"/>
        </w:rPr>
        <w:t> </w:t>
      </w:r>
      <w:r>
        <w:rPr>
          <w:i/>
          <w:sz w:val="24"/>
        </w:rPr>
        <w:t>ritenere</w:t>
      </w:r>
      <w:r>
        <w:rPr>
          <w:i/>
          <w:spacing w:val="37"/>
          <w:sz w:val="24"/>
        </w:rPr>
        <w:t> </w:t>
      </w:r>
      <w:r>
        <w:rPr>
          <w:i/>
          <w:sz w:val="24"/>
        </w:rPr>
        <w:t>che</w:t>
      </w:r>
      <w:r>
        <w:rPr>
          <w:i/>
          <w:spacing w:val="37"/>
          <w:sz w:val="24"/>
        </w:rPr>
        <w:t> </w:t>
      </w:r>
      <w:r>
        <w:rPr>
          <w:i/>
          <w:sz w:val="24"/>
        </w:rPr>
        <w:t>ove</w:t>
      </w:r>
      <w:r>
        <w:rPr>
          <w:i/>
          <w:spacing w:val="37"/>
          <w:sz w:val="24"/>
        </w:rPr>
        <w:t> </w:t>
      </w:r>
      <w:r>
        <w:rPr>
          <w:i/>
          <w:sz w:val="24"/>
        </w:rPr>
        <w:t>Versalis,</w:t>
      </w:r>
      <w:r>
        <w:rPr>
          <w:i/>
          <w:spacing w:val="37"/>
          <w:sz w:val="24"/>
        </w:rPr>
        <w:t> </w:t>
      </w:r>
      <w:r>
        <w:rPr>
          <w:i/>
          <w:sz w:val="24"/>
        </w:rPr>
        <w:t>successivamente</w:t>
      </w:r>
      <w:r>
        <w:rPr>
          <w:i/>
          <w:spacing w:val="36"/>
          <w:sz w:val="24"/>
        </w:rPr>
        <w:t> </w:t>
      </w:r>
      <w:r>
        <w:rPr>
          <w:i/>
          <w:sz w:val="24"/>
        </w:rPr>
        <w:t>al</w:t>
      </w:r>
      <w:r>
        <w:rPr>
          <w:i/>
          <w:spacing w:val="37"/>
          <w:sz w:val="24"/>
        </w:rPr>
        <w:t> </w:t>
      </w:r>
      <w:r>
        <w:rPr>
          <w:i/>
          <w:sz w:val="24"/>
        </w:rPr>
        <w:t>suo</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1" w:firstLine="0"/>
        <w:jc w:val="both"/>
        <w:rPr>
          <w:sz w:val="24"/>
        </w:rPr>
      </w:pPr>
      <w:r>
        <w:rPr>
          <w:i/>
          <w:sz w:val="24"/>
        </w:rPr>
        <w:t>subentro nei Progetti, dovesse interrompere lo sviluppo, con conseguente richiesta da parte della Commissione </w:t>
      </w:r>
      <w:r>
        <w:rPr>
          <w:i/>
          <w:sz w:val="24"/>
        </w:rPr>
        <w:t>Europea di restituzione dei pre-finanziamenti erogati, tale richiesta dovrebbe essere rivolta dall’Ente erogante direttamente a Versalis e, ove anche fosse rivolta alle Società, queste potrebbero contestare la debenza e, nell’eventuale contenzioso che ne dovesse derivare, chiamare in causa Versalis per essere da essa manlevata e/o  agire nei suoi confronti in via di</w:t>
      </w:r>
      <w:r>
        <w:rPr>
          <w:i/>
          <w:spacing w:val="-17"/>
          <w:sz w:val="24"/>
        </w:rPr>
        <w:t> </w:t>
      </w:r>
      <w:r>
        <w:rPr>
          <w:i/>
          <w:sz w:val="24"/>
        </w:rPr>
        <w:t>regresso.</w:t>
      </w:r>
      <w:r>
        <w:rPr>
          <w:sz w:val="24"/>
        </w:rPr>
        <w:t>”</w:t>
      </w:r>
    </w:p>
    <w:p>
      <w:pPr>
        <w:pStyle w:val="BodyText"/>
        <w:spacing w:line="480" w:lineRule="auto"/>
        <w:ind w:left="1418" w:right="1420" w:firstLine="60"/>
        <w:jc w:val="both"/>
      </w:pPr>
      <w:r>
        <w:rPr/>
        <w:t>Alla luce di quanto premesso, gli scriventi recepiscono le conclusioni dello studio legale GOP e concordano con le scelte operate dalla società.</w:t>
      </w:r>
    </w:p>
    <w:p>
      <w:pPr>
        <w:pStyle w:val="Heading2"/>
        <w:numPr>
          <w:ilvl w:val="0"/>
          <w:numId w:val="87"/>
        </w:numPr>
        <w:tabs>
          <w:tab w:pos="2126" w:val="left" w:leader="none"/>
          <w:tab w:pos="2127" w:val="left" w:leader="none"/>
        </w:tabs>
        <w:spacing w:line="304" w:lineRule="exact" w:before="0" w:after="0"/>
        <w:ind w:left="2126" w:right="0" w:hanging="348"/>
        <w:jc w:val="left"/>
        <w:rPr>
          <w:rFonts w:ascii="Symbol"/>
        </w:rPr>
      </w:pPr>
      <w:r>
        <w:rPr/>
        <w:t>Debiti per lavori in corso (Billed in</w:t>
      </w:r>
      <w:r>
        <w:rPr>
          <w:spacing w:val="-21"/>
        </w:rPr>
        <w:t> </w:t>
      </w:r>
      <w:r>
        <w:rPr/>
        <w:t>excess)</w:t>
      </w:r>
    </w:p>
    <w:p>
      <w:pPr>
        <w:pStyle w:val="BodyText"/>
        <w:spacing w:before="2"/>
        <w:rPr>
          <w:b/>
        </w:rPr>
      </w:pPr>
    </w:p>
    <w:p>
      <w:pPr>
        <w:spacing w:line="480" w:lineRule="auto" w:before="1"/>
        <w:ind w:left="1418" w:right="1410" w:firstLine="0"/>
        <w:jc w:val="both"/>
        <w:rPr>
          <w:i/>
          <w:sz w:val="24"/>
        </w:rPr>
      </w:pPr>
      <w:r>
        <w:rPr>
          <w:sz w:val="24"/>
        </w:rPr>
        <w:t>Il debito iscritto nella situazione contabile al 15 ottobre 2017 ammonta ad Euro 13.369.732. In riferimento a tale voce gli scriventi segnalano che, come già anticipato nel paragrafo dei crediti verso i clienti terzi, dalla nota integrativa della società relativa al bilancio chiuso al 31 dicembre 2016 alle pagine 20-21, si evince il metodo di contabilizzazione delle relative commessa, così  come segue: </w:t>
      </w:r>
      <w:r>
        <w:rPr>
          <w:i/>
          <w:sz w:val="24"/>
        </w:rPr>
        <w:t>“Quando il risultato di una commessa a lungo e breve termine può essere stimato con attendibilità, i </w:t>
      </w:r>
      <w:r>
        <w:rPr>
          <w:i/>
          <w:sz w:val="24"/>
        </w:rPr>
        <w:t>ricavi e i costi di commessa riferibili alla commessa devono essere rilevati in relazione allo stato di avanzamento dell'attività di commessa alia data di riferimento del bilancio. Lo stato di avanzamento della commessa viene determinato in base alia proporzione fra i costi di commessa sostenuti per lavori svolti fino alia data di riferimento  e i costi tota li stimati di commessa, ad eccezione dei casi in cui tale metodo non sia rappresentativo dello stato di avanzamento. Le variazioni al contratto, le richieste danni e gli incentivi sono inclusi nella misura in cui gli  importi possano essere misurati attendibilmente e che il relativo rimborso sia considerato</w:t>
      </w:r>
      <w:r>
        <w:rPr>
          <w:i/>
          <w:spacing w:val="-32"/>
          <w:sz w:val="24"/>
        </w:rPr>
        <w:t> </w:t>
      </w:r>
      <w:r>
        <w:rPr>
          <w:i/>
          <w:sz w:val="24"/>
        </w:rPr>
        <w:t>probabile.</w:t>
      </w:r>
    </w:p>
    <w:p>
      <w:pPr>
        <w:spacing w:before="0"/>
        <w:ind w:left="1418" w:right="0" w:firstLine="0"/>
        <w:jc w:val="both"/>
        <w:rPr>
          <w:i/>
          <w:sz w:val="24"/>
        </w:rPr>
      </w:pPr>
      <w:r>
        <w:rPr>
          <w:i/>
          <w:sz w:val="24"/>
        </w:rPr>
        <w:t>Per la determinazione della percentuale di completamento si adotta il criterio del cost-to-cost.</w:t>
      </w:r>
    </w:p>
    <w:p>
      <w:pPr>
        <w:pStyle w:val="BodyText"/>
        <w:spacing w:before="11"/>
        <w:rPr>
          <w:i/>
          <w:sz w:val="23"/>
        </w:rPr>
      </w:pPr>
    </w:p>
    <w:p>
      <w:pPr>
        <w:spacing w:line="480" w:lineRule="auto" w:before="0"/>
        <w:ind w:left="1418" w:right="1419" w:firstLine="0"/>
        <w:jc w:val="both"/>
        <w:rPr>
          <w:i/>
          <w:sz w:val="24"/>
        </w:rPr>
      </w:pPr>
      <w:r>
        <w:rPr>
          <w:i/>
          <w:sz w:val="24"/>
        </w:rPr>
        <w:t>Ad ogni data di riferimento, per tutte le commesse in corso per le quali i costi sostenuti più i margini rilevati (meno </w:t>
      </w:r>
      <w:r>
        <w:rPr>
          <w:i/>
          <w:sz w:val="24"/>
        </w:rPr>
        <w:t>le perdite rilevate) eccedono la fatturazione ad avanzamento lavori, la Società espone come valore dell'attivo</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1" w:firstLine="0"/>
        <w:jc w:val="both"/>
        <w:rPr>
          <w:i/>
          <w:sz w:val="24"/>
        </w:rPr>
      </w:pPr>
      <w:r>
        <w:rPr>
          <w:i/>
          <w:sz w:val="24"/>
        </w:rPr>
        <w:t>l'ammontare lordo dovuto dai committenti per lavori di commessa e lo classifica nella situazione patrimoniale- </w:t>
      </w:r>
      <w:r>
        <w:rPr>
          <w:i/>
          <w:sz w:val="24"/>
        </w:rPr>
        <w:t>finanziaria nella voce "Lavori in corso su ordinazione".</w:t>
      </w:r>
    </w:p>
    <w:p>
      <w:pPr>
        <w:spacing w:line="480" w:lineRule="auto" w:before="0"/>
        <w:ind w:left="1418" w:right="1414" w:firstLine="0"/>
        <w:jc w:val="both"/>
        <w:rPr>
          <w:i/>
          <w:sz w:val="24"/>
        </w:rPr>
      </w:pPr>
      <w:r>
        <w:rPr>
          <w:i/>
          <w:sz w:val="24"/>
        </w:rPr>
        <w:t>Similmente, ad ogni data di riferimento, per tutte le commesse in corso per le quali la fatturazione ad avanzamento </w:t>
      </w:r>
      <w:r>
        <w:rPr>
          <w:i/>
          <w:sz w:val="24"/>
        </w:rPr>
        <w:t>lavori eccede i costi sostenuti più i margini rilevati (meno le perdite rileva te), la Società espone come valore del passivo l'ammontare lordo dovuto ai committenti per lavori di commessa e lo classifica nella situazione patrimoniale-finanziaria nella voce "Anticipi per lavori in corso su ordinazione".</w:t>
      </w:r>
    </w:p>
    <w:p>
      <w:pPr>
        <w:spacing w:line="480" w:lineRule="auto" w:before="0"/>
        <w:ind w:left="1418" w:right="1412" w:firstLine="0"/>
        <w:jc w:val="both"/>
        <w:rPr>
          <w:i/>
          <w:sz w:val="24"/>
        </w:rPr>
      </w:pPr>
      <w:r>
        <w:rPr>
          <w:i/>
          <w:sz w:val="24"/>
        </w:rPr>
        <w:t>Quando il risultato di una commessa non può essere stimato con attendibilità, i ricavi sono rilevati solo nei limiti </w:t>
      </w:r>
      <w:r>
        <w:rPr>
          <w:i/>
          <w:sz w:val="24"/>
        </w:rPr>
        <w:t>dei costi di commessa sostenuti che è probabile saranno recuperati e i costi di commessa sono rilevati come costi nell'esercizio nel quale essi sono sostenuti. Quando è probabile che i costi totali di commessa eccederanno i ricavi totali di commessa, la perdita attesa viene immediatamente rilevata come costo.”</w:t>
      </w:r>
    </w:p>
    <w:p>
      <w:pPr>
        <w:pStyle w:val="BodyText"/>
        <w:ind w:left="1418"/>
        <w:jc w:val="both"/>
      </w:pPr>
      <w:r>
        <w:rPr/>
        <w:t>Pertanto, il conto a debito accoglie due tipologie di scritture:</w:t>
      </w:r>
    </w:p>
    <w:p>
      <w:pPr>
        <w:pStyle w:val="BodyText"/>
      </w:pPr>
    </w:p>
    <w:p>
      <w:pPr>
        <w:pStyle w:val="ListParagraph"/>
        <w:numPr>
          <w:ilvl w:val="0"/>
          <w:numId w:val="88"/>
        </w:numPr>
        <w:tabs>
          <w:tab w:pos="2127" w:val="left" w:leader="none"/>
        </w:tabs>
        <w:spacing w:line="475" w:lineRule="auto" w:before="0" w:after="0"/>
        <w:ind w:left="2138" w:right="1415" w:hanging="360"/>
        <w:jc w:val="both"/>
        <w:rPr>
          <w:sz w:val="24"/>
        </w:rPr>
      </w:pPr>
      <w:r>
        <w:rPr>
          <w:sz w:val="24"/>
        </w:rPr>
        <w:t>scritture di risconto di ricavi su commessa già fatturati, che sono stati sospesi nel conto di debito “billed in excess” in quanto il ricavo di commessa sulla base della percentuale del cost to cost era inferiore rispetto al ricavo fatturato con i SAL. Per tale tipo di scrittura  “di pura competenza economica”, ai fini del concordato i valori costituiti da ricavi sospesi per competenza economica e per tutti i contratti di commessa che sono stati ultimati, si è provveduto al rilascio del risconto passivo a conto</w:t>
      </w:r>
      <w:r>
        <w:rPr>
          <w:spacing w:val="-28"/>
          <w:sz w:val="24"/>
        </w:rPr>
        <w:t> </w:t>
      </w:r>
      <w:r>
        <w:rPr>
          <w:sz w:val="24"/>
        </w:rPr>
        <w:t>economico;</w:t>
      </w:r>
    </w:p>
    <w:p>
      <w:pPr>
        <w:pStyle w:val="ListParagraph"/>
        <w:numPr>
          <w:ilvl w:val="0"/>
          <w:numId w:val="88"/>
        </w:numPr>
        <w:tabs>
          <w:tab w:pos="2127" w:val="left" w:leader="none"/>
        </w:tabs>
        <w:spacing w:line="475" w:lineRule="auto" w:before="5" w:after="0"/>
        <w:ind w:left="2138" w:right="1415" w:hanging="360"/>
        <w:jc w:val="both"/>
        <w:rPr>
          <w:sz w:val="24"/>
        </w:rPr>
      </w:pPr>
      <w:r>
        <w:rPr>
          <w:sz w:val="24"/>
        </w:rPr>
        <w:t>scritture di debiti per acconto su clienti/committenti, che accolgono il valore finanziario degli importi pagati in acconto dal committente per forniture, per cui la ricorrente ha incassato una somma finanziaria e non ha ancora eseguito la commessa. Per tale tipo di scritture, ai fini del concordato è stato rilevato un debito concordatario per importi dovuti al committente su tali</w:t>
      </w:r>
      <w:r>
        <w:rPr>
          <w:spacing w:val="-15"/>
          <w:sz w:val="24"/>
        </w:rPr>
        <w:t> </w:t>
      </w:r>
      <w:r>
        <w:rPr>
          <w:sz w:val="24"/>
        </w:rPr>
        <w:t>acconti.</w:t>
      </w:r>
    </w:p>
    <w:p>
      <w:pPr>
        <w:spacing w:after="0" w:line="475"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4"/>
        <w:jc w:val="both"/>
      </w:pPr>
      <w:r>
        <w:rPr/>
        <w:t>Vi è una terza categoria di “billed in excess” relativo a commesse passate a Versalis che, ai fini concordatari, tali importi sono stati rettificati a zero.</w:t>
      </w:r>
    </w:p>
    <w:p>
      <w:pPr>
        <w:pStyle w:val="BodyText"/>
        <w:spacing w:line="480" w:lineRule="auto"/>
        <w:ind w:left="1418" w:right="1420"/>
        <w:jc w:val="both"/>
      </w:pPr>
      <w:r>
        <w:rPr/>
        <w:t>Alla luce di quanto sopra premesso, di seguito si riporta la tabella riepilogativa dei saldi al 15 ottobre 2017:</w:t>
      </w:r>
    </w:p>
    <w:tbl>
      <w:tblPr>
        <w:tblW w:w="0" w:type="auto"/>
        <w:jc w:val="left"/>
        <w:tblInd w:w="1419"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top w:w="0" w:type="dxa"/>
          <w:left w:w="0" w:type="dxa"/>
          <w:bottom w:w="0" w:type="dxa"/>
          <w:right w:w="0" w:type="dxa"/>
        </w:tblCellMar>
        <w:tblLook w:val="01E0"/>
      </w:tblPr>
      <w:tblGrid>
        <w:gridCol w:w="1166"/>
        <w:gridCol w:w="824"/>
        <w:gridCol w:w="791"/>
        <w:gridCol w:w="791"/>
        <w:gridCol w:w="749"/>
        <w:gridCol w:w="774"/>
        <w:gridCol w:w="3955"/>
      </w:tblGrid>
      <w:tr>
        <w:trPr>
          <w:trHeight w:val="699" w:hRule="exact"/>
        </w:trPr>
        <w:tc>
          <w:tcPr>
            <w:tcW w:w="1166" w:type="dxa"/>
            <w:shd w:val="clear" w:color="auto" w:fill="BEBEBE"/>
          </w:tcPr>
          <w:p>
            <w:pPr>
              <w:pStyle w:val="TableParagraph"/>
              <w:spacing w:before="0"/>
              <w:jc w:val="left"/>
              <w:rPr>
                <w:sz w:val="14"/>
              </w:rPr>
            </w:pPr>
          </w:p>
          <w:p>
            <w:pPr>
              <w:pStyle w:val="TableParagraph"/>
              <w:spacing w:before="0"/>
              <w:jc w:val="left"/>
              <w:rPr>
                <w:sz w:val="14"/>
              </w:rPr>
            </w:pPr>
          </w:p>
          <w:p>
            <w:pPr>
              <w:pStyle w:val="TableParagraph"/>
              <w:spacing w:before="5"/>
              <w:jc w:val="left"/>
              <w:rPr>
                <w:sz w:val="20"/>
              </w:rPr>
            </w:pPr>
          </w:p>
          <w:p>
            <w:pPr>
              <w:pStyle w:val="TableParagraph"/>
              <w:spacing w:before="0"/>
              <w:ind w:left="199"/>
              <w:jc w:val="left"/>
              <w:rPr>
                <w:b/>
                <w:sz w:val="13"/>
              </w:rPr>
            </w:pPr>
            <w:r>
              <w:rPr>
                <w:b/>
                <w:w w:val="105"/>
                <w:sz w:val="13"/>
              </w:rPr>
              <w:t>Committente</w:t>
            </w:r>
          </w:p>
        </w:tc>
        <w:tc>
          <w:tcPr>
            <w:tcW w:w="824" w:type="dxa"/>
            <w:shd w:val="clear" w:color="auto" w:fill="BEBEBE"/>
          </w:tcPr>
          <w:p>
            <w:pPr>
              <w:pStyle w:val="TableParagraph"/>
              <w:spacing w:before="4"/>
              <w:jc w:val="left"/>
              <w:rPr>
                <w:sz w:val="17"/>
              </w:rPr>
            </w:pPr>
          </w:p>
          <w:p>
            <w:pPr>
              <w:pStyle w:val="TableParagraph"/>
              <w:spacing w:before="0"/>
              <w:ind w:left="74"/>
              <w:jc w:val="left"/>
              <w:rPr>
                <w:b/>
                <w:sz w:val="13"/>
              </w:rPr>
            </w:pPr>
            <w:r>
              <w:rPr>
                <w:b/>
                <w:w w:val="105"/>
                <w:sz w:val="13"/>
              </w:rPr>
              <w:t>IMPORTO</w:t>
            </w:r>
          </w:p>
          <w:p>
            <w:pPr>
              <w:pStyle w:val="TableParagraph"/>
              <w:spacing w:line="288" w:lineRule="auto" w:before="28"/>
              <w:ind w:left="108" w:right="5" w:hanging="75"/>
              <w:jc w:val="left"/>
              <w:rPr>
                <w:b/>
                <w:sz w:val="13"/>
              </w:rPr>
            </w:pPr>
            <w:r>
              <w:rPr>
                <w:b/>
                <w:w w:val="105"/>
                <w:sz w:val="13"/>
              </w:rPr>
              <w:t>conto "billed in excess"</w:t>
            </w:r>
          </w:p>
        </w:tc>
        <w:tc>
          <w:tcPr>
            <w:tcW w:w="791" w:type="dxa"/>
            <w:shd w:val="clear" w:color="auto" w:fill="BEBEBE"/>
          </w:tcPr>
          <w:p>
            <w:pPr>
              <w:pStyle w:val="TableParagraph"/>
              <w:spacing w:before="4"/>
              <w:jc w:val="left"/>
              <w:rPr>
                <w:sz w:val="17"/>
              </w:rPr>
            </w:pPr>
          </w:p>
          <w:p>
            <w:pPr>
              <w:pStyle w:val="TableParagraph"/>
              <w:spacing w:line="288" w:lineRule="auto" w:before="0"/>
              <w:ind w:left="24" w:right="21" w:firstLine="8"/>
              <w:jc w:val="center"/>
              <w:rPr>
                <w:b/>
                <w:sz w:val="13"/>
              </w:rPr>
            </w:pPr>
            <w:r>
              <w:rPr>
                <w:b/>
                <w:w w:val="105"/>
                <w:sz w:val="13"/>
              </w:rPr>
              <w:t>Debito</w:t>
            </w:r>
            <w:r>
              <w:rPr>
                <w:b/>
                <w:spacing w:val="-13"/>
                <w:w w:val="105"/>
                <w:sz w:val="13"/>
              </w:rPr>
              <w:t> </w:t>
            </w:r>
            <w:r>
              <w:rPr>
                <w:b/>
                <w:w w:val="105"/>
                <w:sz w:val="13"/>
              </w:rPr>
              <w:t>verso </w:t>
            </w:r>
            <w:r>
              <w:rPr>
                <w:b/>
                <w:spacing w:val="-3"/>
                <w:w w:val="105"/>
                <w:sz w:val="13"/>
              </w:rPr>
              <w:t>il         </w:t>
            </w:r>
            <w:r>
              <w:rPr>
                <w:b/>
                <w:sz w:val="13"/>
              </w:rPr>
              <w:t>committente</w:t>
            </w:r>
          </w:p>
        </w:tc>
        <w:tc>
          <w:tcPr>
            <w:tcW w:w="791" w:type="dxa"/>
            <w:shd w:val="clear" w:color="auto" w:fill="BEBEBE"/>
          </w:tcPr>
          <w:p>
            <w:pPr>
              <w:pStyle w:val="TableParagraph"/>
              <w:spacing w:before="4"/>
              <w:jc w:val="left"/>
              <w:rPr>
                <w:sz w:val="17"/>
              </w:rPr>
            </w:pPr>
          </w:p>
          <w:p>
            <w:pPr>
              <w:pStyle w:val="TableParagraph"/>
              <w:spacing w:line="288" w:lineRule="auto" w:before="0"/>
              <w:ind w:left="34" w:right="44"/>
              <w:jc w:val="center"/>
              <w:rPr>
                <w:b/>
                <w:sz w:val="13"/>
              </w:rPr>
            </w:pPr>
            <w:r>
              <w:rPr>
                <w:b/>
                <w:w w:val="105"/>
                <w:sz w:val="13"/>
              </w:rPr>
              <w:t>Rilasciato a</w:t>
            </w:r>
            <w:r>
              <w:rPr>
                <w:b/>
                <w:w w:val="102"/>
                <w:sz w:val="13"/>
              </w:rPr>
              <w:t> </w:t>
            </w:r>
            <w:r>
              <w:rPr>
                <w:b/>
                <w:w w:val="105"/>
                <w:sz w:val="13"/>
              </w:rPr>
              <w:t>conto econimico</w:t>
            </w:r>
          </w:p>
        </w:tc>
        <w:tc>
          <w:tcPr>
            <w:tcW w:w="749" w:type="dxa"/>
            <w:shd w:val="clear" w:color="auto" w:fill="BEBEBE"/>
          </w:tcPr>
          <w:p>
            <w:pPr>
              <w:pStyle w:val="TableParagraph"/>
              <w:spacing w:before="0"/>
              <w:jc w:val="left"/>
              <w:rPr>
                <w:sz w:val="14"/>
              </w:rPr>
            </w:pPr>
          </w:p>
          <w:p>
            <w:pPr>
              <w:pStyle w:val="TableParagraph"/>
              <w:spacing w:before="10"/>
              <w:jc w:val="left"/>
              <w:rPr>
                <w:sz w:val="18"/>
              </w:rPr>
            </w:pPr>
          </w:p>
          <w:p>
            <w:pPr>
              <w:pStyle w:val="TableParagraph"/>
              <w:spacing w:line="288" w:lineRule="auto" w:before="0"/>
              <w:ind w:left="141" w:right="13" w:hanging="100"/>
              <w:jc w:val="left"/>
              <w:rPr>
                <w:b/>
                <w:sz w:val="13"/>
              </w:rPr>
            </w:pPr>
            <w:r>
              <w:rPr>
                <w:b/>
                <w:w w:val="105"/>
                <w:sz w:val="13"/>
              </w:rPr>
              <w:t>Trasferito a Versalis</w:t>
            </w:r>
          </w:p>
        </w:tc>
        <w:tc>
          <w:tcPr>
            <w:tcW w:w="774" w:type="dxa"/>
            <w:shd w:val="clear" w:color="auto" w:fill="BEBEBE"/>
          </w:tcPr>
          <w:p>
            <w:pPr>
              <w:pStyle w:val="TableParagraph"/>
              <w:spacing w:before="0"/>
              <w:jc w:val="left"/>
              <w:rPr>
                <w:sz w:val="14"/>
              </w:rPr>
            </w:pPr>
          </w:p>
          <w:p>
            <w:pPr>
              <w:pStyle w:val="TableParagraph"/>
              <w:spacing w:before="10"/>
              <w:jc w:val="left"/>
              <w:rPr>
                <w:sz w:val="18"/>
              </w:rPr>
            </w:pPr>
          </w:p>
          <w:p>
            <w:pPr>
              <w:pStyle w:val="TableParagraph"/>
              <w:spacing w:line="288" w:lineRule="auto" w:before="0"/>
              <w:ind w:left="16" w:right="-17" w:firstLine="116"/>
              <w:jc w:val="left"/>
              <w:rPr>
                <w:b/>
                <w:sz w:val="13"/>
              </w:rPr>
            </w:pPr>
            <w:r>
              <w:rPr>
                <w:b/>
                <w:w w:val="105"/>
                <w:sz w:val="13"/>
              </w:rPr>
              <w:t>Stanziati Fondi Rischi</w:t>
            </w:r>
          </w:p>
        </w:tc>
        <w:tc>
          <w:tcPr>
            <w:tcW w:w="3955" w:type="dxa"/>
            <w:shd w:val="clear" w:color="auto" w:fill="BEBEBE"/>
          </w:tcPr>
          <w:p>
            <w:pPr>
              <w:pStyle w:val="TableParagraph"/>
              <w:spacing w:before="0"/>
              <w:jc w:val="left"/>
              <w:rPr>
                <w:sz w:val="14"/>
              </w:rPr>
            </w:pPr>
          </w:p>
          <w:p>
            <w:pPr>
              <w:pStyle w:val="TableParagraph"/>
              <w:spacing w:before="0"/>
              <w:jc w:val="left"/>
              <w:rPr>
                <w:sz w:val="14"/>
              </w:rPr>
            </w:pPr>
          </w:p>
          <w:p>
            <w:pPr>
              <w:pStyle w:val="TableParagraph"/>
              <w:spacing w:before="5"/>
              <w:jc w:val="left"/>
              <w:rPr>
                <w:sz w:val="20"/>
              </w:rPr>
            </w:pPr>
          </w:p>
          <w:p>
            <w:pPr>
              <w:pStyle w:val="TableParagraph"/>
              <w:spacing w:before="0"/>
              <w:ind w:left="1467" w:right="1458"/>
              <w:jc w:val="center"/>
              <w:rPr>
                <w:b/>
                <w:sz w:val="13"/>
              </w:rPr>
            </w:pPr>
            <w:r>
              <w:rPr>
                <w:b/>
                <w:w w:val="105"/>
                <w:sz w:val="13"/>
              </w:rPr>
              <w:t>DESCRIZIONE</w:t>
            </w:r>
          </w:p>
        </w:tc>
      </w:tr>
      <w:tr>
        <w:trPr>
          <w:trHeight w:val="524" w:hRule="exact"/>
        </w:trPr>
        <w:tc>
          <w:tcPr>
            <w:tcW w:w="1166" w:type="dxa"/>
          </w:tcPr>
          <w:p>
            <w:pPr>
              <w:pStyle w:val="TableParagraph"/>
              <w:spacing w:before="4"/>
              <w:jc w:val="left"/>
              <w:rPr>
                <w:sz w:val="17"/>
              </w:rPr>
            </w:pPr>
          </w:p>
          <w:p>
            <w:pPr>
              <w:pStyle w:val="TableParagraph"/>
              <w:spacing w:before="0"/>
              <w:ind w:left="16"/>
              <w:jc w:val="left"/>
              <w:rPr>
                <w:b/>
                <w:sz w:val="13"/>
              </w:rPr>
            </w:pPr>
            <w:r>
              <w:rPr>
                <w:b/>
                <w:w w:val="105"/>
                <w:sz w:val="13"/>
              </w:rPr>
              <w:t>XINFENGMING</w:t>
            </w:r>
          </w:p>
        </w:tc>
        <w:tc>
          <w:tcPr>
            <w:tcW w:w="824" w:type="dxa"/>
          </w:tcPr>
          <w:p>
            <w:pPr>
              <w:pStyle w:val="TableParagraph"/>
              <w:spacing w:before="4"/>
              <w:jc w:val="left"/>
              <w:rPr>
                <w:sz w:val="17"/>
              </w:rPr>
            </w:pPr>
          </w:p>
          <w:p>
            <w:pPr>
              <w:pStyle w:val="TableParagraph"/>
              <w:spacing w:before="0"/>
              <w:ind w:right="19"/>
              <w:rPr>
                <w:sz w:val="13"/>
              </w:rPr>
            </w:pPr>
            <w:r>
              <w:rPr>
                <w:sz w:val="13"/>
              </w:rPr>
              <w:t>(1.684.643)</w:t>
            </w:r>
          </w:p>
        </w:tc>
        <w:tc>
          <w:tcPr>
            <w:tcW w:w="791" w:type="dxa"/>
          </w:tcPr>
          <w:p>
            <w:pPr>
              <w:pStyle w:val="TableParagraph"/>
              <w:spacing w:before="4"/>
              <w:jc w:val="left"/>
              <w:rPr>
                <w:sz w:val="17"/>
              </w:rPr>
            </w:pPr>
          </w:p>
          <w:p>
            <w:pPr>
              <w:pStyle w:val="TableParagraph"/>
              <w:spacing w:before="0"/>
              <w:ind w:right="19"/>
              <w:rPr>
                <w:sz w:val="13"/>
              </w:rPr>
            </w:pPr>
            <w:r>
              <w:rPr>
                <w:sz w:val="13"/>
              </w:rPr>
              <w:t>(1.684.643)</w:t>
            </w:r>
          </w:p>
        </w:tc>
        <w:tc>
          <w:tcPr>
            <w:tcW w:w="791" w:type="dxa"/>
          </w:tcPr>
          <w:p>
            <w:pPr>
              <w:pStyle w:val="TableParagraph"/>
              <w:spacing w:before="4"/>
              <w:jc w:val="left"/>
              <w:rPr>
                <w:sz w:val="17"/>
              </w:rPr>
            </w:pPr>
          </w:p>
          <w:p>
            <w:pPr>
              <w:pStyle w:val="TableParagraph"/>
              <w:spacing w:before="0"/>
              <w:ind w:right="189"/>
              <w:rPr>
                <w:sz w:val="13"/>
              </w:rPr>
            </w:pPr>
            <w:r>
              <w:rPr>
                <w:w w:val="102"/>
                <w:sz w:val="13"/>
              </w:rPr>
              <w:t>-</w:t>
            </w:r>
          </w:p>
        </w:tc>
        <w:tc>
          <w:tcPr>
            <w:tcW w:w="749" w:type="dxa"/>
          </w:tcPr>
          <w:p>
            <w:pPr/>
          </w:p>
        </w:tc>
        <w:tc>
          <w:tcPr>
            <w:tcW w:w="774" w:type="dxa"/>
          </w:tcPr>
          <w:p>
            <w:pPr>
              <w:pStyle w:val="TableParagraph"/>
              <w:spacing w:before="4"/>
              <w:jc w:val="left"/>
              <w:rPr>
                <w:sz w:val="17"/>
              </w:rPr>
            </w:pPr>
          </w:p>
          <w:p>
            <w:pPr>
              <w:pStyle w:val="TableParagraph"/>
              <w:spacing w:before="0"/>
              <w:ind w:right="189"/>
              <w:rPr>
                <w:sz w:val="13"/>
              </w:rPr>
            </w:pPr>
            <w:r>
              <w:rPr>
                <w:w w:val="102"/>
                <w:sz w:val="13"/>
              </w:rPr>
              <w:t>-</w:t>
            </w:r>
          </w:p>
        </w:tc>
        <w:tc>
          <w:tcPr>
            <w:tcW w:w="3955" w:type="dxa"/>
          </w:tcPr>
          <w:p>
            <w:pPr>
              <w:pStyle w:val="TableParagraph"/>
              <w:spacing w:line="288" w:lineRule="auto" w:before="21"/>
              <w:ind w:left="16" w:right="7"/>
              <w:jc w:val="left"/>
              <w:rPr>
                <w:sz w:val="13"/>
              </w:rPr>
            </w:pPr>
            <w:r>
              <w:rPr>
                <w:w w:val="105"/>
                <w:sz w:val="13"/>
              </w:rPr>
              <w:t>Comprende acconti su forniture ancora da eseguire per $1.590.000+ maggiorato da penale del 5% sul valore complessivo di commessa. Le fidejussioni a copertura del Down payment risultano tutte scadute</w:t>
            </w:r>
          </w:p>
        </w:tc>
      </w:tr>
      <w:tr>
        <w:trPr>
          <w:trHeight w:val="524" w:hRule="exact"/>
        </w:trPr>
        <w:tc>
          <w:tcPr>
            <w:tcW w:w="1166" w:type="dxa"/>
          </w:tcPr>
          <w:p>
            <w:pPr>
              <w:pStyle w:val="TableParagraph"/>
              <w:spacing w:before="4"/>
              <w:jc w:val="left"/>
              <w:rPr>
                <w:sz w:val="17"/>
              </w:rPr>
            </w:pPr>
          </w:p>
          <w:p>
            <w:pPr>
              <w:pStyle w:val="TableParagraph"/>
              <w:spacing w:before="0"/>
              <w:ind w:left="16"/>
              <w:jc w:val="left"/>
              <w:rPr>
                <w:b/>
                <w:sz w:val="13"/>
              </w:rPr>
            </w:pPr>
            <w:r>
              <w:rPr>
                <w:b/>
                <w:sz w:val="13"/>
              </w:rPr>
              <w:t>SAFPET- FASE1</w:t>
            </w:r>
          </w:p>
        </w:tc>
        <w:tc>
          <w:tcPr>
            <w:tcW w:w="824" w:type="dxa"/>
          </w:tcPr>
          <w:p>
            <w:pPr>
              <w:pStyle w:val="TableParagraph"/>
              <w:spacing w:before="4"/>
              <w:jc w:val="left"/>
              <w:rPr>
                <w:sz w:val="17"/>
              </w:rPr>
            </w:pPr>
          </w:p>
          <w:p>
            <w:pPr>
              <w:pStyle w:val="TableParagraph"/>
              <w:spacing w:before="0"/>
              <w:ind w:right="18"/>
              <w:rPr>
                <w:sz w:val="13"/>
              </w:rPr>
            </w:pPr>
            <w:r>
              <w:rPr>
                <w:sz w:val="13"/>
              </w:rPr>
              <w:t>(533.942)</w:t>
            </w:r>
          </w:p>
        </w:tc>
        <w:tc>
          <w:tcPr>
            <w:tcW w:w="791" w:type="dxa"/>
          </w:tcPr>
          <w:p>
            <w:pPr>
              <w:pStyle w:val="TableParagraph"/>
              <w:spacing w:before="4"/>
              <w:jc w:val="left"/>
              <w:rPr>
                <w:sz w:val="17"/>
              </w:rPr>
            </w:pPr>
          </w:p>
          <w:p>
            <w:pPr>
              <w:pStyle w:val="TableParagraph"/>
              <w:spacing w:before="0"/>
              <w:ind w:right="189"/>
              <w:rPr>
                <w:sz w:val="13"/>
              </w:rPr>
            </w:pPr>
            <w:r>
              <w:rPr>
                <w:w w:val="102"/>
                <w:sz w:val="13"/>
              </w:rPr>
              <w:t>-</w:t>
            </w:r>
          </w:p>
        </w:tc>
        <w:tc>
          <w:tcPr>
            <w:tcW w:w="791" w:type="dxa"/>
          </w:tcPr>
          <w:p>
            <w:pPr>
              <w:pStyle w:val="TableParagraph"/>
              <w:spacing w:before="4"/>
              <w:jc w:val="left"/>
              <w:rPr>
                <w:sz w:val="17"/>
              </w:rPr>
            </w:pPr>
          </w:p>
          <w:p>
            <w:pPr>
              <w:pStyle w:val="TableParagraph"/>
              <w:spacing w:before="0"/>
              <w:ind w:right="56"/>
              <w:rPr>
                <w:sz w:val="13"/>
              </w:rPr>
            </w:pPr>
            <w:r>
              <w:rPr>
                <w:sz w:val="13"/>
              </w:rPr>
              <w:t>533.942</w:t>
            </w:r>
          </w:p>
        </w:tc>
        <w:tc>
          <w:tcPr>
            <w:tcW w:w="749" w:type="dxa"/>
          </w:tcPr>
          <w:p>
            <w:pPr/>
          </w:p>
        </w:tc>
        <w:tc>
          <w:tcPr>
            <w:tcW w:w="774" w:type="dxa"/>
          </w:tcPr>
          <w:p>
            <w:pPr>
              <w:pStyle w:val="TableParagraph"/>
              <w:spacing w:before="4"/>
              <w:jc w:val="left"/>
              <w:rPr>
                <w:sz w:val="17"/>
              </w:rPr>
            </w:pPr>
          </w:p>
          <w:p>
            <w:pPr>
              <w:pStyle w:val="TableParagraph"/>
              <w:spacing w:before="0"/>
              <w:ind w:right="18"/>
              <w:rPr>
                <w:sz w:val="13"/>
              </w:rPr>
            </w:pPr>
            <w:r>
              <w:rPr>
                <w:sz w:val="13"/>
              </w:rPr>
              <w:t>(279.808)</w:t>
            </w:r>
          </w:p>
        </w:tc>
        <w:tc>
          <w:tcPr>
            <w:tcW w:w="3955" w:type="dxa"/>
          </w:tcPr>
          <w:p>
            <w:pPr>
              <w:pStyle w:val="TableParagraph"/>
              <w:spacing w:line="288" w:lineRule="auto" w:before="21"/>
              <w:ind w:left="16" w:right="7"/>
              <w:jc w:val="left"/>
              <w:rPr>
                <w:sz w:val="13"/>
              </w:rPr>
            </w:pPr>
            <w:r>
              <w:rPr>
                <w:w w:val="105"/>
                <w:sz w:val="13"/>
              </w:rPr>
              <w:t>Contratto terminato. Il valore del "billed in excess" viene rilasciato a ricavo. È stato accantonato a fondi rischi euro 279.808 per rischio escussione a garanzie</w:t>
            </w:r>
          </w:p>
        </w:tc>
      </w:tr>
      <w:tr>
        <w:trPr>
          <w:trHeight w:val="524" w:hRule="exact"/>
        </w:trPr>
        <w:tc>
          <w:tcPr>
            <w:tcW w:w="1166" w:type="dxa"/>
          </w:tcPr>
          <w:p>
            <w:pPr>
              <w:pStyle w:val="TableParagraph"/>
              <w:spacing w:before="4"/>
              <w:jc w:val="left"/>
              <w:rPr>
                <w:sz w:val="17"/>
              </w:rPr>
            </w:pPr>
          </w:p>
          <w:p>
            <w:pPr>
              <w:pStyle w:val="TableParagraph"/>
              <w:spacing w:before="0"/>
              <w:ind w:left="16"/>
              <w:jc w:val="left"/>
              <w:rPr>
                <w:b/>
                <w:sz w:val="13"/>
              </w:rPr>
            </w:pPr>
            <w:r>
              <w:rPr>
                <w:b/>
                <w:sz w:val="13"/>
              </w:rPr>
              <w:t>SAFPET- FASE2</w:t>
            </w:r>
          </w:p>
        </w:tc>
        <w:tc>
          <w:tcPr>
            <w:tcW w:w="824" w:type="dxa"/>
          </w:tcPr>
          <w:p>
            <w:pPr>
              <w:pStyle w:val="TableParagraph"/>
              <w:spacing w:before="4"/>
              <w:jc w:val="left"/>
              <w:rPr>
                <w:sz w:val="17"/>
              </w:rPr>
            </w:pPr>
          </w:p>
          <w:p>
            <w:pPr>
              <w:pStyle w:val="TableParagraph"/>
              <w:spacing w:before="0"/>
              <w:ind w:right="189"/>
              <w:rPr>
                <w:sz w:val="13"/>
              </w:rPr>
            </w:pPr>
            <w:r>
              <w:rPr>
                <w:w w:val="102"/>
                <w:sz w:val="13"/>
              </w:rPr>
              <w:t>-</w:t>
            </w:r>
          </w:p>
        </w:tc>
        <w:tc>
          <w:tcPr>
            <w:tcW w:w="791" w:type="dxa"/>
          </w:tcPr>
          <w:p>
            <w:pPr>
              <w:pStyle w:val="TableParagraph"/>
              <w:spacing w:before="4"/>
              <w:jc w:val="left"/>
              <w:rPr>
                <w:sz w:val="17"/>
              </w:rPr>
            </w:pPr>
          </w:p>
          <w:p>
            <w:pPr>
              <w:pStyle w:val="TableParagraph"/>
              <w:spacing w:before="0"/>
              <w:ind w:right="189"/>
              <w:rPr>
                <w:sz w:val="13"/>
              </w:rPr>
            </w:pPr>
            <w:r>
              <w:rPr>
                <w:w w:val="102"/>
                <w:sz w:val="13"/>
              </w:rPr>
              <w:t>-</w:t>
            </w:r>
          </w:p>
        </w:tc>
        <w:tc>
          <w:tcPr>
            <w:tcW w:w="791" w:type="dxa"/>
          </w:tcPr>
          <w:p>
            <w:pPr>
              <w:pStyle w:val="TableParagraph"/>
              <w:spacing w:before="4"/>
              <w:jc w:val="left"/>
              <w:rPr>
                <w:sz w:val="17"/>
              </w:rPr>
            </w:pPr>
          </w:p>
          <w:p>
            <w:pPr>
              <w:pStyle w:val="TableParagraph"/>
              <w:spacing w:before="0"/>
              <w:ind w:right="189"/>
              <w:rPr>
                <w:sz w:val="13"/>
              </w:rPr>
            </w:pPr>
            <w:r>
              <w:rPr>
                <w:w w:val="102"/>
                <w:sz w:val="13"/>
              </w:rPr>
              <w:t>-</w:t>
            </w:r>
          </w:p>
        </w:tc>
        <w:tc>
          <w:tcPr>
            <w:tcW w:w="749" w:type="dxa"/>
          </w:tcPr>
          <w:p>
            <w:pPr/>
          </w:p>
        </w:tc>
        <w:tc>
          <w:tcPr>
            <w:tcW w:w="774" w:type="dxa"/>
          </w:tcPr>
          <w:p>
            <w:pPr>
              <w:pStyle w:val="TableParagraph"/>
              <w:spacing w:before="4"/>
              <w:jc w:val="left"/>
              <w:rPr>
                <w:sz w:val="17"/>
              </w:rPr>
            </w:pPr>
          </w:p>
          <w:p>
            <w:pPr>
              <w:pStyle w:val="TableParagraph"/>
              <w:spacing w:before="0"/>
              <w:ind w:right="19"/>
              <w:rPr>
                <w:sz w:val="13"/>
              </w:rPr>
            </w:pPr>
            <w:r>
              <w:rPr>
                <w:sz w:val="13"/>
              </w:rPr>
              <w:t>(2.492.863)</w:t>
            </w:r>
          </w:p>
        </w:tc>
        <w:tc>
          <w:tcPr>
            <w:tcW w:w="3955" w:type="dxa"/>
          </w:tcPr>
          <w:p>
            <w:pPr>
              <w:pStyle w:val="TableParagraph"/>
              <w:spacing w:line="288" w:lineRule="auto" w:before="21"/>
              <w:ind w:left="16" w:right="7"/>
              <w:jc w:val="left"/>
              <w:rPr>
                <w:sz w:val="13"/>
              </w:rPr>
            </w:pPr>
            <w:r>
              <w:rPr>
                <w:w w:val="105"/>
                <w:sz w:val="13"/>
              </w:rPr>
              <w:t>Gli acconti percepiti per forniture nonn eseguite sono coperti da fideiussioni per intero ammontare. È stato accantonato a fondi rischi euro 2.492.863 per rischio escussione a garanzie</w:t>
            </w:r>
          </w:p>
        </w:tc>
      </w:tr>
      <w:tr>
        <w:trPr>
          <w:trHeight w:val="699" w:hRule="exact"/>
        </w:trPr>
        <w:tc>
          <w:tcPr>
            <w:tcW w:w="1166" w:type="dxa"/>
          </w:tcPr>
          <w:p>
            <w:pPr>
              <w:pStyle w:val="TableParagraph"/>
              <w:spacing w:before="0"/>
              <w:jc w:val="left"/>
              <w:rPr>
                <w:sz w:val="14"/>
              </w:rPr>
            </w:pPr>
          </w:p>
          <w:p>
            <w:pPr>
              <w:pStyle w:val="TableParagraph"/>
              <w:spacing w:before="121"/>
              <w:ind w:left="16"/>
              <w:jc w:val="left"/>
              <w:rPr>
                <w:b/>
                <w:sz w:val="13"/>
              </w:rPr>
            </w:pPr>
            <w:r>
              <w:rPr>
                <w:b/>
                <w:w w:val="105"/>
                <w:sz w:val="13"/>
              </w:rPr>
              <w:t>MOGHI</w:t>
            </w:r>
          </w:p>
        </w:tc>
        <w:tc>
          <w:tcPr>
            <w:tcW w:w="824" w:type="dxa"/>
          </w:tcPr>
          <w:p>
            <w:pPr>
              <w:pStyle w:val="TableParagraph"/>
              <w:spacing w:before="0"/>
              <w:jc w:val="left"/>
              <w:rPr>
                <w:sz w:val="14"/>
              </w:rPr>
            </w:pPr>
          </w:p>
          <w:p>
            <w:pPr>
              <w:pStyle w:val="TableParagraph"/>
              <w:spacing w:before="121"/>
              <w:ind w:right="18"/>
              <w:rPr>
                <w:sz w:val="13"/>
              </w:rPr>
            </w:pPr>
            <w:r>
              <w:rPr>
                <w:sz w:val="13"/>
              </w:rPr>
              <w:t>(445.236)</w:t>
            </w:r>
          </w:p>
        </w:tc>
        <w:tc>
          <w:tcPr>
            <w:tcW w:w="791" w:type="dxa"/>
          </w:tcPr>
          <w:p>
            <w:pPr/>
          </w:p>
        </w:tc>
        <w:tc>
          <w:tcPr>
            <w:tcW w:w="791" w:type="dxa"/>
          </w:tcPr>
          <w:p>
            <w:pPr>
              <w:pStyle w:val="TableParagraph"/>
              <w:spacing w:before="0"/>
              <w:jc w:val="left"/>
              <w:rPr>
                <w:sz w:val="14"/>
              </w:rPr>
            </w:pPr>
          </w:p>
          <w:p>
            <w:pPr>
              <w:pStyle w:val="TableParagraph"/>
              <w:spacing w:before="121"/>
              <w:ind w:right="56"/>
              <w:rPr>
                <w:sz w:val="13"/>
              </w:rPr>
            </w:pPr>
            <w:r>
              <w:rPr>
                <w:sz w:val="13"/>
              </w:rPr>
              <w:t>445.236</w:t>
            </w:r>
          </w:p>
        </w:tc>
        <w:tc>
          <w:tcPr>
            <w:tcW w:w="749" w:type="dxa"/>
          </w:tcPr>
          <w:p>
            <w:pPr/>
          </w:p>
        </w:tc>
        <w:tc>
          <w:tcPr>
            <w:tcW w:w="774" w:type="dxa"/>
          </w:tcPr>
          <w:p>
            <w:pPr/>
          </w:p>
        </w:tc>
        <w:tc>
          <w:tcPr>
            <w:tcW w:w="3955" w:type="dxa"/>
          </w:tcPr>
          <w:p>
            <w:pPr>
              <w:pStyle w:val="TableParagraph"/>
              <w:spacing w:line="288" w:lineRule="auto" w:before="21"/>
              <w:ind w:left="16" w:right="35"/>
              <w:jc w:val="left"/>
              <w:rPr>
                <w:sz w:val="13"/>
              </w:rPr>
            </w:pPr>
            <w:r>
              <w:rPr>
                <w:w w:val="105"/>
                <w:sz w:val="13"/>
              </w:rPr>
              <w:t>Valore rettificato. Il valore del "billed in excess" viene rilasciato a ricavo. Contratto non avviato dal cliente, l'importo ricevuto non costituisce debito sulla base degli accordi contrattuali. Il cliente M&amp;G Polimers è in chapter11</w:t>
            </w:r>
          </w:p>
        </w:tc>
      </w:tr>
      <w:tr>
        <w:trPr>
          <w:trHeight w:val="350" w:hRule="exact"/>
        </w:trPr>
        <w:tc>
          <w:tcPr>
            <w:tcW w:w="1166" w:type="dxa"/>
          </w:tcPr>
          <w:p>
            <w:pPr>
              <w:pStyle w:val="TableParagraph"/>
              <w:spacing w:before="104"/>
              <w:ind w:left="16"/>
              <w:jc w:val="left"/>
              <w:rPr>
                <w:b/>
                <w:sz w:val="13"/>
              </w:rPr>
            </w:pPr>
            <w:r>
              <w:rPr>
                <w:b/>
                <w:w w:val="105"/>
                <w:sz w:val="13"/>
              </w:rPr>
              <w:t>ENTSORGA</w:t>
            </w:r>
          </w:p>
        </w:tc>
        <w:tc>
          <w:tcPr>
            <w:tcW w:w="824" w:type="dxa"/>
          </w:tcPr>
          <w:p>
            <w:pPr>
              <w:pStyle w:val="TableParagraph"/>
              <w:spacing w:before="104"/>
              <w:ind w:right="18"/>
              <w:rPr>
                <w:sz w:val="13"/>
              </w:rPr>
            </w:pPr>
            <w:r>
              <w:rPr>
                <w:sz w:val="13"/>
              </w:rPr>
              <w:t>(620.427)</w:t>
            </w:r>
          </w:p>
        </w:tc>
        <w:tc>
          <w:tcPr>
            <w:tcW w:w="791" w:type="dxa"/>
          </w:tcPr>
          <w:p>
            <w:pPr/>
          </w:p>
        </w:tc>
        <w:tc>
          <w:tcPr>
            <w:tcW w:w="791" w:type="dxa"/>
          </w:tcPr>
          <w:p>
            <w:pPr>
              <w:pStyle w:val="TableParagraph"/>
              <w:spacing w:before="104"/>
              <w:ind w:right="56"/>
              <w:rPr>
                <w:sz w:val="13"/>
              </w:rPr>
            </w:pPr>
            <w:r>
              <w:rPr>
                <w:sz w:val="13"/>
              </w:rPr>
              <w:t>620.427</w:t>
            </w:r>
          </w:p>
        </w:tc>
        <w:tc>
          <w:tcPr>
            <w:tcW w:w="749" w:type="dxa"/>
          </w:tcPr>
          <w:p>
            <w:pPr/>
          </w:p>
        </w:tc>
        <w:tc>
          <w:tcPr>
            <w:tcW w:w="774" w:type="dxa"/>
          </w:tcPr>
          <w:p>
            <w:pPr/>
          </w:p>
        </w:tc>
        <w:tc>
          <w:tcPr>
            <w:tcW w:w="3955" w:type="dxa"/>
          </w:tcPr>
          <w:p>
            <w:pPr>
              <w:pStyle w:val="TableParagraph"/>
              <w:spacing w:line="288" w:lineRule="auto" w:before="21"/>
              <w:ind w:left="16" w:right="98"/>
              <w:jc w:val="left"/>
              <w:rPr>
                <w:sz w:val="13"/>
              </w:rPr>
            </w:pPr>
            <w:r>
              <w:rPr>
                <w:w w:val="105"/>
                <w:sz w:val="13"/>
              </w:rPr>
              <w:t>Valore rettificato. Il valore del "billed in excess" viene rilasciato a ricavo. Contratto sospeso e garanzia escussa</w:t>
            </w:r>
          </w:p>
        </w:tc>
      </w:tr>
      <w:tr>
        <w:trPr>
          <w:trHeight w:val="175" w:hRule="exact"/>
        </w:trPr>
        <w:tc>
          <w:tcPr>
            <w:tcW w:w="1166" w:type="dxa"/>
          </w:tcPr>
          <w:p>
            <w:pPr>
              <w:pStyle w:val="TableParagraph"/>
              <w:spacing w:before="21"/>
              <w:ind w:left="16"/>
              <w:jc w:val="left"/>
              <w:rPr>
                <w:b/>
                <w:sz w:val="13"/>
              </w:rPr>
            </w:pPr>
            <w:r>
              <w:rPr>
                <w:b/>
                <w:w w:val="105"/>
                <w:sz w:val="13"/>
              </w:rPr>
              <w:t>TONGKUN</w:t>
            </w:r>
          </w:p>
        </w:tc>
        <w:tc>
          <w:tcPr>
            <w:tcW w:w="824" w:type="dxa"/>
          </w:tcPr>
          <w:p>
            <w:pPr>
              <w:pStyle w:val="TableParagraph"/>
              <w:spacing w:before="21"/>
              <w:ind w:right="18"/>
              <w:rPr>
                <w:sz w:val="13"/>
              </w:rPr>
            </w:pPr>
            <w:r>
              <w:rPr>
                <w:sz w:val="13"/>
              </w:rPr>
              <w:t>(97.004)</w:t>
            </w:r>
          </w:p>
        </w:tc>
        <w:tc>
          <w:tcPr>
            <w:tcW w:w="791" w:type="dxa"/>
          </w:tcPr>
          <w:p>
            <w:pPr/>
          </w:p>
        </w:tc>
        <w:tc>
          <w:tcPr>
            <w:tcW w:w="791" w:type="dxa"/>
          </w:tcPr>
          <w:p>
            <w:pPr>
              <w:pStyle w:val="TableParagraph"/>
              <w:spacing w:before="21"/>
              <w:ind w:right="56"/>
              <w:rPr>
                <w:sz w:val="13"/>
              </w:rPr>
            </w:pPr>
            <w:r>
              <w:rPr>
                <w:sz w:val="13"/>
              </w:rPr>
              <w:t>97.004</w:t>
            </w:r>
          </w:p>
        </w:tc>
        <w:tc>
          <w:tcPr>
            <w:tcW w:w="749" w:type="dxa"/>
          </w:tcPr>
          <w:p>
            <w:pPr/>
          </w:p>
        </w:tc>
        <w:tc>
          <w:tcPr>
            <w:tcW w:w="774" w:type="dxa"/>
          </w:tcPr>
          <w:p>
            <w:pPr/>
          </w:p>
        </w:tc>
        <w:tc>
          <w:tcPr>
            <w:tcW w:w="3955" w:type="dxa"/>
          </w:tcPr>
          <w:p>
            <w:pPr>
              <w:pStyle w:val="TableParagraph"/>
              <w:spacing w:before="21"/>
              <w:ind w:left="16"/>
              <w:jc w:val="left"/>
              <w:rPr>
                <w:sz w:val="13"/>
              </w:rPr>
            </w:pPr>
            <w:r>
              <w:rPr>
                <w:w w:val="105"/>
                <w:sz w:val="13"/>
              </w:rPr>
              <w:t>Valore rettificato. Contratto ultimato e forniture effettuate</w:t>
            </w:r>
          </w:p>
        </w:tc>
      </w:tr>
      <w:tr>
        <w:trPr>
          <w:trHeight w:val="525" w:hRule="exact"/>
        </w:trPr>
        <w:tc>
          <w:tcPr>
            <w:tcW w:w="1166" w:type="dxa"/>
            <w:tcBorders>
              <w:bottom w:val="single" w:sz="3" w:space="0" w:color="000000"/>
            </w:tcBorders>
          </w:tcPr>
          <w:p>
            <w:pPr>
              <w:pStyle w:val="TableParagraph"/>
              <w:spacing w:before="4"/>
              <w:jc w:val="left"/>
              <w:rPr>
                <w:sz w:val="17"/>
              </w:rPr>
            </w:pPr>
          </w:p>
          <w:p>
            <w:pPr>
              <w:pStyle w:val="TableParagraph"/>
              <w:spacing w:before="1"/>
              <w:ind w:left="16"/>
              <w:jc w:val="left"/>
              <w:rPr>
                <w:b/>
                <w:sz w:val="13"/>
              </w:rPr>
            </w:pPr>
            <w:r>
              <w:rPr>
                <w:b/>
                <w:w w:val="105"/>
                <w:sz w:val="13"/>
              </w:rPr>
              <w:t>HOSAF</w:t>
            </w:r>
          </w:p>
        </w:tc>
        <w:tc>
          <w:tcPr>
            <w:tcW w:w="824" w:type="dxa"/>
            <w:tcBorders>
              <w:bottom w:val="single" w:sz="3" w:space="0" w:color="000000"/>
            </w:tcBorders>
          </w:tcPr>
          <w:p>
            <w:pPr>
              <w:pStyle w:val="TableParagraph"/>
              <w:spacing w:before="4"/>
              <w:jc w:val="left"/>
              <w:rPr>
                <w:sz w:val="17"/>
              </w:rPr>
            </w:pPr>
          </w:p>
          <w:p>
            <w:pPr>
              <w:pStyle w:val="TableParagraph"/>
              <w:spacing w:before="1"/>
              <w:ind w:right="56"/>
              <w:rPr>
                <w:sz w:val="13"/>
              </w:rPr>
            </w:pPr>
            <w:r>
              <w:rPr>
                <w:sz w:val="13"/>
              </w:rPr>
              <w:t>87.911</w:t>
            </w:r>
          </w:p>
        </w:tc>
        <w:tc>
          <w:tcPr>
            <w:tcW w:w="791" w:type="dxa"/>
            <w:tcBorders>
              <w:bottom w:val="single" w:sz="3" w:space="0" w:color="000000"/>
            </w:tcBorders>
          </w:tcPr>
          <w:p>
            <w:pPr/>
          </w:p>
        </w:tc>
        <w:tc>
          <w:tcPr>
            <w:tcW w:w="791" w:type="dxa"/>
            <w:tcBorders>
              <w:bottom w:val="single" w:sz="3" w:space="0" w:color="000000"/>
            </w:tcBorders>
          </w:tcPr>
          <w:p>
            <w:pPr>
              <w:pStyle w:val="TableParagraph"/>
              <w:spacing w:before="4"/>
              <w:jc w:val="left"/>
              <w:rPr>
                <w:sz w:val="17"/>
              </w:rPr>
            </w:pPr>
          </w:p>
          <w:p>
            <w:pPr>
              <w:pStyle w:val="TableParagraph"/>
              <w:spacing w:before="1"/>
              <w:ind w:right="18"/>
              <w:rPr>
                <w:sz w:val="13"/>
              </w:rPr>
            </w:pPr>
            <w:r>
              <w:rPr>
                <w:sz w:val="13"/>
              </w:rPr>
              <w:t>(87.911)</w:t>
            </w:r>
          </w:p>
        </w:tc>
        <w:tc>
          <w:tcPr>
            <w:tcW w:w="749" w:type="dxa"/>
            <w:tcBorders>
              <w:bottom w:val="single" w:sz="3" w:space="0" w:color="000000"/>
            </w:tcBorders>
          </w:tcPr>
          <w:p>
            <w:pPr/>
          </w:p>
        </w:tc>
        <w:tc>
          <w:tcPr>
            <w:tcW w:w="774" w:type="dxa"/>
            <w:tcBorders>
              <w:bottom w:val="single" w:sz="3" w:space="0" w:color="000000"/>
            </w:tcBorders>
          </w:tcPr>
          <w:p>
            <w:pPr/>
          </w:p>
        </w:tc>
        <w:tc>
          <w:tcPr>
            <w:tcW w:w="3955" w:type="dxa"/>
            <w:tcBorders>
              <w:bottom w:val="single" w:sz="3" w:space="0" w:color="000000"/>
            </w:tcBorders>
          </w:tcPr>
          <w:p>
            <w:pPr>
              <w:pStyle w:val="TableParagraph"/>
              <w:spacing w:line="285" w:lineRule="auto" w:before="21"/>
              <w:ind w:left="16" w:right="98"/>
              <w:jc w:val="left"/>
              <w:rPr>
                <w:sz w:val="13"/>
              </w:rPr>
            </w:pPr>
            <w:r>
              <w:rPr>
                <w:w w:val="105"/>
                <w:sz w:val="13"/>
              </w:rPr>
              <w:t>Valore rettificato. Il valore del "billed in excess" viene rilasciato a ricavo. Contratto ultimato e fatture incassate. Garanzia escussa il 24 novembre 2017</w:t>
            </w:r>
          </w:p>
        </w:tc>
      </w:tr>
      <w:tr>
        <w:trPr>
          <w:trHeight w:val="524" w:hRule="exact"/>
        </w:trPr>
        <w:tc>
          <w:tcPr>
            <w:tcW w:w="1166" w:type="dxa"/>
            <w:tcBorders>
              <w:top w:val="single" w:sz="3" w:space="0" w:color="000000"/>
              <w:bottom w:val="single" w:sz="3" w:space="0" w:color="000000"/>
            </w:tcBorders>
          </w:tcPr>
          <w:p>
            <w:pPr>
              <w:pStyle w:val="TableParagraph"/>
              <w:spacing w:before="4"/>
              <w:jc w:val="left"/>
              <w:rPr>
                <w:sz w:val="17"/>
              </w:rPr>
            </w:pPr>
          </w:p>
          <w:p>
            <w:pPr>
              <w:pStyle w:val="TableParagraph"/>
              <w:spacing w:before="0"/>
              <w:ind w:left="16"/>
              <w:jc w:val="left"/>
              <w:rPr>
                <w:b/>
                <w:sz w:val="13"/>
              </w:rPr>
            </w:pPr>
            <w:r>
              <w:rPr>
                <w:b/>
                <w:w w:val="105"/>
                <w:sz w:val="13"/>
              </w:rPr>
              <w:t>CHENGOLD</w:t>
            </w:r>
          </w:p>
        </w:tc>
        <w:tc>
          <w:tcPr>
            <w:tcW w:w="824" w:type="dxa"/>
            <w:tcBorders>
              <w:top w:val="single" w:sz="3" w:space="0" w:color="000000"/>
              <w:bottom w:val="single" w:sz="3" w:space="0" w:color="000000"/>
            </w:tcBorders>
          </w:tcPr>
          <w:p>
            <w:pPr>
              <w:pStyle w:val="TableParagraph"/>
              <w:spacing w:before="4"/>
              <w:jc w:val="left"/>
              <w:rPr>
                <w:sz w:val="17"/>
              </w:rPr>
            </w:pPr>
          </w:p>
          <w:p>
            <w:pPr>
              <w:pStyle w:val="TableParagraph"/>
              <w:spacing w:before="0"/>
              <w:ind w:right="18"/>
              <w:rPr>
                <w:sz w:val="13"/>
              </w:rPr>
            </w:pPr>
            <w:r>
              <w:rPr>
                <w:sz w:val="13"/>
              </w:rPr>
              <w:t>(228.102)</w:t>
            </w:r>
          </w:p>
        </w:tc>
        <w:tc>
          <w:tcPr>
            <w:tcW w:w="791" w:type="dxa"/>
            <w:tcBorders>
              <w:top w:val="single" w:sz="3" w:space="0" w:color="000000"/>
              <w:bottom w:val="single" w:sz="3" w:space="0" w:color="000000"/>
            </w:tcBorders>
          </w:tcPr>
          <w:p>
            <w:pPr/>
          </w:p>
        </w:tc>
        <w:tc>
          <w:tcPr>
            <w:tcW w:w="791" w:type="dxa"/>
            <w:tcBorders>
              <w:top w:val="single" w:sz="3" w:space="0" w:color="000000"/>
              <w:bottom w:val="single" w:sz="3" w:space="0" w:color="000000"/>
            </w:tcBorders>
          </w:tcPr>
          <w:p>
            <w:pPr>
              <w:pStyle w:val="TableParagraph"/>
              <w:spacing w:before="4"/>
              <w:jc w:val="left"/>
              <w:rPr>
                <w:sz w:val="17"/>
              </w:rPr>
            </w:pPr>
          </w:p>
          <w:p>
            <w:pPr>
              <w:pStyle w:val="TableParagraph"/>
              <w:spacing w:before="0"/>
              <w:ind w:right="56"/>
              <w:rPr>
                <w:sz w:val="13"/>
              </w:rPr>
            </w:pPr>
            <w:r>
              <w:rPr>
                <w:sz w:val="13"/>
              </w:rPr>
              <w:t>228.102</w:t>
            </w:r>
          </w:p>
        </w:tc>
        <w:tc>
          <w:tcPr>
            <w:tcW w:w="749" w:type="dxa"/>
            <w:tcBorders>
              <w:top w:val="single" w:sz="3" w:space="0" w:color="000000"/>
              <w:bottom w:val="single" w:sz="3" w:space="0" w:color="000000"/>
            </w:tcBorders>
          </w:tcPr>
          <w:p>
            <w:pPr/>
          </w:p>
        </w:tc>
        <w:tc>
          <w:tcPr>
            <w:tcW w:w="774" w:type="dxa"/>
            <w:tcBorders>
              <w:top w:val="single" w:sz="3" w:space="0" w:color="000000"/>
              <w:bottom w:val="single" w:sz="3" w:space="0" w:color="000000"/>
            </w:tcBorders>
          </w:tcPr>
          <w:p>
            <w:pPr/>
          </w:p>
        </w:tc>
        <w:tc>
          <w:tcPr>
            <w:tcW w:w="3955" w:type="dxa"/>
            <w:tcBorders>
              <w:top w:val="single" w:sz="3" w:space="0" w:color="000000"/>
              <w:bottom w:val="single" w:sz="3" w:space="0" w:color="000000"/>
            </w:tcBorders>
          </w:tcPr>
          <w:p>
            <w:pPr>
              <w:pStyle w:val="TableParagraph"/>
              <w:spacing w:line="285" w:lineRule="auto" w:before="21"/>
              <w:ind w:left="16" w:right="98"/>
              <w:jc w:val="left"/>
              <w:rPr>
                <w:sz w:val="13"/>
              </w:rPr>
            </w:pPr>
            <w:r>
              <w:rPr>
                <w:w w:val="105"/>
                <w:sz w:val="13"/>
              </w:rPr>
              <w:t>Valore rettificato. Il valore del "billed in excess" viene rilasciato a ricavo. Contratto ultimato e forniture effettuate. Fideiussione scaduta il 20 ottobre 2017</w:t>
            </w:r>
          </w:p>
        </w:tc>
      </w:tr>
      <w:tr>
        <w:trPr>
          <w:trHeight w:val="350" w:hRule="exact"/>
        </w:trPr>
        <w:tc>
          <w:tcPr>
            <w:tcW w:w="1166" w:type="dxa"/>
            <w:tcBorders>
              <w:top w:val="single" w:sz="3" w:space="0" w:color="000000"/>
            </w:tcBorders>
          </w:tcPr>
          <w:p>
            <w:pPr>
              <w:pStyle w:val="TableParagraph"/>
              <w:spacing w:line="288" w:lineRule="auto" w:before="21"/>
              <w:ind w:left="16"/>
              <w:jc w:val="left"/>
              <w:rPr>
                <w:b/>
                <w:sz w:val="13"/>
              </w:rPr>
            </w:pPr>
            <w:r>
              <w:rPr>
                <w:b/>
                <w:sz w:val="13"/>
              </w:rPr>
              <w:t>ENERGOCHEMI </w:t>
            </w:r>
            <w:r>
              <w:rPr>
                <w:b/>
                <w:w w:val="105"/>
                <w:sz w:val="13"/>
              </w:rPr>
              <w:t>CA</w:t>
            </w:r>
          </w:p>
        </w:tc>
        <w:tc>
          <w:tcPr>
            <w:tcW w:w="824" w:type="dxa"/>
            <w:tcBorders>
              <w:top w:val="single" w:sz="3" w:space="0" w:color="000000"/>
            </w:tcBorders>
          </w:tcPr>
          <w:p>
            <w:pPr>
              <w:pStyle w:val="TableParagraph"/>
              <w:spacing w:before="104"/>
              <w:ind w:right="56"/>
              <w:rPr>
                <w:sz w:val="13"/>
              </w:rPr>
            </w:pPr>
            <w:r>
              <w:rPr>
                <w:sz w:val="13"/>
              </w:rPr>
              <w:t>313.680</w:t>
            </w:r>
          </w:p>
        </w:tc>
        <w:tc>
          <w:tcPr>
            <w:tcW w:w="791" w:type="dxa"/>
            <w:tcBorders>
              <w:top w:val="single" w:sz="3" w:space="0" w:color="000000"/>
            </w:tcBorders>
          </w:tcPr>
          <w:p>
            <w:pPr/>
          </w:p>
        </w:tc>
        <w:tc>
          <w:tcPr>
            <w:tcW w:w="791" w:type="dxa"/>
            <w:tcBorders>
              <w:top w:val="single" w:sz="3" w:space="0" w:color="000000"/>
            </w:tcBorders>
          </w:tcPr>
          <w:p>
            <w:pPr/>
          </w:p>
        </w:tc>
        <w:tc>
          <w:tcPr>
            <w:tcW w:w="749" w:type="dxa"/>
            <w:tcBorders>
              <w:top w:val="single" w:sz="3" w:space="0" w:color="000000"/>
            </w:tcBorders>
          </w:tcPr>
          <w:p>
            <w:pPr>
              <w:pStyle w:val="TableParagraph"/>
              <w:spacing w:before="104"/>
              <w:ind w:right="56"/>
              <w:rPr>
                <w:sz w:val="13"/>
              </w:rPr>
            </w:pPr>
            <w:r>
              <w:rPr>
                <w:sz w:val="13"/>
              </w:rPr>
              <w:t>313.680</w:t>
            </w:r>
          </w:p>
        </w:tc>
        <w:tc>
          <w:tcPr>
            <w:tcW w:w="774" w:type="dxa"/>
            <w:tcBorders>
              <w:top w:val="single" w:sz="3" w:space="0" w:color="000000"/>
            </w:tcBorders>
          </w:tcPr>
          <w:p>
            <w:pPr/>
          </w:p>
        </w:tc>
        <w:tc>
          <w:tcPr>
            <w:tcW w:w="3955" w:type="dxa"/>
            <w:tcBorders>
              <w:top w:val="single" w:sz="3" w:space="0" w:color="000000"/>
            </w:tcBorders>
          </w:tcPr>
          <w:p>
            <w:pPr>
              <w:pStyle w:val="TableParagraph"/>
              <w:spacing w:before="104"/>
              <w:ind w:left="16"/>
              <w:jc w:val="left"/>
              <w:rPr>
                <w:sz w:val="13"/>
              </w:rPr>
            </w:pPr>
            <w:r>
              <w:rPr>
                <w:w w:val="105"/>
                <w:sz w:val="13"/>
              </w:rPr>
              <w:t>Valore rettificato. Contratto in corso e rientro perimetro offerta Versalis</w:t>
            </w:r>
          </w:p>
        </w:tc>
      </w:tr>
      <w:tr>
        <w:trPr>
          <w:trHeight w:val="349" w:hRule="exact"/>
        </w:trPr>
        <w:tc>
          <w:tcPr>
            <w:tcW w:w="1166" w:type="dxa"/>
          </w:tcPr>
          <w:p>
            <w:pPr>
              <w:pStyle w:val="TableParagraph"/>
              <w:spacing w:before="104"/>
              <w:ind w:left="16"/>
              <w:jc w:val="left"/>
              <w:rPr>
                <w:b/>
                <w:sz w:val="13"/>
              </w:rPr>
            </w:pPr>
            <w:r>
              <w:rPr>
                <w:b/>
                <w:w w:val="105"/>
                <w:sz w:val="13"/>
              </w:rPr>
              <w:t>BIOFLEX</w:t>
            </w:r>
          </w:p>
        </w:tc>
        <w:tc>
          <w:tcPr>
            <w:tcW w:w="824" w:type="dxa"/>
          </w:tcPr>
          <w:p>
            <w:pPr>
              <w:pStyle w:val="TableParagraph"/>
              <w:spacing w:before="104"/>
              <w:ind w:right="18"/>
              <w:rPr>
                <w:sz w:val="13"/>
              </w:rPr>
            </w:pPr>
            <w:r>
              <w:rPr>
                <w:sz w:val="13"/>
              </w:rPr>
              <w:t>(364.261)</w:t>
            </w:r>
          </w:p>
        </w:tc>
        <w:tc>
          <w:tcPr>
            <w:tcW w:w="791" w:type="dxa"/>
          </w:tcPr>
          <w:p>
            <w:pPr/>
          </w:p>
        </w:tc>
        <w:tc>
          <w:tcPr>
            <w:tcW w:w="791" w:type="dxa"/>
          </w:tcPr>
          <w:p>
            <w:pPr>
              <w:pStyle w:val="TableParagraph"/>
              <w:spacing w:before="104"/>
              <w:ind w:right="56"/>
              <w:rPr>
                <w:sz w:val="13"/>
              </w:rPr>
            </w:pPr>
            <w:r>
              <w:rPr>
                <w:sz w:val="13"/>
              </w:rPr>
              <w:t>364.261</w:t>
            </w:r>
          </w:p>
        </w:tc>
        <w:tc>
          <w:tcPr>
            <w:tcW w:w="749" w:type="dxa"/>
          </w:tcPr>
          <w:p>
            <w:pPr/>
          </w:p>
        </w:tc>
        <w:tc>
          <w:tcPr>
            <w:tcW w:w="774" w:type="dxa"/>
          </w:tcPr>
          <w:p>
            <w:pPr/>
          </w:p>
        </w:tc>
        <w:tc>
          <w:tcPr>
            <w:tcW w:w="3955" w:type="dxa"/>
          </w:tcPr>
          <w:p>
            <w:pPr>
              <w:pStyle w:val="TableParagraph"/>
              <w:spacing w:line="288" w:lineRule="auto" w:before="21"/>
              <w:ind w:left="16" w:right="98"/>
              <w:jc w:val="left"/>
              <w:rPr>
                <w:sz w:val="13"/>
              </w:rPr>
            </w:pPr>
            <w:r>
              <w:rPr>
                <w:w w:val="105"/>
                <w:sz w:val="13"/>
              </w:rPr>
              <w:t>Valore rettificato. Il valore del "billed in excess" viene rilasciato a ricavo. Forniture effettuate. Legato a commessa Gran Bio</w:t>
            </w:r>
          </w:p>
        </w:tc>
      </w:tr>
      <w:tr>
        <w:trPr>
          <w:trHeight w:val="350" w:hRule="exact"/>
        </w:trPr>
        <w:tc>
          <w:tcPr>
            <w:tcW w:w="1166" w:type="dxa"/>
          </w:tcPr>
          <w:p>
            <w:pPr>
              <w:pStyle w:val="TableParagraph"/>
              <w:spacing w:before="104"/>
              <w:ind w:left="16"/>
              <w:jc w:val="left"/>
              <w:rPr>
                <w:b/>
                <w:sz w:val="13"/>
              </w:rPr>
            </w:pPr>
            <w:r>
              <w:rPr>
                <w:b/>
                <w:w w:val="105"/>
                <w:sz w:val="13"/>
              </w:rPr>
              <w:t>JILIN</w:t>
            </w:r>
          </w:p>
        </w:tc>
        <w:tc>
          <w:tcPr>
            <w:tcW w:w="824" w:type="dxa"/>
          </w:tcPr>
          <w:p>
            <w:pPr>
              <w:pStyle w:val="TableParagraph"/>
              <w:spacing w:before="104"/>
              <w:ind w:right="18"/>
              <w:rPr>
                <w:sz w:val="13"/>
              </w:rPr>
            </w:pPr>
            <w:r>
              <w:rPr>
                <w:sz w:val="13"/>
              </w:rPr>
              <w:t>(279.846)</w:t>
            </w:r>
          </w:p>
        </w:tc>
        <w:tc>
          <w:tcPr>
            <w:tcW w:w="791" w:type="dxa"/>
          </w:tcPr>
          <w:p>
            <w:pPr/>
          </w:p>
        </w:tc>
        <w:tc>
          <w:tcPr>
            <w:tcW w:w="791" w:type="dxa"/>
          </w:tcPr>
          <w:p>
            <w:pPr>
              <w:pStyle w:val="TableParagraph"/>
              <w:spacing w:before="104"/>
              <w:ind w:right="56"/>
              <w:rPr>
                <w:sz w:val="13"/>
              </w:rPr>
            </w:pPr>
            <w:r>
              <w:rPr>
                <w:sz w:val="13"/>
              </w:rPr>
              <w:t>279.846</w:t>
            </w:r>
          </w:p>
        </w:tc>
        <w:tc>
          <w:tcPr>
            <w:tcW w:w="749" w:type="dxa"/>
          </w:tcPr>
          <w:p>
            <w:pPr/>
          </w:p>
        </w:tc>
        <w:tc>
          <w:tcPr>
            <w:tcW w:w="774" w:type="dxa"/>
          </w:tcPr>
          <w:p>
            <w:pPr/>
          </w:p>
        </w:tc>
        <w:tc>
          <w:tcPr>
            <w:tcW w:w="3955" w:type="dxa"/>
          </w:tcPr>
          <w:p>
            <w:pPr>
              <w:pStyle w:val="TableParagraph"/>
              <w:spacing w:line="285" w:lineRule="auto" w:before="21"/>
              <w:ind w:left="16" w:right="98"/>
              <w:jc w:val="left"/>
              <w:rPr>
                <w:sz w:val="13"/>
              </w:rPr>
            </w:pPr>
            <w:r>
              <w:rPr>
                <w:w w:val="105"/>
                <w:sz w:val="13"/>
              </w:rPr>
              <w:t>Valore rettificato. Il valore del "billed in excess" viene rilasciato a ricavo. Forniture effettuate, nessuna garanzia</w:t>
            </w:r>
          </w:p>
        </w:tc>
      </w:tr>
      <w:tr>
        <w:trPr>
          <w:trHeight w:val="349" w:hRule="exact"/>
        </w:trPr>
        <w:tc>
          <w:tcPr>
            <w:tcW w:w="1166" w:type="dxa"/>
          </w:tcPr>
          <w:p>
            <w:pPr>
              <w:pStyle w:val="TableParagraph"/>
              <w:spacing w:before="104"/>
              <w:ind w:left="16"/>
              <w:jc w:val="left"/>
              <w:rPr>
                <w:b/>
                <w:sz w:val="13"/>
              </w:rPr>
            </w:pPr>
            <w:r>
              <w:rPr>
                <w:b/>
                <w:w w:val="105"/>
                <w:sz w:val="13"/>
              </w:rPr>
              <w:t>LNG BAZ HOU</w:t>
            </w:r>
          </w:p>
        </w:tc>
        <w:tc>
          <w:tcPr>
            <w:tcW w:w="824" w:type="dxa"/>
          </w:tcPr>
          <w:p>
            <w:pPr>
              <w:pStyle w:val="TableParagraph"/>
              <w:spacing w:before="104"/>
              <w:ind w:right="18"/>
              <w:rPr>
                <w:sz w:val="13"/>
              </w:rPr>
            </w:pPr>
            <w:r>
              <w:rPr>
                <w:sz w:val="13"/>
              </w:rPr>
              <w:t>(250.004)</w:t>
            </w:r>
          </w:p>
        </w:tc>
        <w:tc>
          <w:tcPr>
            <w:tcW w:w="791" w:type="dxa"/>
          </w:tcPr>
          <w:p>
            <w:pPr/>
          </w:p>
        </w:tc>
        <w:tc>
          <w:tcPr>
            <w:tcW w:w="791" w:type="dxa"/>
          </w:tcPr>
          <w:p>
            <w:pPr>
              <w:pStyle w:val="TableParagraph"/>
              <w:spacing w:before="104"/>
              <w:ind w:right="56"/>
              <w:rPr>
                <w:sz w:val="13"/>
              </w:rPr>
            </w:pPr>
            <w:r>
              <w:rPr>
                <w:sz w:val="13"/>
              </w:rPr>
              <w:t>250.004</w:t>
            </w:r>
          </w:p>
        </w:tc>
        <w:tc>
          <w:tcPr>
            <w:tcW w:w="749" w:type="dxa"/>
          </w:tcPr>
          <w:p>
            <w:pPr/>
          </w:p>
        </w:tc>
        <w:tc>
          <w:tcPr>
            <w:tcW w:w="774" w:type="dxa"/>
          </w:tcPr>
          <w:p>
            <w:pPr/>
          </w:p>
        </w:tc>
        <w:tc>
          <w:tcPr>
            <w:tcW w:w="3955" w:type="dxa"/>
          </w:tcPr>
          <w:p>
            <w:pPr>
              <w:pStyle w:val="TableParagraph"/>
              <w:spacing w:line="288" w:lineRule="auto" w:before="21"/>
              <w:ind w:left="16" w:right="98"/>
              <w:jc w:val="left"/>
              <w:rPr>
                <w:sz w:val="13"/>
              </w:rPr>
            </w:pPr>
            <w:r>
              <w:rPr>
                <w:w w:val="105"/>
                <w:sz w:val="13"/>
              </w:rPr>
              <w:t>Valore rettificato. Il valore del "billed in excess" viene rilasciato a ricavo. Forniture effettuate, nessuna garanzia</w:t>
            </w:r>
          </w:p>
        </w:tc>
      </w:tr>
      <w:tr>
        <w:trPr>
          <w:trHeight w:val="349" w:hRule="exact"/>
        </w:trPr>
        <w:tc>
          <w:tcPr>
            <w:tcW w:w="1166" w:type="dxa"/>
          </w:tcPr>
          <w:p>
            <w:pPr>
              <w:pStyle w:val="TableParagraph"/>
              <w:spacing w:before="104"/>
              <w:ind w:left="16"/>
              <w:jc w:val="left"/>
              <w:rPr>
                <w:b/>
                <w:sz w:val="13"/>
              </w:rPr>
            </w:pPr>
            <w:r>
              <w:rPr>
                <w:b/>
                <w:w w:val="105"/>
                <w:sz w:val="13"/>
              </w:rPr>
              <w:t>WHUAI</w:t>
            </w:r>
          </w:p>
        </w:tc>
        <w:tc>
          <w:tcPr>
            <w:tcW w:w="824" w:type="dxa"/>
          </w:tcPr>
          <w:p>
            <w:pPr>
              <w:pStyle w:val="TableParagraph"/>
              <w:spacing w:before="104"/>
              <w:ind w:right="18"/>
              <w:rPr>
                <w:sz w:val="13"/>
              </w:rPr>
            </w:pPr>
            <w:r>
              <w:rPr>
                <w:sz w:val="13"/>
              </w:rPr>
              <w:t>(332.459)</w:t>
            </w:r>
          </w:p>
        </w:tc>
        <w:tc>
          <w:tcPr>
            <w:tcW w:w="791" w:type="dxa"/>
          </w:tcPr>
          <w:p>
            <w:pPr/>
          </w:p>
        </w:tc>
        <w:tc>
          <w:tcPr>
            <w:tcW w:w="791" w:type="dxa"/>
          </w:tcPr>
          <w:p>
            <w:pPr>
              <w:pStyle w:val="TableParagraph"/>
              <w:spacing w:before="104"/>
              <w:ind w:right="56"/>
              <w:rPr>
                <w:sz w:val="13"/>
              </w:rPr>
            </w:pPr>
            <w:r>
              <w:rPr>
                <w:sz w:val="13"/>
              </w:rPr>
              <w:t>332.459</w:t>
            </w:r>
          </w:p>
        </w:tc>
        <w:tc>
          <w:tcPr>
            <w:tcW w:w="749" w:type="dxa"/>
          </w:tcPr>
          <w:p>
            <w:pPr/>
          </w:p>
        </w:tc>
        <w:tc>
          <w:tcPr>
            <w:tcW w:w="774" w:type="dxa"/>
          </w:tcPr>
          <w:p>
            <w:pPr/>
          </w:p>
        </w:tc>
        <w:tc>
          <w:tcPr>
            <w:tcW w:w="3955" w:type="dxa"/>
          </w:tcPr>
          <w:p>
            <w:pPr>
              <w:pStyle w:val="TableParagraph"/>
              <w:spacing w:line="288" w:lineRule="auto" w:before="21"/>
              <w:ind w:left="16" w:right="7"/>
              <w:jc w:val="left"/>
              <w:rPr>
                <w:sz w:val="13"/>
              </w:rPr>
            </w:pPr>
            <w:r>
              <w:rPr>
                <w:w w:val="105"/>
                <w:sz w:val="13"/>
              </w:rPr>
              <w:t>Valore rettificato. Il valore del "billed in excess" viene rilasciato a ricavo. Nessuna garanzia.</w:t>
            </w:r>
          </w:p>
        </w:tc>
      </w:tr>
      <w:tr>
        <w:trPr>
          <w:trHeight w:val="350" w:hRule="exact"/>
        </w:trPr>
        <w:tc>
          <w:tcPr>
            <w:tcW w:w="1166" w:type="dxa"/>
          </w:tcPr>
          <w:p>
            <w:pPr>
              <w:pStyle w:val="TableParagraph"/>
              <w:spacing w:before="104"/>
              <w:ind w:left="16"/>
              <w:jc w:val="left"/>
              <w:rPr>
                <w:b/>
                <w:sz w:val="13"/>
              </w:rPr>
            </w:pPr>
            <w:r>
              <w:rPr>
                <w:b/>
                <w:w w:val="105"/>
                <w:sz w:val="13"/>
              </w:rPr>
              <w:t>JUMBO</w:t>
            </w:r>
          </w:p>
        </w:tc>
        <w:tc>
          <w:tcPr>
            <w:tcW w:w="824" w:type="dxa"/>
          </w:tcPr>
          <w:p>
            <w:pPr>
              <w:pStyle w:val="TableParagraph"/>
              <w:spacing w:before="104"/>
              <w:ind w:right="18"/>
              <w:rPr>
                <w:sz w:val="13"/>
              </w:rPr>
            </w:pPr>
            <w:r>
              <w:rPr>
                <w:sz w:val="13"/>
              </w:rPr>
              <w:t>(24.650)</w:t>
            </w:r>
          </w:p>
        </w:tc>
        <w:tc>
          <w:tcPr>
            <w:tcW w:w="791" w:type="dxa"/>
          </w:tcPr>
          <w:p>
            <w:pPr/>
          </w:p>
        </w:tc>
        <w:tc>
          <w:tcPr>
            <w:tcW w:w="791" w:type="dxa"/>
          </w:tcPr>
          <w:p>
            <w:pPr>
              <w:pStyle w:val="TableParagraph"/>
              <w:spacing w:before="104"/>
              <w:ind w:right="56"/>
              <w:rPr>
                <w:sz w:val="13"/>
              </w:rPr>
            </w:pPr>
            <w:r>
              <w:rPr>
                <w:sz w:val="13"/>
              </w:rPr>
              <w:t>24.650</w:t>
            </w:r>
          </w:p>
        </w:tc>
        <w:tc>
          <w:tcPr>
            <w:tcW w:w="749" w:type="dxa"/>
          </w:tcPr>
          <w:p>
            <w:pPr/>
          </w:p>
        </w:tc>
        <w:tc>
          <w:tcPr>
            <w:tcW w:w="774" w:type="dxa"/>
          </w:tcPr>
          <w:p>
            <w:pPr/>
          </w:p>
        </w:tc>
        <w:tc>
          <w:tcPr>
            <w:tcW w:w="3955" w:type="dxa"/>
          </w:tcPr>
          <w:p>
            <w:pPr>
              <w:pStyle w:val="TableParagraph"/>
              <w:spacing w:line="285" w:lineRule="auto" w:before="21"/>
              <w:ind w:left="16" w:right="98"/>
              <w:jc w:val="left"/>
              <w:rPr>
                <w:sz w:val="13"/>
              </w:rPr>
            </w:pPr>
            <w:r>
              <w:rPr>
                <w:w w:val="105"/>
                <w:sz w:val="13"/>
              </w:rPr>
              <w:t>Valore rettificato. Il valore del "billed in excess" viene rilasciato a ricavo. Attività conclusa, nessuna garanzia</w:t>
            </w:r>
          </w:p>
        </w:tc>
      </w:tr>
      <w:tr>
        <w:trPr>
          <w:trHeight w:val="524" w:hRule="exact"/>
        </w:trPr>
        <w:tc>
          <w:tcPr>
            <w:tcW w:w="1166" w:type="dxa"/>
          </w:tcPr>
          <w:p>
            <w:pPr>
              <w:pStyle w:val="TableParagraph"/>
              <w:spacing w:line="288" w:lineRule="auto" w:before="104"/>
              <w:ind w:left="16"/>
              <w:jc w:val="left"/>
              <w:rPr>
                <w:b/>
                <w:sz w:val="13"/>
              </w:rPr>
            </w:pPr>
            <w:r>
              <w:rPr>
                <w:b/>
                <w:w w:val="105"/>
                <w:sz w:val="13"/>
              </w:rPr>
              <w:t>CHINA </w:t>
            </w:r>
            <w:r>
              <w:rPr>
                <w:b/>
                <w:sz w:val="13"/>
              </w:rPr>
              <w:t>CONSTRUCTION</w:t>
            </w:r>
          </w:p>
        </w:tc>
        <w:tc>
          <w:tcPr>
            <w:tcW w:w="824" w:type="dxa"/>
          </w:tcPr>
          <w:p>
            <w:pPr>
              <w:pStyle w:val="TableParagraph"/>
              <w:spacing w:before="4"/>
              <w:jc w:val="left"/>
              <w:rPr>
                <w:sz w:val="17"/>
              </w:rPr>
            </w:pPr>
          </w:p>
          <w:p>
            <w:pPr>
              <w:pStyle w:val="TableParagraph"/>
              <w:spacing w:before="0"/>
              <w:ind w:right="18"/>
              <w:rPr>
                <w:sz w:val="13"/>
              </w:rPr>
            </w:pPr>
            <w:r>
              <w:rPr>
                <w:sz w:val="13"/>
              </w:rPr>
              <w:t>(630.749)</w:t>
            </w:r>
          </w:p>
        </w:tc>
        <w:tc>
          <w:tcPr>
            <w:tcW w:w="791" w:type="dxa"/>
          </w:tcPr>
          <w:p>
            <w:pPr/>
          </w:p>
        </w:tc>
        <w:tc>
          <w:tcPr>
            <w:tcW w:w="791" w:type="dxa"/>
          </w:tcPr>
          <w:p>
            <w:pPr>
              <w:pStyle w:val="TableParagraph"/>
              <w:spacing w:before="4"/>
              <w:jc w:val="left"/>
              <w:rPr>
                <w:sz w:val="17"/>
              </w:rPr>
            </w:pPr>
          </w:p>
          <w:p>
            <w:pPr>
              <w:pStyle w:val="TableParagraph"/>
              <w:spacing w:before="0"/>
              <w:ind w:right="56"/>
              <w:rPr>
                <w:sz w:val="13"/>
              </w:rPr>
            </w:pPr>
            <w:r>
              <w:rPr>
                <w:sz w:val="13"/>
              </w:rPr>
              <w:t>630.749</w:t>
            </w:r>
          </w:p>
        </w:tc>
        <w:tc>
          <w:tcPr>
            <w:tcW w:w="749" w:type="dxa"/>
          </w:tcPr>
          <w:p>
            <w:pPr/>
          </w:p>
        </w:tc>
        <w:tc>
          <w:tcPr>
            <w:tcW w:w="774" w:type="dxa"/>
          </w:tcPr>
          <w:p>
            <w:pPr/>
          </w:p>
        </w:tc>
        <w:tc>
          <w:tcPr>
            <w:tcW w:w="3955" w:type="dxa"/>
          </w:tcPr>
          <w:p>
            <w:pPr>
              <w:pStyle w:val="TableParagraph"/>
              <w:spacing w:line="288" w:lineRule="auto" w:before="104"/>
              <w:ind w:left="16" w:right="269"/>
              <w:jc w:val="left"/>
              <w:rPr>
                <w:sz w:val="13"/>
              </w:rPr>
            </w:pPr>
            <w:r>
              <w:rPr>
                <w:w w:val="105"/>
                <w:sz w:val="13"/>
              </w:rPr>
              <w:t>La commessa alla firma è stata rilevata: credito vs cliente a debito per billed in excess. Contratto non avviato, nessuna garanzia.</w:t>
            </w:r>
          </w:p>
        </w:tc>
      </w:tr>
      <w:tr>
        <w:trPr>
          <w:trHeight w:val="524" w:hRule="exact"/>
        </w:trPr>
        <w:tc>
          <w:tcPr>
            <w:tcW w:w="1166" w:type="dxa"/>
          </w:tcPr>
          <w:p>
            <w:pPr>
              <w:pStyle w:val="TableParagraph"/>
              <w:spacing w:line="288" w:lineRule="auto" w:before="104"/>
              <w:ind w:left="16"/>
              <w:jc w:val="left"/>
              <w:rPr>
                <w:b/>
                <w:sz w:val="13"/>
              </w:rPr>
            </w:pPr>
            <w:r>
              <w:rPr>
                <w:b/>
                <w:w w:val="105"/>
                <w:sz w:val="13"/>
              </w:rPr>
              <w:t>2G </w:t>
            </w:r>
            <w:r>
              <w:rPr>
                <w:b/>
                <w:sz w:val="13"/>
              </w:rPr>
              <w:t>BIOETHANOLO</w:t>
            </w:r>
          </w:p>
        </w:tc>
        <w:tc>
          <w:tcPr>
            <w:tcW w:w="824" w:type="dxa"/>
          </w:tcPr>
          <w:p>
            <w:pPr>
              <w:pStyle w:val="TableParagraph"/>
              <w:spacing w:before="4"/>
              <w:jc w:val="left"/>
              <w:rPr>
                <w:sz w:val="17"/>
              </w:rPr>
            </w:pPr>
          </w:p>
          <w:p>
            <w:pPr>
              <w:pStyle w:val="TableParagraph"/>
              <w:spacing w:before="0"/>
              <w:ind w:right="19"/>
              <w:rPr>
                <w:sz w:val="13"/>
              </w:rPr>
            </w:pPr>
            <w:r>
              <w:rPr>
                <w:sz w:val="13"/>
              </w:rPr>
              <w:t>(8.280.000)</w:t>
            </w:r>
          </w:p>
        </w:tc>
        <w:tc>
          <w:tcPr>
            <w:tcW w:w="791" w:type="dxa"/>
          </w:tcPr>
          <w:p>
            <w:pPr/>
          </w:p>
        </w:tc>
        <w:tc>
          <w:tcPr>
            <w:tcW w:w="791" w:type="dxa"/>
          </w:tcPr>
          <w:p>
            <w:pPr/>
          </w:p>
        </w:tc>
        <w:tc>
          <w:tcPr>
            <w:tcW w:w="749" w:type="dxa"/>
          </w:tcPr>
          <w:p>
            <w:pPr>
              <w:pStyle w:val="TableParagraph"/>
              <w:spacing w:before="4"/>
              <w:jc w:val="left"/>
              <w:rPr>
                <w:sz w:val="17"/>
              </w:rPr>
            </w:pPr>
          </w:p>
          <w:p>
            <w:pPr>
              <w:pStyle w:val="TableParagraph"/>
              <w:spacing w:before="0"/>
              <w:ind w:right="56"/>
              <w:rPr>
                <w:sz w:val="13"/>
              </w:rPr>
            </w:pPr>
            <w:r>
              <w:rPr>
                <w:sz w:val="13"/>
              </w:rPr>
              <w:t>8.280.000</w:t>
            </w:r>
          </w:p>
        </w:tc>
        <w:tc>
          <w:tcPr>
            <w:tcW w:w="774" w:type="dxa"/>
          </w:tcPr>
          <w:p>
            <w:pPr/>
          </w:p>
        </w:tc>
        <w:tc>
          <w:tcPr>
            <w:tcW w:w="3955" w:type="dxa"/>
          </w:tcPr>
          <w:p>
            <w:pPr>
              <w:pStyle w:val="TableParagraph"/>
              <w:spacing w:line="285" w:lineRule="auto" w:before="21"/>
              <w:ind w:left="16" w:right="219"/>
              <w:jc w:val="left"/>
              <w:rPr>
                <w:sz w:val="13"/>
              </w:rPr>
            </w:pPr>
            <w:r>
              <w:rPr>
                <w:w w:val="105"/>
                <w:sz w:val="13"/>
              </w:rPr>
              <w:t>La commessa alla firma è stata rilevata: credito vs cliente a debito per billed in excess. Contratto non avviato, nessuna garanzia. Contratto in corso e rientro perimetro offerta Versalis</w:t>
            </w:r>
          </w:p>
        </w:tc>
      </w:tr>
      <w:tr>
        <w:trPr>
          <w:trHeight w:val="175" w:hRule="exact"/>
        </w:trPr>
        <w:tc>
          <w:tcPr>
            <w:tcW w:w="1166" w:type="dxa"/>
            <w:shd w:val="clear" w:color="auto" w:fill="BEBEBE"/>
          </w:tcPr>
          <w:p>
            <w:pPr>
              <w:pStyle w:val="TableParagraph"/>
              <w:spacing w:before="21"/>
              <w:ind w:left="16"/>
              <w:jc w:val="left"/>
              <w:rPr>
                <w:b/>
                <w:sz w:val="13"/>
              </w:rPr>
            </w:pPr>
            <w:r>
              <w:rPr>
                <w:b/>
                <w:w w:val="105"/>
                <w:sz w:val="13"/>
              </w:rPr>
              <w:t>TOTALE</w:t>
            </w:r>
          </w:p>
        </w:tc>
        <w:tc>
          <w:tcPr>
            <w:tcW w:w="824" w:type="dxa"/>
            <w:shd w:val="clear" w:color="auto" w:fill="BEBEBE"/>
          </w:tcPr>
          <w:p>
            <w:pPr>
              <w:pStyle w:val="TableParagraph"/>
              <w:spacing w:before="21"/>
              <w:ind w:right="19"/>
              <w:rPr>
                <w:b/>
                <w:sz w:val="13"/>
              </w:rPr>
            </w:pPr>
            <w:r>
              <w:rPr>
                <w:b/>
                <w:sz w:val="13"/>
              </w:rPr>
              <w:t>(13.369.731)</w:t>
            </w:r>
          </w:p>
        </w:tc>
        <w:tc>
          <w:tcPr>
            <w:tcW w:w="791" w:type="dxa"/>
            <w:shd w:val="clear" w:color="auto" w:fill="BEBEBE"/>
          </w:tcPr>
          <w:p>
            <w:pPr>
              <w:pStyle w:val="TableParagraph"/>
              <w:spacing w:before="21"/>
              <w:ind w:right="19"/>
              <w:rPr>
                <w:b/>
                <w:sz w:val="13"/>
              </w:rPr>
            </w:pPr>
            <w:r>
              <w:rPr>
                <w:b/>
                <w:sz w:val="13"/>
              </w:rPr>
              <w:t>(1.684.643)</w:t>
            </w:r>
          </w:p>
        </w:tc>
        <w:tc>
          <w:tcPr>
            <w:tcW w:w="791" w:type="dxa"/>
            <w:shd w:val="clear" w:color="auto" w:fill="BEBEBE"/>
          </w:tcPr>
          <w:p>
            <w:pPr>
              <w:pStyle w:val="TableParagraph"/>
              <w:spacing w:before="21"/>
              <w:ind w:left="199"/>
              <w:jc w:val="left"/>
              <w:rPr>
                <w:b/>
                <w:sz w:val="13"/>
              </w:rPr>
            </w:pPr>
            <w:r>
              <w:rPr>
                <w:b/>
                <w:w w:val="105"/>
                <w:sz w:val="13"/>
              </w:rPr>
              <w:t>3.718.768</w:t>
            </w:r>
          </w:p>
        </w:tc>
        <w:tc>
          <w:tcPr>
            <w:tcW w:w="749" w:type="dxa"/>
            <w:shd w:val="clear" w:color="auto" w:fill="BEBEBE"/>
          </w:tcPr>
          <w:p>
            <w:pPr>
              <w:pStyle w:val="TableParagraph"/>
              <w:spacing w:before="21"/>
              <w:ind w:right="70"/>
              <w:rPr>
                <w:b/>
                <w:sz w:val="13"/>
              </w:rPr>
            </w:pPr>
            <w:r>
              <w:rPr>
                <w:b/>
                <w:w w:val="105"/>
                <w:sz w:val="13"/>
              </w:rPr>
              <w:t>8.593.680</w:t>
            </w:r>
          </w:p>
        </w:tc>
        <w:tc>
          <w:tcPr>
            <w:tcW w:w="774" w:type="dxa"/>
            <w:shd w:val="clear" w:color="auto" w:fill="BEBEBE"/>
          </w:tcPr>
          <w:p>
            <w:pPr>
              <w:pStyle w:val="TableParagraph"/>
              <w:spacing w:before="21"/>
              <w:ind w:right="18"/>
              <w:rPr>
                <w:b/>
                <w:sz w:val="13"/>
              </w:rPr>
            </w:pPr>
            <w:r>
              <w:rPr>
                <w:b/>
                <w:sz w:val="13"/>
              </w:rPr>
              <w:t>(2.772.671)</w:t>
            </w:r>
          </w:p>
        </w:tc>
        <w:tc>
          <w:tcPr>
            <w:tcW w:w="3955" w:type="dxa"/>
            <w:shd w:val="clear" w:color="auto" w:fill="BEBEBE"/>
          </w:tcPr>
          <w:p>
            <w:pPr/>
          </w:p>
        </w:tc>
      </w:tr>
    </w:tbl>
    <w:p>
      <w:pPr>
        <w:pStyle w:val="BodyText"/>
        <w:spacing w:before="3"/>
      </w:pPr>
    </w:p>
    <w:p>
      <w:pPr>
        <w:pStyle w:val="BodyText"/>
        <w:ind w:left="1418"/>
        <w:jc w:val="both"/>
      </w:pPr>
      <w:r>
        <w:rPr>
          <w:u w:val="single"/>
        </w:rPr>
        <w:t>Attività svolta</w:t>
      </w:r>
    </w:p>
    <w:p>
      <w:pPr>
        <w:pStyle w:val="BodyText"/>
        <w:spacing w:before="10"/>
        <w:rPr>
          <w:sz w:val="23"/>
        </w:rPr>
      </w:pPr>
    </w:p>
    <w:p>
      <w:pPr>
        <w:pStyle w:val="BodyText"/>
        <w:spacing w:line="480" w:lineRule="auto"/>
        <w:ind w:left="1418" w:right="1420"/>
        <w:jc w:val="both"/>
      </w:pPr>
      <w:r>
        <w:rPr/>
        <w:t>Gli scriventi, ai fini della veridicità dei dati contabili, hanno preso visione dei principali contratti sottoscritti dalla Società, con riferimento alle commesse sopra riportate, dei mastrini contabili e della ricostruzione contabile della posta in esame effettuata dalla Società.</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Valorizzazione concordataria</w:t>
      </w:r>
    </w:p>
    <w:p>
      <w:pPr>
        <w:pStyle w:val="BodyText"/>
        <w:spacing w:before="11"/>
        <w:rPr>
          <w:sz w:val="23"/>
        </w:rPr>
      </w:pPr>
    </w:p>
    <w:p>
      <w:pPr>
        <w:pStyle w:val="BodyText"/>
        <w:spacing w:line="480" w:lineRule="auto"/>
        <w:ind w:left="1418" w:right="1413"/>
        <w:jc w:val="both"/>
      </w:pPr>
      <w:r>
        <w:rPr/>
        <w:t>Ai fini del piano concordatario, tutti gli importi sono stati rettificati come sopra descritto, o in quanto rilasciati a conto economico, o in quanto trasferiti a Versalis, </w:t>
      </w:r>
      <w:r>
        <w:rPr>
          <w:u w:val="single"/>
        </w:rPr>
        <w:t>fatta eccezione per il debito di Euro 1.684.643 riferito alla commessa Newfengming, che è stato ricompreso tra i debiti concordatari in via  chirografaria.  </w:t>
      </w:r>
      <w:r>
        <w:rPr/>
        <w:t>Si segnala  che  sono stati  stanziati ulteriori fondi  rischi     per</w:t>
      </w:r>
    </w:p>
    <w:p>
      <w:pPr>
        <w:pStyle w:val="BodyText"/>
        <w:spacing w:line="480" w:lineRule="auto"/>
        <w:ind w:left="1418" w:right="1417"/>
        <w:jc w:val="both"/>
      </w:pPr>
      <w:r>
        <w:rPr/>
        <w:t>coprire il rischio di escussione di garanzie prestate sull’esecuzione di alcune commesse, per tali voci si rimanda al paragrafo dei fondi rischi per una completa trattazione delle poste.</w:t>
      </w:r>
    </w:p>
    <w:p>
      <w:pPr>
        <w:pStyle w:val="BodyText"/>
        <w:spacing w:line="480" w:lineRule="auto"/>
        <w:ind w:left="1418" w:right="1419"/>
        <w:jc w:val="both"/>
      </w:pPr>
      <w:r>
        <w:rPr/>
        <w:t>Gli scriventi segnalano altresì che Euro 8.280.000, riferiti alla commessa 2G Bioetanolo, ed Euro 313.680, riferiti alla commessa Energochemica, sono inclusi nel perimetro dell’offerta Versalis, pertanto sono stati rettificati.</w:t>
      </w:r>
    </w:p>
    <w:p>
      <w:pPr>
        <w:pStyle w:val="Heading2"/>
        <w:jc w:val="both"/>
      </w:pPr>
      <w:r>
        <w:rPr>
          <w:u w:val="single"/>
        </w:rPr>
        <w:t>ALTRI DEBITI - Debiti verso i dipendenti</w:t>
      </w:r>
    </w:p>
    <w:p>
      <w:pPr>
        <w:pStyle w:val="BodyText"/>
        <w:spacing w:before="1"/>
        <w:rPr>
          <w:b/>
          <w:sz w:val="15"/>
        </w:rPr>
      </w:pPr>
    </w:p>
    <w:p>
      <w:pPr>
        <w:pStyle w:val="BodyText"/>
        <w:spacing w:before="100"/>
        <w:ind w:left="1418"/>
      </w:pPr>
      <w:r>
        <w:rPr/>
        <w:pict>
          <v:line style="position:absolute;mso-position-horizontal-relative:page;mso-position-vertical-relative:paragraph;z-index:-845920" from="497.519989pt,16.601789pt" to="500.159989pt,16.601789pt" stroked="true" strokeweight=".600010pt" strokecolor="#000000">
            <v:stroke dashstyle="solid"/>
            <w10:wrap type="none"/>
          </v:line>
        </w:pict>
      </w:r>
      <w:r>
        <w:rPr/>
        <w:t>Nella voce in esame risultano iscritti debiti verso dipendenti per Euro 662.630 così suddivisi:</w:t>
      </w:r>
    </w:p>
    <w:p>
      <w:pPr>
        <w:pStyle w:val="BodyText"/>
        <w:rPr>
          <w:sz w:val="20"/>
        </w:rPr>
      </w:pPr>
    </w:p>
    <w:p>
      <w:pPr>
        <w:pStyle w:val="BodyText"/>
        <w:spacing w:before="5"/>
        <w:rPr>
          <w:sz w:val="20"/>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89"/>
        <w:gridCol w:w="3036"/>
        <w:gridCol w:w="1030"/>
        <w:gridCol w:w="1030"/>
        <w:gridCol w:w="1263"/>
        <w:gridCol w:w="913"/>
        <w:gridCol w:w="1092"/>
      </w:tblGrid>
      <w:tr>
        <w:trPr>
          <w:trHeight w:val="564" w:hRule="exact"/>
        </w:trPr>
        <w:tc>
          <w:tcPr>
            <w:tcW w:w="689" w:type="dxa"/>
            <w:shd w:val="clear" w:color="auto" w:fill="BEBEBE"/>
          </w:tcPr>
          <w:p>
            <w:pPr>
              <w:pStyle w:val="TableParagraph"/>
              <w:spacing w:before="8"/>
              <w:jc w:val="left"/>
              <w:rPr>
                <w:sz w:val="18"/>
              </w:rPr>
            </w:pPr>
          </w:p>
          <w:p>
            <w:pPr>
              <w:pStyle w:val="TableParagraph"/>
              <w:spacing w:before="0"/>
              <w:ind w:left="41" w:right="42"/>
              <w:jc w:val="center"/>
              <w:rPr>
                <w:b/>
                <w:sz w:val="14"/>
              </w:rPr>
            </w:pPr>
            <w:r>
              <w:rPr>
                <w:b/>
                <w:w w:val="105"/>
                <w:sz w:val="14"/>
              </w:rPr>
              <w:t>CONTO</w:t>
            </w:r>
          </w:p>
        </w:tc>
        <w:tc>
          <w:tcPr>
            <w:tcW w:w="3036" w:type="dxa"/>
            <w:shd w:val="clear" w:color="auto" w:fill="BEBEBE"/>
          </w:tcPr>
          <w:p>
            <w:pPr>
              <w:pStyle w:val="TableParagraph"/>
              <w:spacing w:before="8"/>
              <w:jc w:val="left"/>
              <w:rPr>
                <w:sz w:val="18"/>
              </w:rPr>
            </w:pPr>
          </w:p>
          <w:p>
            <w:pPr>
              <w:pStyle w:val="TableParagraph"/>
              <w:spacing w:before="0"/>
              <w:ind w:left="1003"/>
              <w:jc w:val="left"/>
              <w:rPr>
                <w:b/>
                <w:sz w:val="14"/>
              </w:rPr>
            </w:pPr>
            <w:r>
              <w:rPr>
                <w:b/>
                <w:w w:val="105"/>
                <w:sz w:val="14"/>
              </w:rPr>
              <w:t>DESCRIZIONE</w:t>
            </w:r>
          </w:p>
        </w:tc>
        <w:tc>
          <w:tcPr>
            <w:tcW w:w="1030" w:type="dxa"/>
            <w:shd w:val="clear" w:color="auto" w:fill="BEBEBE"/>
          </w:tcPr>
          <w:p>
            <w:pPr>
              <w:pStyle w:val="TableParagraph"/>
              <w:spacing w:line="285" w:lineRule="auto" w:before="22"/>
              <w:ind w:left="197" w:firstLine="53"/>
              <w:jc w:val="left"/>
              <w:rPr>
                <w:b/>
                <w:sz w:val="14"/>
              </w:rPr>
            </w:pPr>
            <w:r>
              <w:rPr>
                <w:b/>
                <w:w w:val="105"/>
                <w:sz w:val="14"/>
              </w:rPr>
              <w:t>Valori di bilancio al 15.10.2017</w:t>
            </w:r>
          </w:p>
        </w:tc>
        <w:tc>
          <w:tcPr>
            <w:tcW w:w="1030" w:type="dxa"/>
            <w:shd w:val="clear" w:color="auto" w:fill="BEBEBE"/>
          </w:tcPr>
          <w:p>
            <w:pPr>
              <w:pStyle w:val="TableParagraph"/>
              <w:spacing w:line="285" w:lineRule="auto" w:before="112"/>
              <w:ind w:left="80" w:firstLine="134"/>
              <w:jc w:val="left"/>
              <w:rPr>
                <w:b/>
                <w:sz w:val="14"/>
              </w:rPr>
            </w:pPr>
            <w:r>
              <w:rPr>
                <w:b/>
                <w:w w:val="105"/>
                <w:sz w:val="14"/>
              </w:rPr>
              <w:t>Rettifiche </w:t>
            </w:r>
            <w:r>
              <w:rPr>
                <w:b/>
                <w:sz w:val="14"/>
              </w:rPr>
              <w:t>concordatarie</w:t>
            </w:r>
          </w:p>
        </w:tc>
        <w:tc>
          <w:tcPr>
            <w:tcW w:w="1263" w:type="dxa"/>
            <w:shd w:val="clear" w:color="auto" w:fill="BEBEBE"/>
          </w:tcPr>
          <w:p>
            <w:pPr>
              <w:pStyle w:val="TableParagraph"/>
              <w:spacing w:line="285" w:lineRule="auto" w:before="112"/>
              <w:ind w:left="206" w:hanging="27"/>
              <w:jc w:val="left"/>
              <w:rPr>
                <w:b/>
                <w:sz w:val="14"/>
              </w:rPr>
            </w:pPr>
            <w:r>
              <w:rPr>
                <w:b/>
                <w:w w:val="105"/>
                <w:sz w:val="14"/>
              </w:rPr>
              <w:t>Valori di piano concordatario</w:t>
            </w:r>
          </w:p>
        </w:tc>
        <w:tc>
          <w:tcPr>
            <w:tcW w:w="913" w:type="dxa"/>
            <w:shd w:val="clear" w:color="auto" w:fill="BEBEBE"/>
          </w:tcPr>
          <w:p>
            <w:pPr>
              <w:pStyle w:val="TableParagraph"/>
              <w:spacing w:before="8"/>
              <w:jc w:val="left"/>
              <w:rPr>
                <w:sz w:val="18"/>
              </w:rPr>
            </w:pPr>
          </w:p>
          <w:p>
            <w:pPr>
              <w:pStyle w:val="TableParagraph"/>
              <w:spacing w:before="0"/>
              <w:ind w:left="161"/>
              <w:jc w:val="left"/>
              <w:rPr>
                <w:b/>
                <w:sz w:val="14"/>
              </w:rPr>
            </w:pPr>
            <w:r>
              <w:rPr>
                <w:b/>
                <w:w w:val="105"/>
                <w:sz w:val="14"/>
              </w:rPr>
              <w:t>Privilegio</w:t>
            </w:r>
          </w:p>
        </w:tc>
        <w:tc>
          <w:tcPr>
            <w:tcW w:w="1092" w:type="dxa"/>
            <w:shd w:val="clear" w:color="auto" w:fill="BEBEBE"/>
          </w:tcPr>
          <w:p>
            <w:pPr>
              <w:pStyle w:val="TableParagraph"/>
              <w:spacing w:before="8"/>
              <w:jc w:val="left"/>
              <w:rPr>
                <w:sz w:val="18"/>
              </w:rPr>
            </w:pPr>
          </w:p>
          <w:p>
            <w:pPr>
              <w:pStyle w:val="TableParagraph"/>
              <w:spacing w:before="0"/>
              <w:ind w:left="134"/>
              <w:jc w:val="left"/>
              <w:rPr>
                <w:b/>
                <w:sz w:val="14"/>
              </w:rPr>
            </w:pPr>
            <w:r>
              <w:rPr>
                <w:b/>
                <w:w w:val="105"/>
                <w:sz w:val="14"/>
              </w:rPr>
              <w:t>Chirografario</w:t>
            </w:r>
          </w:p>
        </w:tc>
      </w:tr>
      <w:tr>
        <w:trPr>
          <w:trHeight w:val="199" w:hRule="exact"/>
        </w:trPr>
        <w:tc>
          <w:tcPr>
            <w:tcW w:w="689" w:type="dxa"/>
            <w:tcBorders>
              <w:bottom w:val="nil"/>
            </w:tcBorders>
          </w:tcPr>
          <w:p>
            <w:pPr>
              <w:pStyle w:val="TableParagraph"/>
              <w:spacing w:before="22"/>
              <w:ind w:left="41" w:right="41"/>
              <w:jc w:val="center"/>
              <w:rPr>
                <w:sz w:val="14"/>
              </w:rPr>
            </w:pPr>
            <w:r>
              <w:rPr>
                <w:w w:val="105"/>
                <w:sz w:val="14"/>
              </w:rPr>
              <w:t>2330110</w:t>
            </w:r>
          </w:p>
        </w:tc>
        <w:tc>
          <w:tcPr>
            <w:tcW w:w="3036" w:type="dxa"/>
            <w:tcBorders>
              <w:bottom w:val="nil"/>
            </w:tcBorders>
          </w:tcPr>
          <w:p>
            <w:pPr>
              <w:pStyle w:val="TableParagraph"/>
              <w:spacing w:before="22"/>
              <w:ind w:left="17"/>
              <w:jc w:val="left"/>
              <w:rPr>
                <w:sz w:val="14"/>
              </w:rPr>
            </w:pPr>
            <w:r>
              <w:rPr>
                <w:w w:val="105"/>
                <w:sz w:val="14"/>
              </w:rPr>
              <w:t>Debiti per Ferie Residue</w:t>
            </w:r>
          </w:p>
        </w:tc>
        <w:tc>
          <w:tcPr>
            <w:tcW w:w="1030" w:type="dxa"/>
            <w:tcBorders>
              <w:bottom w:val="nil"/>
            </w:tcBorders>
          </w:tcPr>
          <w:p>
            <w:pPr>
              <w:pStyle w:val="TableParagraph"/>
              <w:spacing w:before="22"/>
              <w:ind w:right="20"/>
              <w:rPr>
                <w:sz w:val="14"/>
              </w:rPr>
            </w:pPr>
            <w:r>
              <w:rPr>
                <w:sz w:val="14"/>
              </w:rPr>
              <w:t>(233.416)</w:t>
            </w:r>
          </w:p>
        </w:tc>
        <w:tc>
          <w:tcPr>
            <w:tcW w:w="1030" w:type="dxa"/>
            <w:tcBorders>
              <w:bottom w:val="nil"/>
            </w:tcBorders>
          </w:tcPr>
          <w:p>
            <w:pPr>
              <w:pStyle w:val="TableParagraph"/>
              <w:spacing w:before="22"/>
              <w:ind w:right="65"/>
              <w:rPr>
                <w:sz w:val="14"/>
              </w:rPr>
            </w:pPr>
            <w:r>
              <w:rPr>
                <w:sz w:val="14"/>
              </w:rPr>
              <w:t>233.416</w:t>
            </w:r>
          </w:p>
        </w:tc>
        <w:tc>
          <w:tcPr>
            <w:tcW w:w="1263" w:type="dxa"/>
            <w:tcBorders>
              <w:bottom w:val="nil"/>
            </w:tcBorders>
          </w:tcPr>
          <w:p>
            <w:pPr/>
          </w:p>
        </w:tc>
        <w:tc>
          <w:tcPr>
            <w:tcW w:w="913" w:type="dxa"/>
            <w:tcBorders>
              <w:bottom w:val="nil"/>
            </w:tcBorders>
          </w:tcPr>
          <w:p>
            <w:pPr/>
          </w:p>
        </w:tc>
        <w:tc>
          <w:tcPr>
            <w:tcW w:w="1092" w:type="dxa"/>
            <w:tcBorders>
              <w:bottom w:val="nil"/>
            </w:tcBorders>
          </w:tcPr>
          <w:p>
            <w:pP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2330840</w:t>
            </w:r>
          </w:p>
        </w:tc>
        <w:tc>
          <w:tcPr>
            <w:tcW w:w="3036" w:type="dxa"/>
            <w:tcBorders>
              <w:top w:val="nil"/>
              <w:bottom w:val="nil"/>
            </w:tcBorders>
          </w:tcPr>
          <w:p>
            <w:pPr>
              <w:pStyle w:val="TableParagraph"/>
              <w:spacing w:before="16"/>
              <w:ind w:left="17"/>
              <w:jc w:val="left"/>
              <w:rPr>
                <w:sz w:val="14"/>
              </w:rPr>
            </w:pPr>
            <w:r>
              <w:rPr>
                <w:w w:val="105"/>
                <w:sz w:val="14"/>
              </w:rPr>
              <w:t>Debiti Note Spese - Transitorio</w:t>
            </w:r>
          </w:p>
        </w:tc>
        <w:tc>
          <w:tcPr>
            <w:tcW w:w="1030" w:type="dxa"/>
            <w:tcBorders>
              <w:top w:val="nil"/>
              <w:bottom w:val="nil"/>
            </w:tcBorders>
          </w:tcPr>
          <w:p>
            <w:pPr>
              <w:pStyle w:val="TableParagraph"/>
              <w:spacing w:before="16"/>
              <w:ind w:right="19"/>
              <w:rPr>
                <w:sz w:val="14"/>
              </w:rPr>
            </w:pPr>
            <w:r>
              <w:rPr>
                <w:sz w:val="14"/>
              </w:rPr>
              <w:t>(372)</w:t>
            </w:r>
          </w:p>
        </w:tc>
        <w:tc>
          <w:tcPr>
            <w:tcW w:w="1030" w:type="dxa"/>
            <w:tcBorders>
              <w:top w:val="nil"/>
              <w:bottom w:val="nil"/>
            </w:tcBorders>
          </w:tcPr>
          <w:p>
            <w:pPr>
              <w:pStyle w:val="TableParagraph"/>
              <w:spacing w:before="16"/>
              <w:ind w:right="60"/>
              <w:rPr>
                <w:sz w:val="14"/>
              </w:rPr>
            </w:pPr>
            <w:r>
              <w:rPr>
                <w:sz w:val="14"/>
              </w:rPr>
              <w:t>372</w:t>
            </w:r>
          </w:p>
        </w:tc>
        <w:tc>
          <w:tcPr>
            <w:tcW w:w="1263" w:type="dxa"/>
            <w:tcBorders>
              <w:top w:val="nil"/>
              <w:bottom w:val="nil"/>
            </w:tcBorders>
          </w:tcPr>
          <w:p>
            <w:pPr/>
          </w:p>
        </w:tc>
        <w:tc>
          <w:tcPr>
            <w:tcW w:w="913" w:type="dxa"/>
            <w:tcBorders>
              <w:top w:val="nil"/>
              <w:bottom w:val="nil"/>
            </w:tcBorders>
          </w:tcPr>
          <w:p>
            <w:pPr/>
          </w:p>
        </w:tc>
        <w:tc>
          <w:tcPr>
            <w:tcW w:w="1092" w:type="dxa"/>
            <w:tcBorders>
              <w:top w:val="nil"/>
              <w:bottom w:val="nil"/>
            </w:tcBorders>
          </w:tcPr>
          <w:p>
            <w:pP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2330850</w:t>
            </w:r>
          </w:p>
        </w:tc>
        <w:tc>
          <w:tcPr>
            <w:tcW w:w="3036" w:type="dxa"/>
            <w:tcBorders>
              <w:top w:val="nil"/>
              <w:bottom w:val="nil"/>
            </w:tcBorders>
          </w:tcPr>
          <w:p>
            <w:pPr>
              <w:pStyle w:val="TableParagraph"/>
              <w:spacing w:before="16"/>
              <w:ind w:left="17"/>
              <w:jc w:val="left"/>
              <w:rPr>
                <w:sz w:val="14"/>
              </w:rPr>
            </w:pPr>
            <w:r>
              <w:rPr>
                <w:w w:val="105"/>
                <w:sz w:val="14"/>
              </w:rPr>
              <w:t>Debiti per Quattordicesima mensilità</w:t>
            </w:r>
          </w:p>
        </w:tc>
        <w:tc>
          <w:tcPr>
            <w:tcW w:w="1030" w:type="dxa"/>
            <w:tcBorders>
              <w:top w:val="nil"/>
              <w:bottom w:val="nil"/>
            </w:tcBorders>
          </w:tcPr>
          <w:p>
            <w:pPr>
              <w:pStyle w:val="TableParagraph"/>
              <w:spacing w:before="16"/>
              <w:ind w:right="66"/>
              <w:rPr>
                <w:sz w:val="14"/>
              </w:rPr>
            </w:pPr>
            <w:r>
              <w:rPr>
                <w:sz w:val="14"/>
              </w:rPr>
              <w:t>49.066</w:t>
            </w:r>
          </w:p>
        </w:tc>
        <w:tc>
          <w:tcPr>
            <w:tcW w:w="1030" w:type="dxa"/>
            <w:tcBorders>
              <w:top w:val="nil"/>
              <w:bottom w:val="nil"/>
            </w:tcBorders>
          </w:tcPr>
          <w:p>
            <w:pPr>
              <w:pStyle w:val="TableParagraph"/>
              <w:spacing w:before="16"/>
              <w:ind w:right="20"/>
              <w:rPr>
                <w:sz w:val="14"/>
              </w:rPr>
            </w:pPr>
            <w:r>
              <w:rPr>
                <w:sz w:val="14"/>
              </w:rPr>
              <w:t>(49.066)</w:t>
            </w:r>
          </w:p>
        </w:tc>
        <w:tc>
          <w:tcPr>
            <w:tcW w:w="1263" w:type="dxa"/>
            <w:tcBorders>
              <w:top w:val="nil"/>
              <w:bottom w:val="nil"/>
            </w:tcBorders>
          </w:tcPr>
          <w:p>
            <w:pPr/>
          </w:p>
        </w:tc>
        <w:tc>
          <w:tcPr>
            <w:tcW w:w="913" w:type="dxa"/>
            <w:tcBorders>
              <w:top w:val="nil"/>
              <w:bottom w:val="nil"/>
            </w:tcBorders>
          </w:tcPr>
          <w:p>
            <w:pPr/>
          </w:p>
        </w:tc>
        <w:tc>
          <w:tcPr>
            <w:tcW w:w="1092" w:type="dxa"/>
            <w:tcBorders>
              <w:top w:val="nil"/>
              <w:bottom w:val="nil"/>
            </w:tcBorders>
          </w:tcPr>
          <w:p>
            <w:pP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2330860</w:t>
            </w:r>
          </w:p>
        </w:tc>
        <w:tc>
          <w:tcPr>
            <w:tcW w:w="3036" w:type="dxa"/>
            <w:tcBorders>
              <w:top w:val="nil"/>
              <w:bottom w:val="nil"/>
            </w:tcBorders>
          </w:tcPr>
          <w:p>
            <w:pPr>
              <w:pStyle w:val="TableParagraph"/>
              <w:spacing w:before="16"/>
              <w:ind w:left="17"/>
              <w:jc w:val="left"/>
              <w:rPr>
                <w:sz w:val="14"/>
              </w:rPr>
            </w:pPr>
            <w:r>
              <w:rPr>
                <w:w w:val="105"/>
                <w:sz w:val="14"/>
              </w:rPr>
              <w:t>Debiti per Tredicesima mensilità</w:t>
            </w:r>
          </w:p>
        </w:tc>
        <w:tc>
          <w:tcPr>
            <w:tcW w:w="1030" w:type="dxa"/>
            <w:tcBorders>
              <w:top w:val="nil"/>
              <w:bottom w:val="nil"/>
            </w:tcBorders>
          </w:tcPr>
          <w:p>
            <w:pPr>
              <w:pStyle w:val="TableParagraph"/>
              <w:spacing w:before="16"/>
              <w:ind w:right="20"/>
              <w:rPr>
                <w:sz w:val="14"/>
              </w:rPr>
            </w:pPr>
            <w:r>
              <w:rPr>
                <w:sz w:val="14"/>
              </w:rPr>
              <w:t>(216.096)</w:t>
            </w:r>
          </w:p>
        </w:tc>
        <w:tc>
          <w:tcPr>
            <w:tcW w:w="1030" w:type="dxa"/>
            <w:tcBorders>
              <w:top w:val="nil"/>
              <w:bottom w:val="nil"/>
            </w:tcBorders>
          </w:tcPr>
          <w:p>
            <w:pPr/>
          </w:p>
        </w:tc>
        <w:tc>
          <w:tcPr>
            <w:tcW w:w="1263" w:type="dxa"/>
            <w:tcBorders>
              <w:top w:val="nil"/>
              <w:bottom w:val="nil"/>
            </w:tcBorders>
          </w:tcPr>
          <w:p>
            <w:pPr>
              <w:pStyle w:val="TableParagraph"/>
              <w:spacing w:before="16"/>
              <w:ind w:right="20"/>
              <w:rPr>
                <w:sz w:val="14"/>
              </w:rPr>
            </w:pPr>
            <w:r>
              <w:rPr>
                <w:sz w:val="14"/>
              </w:rPr>
              <w:t>(216.096)</w:t>
            </w:r>
          </w:p>
        </w:tc>
        <w:tc>
          <w:tcPr>
            <w:tcW w:w="913" w:type="dxa"/>
            <w:tcBorders>
              <w:top w:val="nil"/>
              <w:bottom w:val="nil"/>
            </w:tcBorders>
          </w:tcPr>
          <w:p>
            <w:pPr>
              <w:pStyle w:val="TableParagraph"/>
              <w:spacing w:before="16"/>
              <w:ind w:right="20"/>
              <w:rPr>
                <w:sz w:val="14"/>
              </w:rPr>
            </w:pPr>
            <w:r>
              <w:rPr>
                <w:sz w:val="14"/>
              </w:rPr>
              <w:t>(216.096)</w:t>
            </w:r>
          </w:p>
        </w:tc>
        <w:tc>
          <w:tcPr>
            <w:tcW w:w="1092" w:type="dxa"/>
            <w:tcBorders>
              <w:top w:val="nil"/>
              <w:bottom w:val="nil"/>
            </w:tcBorders>
          </w:tcPr>
          <w:p>
            <w:pP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2330090</w:t>
            </w:r>
          </w:p>
        </w:tc>
        <w:tc>
          <w:tcPr>
            <w:tcW w:w="3036" w:type="dxa"/>
            <w:tcBorders>
              <w:top w:val="nil"/>
              <w:bottom w:val="nil"/>
            </w:tcBorders>
          </w:tcPr>
          <w:p>
            <w:pPr>
              <w:pStyle w:val="TableParagraph"/>
              <w:spacing w:before="16"/>
              <w:ind w:left="17"/>
              <w:jc w:val="left"/>
              <w:rPr>
                <w:sz w:val="14"/>
              </w:rPr>
            </w:pPr>
            <w:r>
              <w:rPr>
                <w:w w:val="105"/>
                <w:sz w:val="14"/>
              </w:rPr>
              <w:t>Debiti per salari e stipendi</w:t>
            </w:r>
          </w:p>
        </w:tc>
        <w:tc>
          <w:tcPr>
            <w:tcW w:w="1030" w:type="dxa"/>
            <w:tcBorders>
              <w:top w:val="nil"/>
              <w:bottom w:val="nil"/>
            </w:tcBorders>
          </w:tcPr>
          <w:p>
            <w:pPr>
              <w:pStyle w:val="TableParagraph"/>
              <w:spacing w:before="16"/>
              <w:ind w:right="20"/>
              <w:rPr>
                <w:sz w:val="14"/>
              </w:rPr>
            </w:pPr>
            <w:r>
              <w:rPr>
                <w:sz w:val="14"/>
              </w:rPr>
              <w:t>(40.000)</w:t>
            </w:r>
          </w:p>
        </w:tc>
        <w:tc>
          <w:tcPr>
            <w:tcW w:w="1030" w:type="dxa"/>
            <w:tcBorders>
              <w:top w:val="nil"/>
              <w:bottom w:val="nil"/>
            </w:tcBorders>
          </w:tcPr>
          <w:p>
            <w:pPr>
              <w:pStyle w:val="TableParagraph"/>
              <w:spacing w:before="16"/>
              <w:ind w:right="65"/>
              <w:rPr>
                <w:sz w:val="14"/>
              </w:rPr>
            </w:pPr>
            <w:r>
              <w:rPr>
                <w:sz w:val="14"/>
              </w:rPr>
              <w:t>40.000</w:t>
            </w:r>
          </w:p>
        </w:tc>
        <w:tc>
          <w:tcPr>
            <w:tcW w:w="1263" w:type="dxa"/>
            <w:tcBorders>
              <w:top w:val="nil"/>
              <w:bottom w:val="nil"/>
            </w:tcBorders>
          </w:tcPr>
          <w:p>
            <w:pPr/>
          </w:p>
        </w:tc>
        <w:tc>
          <w:tcPr>
            <w:tcW w:w="913" w:type="dxa"/>
            <w:tcBorders>
              <w:top w:val="nil"/>
              <w:bottom w:val="nil"/>
            </w:tcBorders>
          </w:tcPr>
          <w:p>
            <w:pPr/>
          </w:p>
        </w:tc>
        <w:tc>
          <w:tcPr>
            <w:tcW w:w="1092" w:type="dxa"/>
            <w:tcBorders>
              <w:top w:val="nil"/>
              <w:bottom w:val="nil"/>
            </w:tcBorders>
          </w:tcPr>
          <w:p>
            <w:pP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2331580</w:t>
            </w:r>
          </w:p>
        </w:tc>
        <w:tc>
          <w:tcPr>
            <w:tcW w:w="3036" w:type="dxa"/>
            <w:tcBorders>
              <w:top w:val="nil"/>
              <w:bottom w:val="nil"/>
            </w:tcBorders>
          </w:tcPr>
          <w:p>
            <w:pPr>
              <w:pStyle w:val="TableParagraph"/>
              <w:spacing w:before="16"/>
              <w:ind w:left="17"/>
              <w:jc w:val="left"/>
              <w:rPr>
                <w:sz w:val="14"/>
              </w:rPr>
            </w:pPr>
            <w:r>
              <w:rPr>
                <w:w w:val="105"/>
                <w:sz w:val="14"/>
              </w:rPr>
              <w:t>Debiti per Conto Ore</w:t>
            </w:r>
          </w:p>
        </w:tc>
        <w:tc>
          <w:tcPr>
            <w:tcW w:w="1030" w:type="dxa"/>
            <w:tcBorders>
              <w:top w:val="nil"/>
              <w:bottom w:val="nil"/>
            </w:tcBorders>
          </w:tcPr>
          <w:p>
            <w:pPr>
              <w:pStyle w:val="TableParagraph"/>
              <w:spacing w:before="16"/>
              <w:ind w:right="20"/>
              <w:rPr>
                <w:sz w:val="14"/>
              </w:rPr>
            </w:pPr>
            <w:r>
              <w:rPr>
                <w:sz w:val="14"/>
              </w:rPr>
              <w:t>(4.142)</w:t>
            </w:r>
          </w:p>
        </w:tc>
        <w:tc>
          <w:tcPr>
            <w:tcW w:w="1030" w:type="dxa"/>
            <w:tcBorders>
              <w:top w:val="nil"/>
              <w:bottom w:val="nil"/>
            </w:tcBorders>
          </w:tcPr>
          <w:p>
            <w:pPr>
              <w:pStyle w:val="TableParagraph"/>
              <w:spacing w:before="16"/>
              <w:ind w:right="65"/>
              <w:rPr>
                <w:sz w:val="14"/>
              </w:rPr>
            </w:pPr>
            <w:r>
              <w:rPr>
                <w:sz w:val="14"/>
              </w:rPr>
              <w:t>4.142</w:t>
            </w:r>
          </w:p>
        </w:tc>
        <w:tc>
          <w:tcPr>
            <w:tcW w:w="1263" w:type="dxa"/>
            <w:tcBorders>
              <w:top w:val="nil"/>
              <w:bottom w:val="nil"/>
            </w:tcBorders>
          </w:tcPr>
          <w:p>
            <w:pPr/>
          </w:p>
        </w:tc>
        <w:tc>
          <w:tcPr>
            <w:tcW w:w="913" w:type="dxa"/>
            <w:tcBorders>
              <w:top w:val="nil"/>
              <w:bottom w:val="nil"/>
            </w:tcBorders>
          </w:tcPr>
          <w:p>
            <w:pPr/>
          </w:p>
        </w:tc>
        <w:tc>
          <w:tcPr>
            <w:tcW w:w="1092" w:type="dxa"/>
            <w:tcBorders>
              <w:top w:val="nil"/>
              <w:bottom w:val="nil"/>
            </w:tcBorders>
          </w:tcPr>
          <w:p>
            <w:pPr/>
          </w:p>
        </w:tc>
      </w:tr>
      <w:tr>
        <w:trPr>
          <w:trHeight w:val="188" w:hRule="exact"/>
        </w:trPr>
        <w:tc>
          <w:tcPr>
            <w:tcW w:w="689" w:type="dxa"/>
            <w:tcBorders>
              <w:top w:val="nil"/>
              <w:bottom w:val="nil"/>
            </w:tcBorders>
          </w:tcPr>
          <w:p>
            <w:pPr>
              <w:pStyle w:val="TableParagraph"/>
              <w:spacing w:before="16"/>
              <w:ind w:left="41" w:right="41"/>
              <w:jc w:val="center"/>
              <w:rPr>
                <w:sz w:val="14"/>
              </w:rPr>
            </w:pPr>
            <w:r>
              <w:rPr>
                <w:w w:val="105"/>
                <w:sz w:val="14"/>
              </w:rPr>
              <w:t>2330340</w:t>
            </w:r>
          </w:p>
        </w:tc>
        <w:tc>
          <w:tcPr>
            <w:tcW w:w="3036" w:type="dxa"/>
            <w:tcBorders>
              <w:top w:val="nil"/>
              <w:bottom w:val="nil"/>
            </w:tcBorders>
          </w:tcPr>
          <w:p>
            <w:pPr>
              <w:pStyle w:val="TableParagraph"/>
              <w:spacing w:before="16"/>
              <w:ind w:left="17"/>
              <w:jc w:val="left"/>
              <w:rPr>
                <w:sz w:val="14"/>
              </w:rPr>
            </w:pPr>
            <w:r>
              <w:rPr>
                <w:w w:val="105"/>
                <w:sz w:val="14"/>
              </w:rPr>
              <w:t>Associazioni Sindacali</w:t>
            </w:r>
          </w:p>
        </w:tc>
        <w:tc>
          <w:tcPr>
            <w:tcW w:w="1030" w:type="dxa"/>
            <w:tcBorders>
              <w:top w:val="nil"/>
              <w:bottom w:val="nil"/>
            </w:tcBorders>
          </w:tcPr>
          <w:p>
            <w:pPr>
              <w:pStyle w:val="TableParagraph"/>
              <w:spacing w:before="16"/>
              <w:ind w:right="19"/>
              <w:rPr>
                <w:sz w:val="14"/>
              </w:rPr>
            </w:pPr>
            <w:r>
              <w:rPr>
                <w:sz w:val="14"/>
              </w:rPr>
              <w:t>(282)</w:t>
            </w:r>
          </w:p>
        </w:tc>
        <w:tc>
          <w:tcPr>
            <w:tcW w:w="1030" w:type="dxa"/>
            <w:tcBorders>
              <w:top w:val="nil"/>
              <w:bottom w:val="nil"/>
            </w:tcBorders>
          </w:tcPr>
          <w:p>
            <w:pPr/>
          </w:p>
        </w:tc>
        <w:tc>
          <w:tcPr>
            <w:tcW w:w="1263" w:type="dxa"/>
            <w:tcBorders>
              <w:top w:val="nil"/>
              <w:bottom w:val="nil"/>
            </w:tcBorders>
          </w:tcPr>
          <w:p>
            <w:pPr>
              <w:pStyle w:val="TableParagraph"/>
              <w:spacing w:before="16"/>
              <w:ind w:right="19"/>
              <w:rPr>
                <w:sz w:val="14"/>
              </w:rPr>
            </w:pPr>
            <w:r>
              <w:rPr>
                <w:sz w:val="14"/>
              </w:rPr>
              <w:t>(282)</w:t>
            </w:r>
          </w:p>
        </w:tc>
        <w:tc>
          <w:tcPr>
            <w:tcW w:w="913" w:type="dxa"/>
            <w:tcBorders>
              <w:top w:val="nil"/>
              <w:bottom w:val="nil"/>
            </w:tcBorders>
          </w:tcPr>
          <w:p>
            <w:pPr/>
          </w:p>
        </w:tc>
        <w:tc>
          <w:tcPr>
            <w:tcW w:w="1092" w:type="dxa"/>
            <w:tcBorders>
              <w:top w:val="nil"/>
              <w:bottom w:val="nil"/>
            </w:tcBorders>
          </w:tcPr>
          <w:p>
            <w:pPr>
              <w:pStyle w:val="TableParagraph"/>
              <w:spacing w:before="16"/>
              <w:ind w:right="19"/>
              <w:rPr>
                <w:sz w:val="14"/>
              </w:rPr>
            </w:pPr>
            <w:r>
              <w:rPr>
                <w:sz w:val="14"/>
              </w:rPr>
              <w:t>(282)</w:t>
            </w:r>
          </w:p>
        </w:tc>
      </w:tr>
      <w:tr>
        <w:trPr>
          <w:trHeight w:val="177" w:hRule="exact"/>
        </w:trPr>
        <w:tc>
          <w:tcPr>
            <w:tcW w:w="689" w:type="dxa"/>
            <w:tcBorders>
              <w:top w:val="nil"/>
            </w:tcBorders>
          </w:tcPr>
          <w:p>
            <w:pPr>
              <w:pStyle w:val="TableParagraph"/>
              <w:spacing w:before="16"/>
              <w:ind w:left="41" w:right="41"/>
              <w:jc w:val="center"/>
              <w:rPr>
                <w:sz w:val="14"/>
              </w:rPr>
            </w:pPr>
            <w:r>
              <w:rPr>
                <w:w w:val="105"/>
                <w:sz w:val="14"/>
              </w:rPr>
              <w:t>2331710</w:t>
            </w:r>
          </w:p>
        </w:tc>
        <w:tc>
          <w:tcPr>
            <w:tcW w:w="3036" w:type="dxa"/>
            <w:tcBorders>
              <w:top w:val="nil"/>
            </w:tcBorders>
          </w:tcPr>
          <w:p>
            <w:pPr>
              <w:pStyle w:val="TableParagraph"/>
              <w:spacing w:before="16"/>
              <w:ind w:left="17"/>
              <w:jc w:val="left"/>
              <w:rPr>
                <w:sz w:val="14"/>
              </w:rPr>
            </w:pPr>
            <w:r>
              <w:rPr>
                <w:w w:val="105"/>
                <w:sz w:val="14"/>
              </w:rPr>
              <w:t>Debiti verso Dipendenti per Hypotax</w:t>
            </w:r>
          </w:p>
        </w:tc>
        <w:tc>
          <w:tcPr>
            <w:tcW w:w="1030" w:type="dxa"/>
            <w:tcBorders>
              <w:top w:val="nil"/>
            </w:tcBorders>
          </w:tcPr>
          <w:p>
            <w:pPr>
              <w:pStyle w:val="TableParagraph"/>
              <w:spacing w:before="16"/>
              <w:ind w:right="20"/>
              <w:rPr>
                <w:sz w:val="14"/>
              </w:rPr>
            </w:pPr>
            <w:r>
              <w:rPr>
                <w:sz w:val="14"/>
              </w:rPr>
              <w:t>(217.388)</w:t>
            </w:r>
          </w:p>
        </w:tc>
        <w:tc>
          <w:tcPr>
            <w:tcW w:w="1030" w:type="dxa"/>
            <w:tcBorders>
              <w:top w:val="nil"/>
            </w:tcBorders>
          </w:tcPr>
          <w:p>
            <w:pPr/>
          </w:p>
        </w:tc>
        <w:tc>
          <w:tcPr>
            <w:tcW w:w="1263" w:type="dxa"/>
            <w:tcBorders>
              <w:top w:val="nil"/>
            </w:tcBorders>
          </w:tcPr>
          <w:p>
            <w:pPr>
              <w:pStyle w:val="TableParagraph"/>
              <w:spacing w:before="16"/>
              <w:ind w:right="20"/>
              <w:rPr>
                <w:sz w:val="14"/>
              </w:rPr>
            </w:pPr>
            <w:r>
              <w:rPr>
                <w:sz w:val="14"/>
              </w:rPr>
              <w:t>(217.388)</w:t>
            </w:r>
          </w:p>
        </w:tc>
        <w:tc>
          <w:tcPr>
            <w:tcW w:w="913" w:type="dxa"/>
            <w:tcBorders>
              <w:top w:val="nil"/>
            </w:tcBorders>
          </w:tcPr>
          <w:p>
            <w:pPr/>
          </w:p>
        </w:tc>
        <w:tc>
          <w:tcPr>
            <w:tcW w:w="1092" w:type="dxa"/>
            <w:tcBorders>
              <w:top w:val="nil"/>
            </w:tcBorders>
          </w:tcPr>
          <w:p>
            <w:pPr>
              <w:pStyle w:val="TableParagraph"/>
              <w:spacing w:before="16"/>
              <w:ind w:right="20"/>
              <w:rPr>
                <w:sz w:val="14"/>
              </w:rPr>
            </w:pPr>
            <w:r>
              <w:rPr>
                <w:sz w:val="14"/>
              </w:rPr>
              <w:t>(217.388)</w:t>
            </w:r>
          </w:p>
        </w:tc>
      </w:tr>
      <w:tr>
        <w:trPr>
          <w:trHeight w:val="188" w:hRule="exact"/>
        </w:trPr>
        <w:tc>
          <w:tcPr>
            <w:tcW w:w="3725" w:type="dxa"/>
            <w:gridSpan w:val="2"/>
            <w:shd w:val="clear" w:color="auto" w:fill="BEBEBE"/>
          </w:tcPr>
          <w:p>
            <w:pPr>
              <w:pStyle w:val="TableParagraph"/>
              <w:spacing w:before="22"/>
              <w:ind w:left="17"/>
              <w:jc w:val="left"/>
              <w:rPr>
                <w:b/>
                <w:sz w:val="14"/>
              </w:rPr>
            </w:pPr>
            <w:r>
              <w:rPr>
                <w:b/>
                <w:sz w:val="14"/>
              </w:rPr>
              <w:t>TOTALE DEBITI VERSO  DIPENDENTI</w:t>
            </w:r>
          </w:p>
        </w:tc>
        <w:tc>
          <w:tcPr>
            <w:tcW w:w="1030" w:type="dxa"/>
            <w:shd w:val="clear" w:color="auto" w:fill="BEBEBE"/>
          </w:tcPr>
          <w:p>
            <w:pPr>
              <w:pStyle w:val="TableParagraph"/>
              <w:spacing w:before="22"/>
              <w:ind w:right="20"/>
              <w:rPr>
                <w:b/>
                <w:sz w:val="14"/>
              </w:rPr>
            </w:pPr>
            <w:r>
              <w:rPr>
                <w:b/>
                <w:sz w:val="14"/>
              </w:rPr>
              <w:t>(662.630)</w:t>
            </w:r>
          </w:p>
        </w:tc>
        <w:tc>
          <w:tcPr>
            <w:tcW w:w="1030" w:type="dxa"/>
            <w:shd w:val="clear" w:color="auto" w:fill="BEBEBE"/>
          </w:tcPr>
          <w:p>
            <w:pPr>
              <w:pStyle w:val="TableParagraph"/>
              <w:spacing w:before="22"/>
              <w:ind w:right="74"/>
              <w:rPr>
                <w:b/>
                <w:sz w:val="14"/>
              </w:rPr>
            </w:pPr>
            <w:r>
              <w:rPr>
                <w:b/>
                <w:sz w:val="14"/>
              </w:rPr>
              <w:t>228.864</w:t>
            </w:r>
          </w:p>
        </w:tc>
        <w:tc>
          <w:tcPr>
            <w:tcW w:w="1263" w:type="dxa"/>
            <w:shd w:val="clear" w:color="auto" w:fill="BEBEBE"/>
          </w:tcPr>
          <w:p>
            <w:pPr>
              <w:pStyle w:val="TableParagraph"/>
              <w:spacing w:before="22"/>
              <w:ind w:right="20"/>
              <w:rPr>
                <w:b/>
                <w:sz w:val="14"/>
              </w:rPr>
            </w:pPr>
            <w:r>
              <w:rPr>
                <w:b/>
                <w:sz w:val="14"/>
              </w:rPr>
              <w:t>(433.766)</w:t>
            </w:r>
          </w:p>
        </w:tc>
        <w:tc>
          <w:tcPr>
            <w:tcW w:w="913" w:type="dxa"/>
            <w:shd w:val="clear" w:color="auto" w:fill="BEBEBE"/>
          </w:tcPr>
          <w:p>
            <w:pPr>
              <w:pStyle w:val="TableParagraph"/>
              <w:spacing w:before="22"/>
              <w:ind w:right="20"/>
              <w:rPr>
                <w:b/>
                <w:sz w:val="14"/>
              </w:rPr>
            </w:pPr>
            <w:r>
              <w:rPr>
                <w:b/>
                <w:w w:val="105"/>
                <w:sz w:val="14"/>
              </w:rPr>
              <w:t>(216.096)</w:t>
            </w:r>
          </w:p>
        </w:tc>
        <w:tc>
          <w:tcPr>
            <w:tcW w:w="1092" w:type="dxa"/>
            <w:shd w:val="clear" w:color="auto" w:fill="BEBEBE"/>
          </w:tcPr>
          <w:p>
            <w:pPr>
              <w:pStyle w:val="TableParagraph"/>
              <w:spacing w:before="22"/>
              <w:ind w:right="20"/>
              <w:rPr>
                <w:b/>
                <w:sz w:val="14"/>
              </w:rPr>
            </w:pPr>
            <w:r>
              <w:rPr>
                <w:b/>
                <w:w w:val="105"/>
                <w:sz w:val="14"/>
              </w:rPr>
              <w:t>(217.670)</w:t>
            </w:r>
          </w:p>
        </w:tc>
      </w:tr>
    </w:tbl>
    <w:p>
      <w:pPr>
        <w:pStyle w:val="BodyText"/>
        <w:rPr>
          <w:sz w:val="20"/>
        </w:rPr>
      </w:pPr>
    </w:p>
    <w:p>
      <w:pPr>
        <w:pStyle w:val="BodyText"/>
        <w:spacing w:before="9"/>
        <w:rPr>
          <w:sz w:val="20"/>
        </w:rPr>
      </w:pPr>
    </w:p>
    <w:p>
      <w:pPr>
        <w:pStyle w:val="Heading2"/>
      </w:pPr>
      <w:r>
        <w:rPr>
          <w:u w:val="single"/>
        </w:rPr>
        <w:t>Debiti per ferie residue</w:t>
      </w:r>
    </w:p>
    <w:p>
      <w:pPr>
        <w:pStyle w:val="BodyText"/>
        <w:spacing w:before="1"/>
        <w:rPr>
          <w:b/>
          <w:sz w:val="15"/>
        </w:rPr>
      </w:pPr>
    </w:p>
    <w:p>
      <w:pPr>
        <w:pStyle w:val="BodyText"/>
        <w:spacing w:line="480" w:lineRule="auto" w:before="100"/>
        <w:ind w:left="1418" w:right="1413"/>
      </w:pPr>
      <w:r>
        <w:rPr/>
        <w:t>Il debito ammonta ad Euro 233.416 e risulta così suddiviso, come dettagliato dal tabulato fornito dalla società che gestisce il </w:t>
      </w:r>
      <w:r>
        <w:rPr>
          <w:i/>
        </w:rPr>
        <w:t>payroll</w:t>
      </w:r>
      <w:r>
        <w:rPr/>
        <w:t>:</w:t>
      </w:r>
    </w:p>
    <w:p>
      <w:pPr>
        <w:spacing w:after="0" w:line="480" w:lineRule="auto"/>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10"/>
        <w:rPr>
          <w:rFonts w:ascii="Times New Roman"/>
          <w:sz w:val="10"/>
        </w:rPr>
      </w:pPr>
    </w:p>
    <w:tbl>
      <w:tblPr>
        <w:tblW w:w="0" w:type="auto"/>
        <w:jc w:val="left"/>
        <w:tblInd w:w="3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94"/>
        <w:gridCol w:w="2220"/>
        <w:gridCol w:w="776"/>
        <w:gridCol w:w="849"/>
        <w:gridCol w:w="722"/>
      </w:tblGrid>
      <w:tr>
        <w:trPr>
          <w:trHeight w:val="192" w:hRule="exact"/>
        </w:trPr>
        <w:tc>
          <w:tcPr>
            <w:tcW w:w="594" w:type="dxa"/>
            <w:shd w:val="clear" w:color="auto" w:fill="BEBEBE"/>
          </w:tcPr>
          <w:p>
            <w:pPr>
              <w:pStyle w:val="TableParagraph"/>
              <w:spacing w:before="25"/>
              <w:ind w:left="4" w:right="4"/>
              <w:jc w:val="center"/>
              <w:rPr>
                <w:b/>
                <w:sz w:val="14"/>
              </w:rPr>
            </w:pPr>
            <w:r>
              <w:rPr>
                <w:b/>
                <w:w w:val="105"/>
                <w:sz w:val="14"/>
              </w:rPr>
              <w:t>Cod dip.</w:t>
            </w:r>
          </w:p>
        </w:tc>
        <w:tc>
          <w:tcPr>
            <w:tcW w:w="2220" w:type="dxa"/>
            <w:shd w:val="clear" w:color="auto" w:fill="BEBEBE"/>
          </w:tcPr>
          <w:p>
            <w:pPr>
              <w:pStyle w:val="TableParagraph"/>
              <w:spacing w:before="25"/>
              <w:ind w:left="18"/>
              <w:jc w:val="left"/>
              <w:rPr>
                <w:b/>
                <w:sz w:val="14"/>
              </w:rPr>
            </w:pPr>
            <w:r>
              <w:rPr>
                <w:b/>
                <w:w w:val="105"/>
                <w:sz w:val="14"/>
              </w:rPr>
              <w:t>Dipendente</w:t>
            </w:r>
          </w:p>
        </w:tc>
        <w:tc>
          <w:tcPr>
            <w:tcW w:w="776" w:type="dxa"/>
            <w:tcBorders>
              <w:right w:val="single" w:sz="4" w:space="0" w:color="000000"/>
            </w:tcBorders>
            <w:shd w:val="clear" w:color="auto" w:fill="BEBEBE"/>
          </w:tcPr>
          <w:p>
            <w:pPr>
              <w:pStyle w:val="TableParagraph"/>
              <w:spacing w:before="25"/>
              <w:ind w:right="40"/>
              <w:rPr>
                <w:b/>
                <w:sz w:val="14"/>
              </w:rPr>
            </w:pPr>
            <w:r>
              <w:rPr>
                <w:b/>
                <w:w w:val="105"/>
                <w:sz w:val="14"/>
              </w:rPr>
              <w:t>Imponibile</w:t>
            </w:r>
          </w:p>
        </w:tc>
        <w:tc>
          <w:tcPr>
            <w:tcW w:w="849" w:type="dxa"/>
            <w:tcBorders>
              <w:left w:val="single" w:sz="4" w:space="0" w:color="000000"/>
            </w:tcBorders>
            <w:shd w:val="clear" w:color="auto" w:fill="BEBEBE"/>
          </w:tcPr>
          <w:p>
            <w:pPr>
              <w:pStyle w:val="TableParagraph"/>
              <w:spacing w:before="25"/>
              <w:ind w:right="76"/>
              <w:rPr>
                <w:b/>
                <w:sz w:val="14"/>
              </w:rPr>
            </w:pPr>
            <w:r>
              <w:rPr>
                <w:b/>
                <w:w w:val="105"/>
                <w:sz w:val="14"/>
              </w:rPr>
              <w:t>Imponibile</w:t>
            </w:r>
          </w:p>
        </w:tc>
        <w:tc>
          <w:tcPr>
            <w:tcW w:w="722" w:type="dxa"/>
            <w:tcBorders>
              <w:right w:val="single" w:sz="4" w:space="0" w:color="000000"/>
            </w:tcBorders>
            <w:shd w:val="clear" w:color="auto" w:fill="BEBEBE"/>
          </w:tcPr>
          <w:p>
            <w:pPr>
              <w:pStyle w:val="TableParagraph"/>
              <w:spacing w:before="25"/>
              <w:ind w:left="18"/>
              <w:jc w:val="left"/>
              <w:rPr>
                <w:b/>
                <w:sz w:val="14"/>
              </w:rPr>
            </w:pPr>
            <w:r>
              <w:rPr>
                <w:b/>
                <w:w w:val="105"/>
                <w:sz w:val="14"/>
              </w:rPr>
              <w:t>Totale</w:t>
            </w:r>
          </w:p>
        </w:tc>
      </w:tr>
      <w:tr>
        <w:trPr>
          <w:trHeight w:val="203" w:hRule="exact"/>
        </w:trPr>
        <w:tc>
          <w:tcPr>
            <w:tcW w:w="594" w:type="dxa"/>
            <w:tcBorders>
              <w:bottom w:val="nil"/>
            </w:tcBorders>
          </w:tcPr>
          <w:p>
            <w:pPr>
              <w:pStyle w:val="TableParagraph"/>
              <w:spacing w:before="25"/>
              <w:ind w:left="4" w:right="4"/>
              <w:jc w:val="center"/>
              <w:rPr>
                <w:sz w:val="14"/>
              </w:rPr>
            </w:pPr>
            <w:r>
              <w:rPr>
                <w:w w:val="105"/>
                <w:sz w:val="14"/>
              </w:rPr>
              <w:t>10023</w:t>
            </w:r>
          </w:p>
        </w:tc>
        <w:tc>
          <w:tcPr>
            <w:tcW w:w="2220" w:type="dxa"/>
            <w:tcBorders>
              <w:bottom w:val="nil"/>
            </w:tcBorders>
          </w:tcPr>
          <w:p>
            <w:pPr>
              <w:pStyle w:val="TableParagraph"/>
              <w:spacing w:before="25"/>
              <w:ind w:left="18"/>
              <w:jc w:val="left"/>
              <w:rPr>
                <w:sz w:val="14"/>
              </w:rPr>
            </w:pPr>
            <w:r>
              <w:rPr>
                <w:w w:val="105"/>
                <w:sz w:val="14"/>
              </w:rPr>
              <w:t>BALDI ANDREA</w:t>
            </w:r>
          </w:p>
        </w:tc>
        <w:tc>
          <w:tcPr>
            <w:tcW w:w="776" w:type="dxa"/>
            <w:tcBorders>
              <w:bottom w:val="nil"/>
              <w:right w:val="single" w:sz="4" w:space="0" w:color="000000"/>
            </w:tcBorders>
          </w:tcPr>
          <w:p>
            <w:pPr>
              <w:pStyle w:val="TableParagraph"/>
              <w:spacing w:before="25"/>
              <w:ind w:right="62"/>
              <w:rPr>
                <w:sz w:val="14"/>
              </w:rPr>
            </w:pPr>
            <w:r>
              <w:rPr>
                <w:w w:val="105"/>
                <w:sz w:val="14"/>
              </w:rPr>
              <w:t>10.909</w:t>
            </w:r>
          </w:p>
        </w:tc>
        <w:tc>
          <w:tcPr>
            <w:tcW w:w="849" w:type="dxa"/>
            <w:tcBorders>
              <w:left w:val="single" w:sz="4" w:space="0" w:color="000000"/>
              <w:bottom w:val="nil"/>
            </w:tcBorders>
          </w:tcPr>
          <w:p>
            <w:pPr>
              <w:pStyle w:val="TableParagraph"/>
              <w:spacing w:before="25"/>
              <w:ind w:right="62"/>
              <w:rPr>
                <w:sz w:val="14"/>
              </w:rPr>
            </w:pPr>
            <w:r>
              <w:rPr>
                <w:w w:val="105"/>
                <w:sz w:val="14"/>
              </w:rPr>
              <w:t>6.656</w:t>
            </w:r>
          </w:p>
        </w:tc>
        <w:tc>
          <w:tcPr>
            <w:tcW w:w="722" w:type="dxa"/>
            <w:tcBorders>
              <w:bottom w:val="nil"/>
              <w:right w:val="single" w:sz="4" w:space="0" w:color="000000"/>
            </w:tcBorders>
          </w:tcPr>
          <w:p>
            <w:pPr>
              <w:pStyle w:val="TableParagraph"/>
              <w:spacing w:before="25"/>
              <w:ind w:right="62"/>
              <w:rPr>
                <w:sz w:val="14"/>
              </w:rPr>
            </w:pPr>
            <w:r>
              <w:rPr>
                <w:w w:val="105"/>
                <w:sz w:val="14"/>
              </w:rPr>
              <w:t>17.566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10139</w:t>
            </w:r>
          </w:p>
        </w:tc>
        <w:tc>
          <w:tcPr>
            <w:tcW w:w="2220" w:type="dxa"/>
            <w:tcBorders>
              <w:top w:val="nil"/>
              <w:bottom w:val="nil"/>
            </w:tcBorders>
          </w:tcPr>
          <w:p>
            <w:pPr>
              <w:pStyle w:val="TableParagraph"/>
              <w:spacing w:before="19"/>
              <w:ind w:left="18"/>
              <w:jc w:val="left"/>
              <w:rPr>
                <w:sz w:val="14"/>
              </w:rPr>
            </w:pPr>
            <w:r>
              <w:rPr>
                <w:w w:val="105"/>
                <w:sz w:val="14"/>
              </w:rPr>
              <w:t>BERNARDI MARCO</w:t>
            </w:r>
          </w:p>
        </w:tc>
        <w:tc>
          <w:tcPr>
            <w:tcW w:w="776" w:type="dxa"/>
            <w:tcBorders>
              <w:top w:val="nil"/>
              <w:bottom w:val="nil"/>
              <w:right w:val="single" w:sz="4" w:space="0" w:color="000000"/>
            </w:tcBorders>
          </w:tcPr>
          <w:p>
            <w:pPr>
              <w:pStyle w:val="TableParagraph"/>
              <w:spacing w:before="19"/>
              <w:ind w:right="20"/>
              <w:rPr>
                <w:sz w:val="14"/>
              </w:rPr>
            </w:pPr>
            <w:r>
              <w:rPr>
                <w:w w:val="105"/>
                <w:sz w:val="14"/>
              </w:rPr>
              <w:t>(622)</w:t>
            </w:r>
          </w:p>
        </w:tc>
        <w:tc>
          <w:tcPr>
            <w:tcW w:w="849" w:type="dxa"/>
            <w:tcBorders>
              <w:top w:val="nil"/>
              <w:left w:val="single" w:sz="4" w:space="0" w:color="000000"/>
              <w:bottom w:val="nil"/>
            </w:tcBorders>
          </w:tcPr>
          <w:p>
            <w:pPr>
              <w:pStyle w:val="TableParagraph"/>
              <w:spacing w:before="19"/>
              <w:ind w:right="20"/>
              <w:rPr>
                <w:sz w:val="14"/>
              </w:rPr>
            </w:pPr>
            <w:r>
              <w:rPr>
                <w:w w:val="105"/>
                <w:sz w:val="14"/>
              </w:rPr>
              <w:t>(467)</w:t>
            </w:r>
          </w:p>
        </w:tc>
        <w:tc>
          <w:tcPr>
            <w:tcW w:w="722" w:type="dxa"/>
            <w:tcBorders>
              <w:top w:val="nil"/>
              <w:bottom w:val="nil"/>
              <w:right w:val="single" w:sz="4" w:space="0" w:color="000000"/>
            </w:tcBorders>
          </w:tcPr>
          <w:p>
            <w:pPr>
              <w:pStyle w:val="TableParagraph"/>
              <w:spacing w:before="19"/>
              <w:ind w:right="20"/>
              <w:rPr>
                <w:sz w:val="14"/>
              </w:rPr>
            </w:pPr>
            <w:r>
              <w:rPr>
                <w:sz w:val="14"/>
              </w:rPr>
              <w:t>(1.089)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10173</w:t>
            </w:r>
          </w:p>
        </w:tc>
        <w:tc>
          <w:tcPr>
            <w:tcW w:w="2220" w:type="dxa"/>
            <w:tcBorders>
              <w:top w:val="nil"/>
              <w:bottom w:val="nil"/>
            </w:tcBorders>
          </w:tcPr>
          <w:p>
            <w:pPr>
              <w:pStyle w:val="TableParagraph"/>
              <w:spacing w:before="19"/>
              <w:ind w:left="18"/>
              <w:jc w:val="left"/>
              <w:rPr>
                <w:sz w:val="14"/>
              </w:rPr>
            </w:pPr>
            <w:r>
              <w:rPr>
                <w:w w:val="105"/>
                <w:sz w:val="14"/>
              </w:rPr>
              <w:t>BIANCO FRANCESCO</w:t>
            </w:r>
          </w:p>
        </w:tc>
        <w:tc>
          <w:tcPr>
            <w:tcW w:w="776" w:type="dxa"/>
            <w:tcBorders>
              <w:top w:val="nil"/>
              <w:bottom w:val="nil"/>
              <w:right w:val="single" w:sz="4" w:space="0" w:color="000000"/>
            </w:tcBorders>
          </w:tcPr>
          <w:p>
            <w:pPr>
              <w:pStyle w:val="TableParagraph"/>
              <w:spacing w:before="19"/>
              <w:ind w:right="20"/>
              <w:rPr>
                <w:sz w:val="14"/>
              </w:rPr>
            </w:pPr>
            <w:r>
              <w:rPr>
                <w:w w:val="105"/>
                <w:sz w:val="14"/>
              </w:rPr>
              <w:t>(403)</w:t>
            </w:r>
          </w:p>
        </w:tc>
        <w:tc>
          <w:tcPr>
            <w:tcW w:w="849" w:type="dxa"/>
            <w:tcBorders>
              <w:top w:val="nil"/>
              <w:left w:val="single" w:sz="4" w:space="0" w:color="000000"/>
              <w:bottom w:val="nil"/>
            </w:tcBorders>
          </w:tcPr>
          <w:p>
            <w:pPr>
              <w:pStyle w:val="TableParagraph"/>
              <w:spacing w:before="19"/>
              <w:ind w:right="20"/>
              <w:rPr>
                <w:sz w:val="14"/>
              </w:rPr>
            </w:pPr>
            <w:r>
              <w:rPr>
                <w:w w:val="105"/>
                <w:sz w:val="14"/>
              </w:rPr>
              <w:t>(219)</w:t>
            </w:r>
          </w:p>
        </w:tc>
        <w:tc>
          <w:tcPr>
            <w:tcW w:w="722" w:type="dxa"/>
            <w:tcBorders>
              <w:top w:val="nil"/>
              <w:bottom w:val="nil"/>
              <w:right w:val="single" w:sz="4" w:space="0" w:color="000000"/>
            </w:tcBorders>
          </w:tcPr>
          <w:p>
            <w:pPr>
              <w:pStyle w:val="TableParagraph"/>
              <w:spacing w:before="19"/>
              <w:ind w:right="20"/>
              <w:rPr>
                <w:sz w:val="14"/>
              </w:rPr>
            </w:pPr>
            <w:r>
              <w:rPr>
                <w:w w:val="105"/>
                <w:sz w:val="14"/>
              </w:rPr>
              <w:t>(622)</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10019</w:t>
            </w:r>
          </w:p>
        </w:tc>
        <w:tc>
          <w:tcPr>
            <w:tcW w:w="2220" w:type="dxa"/>
            <w:tcBorders>
              <w:top w:val="nil"/>
              <w:bottom w:val="nil"/>
            </w:tcBorders>
          </w:tcPr>
          <w:p>
            <w:pPr>
              <w:pStyle w:val="TableParagraph"/>
              <w:spacing w:before="19"/>
              <w:ind w:left="18"/>
              <w:jc w:val="left"/>
              <w:rPr>
                <w:sz w:val="14"/>
              </w:rPr>
            </w:pPr>
            <w:r>
              <w:rPr>
                <w:w w:val="105"/>
                <w:sz w:val="14"/>
              </w:rPr>
              <w:t>BOVERI GIUSEPPINA</w:t>
            </w:r>
          </w:p>
        </w:tc>
        <w:tc>
          <w:tcPr>
            <w:tcW w:w="776" w:type="dxa"/>
            <w:tcBorders>
              <w:top w:val="nil"/>
              <w:bottom w:val="nil"/>
              <w:right w:val="single" w:sz="4" w:space="0" w:color="000000"/>
            </w:tcBorders>
          </w:tcPr>
          <w:p>
            <w:pPr>
              <w:pStyle w:val="TableParagraph"/>
              <w:spacing w:before="19"/>
              <w:ind w:right="62"/>
              <w:rPr>
                <w:sz w:val="14"/>
              </w:rPr>
            </w:pPr>
            <w:r>
              <w:rPr>
                <w:w w:val="105"/>
                <w:sz w:val="14"/>
              </w:rPr>
              <w:t>11.894</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11.894</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10047</w:t>
            </w:r>
          </w:p>
        </w:tc>
        <w:tc>
          <w:tcPr>
            <w:tcW w:w="2220" w:type="dxa"/>
            <w:tcBorders>
              <w:top w:val="nil"/>
              <w:bottom w:val="nil"/>
            </w:tcBorders>
          </w:tcPr>
          <w:p>
            <w:pPr>
              <w:pStyle w:val="TableParagraph"/>
              <w:spacing w:before="19"/>
              <w:ind w:left="18"/>
              <w:jc w:val="left"/>
              <w:rPr>
                <w:sz w:val="14"/>
              </w:rPr>
            </w:pPr>
            <w:r>
              <w:rPr>
                <w:w w:val="105"/>
                <w:sz w:val="14"/>
              </w:rPr>
              <w:t>BOZZINI LARA</w:t>
            </w:r>
          </w:p>
        </w:tc>
        <w:tc>
          <w:tcPr>
            <w:tcW w:w="776" w:type="dxa"/>
            <w:tcBorders>
              <w:top w:val="nil"/>
              <w:bottom w:val="nil"/>
              <w:right w:val="single" w:sz="4" w:space="0" w:color="000000"/>
            </w:tcBorders>
          </w:tcPr>
          <w:p>
            <w:pPr>
              <w:pStyle w:val="TableParagraph"/>
              <w:spacing w:before="19"/>
              <w:ind w:right="62"/>
              <w:rPr>
                <w:sz w:val="14"/>
              </w:rPr>
            </w:pPr>
            <w:r>
              <w:rPr>
                <w:w w:val="105"/>
                <w:sz w:val="14"/>
              </w:rPr>
              <w:t>1.004</w:t>
            </w:r>
          </w:p>
        </w:tc>
        <w:tc>
          <w:tcPr>
            <w:tcW w:w="849" w:type="dxa"/>
            <w:tcBorders>
              <w:top w:val="nil"/>
              <w:left w:val="single" w:sz="4" w:space="0" w:color="000000"/>
              <w:bottom w:val="nil"/>
            </w:tcBorders>
          </w:tcPr>
          <w:p>
            <w:pPr>
              <w:pStyle w:val="TableParagraph"/>
              <w:spacing w:before="19"/>
              <w:ind w:right="62"/>
              <w:rPr>
                <w:sz w:val="14"/>
              </w:rPr>
            </w:pPr>
            <w:r>
              <w:rPr>
                <w:w w:val="105"/>
                <w:sz w:val="14"/>
              </w:rPr>
              <w:t>886</w:t>
            </w:r>
          </w:p>
        </w:tc>
        <w:tc>
          <w:tcPr>
            <w:tcW w:w="722" w:type="dxa"/>
            <w:tcBorders>
              <w:top w:val="nil"/>
              <w:bottom w:val="nil"/>
              <w:right w:val="single" w:sz="4" w:space="0" w:color="000000"/>
            </w:tcBorders>
          </w:tcPr>
          <w:p>
            <w:pPr>
              <w:pStyle w:val="TableParagraph"/>
              <w:spacing w:before="19"/>
              <w:ind w:right="62"/>
              <w:rPr>
                <w:sz w:val="14"/>
              </w:rPr>
            </w:pPr>
            <w:r>
              <w:rPr>
                <w:w w:val="105"/>
                <w:sz w:val="14"/>
              </w:rPr>
              <w:t>1.889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10298</w:t>
            </w:r>
          </w:p>
        </w:tc>
        <w:tc>
          <w:tcPr>
            <w:tcW w:w="2220" w:type="dxa"/>
            <w:tcBorders>
              <w:top w:val="nil"/>
              <w:bottom w:val="nil"/>
            </w:tcBorders>
          </w:tcPr>
          <w:p>
            <w:pPr>
              <w:pStyle w:val="TableParagraph"/>
              <w:spacing w:before="19"/>
              <w:ind w:left="18"/>
              <w:jc w:val="left"/>
              <w:rPr>
                <w:sz w:val="14"/>
              </w:rPr>
            </w:pPr>
            <w:r>
              <w:rPr>
                <w:w w:val="105"/>
                <w:sz w:val="14"/>
              </w:rPr>
              <w:t>BRUNO CARLO</w:t>
            </w:r>
          </w:p>
        </w:tc>
        <w:tc>
          <w:tcPr>
            <w:tcW w:w="776" w:type="dxa"/>
            <w:tcBorders>
              <w:top w:val="nil"/>
              <w:bottom w:val="nil"/>
              <w:right w:val="single" w:sz="4" w:space="0" w:color="000000"/>
            </w:tcBorders>
          </w:tcPr>
          <w:p>
            <w:pPr>
              <w:pStyle w:val="TableParagraph"/>
              <w:spacing w:before="19"/>
              <w:ind w:right="62"/>
              <w:rPr>
                <w:sz w:val="14"/>
              </w:rPr>
            </w:pPr>
            <w:r>
              <w:rPr>
                <w:w w:val="105"/>
                <w:sz w:val="14"/>
              </w:rPr>
              <w:t>381</w:t>
            </w:r>
          </w:p>
        </w:tc>
        <w:tc>
          <w:tcPr>
            <w:tcW w:w="849" w:type="dxa"/>
            <w:tcBorders>
              <w:top w:val="nil"/>
              <w:left w:val="single" w:sz="4" w:space="0" w:color="000000"/>
              <w:bottom w:val="nil"/>
            </w:tcBorders>
          </w:tcPr>
          <w:p>
            <w:pPr>
              <w:pStyle w:val="TableParagraph"/>
              <w:spacing w:before="19"/>
              <w:ind w:right="62"/>
              <w:rPr>
                <w:sz w:val="14"/>
              </w:rPr>
            </w:pPr>
            <w:r>
              <w:rPr>
                <w:w w:val="105"/>
                <w:sz w:val="14"/>
              </w:rPr>
              <w:t>475</w:t>
            </w:r>
          </w:p>
        </w:tc>
        <w:tc>
          <w:tcPr>
            <w:tcW w:w="722" w:type="dxa"/>
            <w:tcBorders>
              <w:top w:val="nil"/>
              <w:bottom w:val="nil"/>
              <w:right w:val="single" w:sz="4" w:space="0" w:color="000000"/>
            </w:tcBorders>
          </w:tcPr>
          <w:p>
            <w:pPr>
              <w:pStyle w:val="TableParagraph"/>
              <w:spacing w:before="19"/>
              <w:ind w:right="62"/>
              <w:rPr>
                <w:sz w:val="14"/>
              </w:rPr>
            </w:pPr>
            <w:r>
              <w:rPr>
                <w:w w:val="105"/>
                <w:sz w:val="14"/>
              </w:rPr>
              <w:t>855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10057</w:t>
            </w:r>
          </w:p>
        </w:tc>
        <w:tc>
          <w:tcPr>
            <w:tcW w:w="2220" w:type="dxa"/>
            <w:tcBorders>
              <w:top w:val="nil"/>
              <w:bottom w:val="nil"/>
            </w:tcBorders>
          </w:tcPr>
          <w:p>
            <w:pPr>
              <w:pStyle w:val="TableParagraph"/>
              <w:spacing w:before="19"/>
              <w:ind w:left="18"/>
              <w:jc w:val="left"/>
              <w:rPr>
                <w:sz w:val="14"/>
              </w:rPr>
            </w:pPr>
            <w:r>
              <w:rPr>
                <w:w w:val="105"/>
                <w:sz w:val="14"/>
              </w:rPr>
              <w:t>CAMINADA GIANLUCA</w:t>
            </w:r>
          </w:p>
        </w:tc>
        <w:tc>
          <w:tcPr>
            <w:tcW w:w="776" w:type="dxa"/>
            <w:tcBorders>
              <w:top w:val="nil"/>
              <w:bottom w:val="nil"/>
              <w:right w:val="single" w:sz="4" w:space="0" w:color="000000"/>
            </w:tcBorders>
          </w:tcPr>
          <w:p>
            <w:pPr>
              <w:pStyle w:val="TableParagraph"/>
              <w:spacing w:before="19"/>
              <w:ind w:right="62"/>
              <w:rPr>
                <w:sz w:val="14"/>
              </w:rPr>
            </w:pPr>
            <w:r>
              <w:rPr>
                <w:w w:val="105"/>
                <w:sz w:val="14"/>
              </w:rPr>
              <w:t>624</w:t>
            </w:r>
          </w:p>
        </w:tc>
        <w:tc>
          <w:tcPr>
            <w:tcW w:w="849" w:type="dxa"/>
            <w:tcBorders>
              <w:top w:val="nil"/>
              <w:left w:val="single" w:sz="4" w:space="0" w:color="000000"/>
              <w:bottom w:val="nil"/>
            </w:tcBorders>
          </w:tcPr>
          <w:p>
            <w:pPr>
              <w:pStyle w:val="TableParagraph"/>
              <w:spacing w:before="19"/>
              <w:ind w:right="62"/>
              <w:rPr>
                <w:sz w:val="14"/>
              </w:rPr>
            </w:pPr>
            <w:r>
              <w:rPr>
                <w:w w:val="105"/>
                <w:sz w:val="14"/>
              </w:rPr>
              <w:t>804</w:t>
            </w:r>
          </w:p>
        </w:tc>
        <w:tc>
          <w:tcPr>
            <w:tcW w:w="722" w:type="dxa"/>
            <w:tcBorders>
              <w:top w:val="nil"/>
              <w:bottom w:val="nil"/>
              <w:right w:val="single" w:sz="4" w:space="0" w:color="000000"/>
            </w:tcBorders>
          </w:tcPr>
          <w:p>
            <w:pPr>
              <w:pStyle w:val="TableParagraph"/>
              <w:spacing w:before="19"/>
              <w:ind w:right="62"/>
              <w:rPr>
                <w:sz w:val="14"/>
              </w:rPr>
            </w:pPr>
            <w:r>
              <w:rPr>
                <w:w w:val="105"/>
                <w:sz w:val="14"/>
              </w:rPr>
              <w:t>1.428</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12004</w:t>
            </w:r>
          </w:p>
        </w:tc>
        <w:tc>
          <w:tcPr>
            <w:tcW w:w="2220" w:type="dxa"/>
            <w:tcBorders>
              <w:top w:val="nil"/>
              <w:bottom w:val="nil"/>
            </w:tcBorders>
          </w:tcPr>
          <w:p>
            <w:pPr>
              <w:pStyle w:val="TableParagraph"/>
              <w:spacing w:before="19"/>
              <w:ind w:left="18"/>
              <w:jc w:val="left"/>
              <w:rPr>
                <w:sz w:val="14"/>
              </w:rPr>
            </w:pPr>
            <w:r>
              <w:rPr>
                <w:w w:val="105"/>
                <w:sz w:val="14"/>
              </w:rPr>
              <w:t>CARLI NADIA</w:t>
            </w:r>
          </w:p>
        </w:tc>
        <w:tc>
          <w:tcPr>
            <w:tcW w:w="776" w:type="dxa"/>
            <w:tcBorders>
              <w:top w:val="nil"/>
              <w:bottom w:val="nil"/>
              <w:right w:val="single" w:sz="4" w:space="0" w:color="000000"/>
            </w:tcBorders>
          </w:tcPr>
          <w:p>
            <w:pPr>
              <w:pStyle w:val="TableParagraph"/>
              <w:spacing w:before="19"/>
              <w:ind w:right="62"/>
              <w:rPr>
                <w:sz w:val="14"/>
              </w:rPr>
            </w:pPr>
            <w:r>
              <w:rPr>
                <w:w w:val="105"/>
                <w:sz w:val="14"/>
              </w:rPr>
              <w:t>906</w:t>
            </w:r>
          </w:p>
        </w:tc>
        <w:tc>
          <w:tcPr>
            <w:tcW w:w="849" w:type="dxa"/>
            <w:tcBorders>
              <w:top w:val="nil"/>
              <w:left w:val="single" w:sz="4" w:space="0" w:color="000000"/>
              <w:bottom w:val="nil"/>
            </w:tcBorders>
          </w:tcPr>
          <w:p>
            <w:pPr>
              <w:pStyle w:val="TableParagraph"/>
              <w:spacing w:before="19"/>
              <w:ind w:right="62"/>
              <w:rPr>
                <w:sz w:val="14"/>
              </w:rPr>
            </w:pPr>
            <w:r>
              <w:rPr>
                <w:w w:val="105"/>
                <w:sz w:val="14"/>
              </w:rPr>
              <w:t>796</w:t>
            </w:r>
          </w:p>
        </w:tc>
        <w:tc>
          <w:tcPr>
            <w:tcW w:w="722" w:type="dxa"/>
            <w:tcBorders>
              <w:top w:val="nil"/>
              <w:bottom w:val="nil"/>
              <w:right w:val="single" w:sz="4" w:space="0" w:color="000000"/>
            </w:tcBorders>
          </w:tcPr>
          <w:p>
            <w:pPr>
              <w:pStyle w:val="TableParagraph"/>
              <w:spacing w:before="19"/>
              <w:ind w:right="62"/>
              <w:rPr>
                <w:sz w:val="14"/>
              </w:rPr>
            </w:pPr>
            <w:r>
              <w:rPr>
                <w:w w:val="105"/>
                <w:sz w:val="14"/>
              </w:rPr>
              <w:t>1.702</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10212</w:t>
            </w:r>
          </w:p>
        </w:tc>
        <w:tc>
          <w:tcPr>
            <w:tcW w:w="2220" w:type="dxa"/>
            <w:tcBorders>
              <w:top w:val="nil"/>
              <w:bottom w:val="nil"/>
            </w:tcBorders>
          </w:tcPr>
          <w:p>
            <w:pPr>
              <w:pStyle w:val="TableParagraph"/>
              <w:spacing w:before="19"/>
              <w:ind w:left="18"/>
              <w:jc w:val="left"/>
              <w:rPr>
                <w:sz w:val="14"/>
              </w:rPr>
            </w:pPr>
            <w:r>
              <w:rPr>
                <w:w w:val="105"/>
                <w:sz w:val="14"/>
              </w:rPr>
              <w:t>CARPINO SABRINA</w:t>
            </w:r>
          </w:p>
        </w:tc>
        <w:tc>
          <w:tcPr>
            <w:tcW w:w="776" w:type="dxa"/>
            <w:tcBorders>
              <w:top w:val="nil"/>
              <w:bottom w:val="nil"/>
              <w:right w:val="single" w:sz="4" w:space="0" w:color="000000"/>
            </w:tcBorders>
          </w:tcPr>
          <w:p>
            <w:pPr>
              <w:pStyle w:val="TableParagraph"/>
              <w:spacing w:before="19"/>
              <w:ind w:right="62"/>
              <w:rPr>
                <w:sz w:val="14"/>
              </w:rPr>
            </w:pPr>
            <w:r>
              <w:rPr>
                <w:w w:val="105"/>
                <w:sz w:val="14"/>
              </w:rPr>
              <w:t>1.022</w:t>
            </w:r>
          </w:p>
        </w:tc>
        <w:tc>
          <w:tcPr>
            <w:tcW w:w="849" w:type="dxa"/>
            <w:tcBorders>
              <w:top w:val="nil"/>
              <w:left w:val="single" w:sz="4" w:space="0" w:color="000000"/>
              <w:bottom w:val="nil"/>
            </w:tcBorders>
          </w:tcPr>
          <w:p>
            <w:pPr>
              <w:pStyle w:val="TableParagraph"/>
              <w:spacing w:before="19"/>
              <w:ind w:right="62"/>
              <w:rPr>
                <w:sz w:val="14"/>
              </w:rPr>
            </w:pPr>
            <w:r>
              <w:rPr>
                <w:w w:val="105"/>
                <w:sz w:val="14"/>
              </w:rPr>
              <w:t>775</w:t>
            </w:r>
          </w:p>
        </w:tc>
        <w:tc>
          <w:tcPr>
            <w:tcW w:w="722" w:type="dxa"/>
            <w:tcBorders>
              <w:top w:val="nil"/>
              <w:bottom w:val="nil"/>
              <w:right w:val="single" w:sz="4" w:space="0" w:color="000000"/>
            </w:tcBorders>
          </w:tcPr>
          <w:p>
            <w:pPr>
              <w:pStyle w:val="TableParagraph"/>
              <w:spacing w:before="19"/>
              <w:ind w:right="62"/>
              <w:rPr>
                <w:sz w:val="14"/>
              </w:rPr>
            </w:pPr>
            <w:r>
              <w:rPr>
                <w:w w:val="105"/>
                <w:sz w:val="14"/>
              </w:rPr>
              <w:t>1.797</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10048</w:t>
            </w:r>
          </w:p>
        </w:tc>
        <w:tc>
          <w:tcPr>
            <w:tcW w:w="2220" w:type="dxa"/>
            <w:tcBorders>
              <w:top w:val="nil"/>
              <w:bottom w:val="nil"/>
            </w:tcBorders>
          </w:tcPr>
          <w:p>
            <w:pPr>
              <w:pStyle w:val="TableParagraph"/>
              <w:spacing w:before="19"/>
              <w:ind w:left="18"/>
              <w:jc w:val="left"/>
              <w:rPr>
                <w:sz w:val="14"/>
              </w:rPr>
            </w:pPr>
            <w:r>
              <w:rPr>
                <w:w w:val="105"/>
                <w:sz w:val="14"/>
              </w:rPr>
              <w:t>CASTELLANO DANIELA</w:t>
            </w:r>
          </w:p>
        </w:tc>
        <w:tc>
          <w:tcPr>
            <w:tcW w:w="776" w:type="dxa"/>
            <w:tcBorders>
              <w:top w:val="nil"/>
              <w:bottom w:val="nil"/>
              <w:right w:val="single" w:sz="4" w:space="0" w:color="000000"/>
            </w:tcBorders>
          </w:tcPr>
          <w:p>
            <w:pPr>
              <w:pStyle w:val="TableParagraph"/>
              <w:spacing w:before="19"/>
              <w:ind w:right="62"/>
              <w:rPr>
                <w:sz w:val="14"/>
              </w:rPr>
            </w:pPr>
            <w:r>
              <w:rPr>
                <w:w w:val="105"/>
                <w:sz w:val="14"/>
              </w:rPr>
              <w:t>316</w:t>
            </w:r>
          </w:p>
        </w:tc>
        <w:tc>
          <w:tcPr>
            <w:tcW w:w="849" w:type="dxa"/>
            <w:tcBorders>
              <w:top w:val="nil"/>
              <w:left w:val="single" w:sz="4" w:space="0" w:color="000000"/>
              <w:bottom w:val="nil"/>
            </w:tcBorders>
          </w:tcPr>
          <w:p>
            <w:pPr>
              <w:pStyle w:val="TableParagraph"/>
              <w:spacing w:before="19"/>
              <w:ind w:right="62"/>
              <w:rPr>
                <w:sz w:val="14"/>
              </w:rPr>
            </w:pPr>
            <w:r>
              <w:rPr>
                <w:w w:val="105"/>
                <w:sz w:val="14"/>
              </w:rPr>
              <w:t>1.046</w:t>
            </w:r>
          </w:p>
        </w:tc>
        <w:tc>
          <w:tcPr>
            <w:tcW w:w="722" w:type="dxa"/>
            <w:tcBorders>
              <w:top w:val="nil"/>
              <w:bottom w:val="nil"/>
              <w:right w:val="single" w:sz="4" w:space="0" w:color="000000"/>
            </w:tcBorders>
          </w:tcPr>
          <w:p>
            <w:pPr>
              <w:pStyle w:val="TableParagraph"/>
              <w:spacing w:before="19"/>
              <w:ind w:right="62"/>
              <w:rPr>
                <w:sz w:val="14"/>
              </w:rPr>
            </w:pPr>
            <w:r>
              <w:rPr>
                <w:w w:val="105"/>
                <w:sz w:val="14"/>
              </w:rPr>
              <w:t>1.362</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10206</w:t>
            </w:r>
          </w:p>
        </w:tc>
        <w:tc>
          <w:tcPr>
            <w:tcW w:w="2220" w:type="dxa"/>
            <w:tcBorders>
              <w:top w:val="nil"/>
              <w:bottom w:val="nil"/>
            </w:tcBorders>
          </w:tcPr>
          <w:p>
            <w:pPr>
              <w:pStyle w:val="TableParagraph"/>
              <w:spacing w:before="19"/>
              <w:ind w:left="18"/>
              <w:jc w:val="left"/>
              <w:rPr>
                <w:sz w:val="14"/>
              </w:rPr>
            </w:pPr>
            <w:r>
              <w:rPr>
                <w:w w:val="105"/>
                <w:sz w:val="14"/>
              </w:rPr>
              <w:t>CASTELLI CLAUDIA</w:t>
            </w:r>
          </w:p>
        </w:tc>
        <w:tc>
          <w:tcPr>
            <w:tcW w:w="776" w:type="dxa"/>
            <w:tcBorders>
              <w:top w:val="nil"/>
              <w:bottom w:val="nil"/>
              <w:right w:val="single" w:sz="4" w:space="0" w:color="000000"/>
            </w:tcBorders>
          </w:tcPr>
          <w:p>
            <w:pPr>
              <w:pStyle w:val="TableParagraph"/>
              <w:spacing w:before="19"/>
              <w:ind w:right="19"/>
              <w:rPr>
                <w:sz w:val="14"/>
              </w:rPr>
            </w:pPr>
            <w:r>
              <w:rPr>
                <w:sz w:val="14"/>
              </w:rPr>
              <w:t>(6)</w:t>
            </w:r>
          </w:p>
        </w:tc>
        <w:tc>
          <w:tcPr>
            <w:tcW w:w="849" w:type="dxa"/>
            <w:tcBorders>
              <w:top w:val="nil"/>
              <w:left w:val="single" w:sz="4" w:space="0" w:color="000000"/>
              <w:bottom w:val="nil"/>
            </w:tcBorders>
          </w:tcPr>
          <w:p>
            <w:pPr>
              <w:pStyle w:val="TableParagraph"/>
              <w:spacing w:before="19"/>
              <w:ind w:right="21"/>
              <w:rPr>
                <w:sz w:val="14"/>
              </w:rPr>
            </w:pPr>
            <w:r>
              <w:rPr>
                <w:w w:val="105"/>
                <w:sz w:val="14"/>
              </w:rPr>
              <w:t>(55)</w:t>
            </w:r>
          </w:p>
        </w:tc>
        <w:tc>
          <w:tcPr>
            <w:tcW w:w="722" w:type="dxa"/>
            <w:tcBorders>
              <w:top w:val="nil"/>
              <w:bottom w:val="nil"/>
              <w:right w:val="single" w:sz="4" w:space="0" w:color="000000"/>
            </w:tcBorders>
          </w:tcPr>
          <w:p>
            <w:pPr>
              <w:pStyle w:val="TableParagraph"/>
              <w:spacing w:before="19"/>
              <w:ind w:right="21"/>
              <w:rPr>
                <w:sz w:val="14"/>
              </w:rPr>
            </w:pPr>
            <w:r>
              <w:rPr>
                <w:w w:val="105"/>
                <w:sz w:val="14"/>
              </w:rPr>
              <w:t>(61)</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10140</w:t>
            </w:r>
          </w:p>
        </w:tc>
        <w:tc>
          <w:tcPr>
            <w:tcW w:w="2220" w:type="dxa"/>
            <w:tcBorders>
              <w:top w:val="nil"/>
              <w:bottom w:val="nil"/>
            </w:tcBorders>
          </w:tcPr>
          <w:p>
            <w:pPr>
              <w:pStyle w:val="TableParagraph"/>
              <w:spacing w:before="19"/>
              <w:ind w:left="18"/>
              <w:jc w:val="left"/>
              <w:rPr>
                <w:sz w:val="14"/>
              </w:rPr>
            </w:pPr>
            <w:r>
              <w:rPr>
                <w:w w:val="105"/>
                <w:sz w:val="14"/>
              </w:rPr>
              <w:t>CERETI ALESSANDRA</w:t>
            </w:r>
          </w:p>
        </w:tc>
        <w:tc>
          <w:tcPr>
            <w:tcW w:w="776" w:type="dxa"/>
            <w:tcBorders>
              <w:top w:val="nil"/>
              <w:bottom w:val="nil"/>
              <w:right w:val="single" w:sz="4" w:space="0" w:color="000000"/>
            </w:tcBorders>
          </w:tcPr>
          <w:p>
            <w:pPr>
              <w:pStyle w:val="TableParagraph"/>
              <w:spacing w:before="19"/>
              <w:ind w:right="62"/>
              <w:rPr>
                <w:sz w:val="14"/>
              </w:rPr>
            </w:pPr>
            <w:r>
              <w:rPr>
                <w:w w:val="105"/>
                <w:sz w:val="14"/>
              </w:rPr>
              <w:t>232</w:t>
            </w:r>
          </w:p>
        </w:tc>
        <w:tc>
          <w:tcPr>
            <w:tcW w:w="849" w:type="dxa"/>
            <w:tcBorders>
              <w:top w:val="nil"/>
              <w:left w:val="single" w:sz="4" w:space="0" w:color="000000"/>
              <w:bottom w:val="nil"/>
            </w:tcBorders>
          </w:tcPr>
          <w:p>
            <w:pPr>
              <w:pStyle w:val="TableParagraph"/>
              <w:spacing w:before="19"/>
              <w:ind w:right="62"/>
              <w:rPr>
                <w:sz w:val="14"/>
              </w:rPr>
            </w:pPr>
            <w:r>
              <w:rPr>
                <w:w w:val="105"/>
                <w:sz w:val="14"/>
              </w:rPr>
              <w:t>373</w:t>
            </w:r>
          </w:p>
        </w:tc>
        <w:tc>
          <w:tcPr>
            <w:tcW w:w="722" w:type="dxa"/>
            <w:tcBorders>
              <w:top w:val="nil"/>
              <w:bottom w:val="nil"/>
              <w:right w:val="single" w:sz="4" w:space="0" w:color="000000"/>
            </w:tcBorders>
          </w:tcPr>
          <w:p>
            <w:pPr>
              <w:pStyle w:val="TableParagraph"/>
              <w:spacing w:before="19"/>
              <w:ind w:right="62"/>
              <w:rPr>
                <w:sz w:val="14"/>
              </w:rPr>
            </w:pPr>
            <w:r>
              <w:rPr>
                <w:w w:val="105"/>
                <w:sz w:val="14"/>
              </w:rPr>
              <w:t>605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10321</w:t>
            </w:r>
          </w:p>
        </w:tc>
        <w:tc>
          <w:tcPr>
            <w:tcW w:w="2220" w:type="dxa"/>
            <w:tcBorders>
              <w:top w:val="nil"/>
              <w:bottom w:val="nil"/>
            </w:tcBorders>
          </w:tcPr>
          <w:p>
            <w:pPr>
              <w:pStyle w:val="TableParagraph"/>
              <w:spacing w:before="19"/>
              <w:ind w:left="18"/>
              <w:jc w:val="left"/>
              <w:rPr>
                <w:sz w:val="14"/>
              </w:rPr>
            </w:pPr>
            <w:r>
              <w:rPr>
                <w:w w:val="105"/>
                <w:sz w:val="14"/>
              </w:rPr>
              <w:t>COBROR SANDRO</w:t>
            </w:r>
          </w:p>
        </w:tc>
        <w:tc>
          <w:tcPr>
            <w:tcW w:w="776" w:type="dxa"/>
            <w:tcBorders>
              <w:top w:val="nil"/>
              <w:bottom w:val="nil"/>
              <w:right w:val="single" w:sz="4" w:space="0" w:color="000000"/>
            </w:tcBorders>
          </w:tcPr>
          <w:p>
            <w:pPr>
              <w:pStyle w:val="TableParagraph"/>
              <w:spacing w:before="19"/>
              <w:ind w:right="62"/>
              <w:rPr>
                <w:sz w:val="14"/>
              </w:rPr>
            </w:pPr>
            <w:r>
              <w:rPr>
                <w:w w:val="105"/>
                <w:sz w:val="14"/>
              </w:rPr>
              <w:t>1.963</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1.963</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10167</w:t>
            </w:r>
          </w:p>
        </w:tc>
        <w:tc>
          <w:tcPr>
            <w:tcW w:w="2220" w:type="dxa"/>
            <w:tcBorders>
              <w:top w:val="nil"/>
              <w:bottom w:val="nil"/>
            </w:tcBorders>
          </w:tcPr>
          <w:p>
            <w:pPr>
              <w:pStyle w:val="TableParagraph"/>
              <w:spacing w:before="19"/>
              <w:ind w:left="18"/>
              <w:jc w:val="left"/>
              <w:rPr>
                <w:sz w:val="14"/>
              </w:rPr>
            </w:pPr>
            <w:r>
              <w:rPr>
                <w:w w:val="105"/>
                <w:sz w:val="14"/>
              </w:rPr>
              <w:t>COLLA MICHELE</w:t>
            </w:r>
          </w:p>
        </w:tc>
        <w:tc>
          <w:tcPr>
            <w:tcW w:w="776" w:type="dxa"/>
            <w:tcBorders>
              <w:top w:val="nil"/>
              <w:bottom w:val="nil"/>
              <w:right w:val="single" w:sz="4" w:space="0" w:color="000000"/>
            </w:tcBorders>
          </w:tcPr>
          <w:p>
            <w:pPr>
              <w:pStyle w:val="TableParagraph"/>
              <w:spacing w:before="19"/>
              <w:ind w:right="62"/>
              <w:rPr>
                <w:sz w:val="14"/>
              </w:rPr>
            </w:pPr>
            <w:r>
              <w:rPr>
                <w:w w:val="105"/>
                <w:sz w:val="14"/>
              </w:rPr>
              <w:t>758</w:t>
            </w:r>
          </w:p>
        </w:tc>
        <w:tc>
          <w:tcPr>
            <w:tcW w:w="849" w:type="dxa"/>
            <w:tcBorders>
              <w:top w:val="nil"/>
              <w:left w:val="single" w:sz="4" w:space="0" w:color="000000"/>
              <w:bottom w:val="nil"/>
            </w:tcBorders>
          </w:tcPr>
          <w:p>
            <w:pPr>
              <w:pStyle w:val="TableParagraph"/>
              <w:spacing w:before="19"/>
              <w:ind w:right="62"/>
              <w:rPr>
                <w:sz w:val="14"/>
              </w:rPr>
            </w:pPr>
            <w:r>
              <w:rPr>
                <w:w w:val="105"/>
                <w:sz w:val="14"/>
              </w:rPr>
              <w:t>737</w:t>
            </w:r>
          </w:p>
        </w:tc>
        <w:tc>
          <w:tcPr>
            <w:tcW w:w="722" w:type="dxa"/>
            <w:tcBorders>
              <w:top w:val="nil"/>
              <w:bottom w:val="nil"/>
              <w:right w:val="single" w:sz="4" w:space="0" w:color="000000"/>
            </w:tcBorders>
          </w:tcPr>
          <w:p>
            <w:pPr>
              <w:pStyle w:val="TableParagraph"/>
              <w:spacing w:before="19"/>
              <w:ind w:right="62"/>
              <w:rPr>
                <w:sz w:val="14"/>
              </w:rPr>
            </w:pPr>
            <w:r>
              <w:rPr>
                <w:w w:val="105"/>
                <w:sz w:val="14"/>
              </w:rPr>
              <w:t>1.495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10042</w:t>
            </w:r>
          </w:p>
        </w:tc>
        <w:tc>
          <w:tcPr>
            <w:tcW w:w="2220" w:type="dxa"/>
            <w:tcBorders>
              <w:top w:val="nil"/>
              <w:bottom w:val="nil"/>
            </w:tcBorders>
          </w:tcPr>
          <w:p>
            <w:pPr>
              <w:pStyle w:val="TableParagraph"/>
              <w:spacing w:before="19"/>
              <w:ind w:left="18"/>
              <w:jc w:val="left"/>
              <w:rPr>
                <w:sz w:val="14"/>
              </w:rPr>
            </w:pPr>
            <w:r>
              <w:rPr>
                <w:w w:val="105"/>
                <w:sz w:val="14"/>
              </w:rPr>
              <w:t>CORBELLANI PAOLO</w:t>
            </w:r>
          </w:p>
        </w:tc>
        <w:tc>
          <w:tcPr>
            <w:tcW w:w="776" w:type="dxa"/>
            <w:tcBorders>
              <w:top w:val="nil"/>
              <w:bottom w:val="nil"/>
              <w:right w:val="single" w:sz="4" w:space="0" w:color="000000"/>
            </w:tcBorders>
          </w:tcPr>
          <w:p>
            <w:pPr>
              <w:pStyle w:val="TableParagraph"/>
              <w:spacing w:before="19"/>
              <w:ind w:right="62"/>
              <w:rPr>
                <w:sz w:val="14"/>
              </w:rPr>
            </w:pPr>
            <w:r>
              <w:rPr>
                <w:w w:val="105"/>
                <w:sz w:val="14"/>
              </w:rPr>
              <w:t>8.082</w:t>
            </w:r>
          </w:p>
        </w:tc>
        <w:tc>
          <w:tcPr>
            <w:tcW w:w="849" w:type="dxa"/>
            <w:tcBorders>
              <w:top w:val="nil"/>
              <w:left w:val="single" w:sz="4" w:space="0" w:color="000000"/>
              <w:bottom w:val="nil"/>
            </w:tcBorders>
          </w:tcPr>
          <w:p>
            <w:pPr>
              <w:pStyle w:val="TableParagraph"/>
              <w:spacing w:before="19"/>
              <w:ind w:right="62"/>
              <w:rPr>
                <w:sz w:val="14"/>
              </w:rPr>
            </w:pPr>
            <w:r>
              <w:rPr>
                <w:w w:val="105"/>
                <w:sz w:val="14"/>
              </w:rPr>
              <w:t>7.313</w:t>
            </w:r>
          </w:p>
        </w:tc>
        <w:tc>
          <w:tcPr>
            <w:tcW w:w="722" w:type="dxa"/>
            <w:tcBorders>
              <w:top w:val="nil"/>
              <w:bottom w:val="nil"/>
              <w:right w:val="single" w:sz="4" w:space="0" w:color="000000"/>
            </w:tcBorders>
          </w:tcPr>
          <w:p>
            <w:pPr>
              <w:pStyle w:val="TableParagraph"/>
              <w:spacing w:before="19"/>
              <w:ind w:right="62"/>
              <w:rPr>
                <w:sz w:val="14"/>
              </w:rPr>
            </w:pPr>
            <w:r>
              <w:rPr>
                <w:w w:val="105"/>
                <w:sz w:val="14"/>
              </w:rPr>
              <w:t>15.395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10076</w:t>
            </w:r>
          </w:p>
        </w:tc>
        <w:tc>
          <w:tcPr>
            <w:tcW w:w="2220" w:type="dxa"/>
            <w:tcBorders>
              <w:top w:val="nil"/>
              <w:bottom w:val="nil"/>
            </w:tcBorders>
          </w:tcPr>
          <w:p>
            <w:pPr>
              <w:pStyle w:val="TableParagraph"/>
              <w:spacing w:before="19"/>
              <w:ind w:left="18"/>
              <w:jc w:val="left"/>
              <w:rPr>
                <w:sz w:val="14"/>
              </w:rPr>
            </w:pPr>
            <w:r>
              <w:rPr>
                <w:w w:val="105"/>
                <w:sz w:val="14"/>
              </w:rPr>
              <w:t>DE FAVERI DANILO</w:t>
            </w:r>
          </w:p>
        </w:tc>
        <w:tc>
          <w:tcPr>
            <w:tcW w:w="776" w:type="dxa"/>
            <w:tcBorders>
              <w:top w:val="nil"/>
              <w:bottom w:val="nil"/>
              <w:right w:val="single" w:sz="4" w:space="0" w:color="000000"/>
            </w:tcBorders>
          </w:tcPr>
          <w:p>
            <w:pPr>
              <w:pStyle w:val="TableParagraph"/>
              <w:spacing w:before="19"/>
              <w:ind w:right="62"/>
              <w:rPr>
                <w:sz w:val="14"/>
              </w:rPr>
            </w:pPr>
            <w:r>
              <w:rPr>
                <w:w w:val="105"/>
                <w:sz w:val="14"/>
              </w:rPr>
              <w:t>7.124</w:t>
            </w:r>
          </w:p>
        </w:tc>
        <w:tc>
          <w:tcPr>
            <w:tcW w:w="849" w:type="dxa"/>
            <w:tcBorders>
              <w:top w:val="nil"/>
              <w:left w:val="single" w:sz="4" w:space="0" w:color="000000"/>
              <w:bottom w:val="nil"/>
            </w:tcBorders>
          </w:tcPr>
          <w:p>
            <w:pPr>
              <w:pStyle w:val="TableParagraph"/>
              <w:spacing w:before="19"/>
              <w:ind w:right="62"/>
              <w:rPr>
                <w:sz w:val="14"/>
              </w:rPr>
            </w:pPr>
            <w:r>
              <w:rPr>
                <w:w w:val="105"/>
                <w:sz w:val="14"/>
              </w:rPr>
              <w:t>4.535</w:t>
            </w:r>
          </w:p>
        </w:tc>
        <w:tc>
          <w:tcPr>
            <w:tcW w:w="722" w:type="dxa"/>
            <w:tcBorders>
              <w:top w:val="nil"/>
              <w:bottom w:val="nil"/>
              <w:right w:val="single" w:sz="4" w:space="0" w:color="000000"/>
            </w:tcBorders>
          </w:tcPr>
          <w:p>
            <w:pPr>
              <w:pStyle w:val="TableParagraph"/>
              <w:spacing w:before="19"/>
              <w:ind w:right="62"/>
              <w:rPr>
                <w:sz w:val="14"/>
              </w:rPr>
            </w:pPr>
            <w:r>
              <w:rPr>
                <w:w w:val="105"/>
                <w:sz w:val="14"/>
              </w:rPr>
              <w:t>11.659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10319</w:t>
            </w:r>
          </w:p>
        </w:tc>
        <w:tc>
          <w:tcPr>
            <w:tcW w:w="2220" w:type="dxa"/>
            <w:tcBorders>
              <w:top w:val="nil"/>
              <w:bottom w:val="nil"/>
            </w:tcBorders>
          </w:tcPr>
          <w:p>
            <w:pPr>
              <w:pStyle w:val="TableParagraph"/>
              <w:spacing w:before="19"/>
              <w:ind w:left="18"/>
              <w:jc w:val="left"/>
              <w:rPr>
                <w:sz w:val="14"/>
              </w:rPr>
            </w:pPr>
            <w:r>
              <w:rPr>
                <w:w w:val="105"/>
                <w:sz w:val="14"/>
              </w:rPr>
              <w:t>DE VITA ANDREA</w:t>
            </w:r>
          </w:p>
        </w:tc>
        <w:tc>
          <w:tcPr>
            <w:tcW w:w="776" w:type="dxa"/>
            <w:tcBorders>
              <w:top w:val="nil"/>
              <w:bottom w:val="nil"/>
              <w:right w:val="single" w:sz="4" w:space="0" w:color="000000"/>
            </w:tcBorders>
          </w:tcPr>
          <w:p>
            <w:pPr>
              <w:pStyle w:val="TableParagraph"/>
              <w:spacing w:before="19"/>
              <w:ind w:right="62"/>
              <w:rPr>
                <w:sz w:val="14"/>
              </w:rPr>
            </w:pPr>
            <w:r>
              <w:rPr>
                <w:w w:val="105"/>
                <w:sz w:val="14"/>
              </w:rPr>
              <w:t>7.140</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7.140</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10056</w:t>
            </w:r>
          </w:p>
        </w:tc>
        <w:tc>
          <w:tcPr>
            <w:tcW w:w="2220" w:type="dxa"/>
            <w:tcBorders>
              <w:top w:val="nil"/>
              <w:bottom w:val="nil"/>
            </w:tcBorders>
          </w:tcPr>
          <w:p>
            <w:pPr>
              <w:pStyle w:val="TableParagraph"/>
              <w:spacing w:before="19"/>
              <w:ind w:left="18"/>
              <w:jc w:val="left"/>
              <w:rPr>
                <w:sz w:val="14"/>
              </w:rPr>
            </w:pPr>
            <w:r>
              <w:rPr>
                <w:w w:val="105"/>
                <w:sz w:val="14"/>
              </w:rPr>
              <w:t>FERRARI GIANLUCA</w:t>
            </w:r>
          </w:p>
        </w:tc>
        <w:tc>
          <w:tcPr>
            <w:tcW w:w="776" w:type="dxa"/>
            <w:tcBorders>
              <w:top w:val="nil"/>
              <w:bottom w:val="nil"/>
              <w:right w:val="single" w:sz="4" w:space="0" w:color="000000"/>
            </w:tcBorders>
          </w:tcPr>
          <w:p>
            <w:pPr>
              <w:pStyle w:val="TableParagraph"/>
              <w:spacing w:before="19"/>
              <w:ind w:right="62"/>
              <w:rPr>
                <w:sz w:val="14"/>
              </w:rPr>
            </w:pPr>
            <w:r>
              <w:rPr>
                <w:w w:val="105"/>
                <w:sz w:val="14"/>
              </w:rPr>
              <w:t>13.833</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13.833</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10049</w:t>
            </w:r>
          </w:p>
        </w:tc>
        <w:tc>
          <w:tcPr>
            <w:tcW w:w="2220" w:type="dxa"/>
            <w:tcBorders>
              <w:top w:val="nil"/>
              <w:bottom w:val="nil"/>
            </w:tcBorders>
          </w:tcPr>
          <w:p>
            <w:pPr>
              <w:pStyle w:val="TableParagraph"/>
              <w:spacing w:before="19"/>
              <w:ind w:left="18"/>
              <w:jc w:val="left"/>
              <w:rPr>
                <w:sz w:val="14"/>
              </w:rPr>
            </w:pPr>
            <w:r>
              <w:rPr>
                <w:w w:val="105"/>
                <w:sz w:val="14"/>
              </w:rPr>
              <w:t>FERRERO SIMONE</w:t>
            </w:r>
          </w:p>
        </w:tc>
        <w:tc>
          <w:tcPr>
            <w:tcW w:w="776" w:type="dxa"/>
            <w:tcBorders>
              <w:top w:val="nil"/>
              <w:bottom w:val="nil"/>
              <w:right w:val="single" w:sz="4" w:space="0" w:color="000000"/>
            </w:tcBorders>
          </w:tcPr>
          <w:p>
            <w:pPr>
              <w:pStyle w:val="TableParagraph"/>
              <w:spacing w:before="19"/>
              <w:ind w:right="62"/>
              <w:rPr>
                <w:sz w:val="14"/>
              </w:rPr>
            </w:pPr>
            <w:r>
              <w:rPr>
                <w:w w:val="105"/>
                <w:sz w:val="14"/>
              </w:rPr>
              <w:t>62</w:t>
            </w:r>
          </w:p>
        </w:tc>
        <w:tc>
          <w:tcPr>
            <w:tcW w:w="849" w:type="dxa"/>
            <w:tcBorders>
              <w:top w:val="nil"/>
              <w:left w:val="single" w:sz="4" w:space="0" w:color="000000"/>
              <w:bottom w:val="nil"/>
            </w:tcBorders>
          </w:tcPr>
          <w:p>
            <w:pPr>
              <w:pStyle w:val="TableParagraph"/>
              <w:spacing w:before="19"/>
              <w:ind w:right="62"/>
              <w:rPr>
                <w:sz w:val="14"/>
              </w:rPr>
            </w:pPr>
            <w:r>
              <w:rPr>
                <w:w w:val="105"/>
                <w:sz w:val="14"/>
              </w:rPr>
              <w:t>246</w:t>
            </w:r>
          </w:p>
        </w:tc>
        <w:tc>
          <w:tcPr>
            <w:tcW w:w="722" w:type="dxa"/>
            <w:tcBorders>
              <w:top w:val="nil"/>
              <w:bottom w:val="nil"/>
              <w:right w:val="single" w:sz="4" w:space="0" w:color="000000"/>
            </w:tcBorders>
          </w:tcPr>
          <w:p>
            <w:pPr>
              <w:pStyle w:val="TableParagraph"/>
              <w:spacing w:before="19"/>
              <w:ind w:right="62"/>
              <w:rPr>
                <w:sz w:val="14"/>
              </w:rPr>
            </w:pPr>
            <w:r>
              <w:rPr>
                <w:w w:val="105"/>
                <w:sz w:val="14"/>
              </w:rPr>
              <w:t>309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10069</w:t>
            </w:r>
          </w:p>
        </w:tc>
        <w:tc>
          <w:tcPr>
            <w:tcW w:w="2220" w:type="dxa"/>
            <w:tcBorders>
              <w:top w:val="nil"/>
              <w:bottom w:val="nil"/>
            </w:tcBorders>
          </w:tcPr>
          <w:p>
            <w:pPr>
              <w:pStyle w:val="TableParagraph"/>
              <w:spacing w:before="19"/>
              <w:ind w:left="18"/>
              <w:jc w:val="left"/>
              <w:rPr>
                <w:sz w:val="14"/>
              </w:rPr>
            </w:pPr>
            <w:r>
              <w:rPr>
                <w:sz w:val="14"/>
              </w:rPr>
              <w:t>FRANCHINI ELENA</w:t>
            </w:r>
          </w:p>
        </w:tc>
        <w:tc>
          <w:tcPr>
            <w:tcW w:w="776" w:type="dxa"/>
            <w:tcBorders>
              <w:top w:val="nil"/>
              <w:bottom w:val="nil"/>
              <w:right w:val="single" w:sz="4" w:space="0" w:color="000000"/>
            </w:tcBorders>
          </w:tcPr>
          <w:p>
            <w:pPr>
              <w:pStyle w:val="TableParagraph"/>
              <w:spacing w:before="19"/>
              <w:ind w:right="62"/>
              <w:rPr>
                <w:sz w:val="14"/>
              </w:rPr>
            </w:pPr>
            <w:r>
              <w:rPr>
                <w:w w:val="105"/>
                <w:sz w:val="14"/>
              </w:rPr>
              <w:t>1.220</w:t>
            </w:r>
          </w:p>
        </w:tc>
        <w:tc>
          <w:tcPr>
            <w:tcW w:w="849" w:type="dxa"/>
            <w:tcBorders>
              <w:top w:val="nil"/>
              <w:left w:val="single" w:sz="4" w:space="0" w:color="000000"/>
              <w:bottom w:val="nil"/>
            </w:tcBorders>
          </w:tcPr>
          <w:p>
            <w:pPr>
              <w:pStyle w:val="TableParagraph"/>
              <w:spacing w:before="19"/>
              <w:ind w:right="62"/>
              <w:rPr>
                <w:sz w:val="14"/>
              </w:rPr>
            </w:pPr>
            <w:r>
              <w:rPr>
                <w:w w:val="105"/>
                <w:sz w:val="14"/>
              </w:rPr>
              <w:t>642</w:t>
            </w:r>
          </w:p>
        </w:tc>
        <w:tc>
          <w:tcPr>
            <w:tcW w:w="722" w:type="dxa"/>
            <w:tcBorders>
              <w:top w:val="nil"/>
              <w:bottom w:val="nil"/>
              <w:right w:val="single" w:sz="4" w:space="0" w:color="000000"/>
            </w:tcBorders>
          </w:tcPr>
          <w:p>
            <w:pPr>
              <w:pStyle w:val="TableParagraph"/>
              <w:spacing w:before="19"/>
              <w:ind w:right="62"/>
              <w:rPr>
                <w:sz w:val="14"/>
              </w:rPr>
            </w:pPr>
            <w:r>
              <w:rPr>
                <w:w w:val="105"/>
                <w:sz w:val="14"/>
              </w:rPr>
              <w:t>1.863</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10146</w:t>
            </w:r>
          </w:p>
        </w:tc>
        <w:tc>
          <w:tcPr>
            <w:tcW w:w="2220" w:type="dxa"/>
            <w:tcBorders>
              <w:top w:val="nil"/>
              <w:bottom w:val="nil"/>
            </w:tcBorders>
          </w:tcPr>
          <w:p>
            <w:pPr>
              <w:pStyle w:val="TableParagraph"/>
              <w:spacing w:before="19"/>
              <w:ind w:left="18"/>
              <w:jc w:val="left"/>
              <w:rPr>
                <w:sz w:val="14"/>
              </w:rPr>
            </w:pPr>
            <w:r>
              <w:rPr>
                <w:w w:val="105"/>
                <w:sz w:val="14"/>
              </w:rPr>
              <w:t>GELMI GIUSEPPE</w:t>
            </w:r>
          </w:p>
        </w:tc>
        <w:tc>
          <w:tcPr>
            <w:tcW w:w="776" w:type="dxa"/>
            <w:tcBorders>
              <w:top w:val="nil"/>
              <w:bottom w:val="nil"/>
              <w:right w:val="single" w:sz="4" w:space="0" w:color="000000"/>
            </w:tcBorders>
          </w:tcPr>
          <w:p>
            <w:pPr>
              <w:pStyle w:val="TableParagraph"/>
              <w:spacing w:before="19"/>
              <w:ind w:right="62"/>
              <w:rPr>
                <w:sz w:val="14"/>
              </w:rPr>
            </w:pPr>
            <w:r>
              <w:rPr>
                <w:w w:val="105"/>
                <w:sz w:val="14"/>
              </w:rPr>
              <w:t>6.415</w:t>
            </w:r>
          </w:p>
        </w:tc>
        <w:tc>
          <w:tcPr>
            <w:tcW w:w="849" w:type="dxa"/>
            <w:tcBorders>
              <w:top w:val="nil"/>
              <w:left w:val="single" w:sz="4" w:space="0" w:color="000000"/>
              <w:bottom w:val="nil"/>
            </w:tcBorders>
          </w:tcPr>
          <w:p>
            <w:pPr>
              <w:pStyle w:val="TableParagraph"/>
              <w:spacing w:before="19"/>
              <w:ind w:right="62"/>
              <w:rPr>
                <w:sz w:val="14"/>
              </w:rPr>
            </w:pPr>
            <w:r>
              <w:rPr>
                <w:w w:val="105"/>
                <w:sz w:val="14"/>
              </w:rPr>
              <w:t>6.084</w:t>
            </w:r>
          </w:p>
        </w:tc>
        <w:tc>
          <w:tcPr>
            <w:tcW w:w="722" w:type="dxa"/>
            <w:tcBorders>
              <w:top w:val="nil"/>
              <w:bottom w:val="nil"/>
              <w:right w:val="single" w:sz="4" w:space="0" w:color="000000"/>
            </w:tcBorders>
          </w:tcPr>
          <w:p>
            <w:pPr>
              <w:pStyle w:val="TableParagraph"/>
              <w:spacing w:before="19"/>
              <w:ind w:right="62"/>
              <w:rPr>
                <w:sz w:val="14"/>
              </w:rPr>
            </w:pPr>
            <w:r>
              <w:rPr>
                <w:w w:val="105"/>
                <w:sz w:val="14"/>
              </w:rPr>
              <w:t>12.499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10329</w:t>
            </w:r>
          </w:p>
        </w:tc>
        <w:tc>
          <w:tcPr>
            <w:tcW w:w="2220" w:type="dxa"/>
            <w:tcBorders>
              <w:top w:val="nil"/>
              <w:bottom w:val="nil"/>
            </w:tcBorders>
          </w:tcPr>
          <w:p>
            <w:pPr>
              <w:pStyle w:val="TableParagraph"/>
              <w:spacing w:before="19"/>
              <w:ind w:left="18"/>
              <w:jc w:val="left"/>
              <w:rPr>
                <w:sz w:val="14"/>
              </w:rPr>
            </w:pPr>
            <w:r>
              <w:rPr>
                <w:w w:val="105"/>
                <w:sz w:val="14"/>
              </w:rPr>
              <w:t>GIUSTI ALESSANDRA</w:t>
            </w:r>
          </w:p>
        </w:tc>
        <w:tc>
          <w:tcPr>
            <w:tcW w:w="776" w:type="dxa"/>
            <w:tcBorders>
              <w:top w:val="nil"/>
              <w:bottom w:val="nil"/>
              <w:right w:val="single" w:sz="4" w:space="0" w:color="000000"/>
            </w:tcBorders>
          </w:tcPr>
          <w:p>
            <w:pPr>
              <w:pStyle w:val="TableParagraph"/>
              <w:spacing w:before="19"/>
              <w:ind w:right="62"/>
              <w:rPr>
                <w:sz w:val="14"/>
              </w:rPr>
            </w:pPr>
            <w:r>
              <w:rPr>
                <w:w w:val="105"/>
                <w:sz w:val="14"/>
              </w:rPr>
              <w:t>13.092</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13.092</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10168</w:t>
            </w:r>
          </w:p>
        </w:tc>
        <w:tc>
          <w:tcPr>
            <w:tcW w:w="2220" w:type="dxa"/>
            <w:tcBorders>
              <w:top w:val="nil"/>
              <w:bottom w:val="nil"/>
            </w:tcBorders>
          </w:tcPr>
          <w:p>
            <w:pPr>
              <w:pStyle w:val="TableParagraph"/>
              <w:spacing w:before="19"/>
              <w:ind w:left="18"/>
              <w:jc w:val="left"/>
              <w:rPr>
                <w:sz w:val="14"/>
              </w:rPr>
            </w:pPr>
            <w:r>
              <w:rPr>
                <w:w w:val="105"/>
                <w:sz w:val="14"/>
              </w:rPr>
              <w:t>GRASSANO GIUSEPPE</w:t>
            </w:r>
          </w:p>
        </w:tc>
        <w:tc>
          <w:tcPr>
            <w:tcW w:w="776" w:type="dxa"/>
            <w:tcBorders>
              <w:top w:val="nil"/>
              <w:bottom w:val="nil"/>
              <w:right w:val="single" w:sz="4" w:space="0" w:color="000000"/>
            </w:tcBorders>
          </w:tcPr>
          <w:p>
            <w:pPr>
              <w:pStyle w:val="TableParagraph"/>
              <w:spacing w:before="19"/>
              <w:ind w:right="62"/>
              <w:rPr>
                <w:sz w:val="14"/>
              </w:rPr>
            </w:pPr>
            <w:r>
              <w:rPr>
                <w:w w:val="105"/>
                <w:sz w:val="14"/>
              </w:rPr>
              <w:t>3.122</w:t>
            </w:r>
          </w:p>
        </w:tc>
        <w:tc>
          <w:tcPr>
            <w:tcW w:w="849" w:type="dxa"/>
            <w:tcBorders>
              <w:top w:val="nil"/>
              <w:left w:val="single" w:sz="4" w:space="0" w:color="000000"/>
              <w:bottom w:val="nil"/>
            </w:tcBorders>
          </w:tcPr>
          <w:p>
            <w:pPr>
              <w:pStyle w:val="TableParagraph"/>
              <w:spacing w:before="19"/>
              <w:ind w:right="62"/>
              <w:rPr>
                <w:sz w:val="14"/>
              </w:rPr>
            </w:pPr>
            <w:r>
              <w:rPr>
                <w:w w:val="105"/>
                <w:sz w:val="14"/>
              </w:rPr>
              <w:t>2.860</w:t>
            </w:r>
          </w:p>
        </w:tc>
        <w:tc>
          <w:tcPr>
            <w:tcW w:w="722" w:type="dxa"/>
            <w:tcBorders>
              <w:top w:val="nil"/>
              <w:bottom w:val="nil"/>
              <w:right w:val="single" w:sz="4" w:space="0" w:color="000000"/>
            </w:tcBorders>
          </w:tcPr>
          <w:p>
            <w:pPr>
              <w:pStyle w:val="TableParagraph"/>
              <w:spacing w:before="19"/>
              <w:ind w:right="62"/>
              <w:rPr>
                <w:sz w:val="14"/>
              </w:rPr>
            </w:pPr>
            <w:r>
              <w:rPr>
                <w:w w:val="105"/>
                <w:sz w:val="14"/>
              </w:rPr>
              <w:t>5.982</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10033</w:t>
            </w:r>
          </w:p>
        </w:tc>
        <w:tc>
          <w:tcPr>
            <w:tcW w:w="2220" w:type="dxa"/>
            <w:tcBorders>
              <w:top w:val="nil"/>
              <w:bottom w:val="nil"/>
            </w:tcBorders>
          </w:tcPr>
          <w:p>
            <w:pPr>
              <w:pStyle w:val="TableParagraph"/>
              <w:spacing w:before="19"/>
              <w:ind w:left="18"/>
              <w:jc w:val="left"/>
              <w:rPr>
                <w:sz w:val="14"/>
              </w:rPr>
            </w:pPr>
            <w:r>
              <w:rPr>
                <w:w w:val="105"/>
                <w:sz w:val="14"/>
              </w:rPr>
              <w:t>KULICH ISABELLA</w:t>
            </w:r>
          </w:p>
        </w:tc>
        <w:tc>
          <w:tcPr>
            <w:tcW w:w="776" w:type="dxa"/>
            <w:tcBorders>
              <w:top w:val="nil"/>
              <w:bottom w:val="nil"/>
              <w:right w:val="single" w:sz="4" w:space="0" w:color="000000"/>
            </w:tcBorders>
          </w:tcPr>
          <w:p>
            <w:pPr>
              <w:pStyle w:val="TableParagraph"/>
              <w:spacing w:before="19"/>
              <w:ind w:right="62"/>
              <w:rPr>
                <w:sz w:val="14"/>
              </w:rPr>
            </w:pPr>
            <w:r>
              <w:rPr>
                <w:w w:val="105"/>
                <w:sz w:val="14"/>
              </w:rPr>
              <w:t>1.972</w:t>
            </w:r>
          </w:p>
        </w:tc>
        <w:tc>
          <w:tcPr>
            <w:tcW w:w="849" w:type="dxa"/>
            <w:tcBorders>
              <w:top w:val="nil"/>
              <w:left w:val="single" w:sz="4" w:space="0" w:color="000000"/>
              <w:bottom w:val="nil"/>
            </w:tcBorders>
          </w:tcPr>
          <w:p>
            <w:pPr>
              <w:pStyle w:val="TableParagraph"/>
              <w:spacing w:before="19"/>
              <w:ind w:right="62"/>
              <w:rPr>
                <w:sz w:val="14"/>
              </w:rPr>
            </w:pPr>
            <w:r>
              <w:rPr>
                <w:w w:val="105"/>
                <w:sz w:val="14"/>
              </w:rPr>
              <w:t>2.217</w:t>
            </w:r>
          </w:p>
        </w:tc>
        <w:tc>
          <w:tcPr>
            <w:tcW w:w="722" w:type="dxa"/>
            <w:tcBorders>
              <w:top w:val="nil"/>
              <w:bottom w:val="nil"/>
              <w:right w:val="single" w:sz="4" w:space="0" w:color="000000"/>
            </w:tcBorders>
          </w:tcPr>
          <w:p>
            <w:pPr>
              <w:pStyle w:val="TableParagraph"/>
              <w:spacing w:before="19"/>
              <w:ind w:right="62"/>
              <w:rPr>
                <w:sz w:val="14"/>
              </w:rPr>
            </w:pPr>
            <w:r>
              <w:rPr>
                <w:w w:val="105"/>
                <w:sz w:val="14"/>
              </w:rPr>
              <w:t>4.189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10328</w:t>
            </w:r>
          </w:p>
        </w:tc>
        <w:tc>
          <w:tcPr>
            <w:tcW w:w="2220" w:type="dxa"/>
            <w:tcBorders>
              <w:top w:val="nil"/>
              <w:bottom w:val="nil"/>
            </w:tcBorders>
          </w:tcPr>
          <w:p>
            <w:pPr>
              <w:pStyle w:val="TableParagraph"/>
              <w:spacing w:before="19"/>
              <w:ind w:left="18"/>
              <w:jc w:val="left"/>
              <w:rPr>
                <w:sz w:val="14"/>
              </w:rPr>
            </w:pPr>
            <w:r>
              <w:rPr>
                <w:w w:val="105"/>
                <w:sz w:val="14"/>
              </w:rPr>
              <w:t>LAZZERI PAOLO</w:t>
            </w:r>
          </w:p>
        </w:tc>
        <w:tc>
          <w:tcPr>
            <w:tcW w:w="776" w:type="dxa"/>
            <w:tcBorders>
              <w:top w:val="nil"/>
              <w:bottom w:val="nil"/>
              <w:right w:val="single" w:sz="4" w:space="0" w:color="000000"/>
            </w:tcBorders>
          </w:tcPr>
          <w:p>
            <w:pPr>
              <w:pStyle w:val="TableParagraph"/>
              <w:spacing w:before="19"/>
              <w:ind w:right="62"/>
              <w:rPr>
                <w:sz w:val="14"/>
              </w:rPr>
            </w:pPr>
            <w:r>
              <w:rPr>
                <w:w w:val="105"/>
                <w:sz w:val="14"/>
              </w:rPr>
              <w:t>3.728</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3.728</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10331</w:t>
            </w:r>
          </w:p>
        </w:tc>
        <w:tc>
          <w:tcPr>
            <w:tcW w:w="2220" w:type="dxa"/>
            <w:tcBorders>
              <w:top w:val="nil"/>
              <w:bottom w:val="nil"/>
            </w:tcBorders>
          </w:tcPr>
          <w:p>
            <w:pPr>
              <w:pStyle w:val="TableParagraph"/>
              <w:spacing w:before="19"/>
              <w:ind w:left="18"/>
              <w:jc w:val="left"/>
              <w:rPr>
                <w:sz w:val="14"/>
              </w:rPr>
            </w:pPr>
            <w:r>
              <w:rPr>
                <w:w w:val="105"/>
                <w:sz w:val="14"/>
              </w:rPr>
              <w:t>LENTI ROBERTO</w:t>
            </w:r>
          </w:p>
        </w:tc>
        <w:tc>
          <w:tcPr>
            <w:tcW w:w="776" w:type="dxa"/>
            <w:tcBorders>
              <w:top w:val="nil"/>
              <w:bottom w:val="nil"/>
              <w:right w:val="single" w:sz="4" w:space="0" w:color="000000"/>
            </w:tcBorders>
          </w:tcPr>
          <w:p>
            <w:pPr>
              <w:pStyle w:val="TableParagraph"/>
              <w:spacing w:before="19"/>
              <w:ind w:right="62"/>
              <w:rPr>
                <w:sz w:val="14"/>
              </w:rPr>
            </w:pPr>
            <w:r>
              <w:rPr>
                <w:w w:val="105"/>
                <w:sz w:val="14"/>
              </w:rPr>
              <w:t>3.039</w:t>
            </w:r>
          </w:p>
        </w:tc>
        <w:tc>
          <w:tcPr>
            <w:tcW w:w="849" w:type="dxa"/>
            <w:tcBorders>
              <w:top w:val="nil"/>
              <w:left w:val="single" w:sz="4" w:space="0" w:color="000000"/>
              <w:bottom w:val="nil"/>
            </w:tcBorders>
          </w:tcPr>
          <w:p>
            <w:pPr>
              <w:pStyle w:val="TableParagraph"/>
              <w:spacing w:before="19"/>
              <w:ind w:right="62"/>
              <w:rPr>
                <w:sz w:val="14"/>
              </w:rPr>
            </w:pPr>
            <w:r>
              <w:rPr>
                <w:w w:val="105"/>
                <w:sz w:val="14"/>
              </w:rPr>
              <w:t>2.488</w:t>
            </w:r>
          </w:p>
        </w:tc>
        <w:tc>
          <w:tcPr>
            <w:tcW w:w="722" w:type="dxa"/>
            <w:tcBorders>
              <w:top w:val="nil"/>
              <w:bottom w:val="nil"/>
              <w:right w:val="single" w:sz="4" w:space="0" w:color="000000"/>
            </w:tcBorders>
          </w:tcPr>
          <w:p>
            <w:pPr>
              <w:pStyle w:val="TableParagraph"/>
              <w:spacing w:before="19"/>
              <w:ind w:right="62"/>
              <w:rPr>
                <w:sz w:val="14"/>
              </w:rPr>
            </w:pPr>
            <w:r>
              <w:rPr>
                <w:w w:val="105"/>
                <w:sz w:val="14"/>
              </w:rPr>
              <w:t>5.527</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10171</w:t>
            </w:r>
          </w:p>
        </w:tc>
        <w:tc>
          <w:tcPr>
            <w:tcW w:w="2220" w:type="dxa"/>
            <w:tcBorders>
              <w:top w:val="nil"/>
              <w:bottom w:val="nil"/>
            </w:tcBorders>
          </w:tcPr>
          <w:p>
            <w:pPr>
              <w:pStyle w:val="TableParagraph"/>
              <w:spacing w:before="19"/>
              <w:ind w:left="18"/>
              <w:jc w:val="left"/>
              <w:rPr>
                <w:sz w:val="14"/>
              </w:rPr>
            </w:pPr>
            <w:r>
              <w:rPr>
                <w:w w:val="105"/>
                <w:sz w:val="14"/>
              </w:rPr>
              <w:t>LINCE FEDERICA</w:t>
            </w:r>
          </w:p>
        </w:tc>
        <w:tc>
          <w:tcPr>
            <w:tcW w:w="776" w:type="dxa"/>
            <w:tcBorders>
              <w:top w:val="nil"/>
              <w:bottom w:val="nil"/>
              <w:right w:val="single" w:sz="4" w:space="0" w:color="000000"/>
            </w:tcBorders>
          </w:tcPr>
          <w:p>
            <w:pPr>
              <w:pStyle w:val="TableParagraph"/>
              <w:spacing w:before="19"/>
              <w:ind w:right="62"/>
              <w:rPr>
                <w:sz w:val="14"/>
              </w:rPr>
            </w:pPr>
            <w:r>
              <w:rPr>
                <w:w w:val="105"/>
                <w:sz w:val="14"/>
              </w:rPr>
              <w:t>1.191</w:t>
            </w:r>
          </w:p>
        </w:tc>
        <w:tc>
          <w:tcPr>
            <w:tcW w:w="849" w:type="dxa"/>
            <w:tcBorders>
              <w:top w:val="nil"/>
              <w:left w:val="single" w:sz="4" w:space="0" w:color="000000"/>
              <w:bottom w:val="nil"/>
            </w:tcBorders>
          </w:tcPr>
          <w:p>
            <w:pPr>
              <w:pStyle w:val="TableParagraph"/>
              <w:spacing w:before="19"/>
              <w:ind w:right="62"/>
              <w:rPr>
                <w:sz w:val="14"/>
              </w:rPr>
            </w:pPr>
            <w:r>
              <w:rPr>
                <w:w w:val="105"/>
                <w:sz w:val="14"/>
              </w:rPr>
              <w:t>766</w:t>
            </w:r>
          </w:p>
        </w:tc>
        <w:tc>
          <w:tcPr>
            <w:tcW w:w="722" w:type="dxa"/>
            <w:tcBorders>
              <w:top w:val="nil"/>
              <w:bottom w:val="nil"/>
              <w:right w:val="single" w:sz="4" w:space="0" w:color="000000"/>
            </w:tcBorders>
          </w:tcPr>
          <w:p>
            <w:pPr>
              <w:pStyle w:val="TableParagraph"/>
              <w:spacing w:before="19"/>
              <w:ind w:right="62"/>
              <w:rPr>
                <w:sz w:val="14"/>
              </w:rPr>
            </w:pPr>
            <w:r>
              <w:rPr>
                <w:w w:val="105"/>
                <w:sz w:val="14"/>
              </w:rPr>
              <w:t>1.957</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10246</w:t>
            </w:r>
          </w:p>
        </w:tc>
        <w:tc>
          <w:tcPr>
            <w:tcW w:w="2220" w:type="dxa"/>
            <w:tcBorders>
              <w:top w:val="nil"/>
              <w:bottom w:val="nil"/>
            </w:tcBorders>
          </w:tcPr>
          <w:p>
            <w:pPr>
              <w:pStyle w:val="TableParagraph"/>
              <w:spacing w:before="19"/>
              <w:ind w:left="18"/>
              <w:jc w:val="left"/>
              <w:rPr>
                <w:sz w:val="14"/>
              </w:rPr>
            </w:pPr>
            <w:r>
              <w:rPr>
                <w:w w:val="105"/>
                <w:sz w:val="14"/>
              </w:rPr>
              <w:t>MARCON STEFANO</w:t>
            </w:r>
          </w:p>
        </w:tc>
        <w:tc>
          <w:tcPr>
            <w:tcW w:w="776" w:type="dxa"/>
            <w:tcBorders>
              <w:top w:val="nil"/>
              <w:bottom w:val="nil"/>
              <w:right w:val="single" w:sz="4" w:space="0" w:color="000000"/>
            </w:tcBorders>
          </w:tcPr>
          <w:p>
            <w:pPr>
              <w:pStyle w:val="TableParagraph"/>
              <w:spacing w:before="19"/>
              <w:ind w:right="62"/>
              <w:rPr>
                <w:sz w:val="14"/>
              </w:rPr>
            </w:pPr>
            <w:r>
              <w:rPr>
                <w:w w:val="105"/>
                <w:sz w:val="14"/>
              </w:rPr>
              <w:t>393</w:t>
            </w:r>
          </w:p>
        </w:tc>
        <w:tc>
          <w:tcPr>
            <w:tcW w:w="849" w:type="dxa"/>
            <w:tcBorders>
              <w:top w:val="nil"/>
              <w:left w:val="single" w:sz="4" w:space="0" w:color="000000"/>
              <w:bottom w:val="nil"/>
            </w:tcBorders>
          </w:tcPr>
          <w:p>
            <w:pPr>
              <w:pStyle w:val="TableParagraph"/>
              <w:spacing w:before="19"/>
              <w:ind w:right="62"/>
              <w:rPr>
                <w:sz w:val="14"/>
              </w:rPr>
            </w:pPr>
            <w:r>
              <w:rPr>
                <w:w w:val="105"/>
                <w:sz w:val="14"/>
              </w:rPr>
              <w:t>1.113</w:t>
            </w:r>
          </w:p>
        </w:tc>
        <w:tc>
          <w:tcPr>
            <w:tcW w:w="722" w:type="dxa"/>
            <w:tcBorders>
              <w:top w:val="nil"/>
              <w:bottom w:val="nil"/>
              <w:right w:val="single" w:sz="4" w:space="0" w:color="000000"/>
            </w:tcBorders>
          </w:tcPr>
          <w:p>
            <w:pPr>
              <w:pStyle w:val="TableParagraph"/>
              <w:spacing w:before="19"/>
              <w:ind w:right="62"/>
              <w:rPr>
                <w:sz w:val="14"/>
              </w:rPr>
            </w:pPr>
            <w:r>
              <w:rPr>
                <w:w w:val="105"/>
                <w:sz w:val="14"/>
              </w:rPr>
              <w:t>1.506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10004</w:t>
            </w:r>
          </w:p>
        </w:tc>
        <w:tc>
          <w:tcPr>
            <w:tcW w:w="2220" w:type="dxa"/>
            <w:tcBorders>
              <w:top w:val="nil"/>
              <w:bottom w:val="nil"/>
            </w:tcBorders>
          </w:tcPr>
          <w:p>
            <w:pPr>
              <w:pStyle w:val="TableParagraph"/>
              <w:spacing w:before="19"/>
              <w:ind w:left="18"/>
              <w:jc w:val="left"/>
              <w:rPr>
                <w:sz w:val="14"/>
              </w:rPr>
            </w:pPr>
            <w:r>
              <w:rPr>
                <w:w w:val="105"/>
                <w:sz w:val="14"/>
              </w:rPr>
              <w:t>MARGUTTI PATRIZIA LAURA</w:t>
            </w:r>
          </w:p>
        </w:tc>
        <w:tc>
          <w:tcPr>
            <w:tcW w:w="776" w:type="dxa"/>
            <w:tcBorders>
              <w:top w:val="nil"/>
              <w:bottom w:val="nil"/>
              <w:right w:val="single" w:sz="4" w:space="0" w:color="000000"/>
            </w:tcBorders>
          </w:tcPr>
          <w:p>
            <w:pPr>
              <w:pStyle w:val="TableParagraph"/>
              <w:spacing w:before="19"/>
              <w:ind w:right="19"/>
              <w:rPr>
                <w:sz w:val="14"/>
              </w:rPr>
            </w:pPr>
            <w:r>
              <w:rPr>
                <w:w w:val="105"/>
                <w:sz w:val="14"/>
              </w:rPr>
              <w:t>(87)</w:t>
            </w:r>
          </w:p>
        </w:tc>
        <w:tc>
          <w:tcPr>
            <w:tcW w:w="849" w:type="dxa"/>
            <w:tcBorders>
              <w:top w:val="nil"/>
              <w:left w:val="single" w:sz="4" w:space="0" w:color="000000"/>
              <w:bottom w:val="nil"/>
            </w:tcBorders>
          </w:tcPr>
          <w:p>
            <w:pPr>
              <w:pStyle w:val="TableParagraph"/>
              <w:spacing w:before="19"/>
              <w:ind w:right="20"/>
              <w:rPr>
                <w:sz w:val="14"/>
              </w:rPr>
            </w:pPr>
            <w:r>
              <w:rPr>
                <w:w w:val="105"/>
                <w:sz w:val="14"/>
              </w:rPr>
              <w:t>(170)</w:t>
            </w:r>
          </w:p>
        </w:tc>
        <w:tc>
          <w:tcPr>
            <w:tcW w:w="722" w:type="dxa"/>
            <w:tcBorders>
              <w:top w:val="nil"/>
              <w:bottom w:val="nil"/>
              <w:right w:val="single" w:sz="4" w:space="0" w:color="000000"/>
            </w:tcBorders>
          </w:tcPr>
          <w:p>
            <w:pPr>
              <w:pStyle w:val="TableParagraph"/>
              <w:spacing w:before="19"/>
              <w:ind w:right="20"/>
              <w:rPr>
                <w:sz w:val="14"/>
              </w:rPr>
            </w:pPr>
            <w:r>
              <w:rPr>
                <w:w w:val="105"/>
                <w:sz w:val="14"/>
              </w:rPr>
              <w:t>(257)</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10201</w:t>
            </w:r>
          </w:p>
        </w:tc>
        <w:tc>
          <w:tcPr>
            <w:tcW w:w="2220" w:type="dxa"/>
            <w:tcBorders>
              <w:top w:val="nil"/>
              <w:bottom w:val="nil"/>
            </w:tcBorders>
          </w:tcPr>
          <w:p>
            <w:pPr>
              <w:pStyle w:val="TableParagraph"/>
              <w:spacing w:before="19"/>
              <w:ind w:left="18"/>
              <w:jc w:val="left"/>
              <w:rPr>
                <w:sz w:val="14"/>
              </w:rPr>
            </w:pPr>
            <w:r>
              <w:rPr>
                <w:w w:val="105"/>
                <w:sz w:val="14"/>
              </w:rPr>
              <w:t>MORANDO MATTEO</w:t>
            </w:r>
          </w:p>
        </w:tc>
        <w:tc>
          <w:tcPr>
            <w:tcW w:w="776" w:type="dxa"/>
            <w:tcBorders>
              <w:top w:val="nil"/>
              <w:bottom w:val="nil"/>
              <w:right w:val="single" w:sz="4" w:space="0" w:color="000000"/>
            </w:tcBorders>
          </w:tcPr>
          <w:p>
            <w:pPr>
              <w:pStyle w:val="TableParagraph"/>
              <w:spacing w:before="19"/>
              <w:ind w:right="62"/>
              <w:rPr>
                <w:sz w:val="14"/>
              </w:rPr>
            </w:pPr>
            <w:r>
              <w:rPr>
                <w:w w:val="105"/>
                <w:sz w:val="14"/>
              </w:rPr>
              <w:t>700</w:t>
            </w:r>
          </w:p>
        </w:tc>
        <w:tc>
          <w:tcPr>
            <w:tcW w:w="849" w:type="dxa"/>
            <w:tcBorders>
              <w:top w:val="nil"/>
              <w:left w:val="single" w:sz="4" w:space="0" w:color="000000"/>
              <w:bottom w:val="nil"/>
            </w:tcBorders>
          </w:tcPr>
          <w:p>
            <w:pPr>
              <w:pStyle w:val="TableParagraph"/>
              <w:spacing w:before="19"/>
              <w:ind w:right="62"/>
              <w:rPr>
                <w:sz w:val="14"/>
              </w:rPr>
            </w:pPr>
            <w:r>
              <w:rPr>
                <w:w w:val="105"/>
                <w:sz w:val="14"/>
              </w:rPr>
              <w:t>876</w:t>
            </w:r>
          </w:p>
        </w:tc>
        <w:tc>
          <w:tcPr>
            <w:tcW w:w="722" w:type="dxa"/>
            <w:tcBorders>
              <w:top w:val="nil"/>
              <w:bottom w:val="nil"/>
              <w:right w:val="single" w:sz="4" w:space="0" w:color="000000"/>
            </w:tcBorders>
          </w:tcPr>
          <w:p>
            <w:pPr>
              <w:pStyle w:val="TableParagraph"/>
              <w:spacing w:before="19"/>
              <w:ind w:right="62"/>
              <w:rPr>
                <w:sz w:val="14"/>
              </w:rPr>
            </w:pPr>
            <w:r>
              <w:rPr>
                <w:w w:val="105"/>
                <w:sz w:val="14"/>
              </w:rPr>
              <w:t>1.576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10258</w:t>
            </w:r>
          </w:p>
        </w:tc>
        <w:tc>
          <w:tcPr>
            <w:tcW w:w="2220" w:type="dxa"/>
            <w:tcBorders>
              <w:top w:val="nil"/>
              <w:bottom w:val="nil"/>
            </w:tcBorders>
          </w:tcPr>
          <w:p>
            <w:pPr>
              <w:pStyle w:val="TableParagraph"/>
              <w:spacing w:before="19"/>
              <w:ind w:left="18"/>
              <w:jc w:val="left"/>
              <w:rPr>
                <w:sz w:val="14"/>
              </w:rPr>
            </w:pPr>
            <w:r>
              <w:rPr>
                <w:sz w:val="14"/>
              </w:rPr>
              <w:t>MORINI FEDERICA</w:t>
            </w:r>
          </w:p>
        </w:tc>
        <w:tc>
          <w:tcPr>
            <w:tcW w:w="776" w:type="dxa"/>
            <w:tcBorders>
              <w:top w:val="nil"/>
              <w:bottom w:val="nil"/>
              <w:right w:val="single" w:sz="4" w:space="0" w:color="000000"/>
            </w:tcBorders>
          </w:tcPr>
          <w:p>
            <w:pPr>
              <w:pStyle w:val="TableParagraph"/>
              <w:spacing w:before="19"/>
              <w:ind w:right="19"/>
              <w:rPr>
                <w:sz w:val="14"/>
              </w:rPr>
            </w:pPr>
            <w:r>
              <w:rPr>
                <w:w w:val="105"/>
                <w:sz w:val="14"/>
              </w:rPr>
              <w:t>(25)</w:t>
            </w:r>
          </w:p>
        </w:tc>
        <w:tc>
          <w:tcPr>
            <w:tcW w:w="849" w:type="dxa"/>
            <w:tcBorders>
              <w:top w:val="nil"/>
              <w:left w:val="single" w:sz="4" w:space="0" w:color="000000"/>
              <w:bottom w:val="nil"/>
            </w:tcBorders>
          </w:tcPr>
          <w:p>
            <w:pPr>
              <w:pStyle w:val="TableParagraph"/>
              <w:spacing w:before="19"/>
              <w:ind w:right="21"/>
              <w:rPr>
                <w:sz w:val="14"/>
              </w:rPr>
            </w:pPr>
            <w:r>
              <w:rPr>
                <w:w w:val="105"/>
                <w:sz w:val="14"/>
              </w:rPr>
              <w:t>(32)</w:t>
            </w:r>
          </w:p>
        </w:tc>
        <w:tc>
          <w:tcPr>
            <w:tcW w:w="722" w:type="dxa"/>
            <w:tcBorders>
              <w:top w:val="nil"/>
              <w:bottom w:val="nil"/>
              <w:right w:val="single" w:sz="4" w:space="0" w:color="000000"/>
            </w:tcBorders>
          </w:tcPr>
          <w:p>
            <w:pPr>
              <w:pStyle w:val="TableParagraph"/>
              <w:spacing w:before="19"/>
              <w:ind w:right="21"/>
              <w:rPr>
                <w:sz w:val="14"/>
              </w:rPr>
            </w:pPr>
            <w:r>
              <w:rPr>
                <w:w w:val="105"/>
                <w:sz w:val="14"/>
              </w:rPr>
              <w:t>(57)</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10098</w:t>
            </w:r>
          </w:p>
        </w:tc>
        <w:tc>
          <w:tcPr>
            <w:tcW w:w="2220" w:type="dxa"/>
            <w:tcBorders>
              <w:top w:val="nil"/>
              <w:bottom w:val="nil"/>
            </w:tcBorders>
          </w:tcPr>
          <w:p>
            <w:pPr>
              <w:pStyle w:val="TableParagraph"/>
              <w:spacing w:before="19"/>
              <w:ind w:left="18"/>
              <w:jc w:val="left"/>
              <w:rPr>
                <w:sz w:val="14"/>
              </w:rPr>
            </w:pPr>
            <w:r>
              <w:rPr>
                <w:w w:val="105"/>
                <w:sz w:val="14"/>
              </w:rPr>
              <w:t>MULE' MARIELLA</w:t>
            </w:r>
          </w:p>
        </w:tc>
        <w:tc>
          <w:tcPr>
            <w:tcW w:w="776" w:type="dxa"/>
            <w:tcBorders>
              <w:top w:val="nil"/>
              <w:bottom w:val="nil"/>
              <w:right w:val="single" w:sz="4" w:space="0" w:color="000000"/>
            </w:tcBorders>
          </w:tcPr>
          <w:p>
            <w:pPr>
              <w:pStyle w:val="TableParagraph"/>
              <w:spacing w:before="19"/>
              <w:ind w:right="20"/>
              <w:rPr>
                <w:sz w:val="14"/>
              </w:rPr>
            </w:pPr>
            <w:r>
              <w:rPr>
                <w:w w:val="105"/>
                <w:sz w:val="14"/>
              </w:rPr>
              <w:t>(228)</w:t>
            </w:r>
          </w:p>
        </w:tc>
        <w:tc>
          <w:tcPr>
            <w:tcW w:w="849" w:type="dxa"/>
            <w:tcBorders>
              <w:top w:val="nil"/>
              <w:left w:val="single" w:sz="4" w:space="0" w:color="000000"/>
              <w:bottom w:val="nil"/>
            </w:tcBorders>
          </w:tcPr>
          <w:p>
            <w:pPr>
              <w:pStyle w:val="TableParagraph"/>
              <w:spacing w:before="19"/>
              <w:ind w:right="19"/>
              <w:rPr>
                <w:sz w:val="14"/>
              </w:rPr>
            </w:pPr>
            <w:r>
              <w:rPr>
                <w:sz w:val="14"/>
              </w:rPr>
              <w:t>(7)</w:t>
            </w:r>
          </w:p>
        </w:tc>
        <w:tc>
          <w:tcPr>
            <w:tcW w:w="722" w:type="dxa"/>
            <w:tcBorders>
              <w:top w:val="nil"/>
              <w:bottom w:val="nil"/>
              <w:right w:val="single" w:sz="4" w:space="0" w:color="000000"/>
            </w:tcBorders>
          </w:tcPr>
          <w:p>
            <w:pPr>
              <w:pStyle w:val="TableParagraph"/>
              <w:spacing w:before="19"/>
              <w:ind w:right="20"/>
              <w:rPr>
                <w:sz w:val="14"/>
              </w:rPr>
            </w:pPr>
            <w:r>
              <w:rPr>
                <w:w w:val="105"/>
                <w:sz w:val="14"/>
              </w:rPr>
              <w:t>(235)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10175</w:t>
            </w:r>
          </w:p>
        </w:tc>
        <w:tc>
          <w:tcPr>
            <w:tcW w:w="2220" w:type="dxa"/>
            <w:tcBorders>
              <w:top w:val="nil"/>
              <w:bottom w:val="nil"/>
            </w:tcBorders>
          </w:tcPr>
          <w:p>
            <w:pPr>
              <w:pStyle w:val="TableParagraph"/>
              <w:spacing w:before="19"/>
              <w:ind w:left="18"/>
              <w:jc w:val="left"/>
              <w:rPr>
                <w:sz w:val="14"/>
              </w:rPr>
            </w:pPr>
            <w:r>
              <w:rPr>
                <w:w w:val="105"/>
                <w:sz w:val="14"/>
              </w:rPr>
              <w:t>NICORA ILARIA</w:t>
            </w:r>
          </w:p>
        </w:tc>
        <w:tc>
          <w:tcPr>
            <w:tcW w:w="776" w:type="dxa"/>
            <w:tcBorders>
              <w:top w:val="nil"/>
              <w:bottom w:val="nil"/>
              <w:right w:val="single" w:sz="4" w:space="0" w:color="000000"/>
            </w:tcBorders>
          </w:tcPr>
          <w:p>
            <w:pPr>
              <w:pStyle w:val="TableParagraph"/>
              <w:spacing w:before="19"/>
              <w:ind w:right="62"/>
              <w:rPr>
                <w:sz w:val="14"/>
              </w:rPr>
            </w:pPr>
            <w:r>
              <w:rPr>
                <w:w w:val="105"/>
                <w:sz w:val="14"/>
              </w:rPr>
              <w:t>121</w:t>
            </w:r>
          </w:p>
        </w:tc>
        <w:tc>
          <w:tcPr>
            <w:tcW w:w="849" w:type="dxa"/>
            <w:tcBorders>
              <w:top w:val="nil"/>
              <w:left w:val="single" w:sz="4" w:space="0" w:color="000000"/>
              <w:bottom w:val="nil"/>
            </w:tcBorders>
          </w:tcPr>
          <w:p>
            <w:pPr>
              <w:pStyle w:val="TableParagraph"/>
              <w:spacing w:before="19"/>
              <w:ind w:right="62"/>
              <w:rPr>
                <w:sz w:val="14"/>
              </w:rPr>
            </w:pPr>
            <w:r>
              <w:rPr>
                <w:w w:val="105"/>
                <w:sz w:val="14"/>
              </w:rPr>
              <w:t>403</w:t>
            </w:r>
          </w:p>
        </w:tc>
        <w:tc>
          <w:tcPr>
            <w:tcW w:w="722" w:type="dxa"/>
            <w:tcBorders>
              <w:top w:val="nil"/>
              <w:bottom w:val="nil"/>
              <w:right w:val="single" w:sz="4" w:space="0" w:color="000000"/>
            </w:tcBorders>
          </w:tcPr>
          <w:p>
            <w:pPr>
              <w:pStyle w:val="TableParagraph"/>
              <w:spacing w:before="19"/>
              <w:ind w:right="62"/>
              <w:rPr>
                <w:sz w:val="14"/>
              </w:rPr>
            </w:pPr>
            <w:r>
              <w:rPr>
                <w:w w:val="105"/>
                <w:sz w:val="14"/>
              </w:rPr>
              <w:t>525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10200</w:t>
            </w:r>
          </w:p>
        </w:tc>
        <w:tc>
          <w:tcPr>
            <w:tcW w:w="2220" w:type="dxa"/>
            <w:tcBorders>
              <w:top w:val="nil"/>
              <w:bottom w:val="nil"/>
            </w:tcBorders>
          </w:tcPr>
          <w:p>
            <w:pPr>
              <w:pStyle w:val="TableParagraph"/>
              <w:spacing w:before="19"/>
              <w:ind w:left="18"/>
              <w:jc w:val="left"/>
              <w:rPr>
                <w:sz w:val="14"/>
              </w:rPr>
            </w:pPr>
            <w:r>
              <w:rPr>
                <w:w w:val="105"/>
                <w:sz w:val="14"/>
              </w:rPr>
              <w:t>OLIVA DESDEMONA</w:t>
            </w:r>
          </w:p>
        </w:tc>
        <w:tc>
          <w:tcPr>
            <w:tcW w:w="776" w:type="dxa"/>
            <w:tcBorders>
              <w:top w:val="nil"/>
              <w:bottom w:val="nil"/>
              <w:right w:val="single" w:sz="4" w:space="0" w:color="000000"/>
            </w:tcBorders>
          </w:tcPr>
          <w:p>
            <w:pPr>
              <w:pStyle w:val="TableParagraph"/>
              <w:spacing w:before="19"/>
              <w:ind w:right="20"/>
              <w:rPr>
                <w:sz w:val="14"/>
              </w:rPr>
            </w:pPr>
            <w:r>
              <w:rPr>
                <w:sz w:val="14"/>
              </w:rPr>
              <w:t>(1.235)</w:t>
            </w:r>
          </w:p>
        </w:tc>
        <w:tc>
          <w:tcPr>
            <w:tcW w:w="849" w:type="dxa"/>
            <w:tcBorders>
              <w:top w:val="nil"/>
              <w:left w:val="single" w:sz="4" w:space="0" w:color="000000"/>
              <w:bottom w:val="nil"/>
            </w:tcBorders>
          </w:tcPr>
          <w:p>
            <w:pPr>
              <w:pStyle w:val="TableParagraph"/>
              <w:spacing w:before="19"/>
              <w:ind w:right="20"/>
              <w:rPr>
                <w:sz w:val="14"/>
              </w:rPr>
            </w:pPr>
            <w:r>
              <w:rPr>
                <w:w w:val="105"/>
                <w:sz w:val="14"/>
              </w:rPr>
              <w:t>(931)</w:t>
            </w:r>
          </w:p>
        </w:tc>
        <w:tc>
          <w:tcPr>
            <w:tcW w:w="722" w:type="dxa"/>
            <w:tcBorders>
              <w:top w:val="nil"/>
              <w:bottom w:val="nil"/>
              <w:right w:val="single" w:sz="4" w:space="0" w:color="000000"/>
            </w:tcBorders>
          </w:tcPr>
          <w:p>
            <w:pPr>
              <w:pStyle w:val="TableParagraph"/>
              <w:spacing w:before="19"/>
              <w:ind w:right="20"/>
              <w:rPr>
                <w:sz w:val="14"/>
              </w:rPr>
            </w:pPr>
            <w:r>
              <w:rPr>
                <w:sz w:val="14"/>
              </w:rPr>
              <w:t>(2.166)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10125</w:t>
            </w:r>
          </w:p>
        </w:tc>
        <w:tc>
          <w:tcPr>
            <w:tcW w:w="2220" w:type="dxa"/>
            <w:tcBorders>
              <w:top w:val="nil"/>
              <w:bottom w:val="nil"/>
            </w:tcBorders>
          </w:tcPr>
          <w:p>
            <w:pPr>
              <w:pStyle w:val="TableParagraph"/>
              <w:spacing w:before="19"/>
              <w:ind w:left="18"/>
              <w:jc w:val="left"/>
              <w:rPr>
                <w:sz w:val="14"/>
              </w:rPr>
            </w:pPr>
            <w:r>
              <w:rPr>
                <w:sz w:val="14"/>
              </w:rPr>
              <w:t>PARACHINI MARCO</w:t>
            </w:r>
          </w:p>
        </w:tc>
        <w:tc>
          <w:tcPr>
            <w:tcW w:w="776" w:type="dxa"/>
            <w:tcBorders>
              <w:top w:val="nil"/>
              <w:bottom w:val="nil"/>
              <w:right w:val="single" w:sz="4" w:space="0" w:color="000000"/>
            </w:tcBorders>
          </w:tcPr>
          <w:p>
            <w:pPr>
              <w:pStyle w:val="TableParagraph"/>
              <w:spacing w:before="19"/>
              <w:ind w:right="62"/>
              <w:rPr>
                <w:sz w:val="14"/>
              </w:rPr>
            </w:pPr>
            <w:r>
              <w:rPr>
                <w:w w:val="105"/>
                <w:sz w:val="14"/>
              </w:rPr>
              <w:t>5.956</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5.956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10094</w:t>
            </w:r>
          </w:p>
        </w:tc>
        <w:tc>
          <w:tcPr>
            <w:tcW w:w="2220" w:type="dxa"/>
            <w:tcBorders>
              <w:top w:val="nil"/>
              <w:bottom w:val="nil"/>
            </w:tcBorders>
          </w:tcPr>
          <w:p>
            <w:pPr>
              <w:pStyle w:val="TableParagraph"/>
              <w:spacing w:before="19"/>
              <w:ind w:left="18"/>
              <w:jc w:val="left"/>
              <w:rPr>
                <w:sz w:val="14"/>
              </w:rPr>
            </w:pPr>
            <w:r>
              <w:rPr>
                <w:w w:val="105"/>
                <w:sz w:val="14"/>
              </w:rPr>
              <w:t>PESCAROLO STEFANIA</w:t>
            </w:r>
          </w:p>
        </w:tc>
        <w:tc>
          <w:tcPr>
            <w:tcW w:w="776" w:type="dxa"/>
            <w:tcBorders>
              <w:top w:val="nil"/>
              <w:bottom w:val="nil"/>
              <w:right w:val="single" w:sz="4" w:space="0" w:color="000000"/>
            </w:tcBorders>
          </w:tcPr>
          <w:p>
            <w:pPr>
              <w:pStyle w:val="TableParagraph"/>
              <w:spacing w:before="19"/>
              <w:ind w:right="66"/>
              <w:rPr>
                <w:sz w:val="14"/>
              </w:rPr>
            </w:pPr>
            <w:r>
              <w:rPr>
                <w:w w:val="104"/>
                <w:sz w:val="14"/>
              </w:rPr>
              <w:t>3</w:t>
            </w:r>
          </w:p>
        </w:tc>
        <w:tc>
          <w:tcPr>
            <w:tcW w:w="849" w:type="dxa"/>
            <w:tcBorders>
              <w:top w:val="nil"/>
              <w:left w:val="single" w:sz="4" w:space="0" w:color="000000"/>
              <w:bottom w:val="nil"/>
            </w:tcBorders>
          </w:tcPr>
          <w:p>
            <w:pPr>
              <w:pStyle w:val="TableParagraph"/>
              <w:spacing w:before="19"/>
              <w:ind w:right="62"/>
              <w:rPr>
                <w:sz w:val="14"/>
              </w:rPr>
            </w:pPr>
            <w:r>
              <w:rPr>
                <w:w w:val="105"/>
                <w:sz w:val="14"/>
              </w:rPr>
              <w:t>991</w:t>
            </w:r>
          </w:p>
        </w:tc>
        <w:tc>
          <w:tcPr>
            <w:tcW w:w="722" w:type="dxa"/>
            <w:tcBorders>
              <w:top w:val="nil"/>
              <w:bottom w:val="nil"/>
              <w:right w:val="single" w:sz="4" w:space="0" w:color="000000"/>
            </w:tcBorders>
          </w:tcPr>
          <w:p>
            <w:pPr>
              <w:pStyle w:val="TableParagraph"/>
              <w:spacing w:before="19"/>
              <w:ind w:right="62"/>
              <w:rPr>
                <w:sz w:val="14"/>
              </w:rPr>
            </w:pPr>
            <w:r>
              <w:rPr>
                <w:w w:val="105"/>
                <w:sz w:val="14"/>
              </w:rPr>
              <w:t>995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12006</w:t>
            </w:r>
          </w:p>
        </w:tc>
        <w:tc>
          <w:tcPr>
            <w:tcW w:w="2220" w:type="dxa"/>
            <w:tcBorders>
              <w:top w:val="nil"/>
              <w:bottom w:val="nil"/>
            </w:tcBorders>
          </w:tcPr>
          <w:p>
            <w:pPr>
              <w:pStyle w:val="TableParagraph"/>
              <w:spacing w:before="19"/>
              <w:ind w:left="18"/>
              <w:jc w:val="left"/>
              <w:rPr>
                <w:sz w:val="14"/>
              </w:rPr>
            </w:pPr>
            <w:r>
              <w:rPr>
                <w:w w:val="105"/>
                <w:sz w:val="14"/>
              </w:rPr>
              <w:t>PIETROZOTTO SARA</w:t>
            </w:r>
          </w:p>
        </w:tc>
        <w:tc>
          <w:tcPr>
            <w:tcW w:w="776" w:type="dxa"/>
            <w:tcBorders>
              <w:top w:val="nil"/>
              <w:bottom w:val="nil"/>
              <w:right w:val="single" w:sz="4" w:space="0" w:color="000000"/>
            </w:tcBorders>
          </w:tcPr>
          <w:p>
            <w:pPr>
              <w:pStyle w:val="TableParagraph"/>
              <w:spacing w:before="19"/>
              <w:ind w:right="20"/>
              <w:rPr>
                <w:sz w:val="14"/>
              </w:rPr>
            </w:pPr>
            <w:r>
              <w:rPr>
                <w:w w:val="105"/>
                <w:sz w:val="14"/>
              </w:rPr>
              <w:t>(124)</w:t>
            </w:r>
          </w:p>
        </w:tc>
        <w:tc>
          <w:tcPr>
            <w:tcW w:w="849" w:type="dxa"/>
            <w:tcBorders>
              <w:top w:val="nil"/>
              <w:left w:val="single" w:sz="4" w:space="0" w:color="000000"/>
              <w:bottom w:val="nil"/>
            </w:tcBorders>
          </w:tcPr>
          <w:p>
            <w:pPr>
              <w:pStyle w:val="TableParagraph"/>
              <w:spacing w:before="19"/>
              <w:ind w:right="21"/>
              <w:rPr>
                <w:sz w:val="14"/>
              </w:rPr>
            </w:pPr>
            <w:r>
              <w:rPr>
                <w:w w:val="105"/>
                <w:sz w:val="14"/>
              </w:rPr>
              <w:t>(35)</w:t>
            </w:r>
          </w:p>
        </w:tc>
        <w:tc>
          <w:tcPr>
            <w:tcW w:w="722" w:type="dxa"/>
            <w:tcBorders>
              <w:top w:val="nil"/>
              <w:bottom w:val="nil"/>
              <w:right w:val="single" w:sz="4" w:space="0" w:color="000000"/>
            </w:tcBorders>
          </w:tcPr>
          <w:p>
            <w:pPr>
              <w:pStyle w:val="TableParagraph"/>
              <w:spacing w:before="19"/>
              <w:ind w:right="20"/>
              <w:rPr>
                <w:sz w:val="14"/>
              </w:rPr>
            </w:pPr>
            <w:r>
              <w:rPr>
                <w:w w:val="105"/>
                <w:sz w:val="14"/>
              </w:rPr>
              <w:t>(159)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10186</w:t>
            </w:r>
          </w:p>
        </w:tc>
        <w:tc>
          <w:tcPr>
            <w:tcW w:w="2220" w:type="dxa"/>
            <w:tcBorders>
              <w:top w:val="nil"/>
              <w:bottom w:val="nil"/>
            </w:tcBorders>
          </w:tcPr>
          <w:p>
            <w:pPr>
              <w:pStyle w:val="TableParagraph"/>
              <w:spacing w:before="19"/>
              <w:ind w:left="18"/>
              <w:jc w:val="left"/>
              <w:rPr>
                <w:sz w:val="14"/>
              </w:rPr>
            </w:pPr>
            <w:r>
              <w:rPr>
                <w:w w:val="105"/>
                <w:sz w:val="14"/>
              </w:rPr>
              <w:t>PIRTAC VLAD IONUT</w:t>
            </w:r>
          </w:p>
        </w:tc>
        <w:tc>
          <w:tcPr>
            <w:tcW w:w="776" w:type="dxa"/>
            <w:tcBorders>
              <w:top w:val="nil"/>
              <w:bottom w:val="nil"/>
              <w:right w:val="single" w:sz="4" w:space="0" w:color="000000"/>
            </w:tcBorders>
          </w:tcPr>
          <w:p>
            <w:pPr>
              <w:pStyle w:val="TableParagraph"/>
              <w:spacing w:before="19"/>
              <w:ind w:right="62"/>
              <w:rPr>
                <w:sz w:val="14"/>
              </w:rPr>
            </w:pPr>
            <w:r>
              <w:rPr>
                <w:w w:val="105"/>
                <w:sz w:val="14"/>
              </w:rPr>
              <w:t>388</w:t>
            </w:r>
          </w:p>
        </w:tc>
        <w:tc>
          <w:tcPr>
            <w:tcW w:w="849" w:type="dxa"/>
            <w:tcBorders>
              <w:top w:val="nil"/>
              <w:left w:val="single" w:sz="4" w:space="0" w:color="000000"/>
              <w:bottom w:val="nil"/>
            </w:tcBorders>
          </w:tcPr>
          <w:p>
            <w:pPr>
              <w:pStyle w:val="TableParagraph"/>
              <w:spacing w:before="19"/>
              <w:ind w:right="62"/>
              <w:rPr>
                <w:sz w:val="14"/>
              </w:rPr>
            </w:pPr>
            <w:r>
              <w:rPr>
                <w:w w:val="105"/>
                <w:sz w:val="14"/>
              </w:rPr>
              <w:t>818</w:t>
            </w:r>
          </w:p>
        </w:tc>
        <w:tc>
          <w:tcPr>
            <w:tcW w:w="722" w:type="dxa"/>
            <w:tcBorders>
              <w:top w:val="nil"/>
              <w:bottom w:val="nil"/>
              <w:right w:val="single" w:sz="4" w:space="0" w:color="000000"/>
            </w:tcBorders>
          </w:tcPr>
          <w:p>
            <w:pPr>
              <w:pStyle w:val="TableParagraph"/>
              <w:spacing w:before="19"/>
              <w:ind w:right="62"/>
              <w:rPr>
                <w:sz w:val="14"/>
              </w:rPr>
            </w:pPr>
            <w:r>
              <w:rPr>
                <w:w w:val="105"/>
                <w:sz w:val="14"/>
              </w:rPr>
              <w:t>1.206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11050</w:t>
            </w:r>
          </w:p>
        </w:tc>
        <w:tc>
          <w:tcPr>
            <w:tcW w:w="2220" w:type="dxa"/>
            <w:tcBorders>
              <w:top w:val="nil"/>
              <w:bottom w:val="nil"/>
            </w:tcBorders>
          </w:tcPr>
          <w:p>
            <w:pPr>
              <w:pStyle w:val="TableParagraph"/>
              <w:spacing w:before="19"/>
              <w:ind w:left="18"/>
              <w:jc w:val="left"/>
              <w:rPr>
                <w:sz w:val="14"/>
              </w:rPr>
            </w:pPr>
            <w:r>
              <w:rPr>
                <w:w w:val="105"/>
                <w:sz w:val="14"/>
              </w:rPr>
              <w:t>PORTA TOMMASO</w:t>
            </w:r>
          </w:p>
        </w:tc>
        <w:tc>
          <w:tcPr>
            <w:tcW w:w="776" w:type="dxa"/>
            <w:tcBorders>
              <w:top w:val="nil"/>
              <w:bottom w:val="nil"/>
              <w:right w:val="single" w:sz="4" w:space="0" w:color="000000"/>
            </w:tcBorders>
          </w:tcPr>
          <w:p>
            <w:pPr>
              <w:pStyle w:val="TableParagraph"/>
              <w:spacing w:before="19"/>
              <w:ind w:right="62"/>
              <w:rPr>
                <w:sz w:val="14"/>
              </w:rPr>
            </w:pPr>
            <w:r>
              <w:rPr>
                <w:w w:val="105"/>
                <w:sz w:val="14"/>
              </w:rPr>
              <w:t>2.222</w:t>
            </w:r>
          </w:p>
        </w:tc>
        <w:tc>
          <w:tcPr>
            <w:tcW w:w="849" w:type="dxa"/>
            <w:tcBorders>
              <w:top w:val="nil"/>
              <w:left w:val="single" w:sz="4" w:space="0" w:color="000000"/>
              <w:bottom w:val="nil"/>
            </w:tcBorders>
          </w:tcPr>
          <w:p>
            <w:pPr>
              <w:pStyle w:val="TableParagraph"/>
              <w:spacing w:before="19"/>
              <w:ind w:right="62"/>
              <w:rPr>
                <w:sz w:val="14"/>
              </w:rPr>
            </w:pPr>
            <w:r>
              <w:rPr>
                <w:w w:val="105"/>
                <w:sz w:val="14"/>
              </w:rPr>
              <w:t>2.689</w:t>
            </w:r>
          </w:p>
        </w:tc>
        <w:tc>
          <w:tcPr>
            <w:tcW w:w="722" w:type="dxa"/>
            <w:tcBorders>
              <w:top w:val="nil"/>
              <w:bottom w:val="nil"/>
              <w:right w:val="single" w:sz="4" w:space="0" w:color="000000"/>
            </w:tcBorders>
          </w:tcPr>
          <w:p>
            <w:pPr>
              <w:pStyle w:val="TableParagraph"/>
              <w:spacing w:before="19"/>
              <w:ind w:right="62"/>
              <w:rPr>
                <w:sz w:val="14"/>
              </w:rPr>
            </w:pPr>
            <w:r>
              <w:rPr>
                <w:w w:val="105"/>
                <w:sz w:val="14"/>
              </w:rPr>
              <w:t>4.911</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10286</w:t>
            </w:r>
          </w:p>
        </w:tc>
        <w:tc>
          <w:tcPr>
            <w:tcW w:w="2220" w:type="dxa"/>
            <w:tcBorders>
              <w:top w:val="nil"/>
              <w:bottom w:val="nil"/>
            </w:tcBorders>
          </w:tcPr>
          <w:p>
            <w:pPr>
              <w:pStyle w:val="TableParagraph"/>
              <w:spacing w:before="19"/>
              <w:ind w:left="18"/>
              <w:jc w:val="left"/>
              <w:rPr>
                <w:sz w:val="14"/>
              </w:rPr>
            </w:pPr>
            <w:r>
              <w:rPr>
                <w:sz w:val="14"/>
              </w:rPr>
              <w:t>PUTIGNANO LUCA</w:t>
            </w:r>
          </w:p>
        </w:tc>
        <w:tc>
          <w:tcPr>
            <w:tcW w:w="776" w:type="dxa"/>
            <w:tcBorders>
              <w:top w:val="nil"/>
              <w:bottom w:val="nil"/>
              <w:right w:val="single" w:sz="4" w:space="0" w:color="000000"/>
            </w:tcBorders>
          </w:tcPr>
          <w:p>
            <w:pPr>
              <w:pStyle w:val="TableParagraph"/>
              <w:spacing w:before="19"/>
              <w:ind w:right="62"/>
              <w:rPr>
                <w:sz w:val="14"/>
              </w:rPr>
            </w:pPr>
            <w:r>
              <w:rPr>
                <w:w w:val="105"/>
                <w:sz w:val="14"/>
              </w:rPr>
              <w:t>404</w:t>
            </w:r>
          </w:p>
        </w:tc>
        <w:tc>
          <w:tcPr>
            <w:tcW w:w="849" w:type="dxa"/>
            <w:tcBorders>
              <w:top w:val="nil"/>
              <w:left w:val="single" w:sz="4" w:space="0" w:color="000000"/>
              <w:bottom w:val="nil"/>
            </w:tcBorders>
          </w:tcPr>
          <w:p>
            <w:pPr>
              <w:pStyle w:val="TableParagraph"/>
              <w:spacing w:before="19"/>
              <w:ind w:right="62"/>
              <w:rPr>
                <w:sz w:val="14"/>
              </w:rPr>
            </w:pPr>
            <w:r>
              <w:rPr>
                <w:w w:val="105"/>
                <w:sz w:val="14"/>
              </w:rPr>
              <w:t>568</w:t>
            </w:r>
          </w:p>
        </w:tc>
        <w:tc>
          <w:tcPr>
            <w:tcW w:w="722" w:type="dxa"/>
            <w:tcBorders>
              <w:top w:val="nil"/>
              <w:bottom w:val="nil"/>
              <w:right w:val="single" w:sz="4" w:space="0" w:color="000000"/>
            </w:tcBorders>
          </w:tcPr>
          <w:p>
            <w:pPr>
              <w:pStyle w:val="TableParagraph"/>
              <w:spacing w:before="19"/>
              <w:ind w:right="62"/>
              <w:rPr>
                <w:sz w:val="14"/>
              </w:rPr>
            </w:pPr>
            <w:r>
              <w:rPr>
                <w:w w:val="105"/>
                <w:sz w:val="14"/>
              </w:rPr>
              <w:t>972</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10054</w:t>
            </w:r>
          </w:p>
        </w:tc>
        <w:tc>
          <w:tcPr>
            <w:tcW w:w="2220" w:type="dxa"/>
            <w:tcBorders>
              <w:top w:val="nil"/>
              <w:bottom w:val="nil"/>
            </w:tcBorders>
          </w:tcPr>
          <w:p>
            <w:pPr>
              <w:pStyle w:val="TableParagraph"/>
              <w:spacing w:before="19"/>
              <w:ind w:left="18"/>
              <w:jc w:val="left"/>
              <w:rPr>
                <w:sz w:val="14"/>
              </w:rPr>
            </w:pPr>
            <w:r>
              <w:rPr>
                <w:w w:val="105"/>
                <w:sz w:val="14"/>
              </w:rPr>
              <w:t>QUIRICO ERIKA CINZIA</w:t>
            </w:r>
          </w:p>
        </w:tc>
        <w:tc>
          <w:tcPr>
            <w:tcW w:w="776" w:type="dxa"/>
            <w:tcBorders>
              <w:top w:val="nil"/>
              <w:bottom w:val="nil"/>
              <w:right w:val="single" w:sz="4" w:space="0" w:color="000000"/>
            </w:tcBorders>
          </w:tcPr>
          <w:p>
            <w:pPr>
              <w:pStyle w:val="TableParagraph"/>
              <w:spacing w:before="19"/>
              <w:ind w:right="62"/>
              <w:rPr>
                <w:sz w:val="14"/>
              </w:rPr>
            </w:pPr>
            <w:r>
              <w:rPr>
                <w:w w:val="105"/>
                <w:sz w:val="14"/>
              </w:rPr>
              <w:t>1.769</w:t>
            </w:r>
          </w:p>
        </w:tc>
        <w:tc>
          <w:tcPr>
            <w:tcW w:w="849" w:type="dxa"/>
            <w:tcBorders>
              <w:top w:val="nil"/>
              <w:left w:val="single" w:sz="4" w:space="0" w:color="000000"/>
              <w:bottom w:val="nil"/>
            </w:tcBorders>
          </w:tcPr>
          <w:p>
            <w:pPr>
              <w:pStyle w:val="TableParagraph"/>
              <w:spacing w:before="19"/>
              <w:ind w:right="62"/>
              <w:rPr>
                <w:sz w:val="14"/>
              </w:rPr>
            </w:pPr>
            <w:r>
              <w:rPr>
                <w:w w:val="105"/>
                <w:sz w:val="14"/>
              </w:rPr>
              <w:t>1.103</w:t>
            </w:r>
          </w:p>
        </w:tc>
        <w:tc>
          <w:tcPr>
            <w:tcW w:w="722" w:type="dxa"/>
            <w:tcBorders>
              <w:top w:val="nil"/>
              <w:bottom w:val="nil"/>
              <w:right w:val="single" w:sz="4" w:space="0" w:color="000000"/>
            </w:tcBorders>
          </w:tcPr>
          <w:p>
            <w:pPr>
              <w:pStyle w:val="TableParagraph"/>
              <w:spacing w:before="19"/>
              <w:ind w:right="62"/>
              <w:rPr>
                <w:sz w:val="14"/>
              </w:rPr>
            </w:pPr>
            <w:r>
              <w:rPr>
                <w:w w:val="105"/>
                <w:sz w:val="14"/>
              </w:rPr>
              <w:t>2.872</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12007</w:t>
            </w:r>
          </w:p>
        </w:tc>
        <w:tc>
          <w:tcPr>
            <w:tcW w:w="2220" w:type="dxa"/>
            <w:tcBorders>
              <w:top w:val="nil"/>
              <w:bottom w:val="nil"/>
            </w:tcBorders>
          </w:tcPr>
          <w:p>
            <w:pPr>
              <w:pStyle w:val="TableParagraph"/>
              <w:spacing w:before="19"/>
              <w:ind w:left="18"/>
              <w:jc w:val="left"/>
              <w:rPr>
                <w:sz w:val="14"/>
              </w:rPr>
            </w:pPr>
            <w:r>
              <w:rPr>
                <w:w w:val="105"/>
                <w:sz w:val="14"/>
              </w:rPr>
              <w:t>RACCAGNI ELISA</w:t>
            </w:r>
          </w:p>
        </w:tc>
        <w:tc>
          <w:tcPr>
            <w:tcW w:w="776" w:type="dxa"/>
            <w:tcBorders>
              <w:top w:val="nil"/>
              <w:bottom w:val="nil"/>
              <w:right w:val="single" w:sz="4" w:space="0" w:color="000000"/>
            </w:tcBorders>
          </w:tcPr>
          <w:p>
            <w:pPr>
              <w:pStyle w:val="TableParagraph"/>
              <w:spacing w:before="19"/>
              <w:ind w:right="19"/>
              <w:rPr>
                <w:sz w:val="14"/>
              </w:rPr>
            </w:pPr>
            <w:r>
              <w:rPr>
                <w:w w:val="105"/>
                <w:sz w:val="14"/>
              </w:rPr>
              <w:t>(79)</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21"/>
              <w:rPr>
                <w:sz w:val="14"/>
              </w:rPr>
            </w:pPr>
            <w:r>
              <w:rPr>
                <w:w w:val="105"/>
                <w:sz w:val="14"/>
              </w:rPr>
              <w:t>(79)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10017</w:t>
            </w:r>
          </w:p>
        </w:tc>
        <w:tc>
          <w:tcPr>
            <w:tcW w:w="2220" w:type="dxa"/>
            <w:tcBorders>
              <w:top w:val="nil"/>
              <w:bottom w:val="nil"/>
            </w:tcBorders>
          </w:tcPr>
          <w:p>
            <w:pPr>
              <w:pStyle w:val="TableParagraph"/>
              <w:spacing w:before="19"/>
              <w:ind w:left="18"/>
              <w:jc w:val="left"/>
              <w:rPr>
                <w:sz w:val="14"/>
              </w:rPr>
            </w:pPr>
            <w:r>
              <w:rPr>
                <w:w w:val="105"/>
                <w:sz w:val="14"/>
              </w:rPr>
              <w:t>RAITERI PAOLA</w:t>
            </w:r>
          </w:p>
        </w:tc>
        <w:tc>
          <w:tcPr>
            <w:tcW w:w="776" w:type="dxa"/>
            <w:tcBorders>
              <w:top w:val="nil"/>
              <w:bottom w:val="nil"/>
              <w:right w:val="single" w:sz="4" w:space="0" w:color="000000"/>
            </w:tcBorders>
          </w:tcPr>
          <w:p>
            <w:pPr>
              <w:pStyle w:val="TableParagraph"/>
              <w:spacing w:before="19"/>
              <w:ind w:right="62"/>
              <w:rPr>
                <w:sz w:val="14"/>
              </w:rPr>
            </w:pPr>
            <w:r>
              <w:rPr>
                <w:w w:val="105"/>
                <w:sz w:val="14"/>
              </w:rPr>
              <w:t>3.256</w:t>
            </w:r>
          </w:p>
        </w:tc>
        <w:tc>
          <w:tcPr>
            <w:tcW w:w="849" w:type="dxa"/>
            <w:tcBorders>
              <w:top w:val="nil"/>
              <w:left w:val="single" w:sz="4" w:space="0" w:color="000000"/>
              <w:bottom w:val="nil"/>
            </w:tcBorders>
          </w:tcPr>
          <w:p>
            <w:pPr>
              <w:pStyle w:val="TableParagraph"/>
              <w:spacing w:before="19"/>
              <w:ind w:right="62"/>
              <w:rPr>
                <w:sz w:val="14"/>
              </w:rPr>
            </w:pPr>
            <w:r>
              <w:rPr>
                <w:w w:val="105"/>
                <w:sz w:val="14"/>
              </w:rPr>
              <w:t>908</w:t>
            </w:r>
          </w:p>
        </w:tc>
        <w:tc>
          <w:tcPr>
            <w:tcW w:w="722" w:type="dxa"/>
            <w:tcBorders>
              <w:top w:val="nil"/>
              <w:bottom w:val="nil"/>
              <w:right w:val="single" w:sz="4" w:space="0" w:color="000000"/>
            </w:tcBorders>
          </w:tcPr>
          <w:p>
            <w:pPr>
              <w:pStyle w:val="TableParagraph"/>
              <w:spacing w:before="19"/>
              <w:ind w:right="62"/>
              <w:rPr>
                <w:sz w:val="14"/>
              </w:rPr>
            </w:pPr>
            <w:r>
              <w:rPr>
                <w:w w:val="105"/>
                <w:sz w:val="14"/>
              </w:rPr>
              <w:t>4.163</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10283</w:t>
            </w:r>
          </w:p>
        </w:tc>
        <w:tc>
          <w:tcPr>
            <w:tcW w:w="2220" w:type="dxa"/>
            <w:tcBorders>
              <w:top w:val="nil"/>
              <w:bottom w:val="nil"/>
            </w:tcBorders>
          </w:tcPr>
          <w:p>
            <w:pPr>
              <w:pStyle w:val="TableParagraph"/>
              <w:spacing w:before="19"/>
              <w:ind w:left="18"/>
              <w:jc w:val="left"/>
              <w:rPr>
                <w:sz w:val="14"/>
              </w:rPr>
            </w:pPr>
            <w:r>
              <w:rPr>
                <w:w w:val="105"/>
                <w:sz w:val="14"/>
              </w:rPr>
              <w:t>REDAELLI SILVIA</w:t>
            </w:r>
          </w:p>
        </w:tc>
        <w:tc>
          <w:tcPr>
            <w:tcW w:w="776" w:type="dxa"/>
            <w:tcBorders>
              <w:top w:val="nil"/>
              <w:bottom w:val="nil"/>
              <w:right w:val="single" w:sz="4" w:space="0" w:color="000000"/>
            </w:tcBorders>
          </w:tcPr>
          <w:p>
            <w:pPr>
              <w:pStyle w:val="TableParagraph"/>
              <w:spacing w:before="19"/>
              <w:ind w:right="62"/>
              <w:rPr>
                <w:sz w:val="14"/>
              </w:rPr>
            </w:pPr>
            <w:r>
              <w:rPr>
                <w:w w:val="105"/>
                <w:sz w:val="14"/>
              </w:rPr>
              <w:t>1.552</w:t>
            </w:r>
          </w:p>
        </w:tc>
        <w:tc>
          <w:tcPr>
            <w:tcW w:w="849" w:type="dxa"/>
            <w:tcBorders>
              <w:top w:val="nil"/>
              <w:left w:val="single" w:sz="4" w:space="0" w:color="000000"/>
              <w:bottom w:val="nil"/>
            </w:tcBorders>
          </w:tcPr>
          <w:p>
            <w:pPr>
              <w:pStyle w:val="TableParagraph"/>
              <w:spacing w:before="19"/>
              <w:ind w:right="62"/>
              <w:rPr>
                <w:sz w:val="14"/>
              </w:rPr>
            </w:pPr>
            <w:r>
              <w:rPr>
                <w:w w:val="105"/>
                <w:sz w:val="14"/>
              </w:rPr>
              <w:t>1.012</w:t>
            </w:r>
          </w:p>
        </w:tc>
        <w:tc>
          <w:tcPr>
            <w:tcW w:w="722" w:type="dxa"/>
            <w:tcBorders>
              <w:top w:val="nil"/>
              <w:bottom w:val="nil"/>
              <w:right w:val="single" w:sz="4" w:space="0" w:color="000000"/>
            </w:tcBorders>
          </w:tcPr>
          <w:p>
            <w:pPr>
              <w:pStyle w:val="TableParagraph"/>
              <w:spacing w:before="19"/>
              <w:ind w:right="62"/>
              <w:rPr>
                <w:sz w:val="14"/>
              </w:rPr>
            </w:pPr>
            <w:r>
              <w:rPr>
                <w:w w:val="105"/>
                <w:sz w:val="14"/>
              </w:rPr>
              <w:t>2.564</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10137</w:t>
            </w:r>
          </w:p>
        </w:tc>
        <w:tc>
          <w:tcPr>
            <w:tcW w:w="2220" w:type="dxa"/>
            <w:tcBorders>
              <w:top w:val="nil"/>
              <w:bottom w:val="nil"/>
            </w:tcBorders>
          </w:tcPr>
          <w:p>
            <w:pPr>
              <w:pStyle w:val="TableParagraph"/>
              <w:spacing w:before="19"/>
              <w:ind w:left="18"/>
              <w:jc w:val="left"/>
              <w:rPr>
                <w:sz w:val="14"/>
              </w:rPr>
            </w:pPr>
            <w:r>
              <w:rPr>
                <w:w w:val="105"/>
                <w:sz w:val="14"/>
              </w:rPr>
              <w:t>RIVA DANIELE</w:t>
            </w:r>
          </w:p>
        </w:tc>
        <w:tc>
          <w:tcPr>
            <w:tcW w:w="776" w:type="dxa"/>
            <w:tcBorders>
              <w:top w:val="nil"/>
              <w:bottom w:val="nil"/>
              <w:right w:val="single" w:sz="4" w:space="0" w:color="000000"/>
            </w:tcBorders>
          </w:tcPr>
          <w:p>
            <w:pPr>
              <w:pStyle w:val="TableParagraph"/>
              <w:spacing w:before="19"/>
              <w:ind w:right="62"/>
              <w:rPr>
                <w:sz w:val="14"/>
              </w:rPr>
            </w:pPr>
            <w:r>
              <w:rPr>
                <w:w w:val="105"/>
                <w:sz w:val="14"/>
              </w:rPr>
              <w:t>2.399</w:t>
            </w:r>
          </w:p>
        </w:tc>
        <w:tc>
          <w:tcPr>
            <w:tcW w:w="849" w:type="dxa"/>
            <w:tcBorders>
              <w:top w:val="nil"/>
              <w:left w:val="single" w:sz="4" w:space="0" w:color="000000"/>
              <w:bottom w:val="nil"/>
            </w:tcBorders>
          </w:tcPr>
          <w:p>
            <w:pPr>
              <w:pStyle w:val="TableParagraph"/>
              <w:spacing w:before="19"/>
              <w:ind w:right="62"/>
              <w:rPr>
                <w:sz w:val="14"/>
              </w:rPr>
            </w:pPr>
            <w:r>
              <w:rPr>
                <w:w w:val="105"/>
                <w:sz w:val="14"/>
              </w:rPr>
              <w:t>2.974</w:t>
            </w:r>
          </w:p>
        </w:tc>
        <w:tc>
          <w:tcPr>
            <w:tcW w:w="722" w:type="dxa"/>
            <w:tcBorders>
              <w:top w:val="nil"/>
              <w:bottom w:val="nil"/>
              <w:right w:val="single" w:sz="4" w:space="0" w:color="000000"/>
            </w:tcBorders>
          </w:tcPr>
          <w:p>
            <w:pPr>
              <w:pStyle w:val="TableParagraph"/>
              <w:spacing w:before="19"/>
              <w:ind w:right="62"/>
              <w:rPr>
                <w:sz w:val="14"/>
              </w:rPr>
            </w:pPr>
            <w:r>
              <w:rPr>
                <w:w w:val="105"/>
                <w:sz w:val="14"/>
              </w:rPr>
              <w:t>5.373</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10207</w:t>
            </w:r>
          </w:p>
        </w:tc>
        <w:tc>
          <w:tcPr>
            <w:tcW w:w="2220" w:type="dxa"/>
            <w:tcBorders>
              <w:top w:val="nil"/>
              <w:bottom w:val="nil"/>
            </w:tcBorders>
          </w:tcPr>
          <w:p>
            <w:pPr>
              <w:pStyle w:val="TableParagraph"/>
              <w:spacing w:before="19"/>
              <w:ind w:left="18"/>
              <w:jc w:val="left"/>
              <w:rPr>
                <w:sz w:val="14"/>
              </w:rPr>
            </w:pPr>
            <w:r>
              <w:rPr>
                <w:w w:val="105"/>
                <w:sz w:val="14"/>
              </w:rPr>
              <w:t>RIVAS TORRES BEATRIZ</w:t>
            </w:r>
          </w:p>
        </w:tc>
        <w:tc>
          <w:tcPr>
            <w:tcW w:w="776" w:type="dxa"/>
            <w:tcBorders>
              <w:top w:val="nil"/>
              <w:bottom w:val="nil"/>
              <w:right w:val="single" w:sz="4" w:space="0" w:color="000000"/>
            </w:tcBorders>
          </w:tcPr>
          <w:p>
            <w:pPr>
              <w:pStyle w:val="TableParagraph"/>
              <w:spacing w:before="19"/>
              <w:ind w:right="62"/>
              <w:rPr>
                <w:sz w:val="14"/>
              </w:rPr>
            </w:pPr>
            <w:r>
              <w:rPr>
                <w:w w:val="105"/>
                <w:sz w:val="14"/>
              </w:rPr>
              <w:t>161</w:t>
            </w:r>
          </w:p>
        </w:tc>
        <w:tc>
          <w:tcPr>
            <w:tcW w:w="849" w:type="dxa"/>
            <w:tcBorders>
              <w:top w:val="nil"/>
              <w:left w:val="single" w:sz="4" w:space="0" w:color="000000"/>
              <w:bottom w:val="nil"/>
            </w:tcBorders>
          </w:tcPr>
          <w:p>
            <w:pPr>
              <w:pStyle w:val="TableParagraph"/>
              <w:spacing w:before="19"/>
              <w:ind w:right="62"/>
              <w:rPr>
                <w:sz w:val="14"/>
              </w:rPr>
            </w:pPr>
            <w:r>
              <w:rPr>
                <w:w w:val="105"/>
                <w:sz w:val="14"/>
              </w:rPr>
              <w:t>250</w:t>
            </w:r>
          </w:p>
        </w:tc>
        <w:tc>
          <w:tcPr>
            <w:tcW w:w="722" w:type="dxa"/>
            <w:tcBorders>
              <w:top w:val="nil"/>
              <w:bottom w:val="nil"/>
              <w:right w:val="single" w:sz="4" w:space="0" w:color="000000"/>
            </w:tcBorders>
          </w:tcPr>
          <w:p>
            <w:pPr>
              <w:pStyle w:val="TableParagraph"/>
              <w:spacing w:before="19"/>
              <w:ind w:right="62"/>
              <w:rPr>
                <w:sz w:val="14"/>
              </w:rPr>
            </w:pPr>
            <w:r>
              <w:rPr>
                <w:w w:val="105"/>
                <w:sz w:val="14"/>
              </w:rPr>
              <w:t>410</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10073</w:t>
            </w:r>
          </w:p>
        </w:tc>
        <w:tc>
          <w:tcPr>
            <w:tcW w:w="2220" w:type="dxa"/>
            <w:tcBorders>
              <w:top w:val="nil"/>
              <w:bottom w:val="nil"/>
            </w:tcBorders>
          </w:tcPr>
          <w:p>
            <w:pPr>
              <w:pStyle w:val="TableParagraph"/>
              <w:spacing w:before="19"/>
              <w:ind w:left="18"/>
              <w:jc w:val="left"/>
              <w:rPr>
                <w:sz w:val="14"/>
              </w:rPr>
            </w:pPr>
            <w:r>
              <w:rPr>
                <w:w w:val="105"/>
                <w:sz w:val="14"/>
              </w:rPr>
              <w:t>SARCHI PAOLO</w:t>
            </w:r>
          </w:p>
        </w:tc>
        <w:tc>
          <w:tcPr>
            <w:tcW w:w="776" w:type="dxa"/>
            <w:tcBorders>
              <w:top w:val="nil"/>
              <w:bottom w:val="nil"/>
              <w:right w:val="single" w:sz="4" w:space="0" w:color="000000"/>
            </w:tcBorders>
          </w:tcPr>
          <w:p>
            <w:pPr>
              <w:pStyle w:val="TableParagraph"/>
              <w:spacing w:before="19"/>
              <w:ind w:right="62"/>
              <w:rPr>
                <w:sz w:val="14"/>
              </w:rPr>
            </w:pPr>
            <w:r>
              <w:rPr>
                <w:w w:val="105"/>
                <w:sz w:val="14"/>
              </w:rPr>
              <w:t>12.041</w:t>
            </w:r>
          </w:p>
        </w:tc>
        <w:tc>
          <w:tcPr>
            <w:tcW w:w="849" w:type="dxa"/>
            <w:tcBorders>
              <w:top w:val="nil"/>
              <w:left w:val="single" w:sz="4" w:space="0" w:color="000000"/>
              <w:bottom w:val="nil"/>
            </w:tcBorders>
          </w:tcPr>
          <w:p>
            <w:pPr>
              <w:pStyle w:val="TableParagraph"/>
              <w:spacing w:before="19"/>
              <w:ind w:right="62"/>
              <w:rPr>
                <w:sz w:val="14"/>
              </w:rPr>
            </w:pPr>
            <w:r>
              <w:rPr>
                <w:w w:val="105"/>
                <w:sz w:val="14"/>
              </w:rPr>
              <w:t>9.324</w:t>
            </w:r>
          </w:p>
        </w:tc>
        <w:tc>
          <w:tcPr>
            <w:tcW w:w="722" w:type="dxa"/>
            <w:tcBorders>
              <w:top w:val="nil"/>
              <w:bottom w:val="nil"/>
              <w:right w:val="single" w:sz="4" w:space="0" w:color="000000"/>
            </w:tcBorders>
          </w:tcPr>
          <w:p>
            <w:pPr>
              <w:pStyle w:val="TableParagraph"/>
              <w:spacing w:before="19"/>
              <w:ind w:right="62"/>
              <w:rPr>
                <w:sz w:val="14"/>
              </w:rPr>
            </w:pPr>
            <w:r>
              <w:rPr>
                <w:w w:val="105"/>
                <w:sz w:val="14"/>
              </w:rPr>
              <w:t>21.365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12005</w:t>
            </w:r>
          </w:p>
        </w:tc>
        <w:tc>
          <w:tcPr>
            <w:tcW w:w="2220" w:type="dxa"/>
            <w:tcBorders>
              <w:top w:val="nil"/>
              <w:bottom w:val="nil"/>
            </w:tcBorders>
          </w:tcPr>
          <w:p>
            <w:pPr>
              <w:pStyle w:val="TableParagraph"/>
              <w:spacing w:before="19"/>
              <w:ind w:left="18"/>
              <w:jc w:val="left"/>
              <w:rPr>
                <w:sz w:val="14"/>
              </w:rPr>
            </w:pPr>
            <w:r>
              <w:rPr>
                <w:w w:val="105"/>
                <w:sz w:val="14"/>
              </w:rPr>
              <w:t>SCORZA SONIA</w:t>
            </w:r>
          </w:p>
        </w:tc>
        <w:tc>
          <w:tcPr>
            <w:tcW w:w="776" w:type="dxa"/>
            <w:tcBorders>
              <w:top w:val="nil"/>
              <w:bottom w:val="nil"/>
              <w:right w:val="single" w:sz="4" w:space="0" w:color="000000"/>
            </w:tcBorders>
          </w:tcPr>
          <w:p>
            <w:pPr>
              <w:pStyle w:val="TableParagraph"/>
              <w:spacing w:before="19"/>
              <w:ind w:right="62"/>
              <w:rPr>
                <w:sz w:val="14"/>
              </w:rPr>
            </w:pPr>
            <w:r>
              <w:rPr>
                <w:w w:val="105"/>
                <w:sz w:val="14"/>
              </w:rPr>
              <w:t>864</w:t>
            </w:r>
          </w:p>
        </w:tc>
        <w:tc>
          <w:tcPr>
            <w:tcW w:w="849" w:type="dxa"/>
            <w:tcBorders>
              <w:top w:val="nil"/>
              <w:left w:val="single" w:sz="4" w:space="0" w:color="000000"/>
              <w:bottom w:val="nil"/>
            </w:tcBorders>
          </w:tcPr>
          <w:p>
            <w:pPr>
              <w:pStyle w:val="TableParagraph"/>
              <w:spacing w:before="19"/>
              <w:ind w:right="62"/>
              <w:rPr>
                <w:sz w:val="14"/>
              </w:rPr>
            </w:pPr>
            <w:r>
              <w:rPr>
                <w:w w:val="105"/>
                <w:sz w:val="14"/>
              </w:rPr>
              <w:t>787</w:t>
            </w:r>
          </w:p>
        </w:tc>
        <w:tc>
          <w:tcPr>
            <w:tcW w:w="722" w:type="dxa"/>
            <w:tcBorders>
              <w:top w:val="nil"/>
              <w:bottom w:val="nil"/>
              <w:right w:val="single" w:sz="4" w:space="0" w:color="000000"/>
            </w:tcBorders>
          </w:tcPr>
          <w:p>
            <w:pPr>
              <w:pStyle w:val="TableParagraph"/>
              <w:spacing w:before="19"/>
              <w:ind w:right="62"/>
              <w:rPr>
                <w:sz w:val="14"/>
              </w:rPr>
            </w:pPr>
            <w:r>
              <w:rPr>
                <w:w w:val="105"/>
                <w:sz w:val="14"/>
              </w:rPr>
              <w:t>1.651</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12002</w:t>
            </w:r>
          </w:p>
        </w:tc>
        <w:tc>
          <w:tcPr>
            <w:tcW w:w="2220" w:type="dxa"/>
            <w:tcBorders>
              <w:top w:val="nil"/>
              <w:bottom w:val="nil"/>
            </w:tcBorders>
          </w:tcPr>
          <w:p>
            <w:pPr>
              <w:pStyle w:val="TableParagraph"/>
              <w:spacing w:before="19"/>
              <w:ind w:left="18"/>
              <w:jc w:val="left"/>
              <w:rPr>
                <w:sz w:val="14"/>
              </w:rPr>
            </w:pPr>
            <w:r>
              <w:rPr>
                <w:w w:val="105"/>
                <w:sz w:val="14"/>
              </w:rPr>
              <w:t>SCREMIN SIMONETTA</w:t>
            </w:r>
          </w:p>
        </w:tc>
        <w:tc>
          <w:tcPr>
            <w:tcW w:w="776" w:type="dxa"/>
            <w:tcBorders>
              <w:top w:val="nil"/>
              <w:bottom w:val="nil"/>
              <w:right w:val="single" w:sz="4" w:space="0" w:color="000000"/>
            </w:tcBorders>
          </w:tcPr>
          <w:p>
            <w:pPr>
              <w:pStyle w:val="TableParagraph"/>
              <w:spacing w:before="19"/>
              <w:ind w:right="62"/>
              <w:rPr>
                <w:sz w:val="14"/>
              </w:rPr>
            </w:pPr>
            <w:r>
              <w:rPr>
                <w:w w:val="105"/>
                <w:sz w:val="14"/>
              </w:rPr>
              <w:t>276</w:t>
            </w:r>
          </w:p>
        </w:tc>
        <w:tc>
          <w:tcPr>
            <w:tcW w:w="849" w:type="dxa"/>
            <w:tcBorders>
              <w:top w:val="nil"/>
              <w:left w:val="single" w:sz="4" w:space="0" w:color="000000"/>
              <w:bottom w:val="nil"/>
            </w:tcBorders>
          </w:tcPr>
          <w:p>
            <w:pPr>
              <w:pStyle w:val="TableParagraph"/>
              <w:spacing w:before="19"/>
              <w:ind w:right="62"/>
              <w:rPr>
                <w:sz w:val="14"/>
              </w:rPr>
            </w:pPr>
            <w:r>
              <w:rPr>
                <w:w w:val="105"/>
                <w:sz w:val="14"/>
              </w:rPr>
              <w:t>648</w:t>
            </w:r>
          </w:p>
        </w:tc>
        <w:tc>
          <w:tcPr>
            <w:tcW w:w="722" w:type="dxa"/>
            <w:tcBorders>
              <w:top w:val="nil"/>
              <w:bottom w:val="nil"/>
              <w:right w:val="single" w:sz="4" w:space="0" w:color="000000"/>
            </w:tcBorders>
          </w:tcPr>
          <w:p>
            <w:pPr>
              <w:pStyle w:val="TableParagraph"/>
              <w:spacing w:before="19"/>
              <w:ind w:right="62"/>
              <w:rPr>
                <w:sz w:val="14"/>
              </w:rPr>
            </w:pPr>
            <w:r>
              <w:rPr>
                <w:w w:val="105"/>
                <w:sz w:val="14"/>
              </w:rPr>
              <w:t>924</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10271</w:t>
            </w:r>
          </w:p>
        </w:tc>
        <w:tc>
          <w:tcPr>
            <w:tcW w:w="2220" w:type="dxa"/>
            <w:tcBorders>
              <w:top w:val="nil"/>
              <w:bottom w:val="nil"/>
            </w:tcBorders>
          </w:tcPr>
          <w:p>
            <w:pPr>
              <w:pStyle w:val="TableParagraph"/>
              <w:spacing w:before="19"/>
              <w:ind w:left="18"/>
              <w:jc w:val="left"/>
              <w:rPr>
                <w:sz w:val="14"/>
              </w:rPr>
            </w:pPr>
            <w:r>
              <w:rPr>
                <w:w w:val="105"/>
                <w:sz w:val="14"/>
              </w:rPr>
              <w:t>SIMONE MARCO</w:t>
            </w:r>
          </w:p>
        </w:tc>
        <w:tc>
          <w:tcPr>
            <w:tcW w:w="776" w:type="dxa"/>
            <w:tcBorders>
              <w:top w:val="nil"/>
              <w:bottom w:val="nil"/>
              <w:right w:val="single" w:sz="4" w:space="0" w:color="000000"/>
            </w:tcBorders>
          </w:tcPr>
          <w:p>
            <w:pPr>
              <w:pStyle w:val="TableParagraph"/>
              <w:spacing w:before="19"/>
              <w:ind w:right="62"/>
              <w:rPr>
                <w:sz w:val="14"/>
              </w:rPr>
            </w:pPr>
            <w:r>
              <w:rPr>
                <w:w w:val="105"/>
                <w:sz w:val="14"/>
              </w:rPr>
              <w:t>485</w:t>
            </w:r>
          </w:p>
        </w:tc>
        <w:tc>
          <w:tcPr>
            <w:tcW w:w="849" w:type="dxa"/>
            <w:tcBorders>
              <w:top w:val="nil"/>
              <w:left w:val="single" w:sz="4" w:space="0" w:color="000000"/>
              <w:bottom w:val="nil"/>
            </w:tcBorders>
          </w:tcPr>
          <w:p>
            <w:pPr>
              <w:pStyle w:val="TableParagraph"/>
              <w:spacing w:before="19"/>
              <w:ind w:right="62"/>
              <w:rPr>
                <w:sz w:val="14"/>
              </w:rPr>
            </w:pPr>
            <w:r>
              <w:rPr>
                <w:w w:val="105"/>
                <w:sz w:val="14"/>
              </w:rPr>
              <w:t>883</w:t>
            </w:r>
          </w:p>
        </w:tc>
        <w:tc>
          <w:tcPr>
            <w:tcW w:w="722" w:type="dxa"/>
            <w:tcBorders>
              <w:top w:val="nil"/>
              <w:bottom w:val="nil"/>
              <w:right w:val="single" w:sz="4" w:space="0" w:color="000000"/>
            </w:tcBorders>
          </w:tcPr>
          <w:p>
            <w:pPr>
              <w:pStyle w:val="TableParagraph"/>
              <w:spacing w:before="19"/>
              <w:ind w:right="62"/>
              <w:rPr>
                <w:sz w:val="14"/>
              </w:rPr>
            </w:pPr>
            <w:r>
              <w:rPr>
                <w:w w:val="105"/>
                <w:sz w:val="14"/>
              </w:rPr>
              <w:t>1.368</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10130</w:t>
            </w:r>
          </w:p>
        </w:tc>
        <w:tc>
          <w:tcPr>
            <w:tcW w:w="2220" w:type="dxa"/>
            <w:tcBorders>
              <w:top w:val="nil"/>
              <w:bottom w:val="nil"/>
            </w:tcBorders>
          </w:tcPr>
          <w:p>
            <w:pPr>
              <w:pStyle w:val="TableParagraph"/>
              <w:spacing w:before="19"/>
              <w:ind w:left="18"/>
              <w:jc w:val="left"/>
              <w:rPr>
                <w:sz w:val="14"/>
              </w:rPr>
            </w:pPr>
            <w:r>
              <w:rPr>
                <w:w w:val="105"/>
                <w:sz w:val="14"/>
              </w:rPr>
              <w:t>STAFIE VASILE</w:t>
            </w:r>
          </w:p>
        </w:tc>
        <w:tc>
          <w:tcPr>
            <w:tcW w:w="776" w:type="dxa"/>
            <w:tcBorders>
              <w:top w:val="nil"/>
              <w:bottom w:val="nil"/>
              <w:right w:val="single" w:sz="4" w:space="0" w:color="000000"/>
            </w:tcBorders>
          </w:tcPr>
          <w:p>
            <w:pPr>
              <w:pStyle w:val="TableParagraph"/>
              <w:spacing w:before="19"/>
              <w:ind w:right="20"/>
              <w:rPr>
                <w:sz w:val="14"/>
              </w:rPr>
            </w:pPr>
            <w:r>
              <w:rPr>
                <w:w w:val="105"/>
                <w:sz w:val="14"/>
              </w:rPr>
              <w:t>(408)</w:t>
            </w:r>
          </w:p>
        </w:tc>
        <w:tc>
          <w:tcPr>
            <w:tcW w:w="849" w:type="dxa"/>
            <w:tcBorders>
              <w:top w:val="nil"/>
              <w:left w:val="single" w:sz="4" w:space="0" w:color="000000"/>
              <w:bottom w:val="nil"/>
            </w:tcBorders>
          </w:tcPr>
          <w:p>
            <w:pPr>
              <w:pStyle w:val="TableParagraph"/>
              <w:spacing w:before="19"/>
              <w:ind w:right="20"/>
              <w:rPr>
                <w:sz w:val="14"/>
              </w:rPr>
            </w:pPr>
            <w:r>
              <w:rPr>
                <w:w w:val="105"/>
                <w:sz w:val="14"/>
              </w:rPr>
              <w:t>(368)</w:t>
            </w:r>
          </w:p>
        </w:tc>
        <w:tc>
          <w:tcPr>
            <w:tcW w:w="722" w:type="dxa"/>
            <w:tcBorders>
              <w:top w:val="nil"/>
              <w:bottom w:val="nil"/>
              <w:right w:val="single" w:sz="4" w:space="0" w:color="000000"/>
            </w:tcBorders>
          </w:tcPr>
          <w:p>
            <w:pPr>
              <w:pStyle w:val="TableParagraph"/>
              <w:spacing w:before="19"/>
              <w:ind w:right="20"/>
              <w:rPr>
                <w:sz w:val="14"/>
              </w:rPr>
            </w:pPr>
            <w:r>
              <w:rPr>
                <w:w w:val="105"/>
                <w:sz w:val="14"/>
              </w:rPr>
              <w:t>(777)</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10067</w:t>
            </w:r>
          </w:p>
        </w:tc>
        <w:tc>
          <w:tcPr>
            <w:tcW w:w="2220" w:type="dxa"/>
            <w:tcBorders>
              <w:top w:val="nil"/>
              <w:bottom w:val="nil"/>
            </w:tcBorders>
          </w:tcPr>
          <w:p>
            <w:pPr>
              <w:pStyle w:val="TableParagraph"/>
              <w:spacing w:before="19"/>
              <w:ind w:left="18"/>
              <w:jc w:val="left"/>
              <w:rPr>
                <w:sz w:val="14"/>
              </w:rPr>
            </w:pPr>
            <w:r>
              <w:rPr>
                <w:w w:val="105"/>
                <w:sz w:val="14"/>
              </w:rPr>
              <w:t>STRACCAMORE FRANCESCO</w:t>
            </w:r>
          </w:p>
        </w:tc>
        <w:tc>
          <w:tcPr>
            <w:tcW w:w="776" w:type="dxa"/>
            <w:tcBorders>
              <w:top w:val="nil"/>
              <w:bottom w:val="nil"/>
              <w:right w:val="single" w:sz="4" w:space="0" w:color="000000"/>
            </w:tcBorders>
          </w:tcPr>
          <w:p>
            <w:pPr>
              <w:pStyle w:val="TableParagraph"/>
              <w:spacing w:before="19"/>
              <w:ind w:right="62"/>
              <w:rPr>
                <w:sz w:val="14"/>
              </w:rPr>
            </w:pPr>
            <w:r>
              <w:rPr>
                <w:w w:val="105"/>
                <w:sz w:val="14"/>
              </w:rPr>
              <w:t>5.473</w:t>
            </w:r>
          </w:p>
        </w:tc>
        <w:tc>
          <w:tcPr>
            <w:tcW w:w="849" w:type="dxa"/>
            <w:tcBorders>
              <w:top w:val="nil"/>
              <w:left w:val="single" w:sz="4" w:space="0" w:color="000000"/>
              <w:bottom w:val="nil"/>
            </w:tcBorders>
          </w:tcPr>
          <w:p>
            <w:pPr>
              <w:pStyle w:val="TableParagraph"/>
              <w:spacing w:before="19"/>
              <w:ind w:right="61"/>
              <w:rPr>
                <w:sz w:val="14"/>
              </w:rPr>
            </w:pPr>
            <w:r>
              <w:rPr>
                <w:w w:val="104"/>
                <w:sz w:val="14"/>
              </w:rPr>
              <w:t>-</w:t>
            </w:r>
          </w:p>
        </w:tc>
        <w:tc>
          <w:tcPr>
            <w:tcW w:w="722" w:type="dxa"/>
            <w:tcBorders>
              <w:top w:val="nil"/>
              <w:bottom w:val="nil"/>
              <w:right w:val="single" w:sz="4" w:space="0" w:color="000000"/>
            </w:tcBorders>
          </w:tcPr>
          <w:p>
            <w:pPr>
              <w:pStyle w:val="TableParagraph"/>
              <w:spacing w:before="19"/>
              <w:ind w:right="62"/>
              <w:rPr>
                <w:sz w:val="14"/>
              </w:rPr>
            </w:pPr>
            <w:r>
              <w:rPr>
                <w:w w:val="105"/>
                <w:sz w:val="14"/>
              </w:rPr>
              <w:t>5.473</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10300</w:t>
            </w:r>
          </w:p>
        </w:tc>
        <w:tc>
          <w:tcPr>
            <w:tcW w:w="2220" w:type="dxa"/>
            <w:tcBorders>
              <w:top w:val="nil"/>
              <w:bottom w:val="nil"/>
            </w:tcBorders>
          </w:tcPr>
          <w:p>
            <w:pPr>
              <w:pStyle w:val="TableParagraph"/>
              <w:spacing w:before="19"/>
              <w:ind w:left="18"/>
              <w:jc w:val="left"/>
              <w:rPr>
                <w:sz w:val="14"/>
              </w:rPr>
            </w:pPr>
            <w:r>
              <w:rPr>
                <w:w w:val="105"/>
                <w:sz w:val="14"/>
              </w:rPr>
              <w:t>TANGORRA ROCCO ROBERTO</w:t>
            </w:r>
          </w:p>
        </w:tc>
        <w:tc>
          <w:tcPr>
            <w:tcW w:w="776" w:type="dxa"/>
            <w:tcBorders>
              <w:top w:val="nil"/>
              <w:bottom w:val="nil"/>
              <w:right w:val="single" w:sz="4" w:space="0" w:color="000000"/>
            </w:tcBorders>
          </w:tcPr>
          <w:p>
            <w:pPr>
              <w:pStyle w:val="TableParagraph"/>
              <w:spacing w:before="19"/>
              <w:ind w:right="62"/>
              <w:rPr>
                <w:sz w:val="14"/>
              </w:rPr>
            </w:pPr>
            <w:r>
              <w:rPr>
                <w:w w:val="105"/>
                <w:sz w:val="14"/>
              </w:rPr>
              <w:t>700</w:t>
            </w:r>
          </w:p>
        </w:tc>
        <w:tc>
          <w:tcPr>
            <w:tcW w:w="849" w:type="dxa"/>
            <w:tcBorders>
              <w:top w:val="nil"/>
              <w:left w:val="single" w:sz="4" w:space="0" w:color="000000"/>
              <w:bottom w:val="nil"/>
            </w:tcBorders>
          </w:tcPr>
          <w:p>
            <w:pPr>
              <w:pStyle w:val="TableParagraph"/>
              <w:spacing w:before="19"/>
              <w:ind w:right="62"/>
              <w:rPr>
                <w:sz w:val="14"/>
              </w:rPr>
            </w:pPr>
            <w:r>
              <w:rPr>
                <w:w w:val="105"/>
                <w:sz w:val="14"/>
              </w:rPr>
              <w:t>750</w:t>
            </w:r>
          </w:p>
        </w:tc>
        <w:tc>
          <w:tcPr>
            <w:tcW w:w="722" w:type="dxa"/>
            <w:tcBorders>
              <w:top w:val="nil"/>
              <w:bottom w:val="nil"/>
              <w:right w:val="single" w:sz="4" w:space="0" w:color="000000"/>
            </w:tcBorders>
          </w:tcPr>
          <w:p>
            <w:pPr>
              <w:pStyle w:val="TableParagraph"/>
              <w:spacing w:before="19"/>
              <w:ind w:right="62"/>
              <w:rPr>
                <w:sz w:val="14"/>
              </w:rPr>
            </w:pPr>
            <w:r>
              <w:rPr>
                <w:w w:val="105"/>
                <w:sz w:val="14"/>
              </w:rPr>
              <w:t>1.449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10163</w:t>
            </w:r>
          </w:p>
        </w:tc>
        <w:tc>
          <w:tcPr>
            <w:tcW w:w="2220" w:type="dxa"/>
            <w:tcBorders>
              <w:top w:val="nil"/>
              <w:bottom w:val="nil"/>
            </w:tcBorders>
          </w:tcPr>
          <w:p>
            <w:pPr>
              <w:pStyle w:val="TableParagraph"/>
              <w:spacing w:before="19"/>
              <w:ind w:left="18"/>
              <w:jc w:val="left"/>
              <w:rPr>
                <w:sz w:val="14"/>
              </w:rPr>
            </w:pPr>
            <w:r>
              <w:rPr>
                <w:w w:val="105"/>
                <w:sz w:val="14"/>
              </w:rPr>
              <w:t>TODARO DANIELA</w:t>
            </w:r>
          </w:p>
        </w:tc>
        <w:tc>
          <w:tcPr>
            <w:tcW w:w="776" w:type="dxa"/>
            <w:tcBorders>
              <w:top w:val="nil"/>
              <w:bottom w:val="nil"/>
              <w:right w:val="single" w:sz="4" w:space="0" w:color="000000"/>
            </w:tcBorders>
          </w:tcPr>
          <w:p>
            <w:pPr>
              <w:pStyle w:val="TableParagraph"/>
              <w:spacing w:before="19"/>
              <w:ind w:right="66"/>
              <w:rPr>
                <w:sz w:val="14"/>
              </w:rPr>
            </w:pPr>
            <w:r>
              <w:rPr>
                <w:w w:val="104"/>
                <w:sz w:val="14"/>
              </w:rPr>
              <w:t>5</w:t>
            </w:r>
          </w:p>
        </w:tc>
        <w:tc>
          <w:tcPr>
            <w:tcW w:w="849" w:type="dxa"/>
            <w:tcBorders>
              <w:top w:val="nil"/>
              <w:left w:val="single" w:sz="4" w:space="0" w:color="000000"/>
              <w:bottom w:val="nil"/>
            </w:tcBorders>
          </w:tcPr>
          <w:p>
            <w:pPr>
              <w:pStyle w:val="TableParagraph"/>
              <w:spacing w:before="19"/>
              <w:ind w:right="66"/>
              <w:rPr>
                <w:sz w:val="14"/>
              </w:rPr>
            </w:pPr>
            <w:r>
              <w:rPr>
                <w:w w:val="104"/>
                <w:sz w:val="14"/>
              </w:rPr>
              <w:t>4</w:t>
            </w:r>
          </w:p>
        </w:tc>
        <w:tc>
          <w:tcPr>
            <w:tcW w:w="722" w:type="dxa"/>
            <w:tcBorders>
              <w:top w:val="nil"/>
              <w:bottom w:val="nil"/>
              <w:right w:val="single" w:sz="4" w:space="0" w:color="000000"/>
            </w:tcBorders>
          </w:tcPr>
          <w:p>
            <w:pPr>
              <w:pStyle w:val="TableParagraph"/>
              <w:spacing w:before="19"/>
              <w:ind w:right="66"/>
              <w:rPr>
                <w:sz w:val="14"/>
              </w:rPr>
            </w:pPr>
            <w:r>
              <w:rPr>
                <w:w w:val="104"/>
                <w:sz w:val="14"/>
              </w:rPr>
              <w:t>9</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10070</w:t>
            </w:r>
          </w:p>
        </w:tc>
        <w:tc>
          <w:tcPr>
            <w:tcW w:w="2220" w:type="dxa"/>
            <w:tcBorders>
              <w:top w:val="nil"/>
              <w:bottom w:val="nil"/>
            </w:tcBorders>
          </w:tcPr>
          <w:p>
            <w:pPr>
              <w:pStyle w:val="TableParagraph"/>
              <w:spacing w:before="19"/>
              <w:ind w:left="18"/>
              <w:jc w:val="left"/>
              <w:rPr>
                <w:sz w:val="14"/>
              </w:rPr>
            </w:pPr>
            <w:r>
              <w:rPr>
                <w:w w:val="105"/>
                <w:sz w:val="14"/>
              </w:rPr>
              <w:t>TORRE PAOLO</w:t>
            </w:r>
          </w:p>
        </w:tc>
        <w:tc>
          <w:tcPr>
            <w:tcW w:w="776" w:type="dxa"/>
            <w:tcBorders>
              <w:top w:val="nil"/>
              <w:bottom w:val="nil"/>
              <w:right w:val="single" w:sz="4" w:space="0" w:color="000000"/>
            </w:tcBorders>
          </w:tcPr>
          <w:p>
            <w:pPr>
              <w:pStyle w:val="TableParagraph"/>
              <w:spacing w:before="19"/>
              <w:ind w:right="62"/>
              <w:rPr>
                <w:sz w:val="14"/>
              </w:rPr>
            </w:pPr>
            <w:r>
              <w:rPr>
                <w:w w:val="105"/>
                <w:sz w:val="14"/>
              </w:rPr>
              <w:t>467</w:t>
            </w:r>
          </w:p>
        </w:tc>
        <w:tc>
          <w:tcPr>
            <w:tcW w:w="849" w:type="dxa"/>
            <w:tcBorders>
              <w:top w:val="nil"/>
              <w:left w:val="single" w:sz="4" w:space="0" w:color="000000"/>
              <w:bottom w:val="nil"/>
            </w:tcBorders>
          </w:tcPr>
          <w:p>
            <w:pPr>
              <w:pStyle w:val="TableParagraph"/>
              <w:spacing w:before="19"/>
              <w:ind w:right="62"/>
              <w:rPr>
                <w:sz w:val="14"/>
              </w:rPr>
            </w:pPr>
            <w:r>
              <w:rPr>
                <w:w w:val="105"/>
                <w:sz w:val="14"/>
              </w:rPr>
              <w:t>808</w:t>
            </w:r>
          </w:p>
        </w:tc>
        <w:tc>
          <w:tcPr>
            <w:tcW w:w="722" w:type="dxa"/>
            <w:tcBorders>
              <w:top w:val="nil"/>
              <w:bottom w:val="nil"/>
              <w:right w:val="single" w:sz="4" w:space="0" w:color="000000"/>
            </w:tcBorders>
          </w:tcPr>
          <w:p>
            <w:pPr>
              <w:pStyle w:val="TableParagraph"/>
              <w:spacing w:before="19"/>
              <w:ind w:right="62"/>
              <w:rPr>
                <w:sz w:val="14"/>
              </w:rPr>
            </w:pPr>
            <w:r>
              <w:rPr>
                <w:w w:val="105"/>
                <w:sz w:val="14"/>
              </w:rPr>
              <w:t>1.274</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10327</w:t>
            </w:r>
          </w:p>
        </w:tc>
        <w:tc>
          <w:tcPr>
            <w:tcW w:w="2220" w:type="dxa"/>
            <w:tcBorders>
              <w:top w:val="nil"/>
              <w:bottom w:val="nil"/>
            </w:tcBorders>
          </w:tcPr>
          <w:p>
            <w:pPr>
              <w:pStyle w:val="TableParagraph"/>
              <w:spacing w:before="19"/>
              <w:ind w:left="18"/>
              <w:jc w:val="left"/>
              <w:rPr>
                <w:sz w:val="14"/>
              </w:rPr>
            </w:pPr>
            <w:r>
              <w:rPr>
                <w:w w:val="105"/>
                <w:sz w:val="14"/>
              </w:rPr>
              <w:t>TRUNFIO SEBASTIANO</w:t>
            </w:r>
          </w:p>
        </w:tc>
        <w:tc>
          <w:tcPr>
            <w:tcW w:w="776" w:type="dxa"/>
            <w:tcBorders>
              <w:top w:val="nil"/>
              <w:bottom w:val="nil"/>
              <w:right w:val="single" w:sz="4" w:space="0" w:color="000000"/>
            </w:tcBorders>
          </w:tcPr>
          <w:p>
            <w:pPr>
              <w:pStyle w:val="TableParagraph"/>
              <w:spacing w:before="19"/>
              <w:ind w:right="20"/>
              <w:rPr>
                <w:sz w:val="14"/>
              </w:rPr>
            </w:pPr>
            <w:r>
              <w:rPr>
                <w:w w:val="105"/>
                <w:sz w:val="14"/>
              </w:rPr>
              <w:t>(376)</w:t>
            </w:r>
          </w:p>
        </w:tc>
        <w:tc>
          <w:tcPr>
            <w:tcW w:w="849" w:type="dxa"/>
            <w:tcBorders>
              <w:top w:val="nil"/>
              <w:left w:val="single" w:sz="4" w:space="0" w:color="000000"/>
              <w:bottom w:val="nil"/>
            </w:tcBorders>
          </w:tcPr>
          <w:p>
            <w:pPr>
              <w:pStyle w:val="TableParagraph"/>
              <w:spacing w:before="19"/>
              <w:ind w:right="20"/>
              <w:rPr>
                <w:sz w:val="14"/>
              </w:rPr>
            </w:pPr>
            <w:r>
              <w:rPr>
                <w:w w:val="105"/>
                <w:sz w:val="14"/>
              </w:rPr>
              <w:t>(290)</w:t>
            </w:r>
          </w:p>
        </w:tc>
        <w:tc>
          <w:tcPr>
            <w:tcW w:w="722" w:type="dxa"/>
            <w:tcBorders>
              <w:top w:val="nil"/>
              <w:bottom w:val="nil"/>
              <w:right w:val="single" w:sz="4" w:space="0" w:color="000000"/>
            </w:tcBorders>
          </w:tcPr>
          <w:p>
            <w:pPr>
              <w:pStyle w:val="TableParagraph"/>
              <w:spacing w:before="19"/>
              <w:ind w:right="20"/>
              <w:rPr>
                <w:sz w:val="14"/>
              </w:rPr>
            </w:pPr>
            <w:r>
              <w:rPr>
                <w:w w:val="105"/>
                <w:sz w:val="14"/>
              </w:rPr>
              <w:t>(666)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12003</w:t>
            </w:r>
          </w:p>
        </w:tc>
        <w:tc>
          <w:tcPr>
            <w:tcW w:w="2220" w:type="dxa"/>
            <w:tcBorders>
              <w:top w:val="nil"/>
              <w:bottom w:val="nil"/>
            </w:tcBorders>
          </w:tcPr>
          <w:p>
            <w:pPr>
              <w:pStyle w:val="TableParagraph"/>
              <w:spacing w:before="19"/>
              <w:ind w:left="18"/>
              <w:jc w:val="left"/>
              <w:rPr>
                <w:sz w:val="14"/>
              </w:rPr>
            </w:pPr>
            <w:r>
              <w:rPr>
                <w:sz w:val="14"/>
              </w:rPr>
              <w:t>TURNI DANIELE</w:t>
            </w:r>
          </w:p>
        </w:tc>
        <w:tc>
          <w:tcPr>
            <w:tcW w:w="776" w:type="dxa"/>
            <w:tcBorders>
              <w:top w:val="nil"/>
              <w:bottom w:val="nil"/>
              <w:right w:val="single" w:sz="4" w:space="0" w:color="000000"/>
            </w:tcBorders>
          </w:tcPr>
          <w:p>
            <w:pPr>
              <w:pStyle w:val="TableParagraph"/>
              <w:spacing w:before="19"/>
              <w:ind w:right="20"/>
              <w:rPr>
                <w:sz w:val="14"/>
              </w:rPr>
            </w:pPr>
            <w:r>
              <w:rPr>
                <w:w w:val="105"/>
                <w:sz w:val="14"/>
              </w:rPr>
              <w:t>(242)</w:t>
            </w:r>
          </w:p>
        </w:tc>
        <w:tc>
          <w:tcPr>
            <w:tcW w:w="849" w:type="dxa"/>
            <w:tcBorders>
              <w:top w:val="nil"/>
              <w:left w:val="single" w:sz="4" w:space="0" w:color="000000"/>
              <w:bottom w:val="nil"/>
            </w:tcBorders>
          </w:tcPr>
          <w:p>
            <w:pPr>
              <w:pStyle w:val="TableParagraph"/>
              <w:spacing w:before="19"/>
              <w:ind w:right="20"/>
              <w:rPr>
                <w:sz w:val="14"/>
              </w:rPr>
            </w:pPr>
            <w:r>
              <w:rPr>
                <w:w w:val="105"/>
                <w:sz w:val="14"/>
              </w:rPr>
              <w:t>(113)</w:t>
            </w:r>
          </w:p>
        </w:tc>
        <w:tc>
          <w:tcPr>
            <w:tcW w:w="722" w:type="dxa"/>
            <w:tcBorders>
              <w:top w:val="nil"/>
              <w:bottom w:val="nil"/>
              <w:right w:val="single" w:sz="4" w:space="0" w:color="000000"/>
            </w:tcBorders>
          </w:tcPr>
          <w:p>
            <w:pPr>
              <w:pStyle w:val="TableParagraph"/>
              <w:spacing w:before="19"/>
              <w:ind w:right="20"/>
              <w:rPr>
                <w:sz w:val="14"/>
              </w:rPr>
            </w:pPr>
            <w:r>
              <w:rPr>
                <w:w w:val="105"/>
                <w:sz w:val="14"/>
              </w:rPr>
              <w:t>(355)</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10334</w:t>
            </w:r>
          </w:p>
        </w:tc>
        <w:tc>
          <w:tcPr>
            <w:tcW w:w="2220" w:type="dxa"/>
            <w:tcBorders>
              <w:top w:val="nil"/>
              <w:bottom w:val="nil"/>
            </w:tcBorders>
          </w:tcPr>
          <w:p>
            <w:pPr>
              <w:pStyle w:val="TableParagraph"/>
              <w:spacing w:before="19"/>
              <w:ind w:left="18"/>
              <w:jc w:val="left"/>
              <w:rPr>
                <w:sz w:val="14"/>
              </w:rPr>
            </w:pPr>
            <w:r>
              <w:rPr>
                <w:w w:val="105"/>
                <w:sz w:val="14"/>
              </w:rPr>
              <w:t>VACCARELLA DARIO PAOLO</w:t>
            </w:r>
          </w:p>
        </w:tc>
        <w:tc>
          <w:tcPr>
            <w:tcW w:w="776" w:type="dxa"/>
            <w:tcBorders>
              <w:top w:val="nil"/>
              <w:bottom w:val="nil"/>
              <w:right w:val="single" w:sz="4" w:space="0" w:color="000000"/>
            </w:tcBorders>
          </w:tcPr>
          <w:p>
            <w:pPr>
              <w:pStyle w:val="TableParagraph"/>
              <w:spacing w:before="19"/>
              <w:ind w:right="20"/>
              <w:rPr>
                <w:sz w:val="14"/>
              </w:rPr>
            </w:pPr>
            <w:r>
              <w:rPr>
                <w:w w:val="105"/>
                <w:sz w:val="14"/>
              </w:rPr>
              <w:t>(333)</w:t>
            </w:r>
          </w:p>
        </w:tc>
        <w:tc>
          <w:tcPr>
            <w:tcW w:w="849" w:type="dxa"/>
            <w:tcBorders>
              <w:top w:val="nil"/>
              <w:left w:val="single" w:sz="4" w:space="0" w:color="000000"/>
              <w:bottom w:val="nil"/>
            </w:tcBorders>
          </w:tcPr>
          <w:p>
            <w:pPr>
              <w:pStyle w:val="TableParagraph"/>
              <w:spacing w:before="19"/>
              <w:ind w:right="20"/>
              <w:rPr>
                <w:sz w:val="14"/>
              </w:rPr>
            </w:pPr>
            <w:r>
              <w:rPr>
                <w:w w:val="105"/>
                <w:sz w:val="14"/>
              </w:rPr>
              <w:t>(253)</w:t>
            </w:r>
          </w:p>
        </w:tc>
        <w:tc>
          <w:tcPr>
            <w:tcW w:w="722" w:type="dxa"/>
            <w:tcBorders>
              <w:top w:val="nil"/>
              <w:bottom w:val="nil"/>
              <w:right w:val="single" w:sz="4" w:space="0" w:color="000000"/>
            </w:tcBorders>
          </w:tcPr>
          <w:p>
            <w:pPr>
              <w:pStyle w:val="TableParagraph"/>
              <w:spacing w:before="19"/>
              <w:ind w:right="20"/>
              <w:rPr>
                <w:sz w:val="14"/>
              </w:rPr>
            </w:pPr>
            <w:r>
              <w:rPr>
                <w:w w:val="105"/>
                <w:sz w:val="14"/>
              </w:rPr>
              <w:t>(586)</w:t>
            </w:r>
          </w:p>
        </w:tc>
      </w:tr>
      <w:tr>
        <w:trPr>
          <w:trHeight w:val="192" w:hRule="exact"/>
        </w:trPr>
        <w:tc>
          <w:tcPr>
            <w:tcW w:w="594" w:type="dxa"/>
            <w:tcBorders>
              <w:top w:val="nil"/>
              <w:bottom w:val="nil"/>
            </w:tcBorders>
          </w:tcPr>
          <w:p>
            <w:pPr>
              <w:pStyle w:val="TableParagraph"/>
              <w:spacing w:before="19"/>
              <w:ind w:left="4" w:right="4"/>
              <w:jc w:val="center"/>
              <w:rPr>
                <w:sz w:val="14"/>
              </w:rPr>
            </w:pPr>
            <w:r>
              <w:rPr>
                <w:w w:val="105"/>
                <w:sz w:val="14"/>
              </w:rPr>
              <w:t>10116</w:t>
            </w:r>
          </w:p>
        </w:tc>
        <w:tc>
          <w:tcPr>
            <w:tcW w:w="2220" w:type="dxa"/>
            <w:tcBorders>
              <w:top w:val="nil"/>
              <w:bottom w:val="nil"/>
            </w:tcBorders>
          </w:tcPr>
          <w:p>
            <w:pPr>
              <w:pStyle w:val="TableParagraph"/>
              <w:spacing w:before="19"/>
              <w:ind w:left="18"/>
              <w:jc w:val="left"/>
              <w:rPr>
                <w:sz w:val="14"/>
              </w:rPr>
            </w:pPr>
            <w:r>
              <w:rPr>
                <w:sz w:val="14"/>
              </w:rPr>
              <w:t>VISCARDI KATIA</w:t>
            </w:r>
          </w:p>
        </w:tc>
        <w:tc>
          <w:tcPr>
            <w:tcW w:w="776" w:type="dxa"/>
            <w:tcBorders>
              <w:top w:val="nil"/>
              <w:bottom w:val="nil"/>
              <w:right w:val="single" w:sz="4" w:space="0" w:color="000000"/>
            </w:tcBorders>
          </w:tcPr>
          <w:p>
            <w:pPr>
              <w:pStyle w:val="TableParagraph"/>
              <w:spacing w:before="19"/>
              <w:ind w:right="62"/>
              <w:rPr>
                <w:sz w:val="14"/>
              </w:rPr>
            </w:pPr>
            <w:r>
              <w:rPr>
                <w:w w:val="105"/>
                <w:sz w:val="14"/>
              </w:rPr>
              <w:t>1.954</w:t>
            </w:r>
          </w:p>
        </w:tc>
        <w:tc>
          <w:tcPr>
            <w:tcW w:w="849" w:type="dxa"/>
            <w:tcBorders>
              <w:top w:val="nil"/>
              <w:left w:val="single" w:sz="4" w:space="0" w:color="000000"/>
              <w:bottom w:val="nil"/>
            </w:tcBorders>
          </w:tcPr>
          <w:p>
            <w:pPr>
              <w:pStyle w:val="TableParagraph"/>
              <w:spacing w:before="19"/>
              <w:ind w:right="62"/>
              <w:rPr>
                <w:sz w:val="14"/>
              </w:rPr>
            </w:pPr>
            <w:r>
              <w:rPr>
                <w:w w:val="105"/>
                <w:sz w:val="14"/>
              </w:rPr>
              <w:t>359</w:t>
            </w:r>
          </w:p>
        </w:tc>
        <w:tc>
          <w:tcPr>
            <w:tcW w:w="722" w:type="dxa"/>
            <w:tcBorders>
              <w:top w:val="nil"/>
              <w:bottom w:val="nil"/>
              <w:right w:val="single" w:sz="4" w:space="0" w:color="000000"/>
            </w:tcBorders>
          </w:tcPr>
          <w:p>
            <w:pPr>
              <w:pStyle w:val="TableParagraph"/>
              <w:spacing w:before="19"/>
              <w:ind w:right="62"/>
              <w:rPr>
                <w:sz w:val="14"/>
              </w:rPr>
            </w:pPr>
            <w:r>
              <w:rPr>
                <w:w w:val="105"/>
                <w:sz w:val="14"/>
              </w:rPr>
              <w:t>2.314</w:t>
            </w:r>
          </w:p>
        </w:tc>
      </w:tr>
      <w:tr>
        <w:trPr>
          <w:trHeight w:val="181" w:hRule="exact"/>
        </w:trPr>
        <w:tc>
          <w:tcPr>
            <w:tcW w:w="594" w:type="dxa"/>
            <w:tcBorders>
              <w:top w:val="nil"/>
            </w:tcBorders>
          </w:tcPr>
          <w:p>
            <w:pPr>
              <w:pStyle w:val="TableParagraph"/>
              <w:spacing w:before="19"/>
              <w:ind w:left="4" w:right="4"/>
              <w:jc w:val="center"/>
              <w:rPr>
                <w:sz w:val="14"/>
              </w:rPr>
            </w:pPr>
            <w:r>
              <w:rPr>
                <w:w w:val="105"/>
                <w:sz w:val="14"/>
              </w:rPr>
              <w:t>10012</w:t>
            </w:r>
          </w:p>
        </w:tc>
        <w:tc>
          <w:tcPr>
            <w:tcW w:w="2220" w:type="dxa"/>
            <w:tcBorders>
              <w:top w:val="nil"/>
            </w:tcBorders>
          </w:tcPr>
          <w:p>
            <w:pPr>
              <w:pStyle w:val="TableParagraph"/>
              <w:spacing w:before="19"/>
              <w:ind w:left="18"/>
              <w:jc w:val="left"/>
              <w:rPr>
                <w:sz w:val="14"/>
              </w:rPr>
            </w:pPr>
            <w:r>
              <w:rPr>
                <w:w w:val="105"/>
                <w:sz w:val="14"/>
              </w:rPr>
              <w:t>ZANETTE FEDERICO</w:t>
            </w:r>
          </w:p>
        </w:tc>
        <w:tc>
          <w:tcPr>
            <w:tcW w:w="776" w:type="dxa"/>
            <w:tcBorders>
              <w:top w:val="nil"/>
              <w:right w:val="single" w:sz="4" w:space="0" w:color="000000"/>
            </w:tcBorders>
          </w:tcPr>
          <w:p>
            <w:pPr>
              <w:pStyle w:val="TableParagraph"/>
              <w:spacing w:before="19"/>
              <w:ind w:right="62"/>
              <w:rPr>
                <w:sz w:val="14"/>
              </w:rPr>
            </w:pPr>
            <w:r>
              <w:rPr>
                <w:w w:val="105"/>
                <w:sz w:val="14"/>
              </w:rPr>
              <w:t>14.965</w:t>
            </w:r>
          </w:p>
        </w:tc>
        <w:tc>
          <w:tcPr>
            <w:tcW w:w="849" w:type="dxa"/>
            <w:tcBorders>
              <w:top w:val="nil"/>
              <w:left w:val="single" w:sz="4" w:space="0" w:color="000000"/>
            </w:tcBorders>
          </w:tcPr>
          <w:p>
            <w:pPr>
              <w:pStyle w:val="TableParagraph"/>
              <w:spacing w:before="19"/>
              <w:ind w:right="62"/>
              <w:rPr>
                <w:sz w:val="14"/>
              </w:rPr>
            </w:pPr>
            <w:r>
              <w:rPr>
                <w:w w:val="105"/>
                <w:sz w:val="14"/>
              </w:rPr>
              <w:t>16.975</w:t>
            </w:r>
          </w:p>
        </w:tc>
        <w:tc>
          <w:tcPr>
            <w:tcW w:w="722" w:type="dxa"/>
            <w:tcBorders>
              <w:top w:val="nil"/>
              <w:right w:val="single" w:sz="4" w:space="0" w:color="000000"/>
            </w:tcBorders>
          </w:tcPr>
          <w:p>
            <w:pPr>
              <w:pStyle w:val="TableParagraph"/>
              <w:spacing w:before="19"/>
              <w:ind w:right="62"/>
              <w:rPr>
                <w:sz w:val="14"/>
              </w:rPr>
            </w:pPr>
            <w:r>
              <w:rPr>
                <w:w w:val="105"/>
                <w:sz w:val="14"/>
              </w:rPr>
              <w:t>31.940</w:t>
            </w:r>
          </w:p>
        </w:tc>
      </w:tr>
      <w:tr>
        <w:trPr>
          <w:trHeight w:val="192" w:hRule="exact"/>
        </w:trPr>
        <w:tc>
          <w:tcPr>
            <w:tcW w:w="2813" w:type="dxa"/>
            <w:gridSpan w:val="2"/>
            <w:shd w:val="clear" w:color="auto" w:fill="BEBEBE"/>
          </w:tcPr>
          <w:p>
            <w:pPr>
              <w:pStyle w:val="TableParagraph"/>
              <w:spacing w:before="25"/>
              <w:ind w:left="18"/>
              <w:jc w:val="left"/>
              <w:rPr>
                <w:b/>
                <w:sz w:val="14"/>
              </w:rPr>
            </w:pPr>
            <w:r>
              <w:rPr>
                <w:b/>
                <w:w w:val="105"/>
                <w:sz w:val="14"/>
              </w:rPr>
              <w:t>Totale debiti per Ferie non godute</w:t>
            </w:r>
          </w:p>
        </w:tc>
        <w:tc>
          <w:tcPr>
            <w:tcW w:w="776" w:type="dxa"/>
            <w:tcBorders>
              <w:right w:val="single" w:sz="4" w:space="0" w:color="000000"/>
            </w:tcBorders>
            <w:shd w:val="clear" w:color="auto" w:fill="BEBEBE"/>
          </w:tcPr>
          <w:p>
            <w:pPr>
              <w:pStyle w:val="TableParagraph"/>
              <w:spacing w:before="25"/>
              <w:ind w:left="155"/>
              <w:jc w:val="left"/>
              <w:rPr>
                <w:b/>
                <w:sz w:val="14"/>
              </w:rPr>
            </w:pPr>
            <w:r>
              <w:rPr>
                <w:b/>
                <w:w w:val="105"/>
                <w:sz w:val="14"/>
              </w:rPr>
              <w:t>152.414</w:t>
            </w:r>
          </w:p>
        </w:tc>
        <w:tc>
          <w:tcPr>
            <w:tcW w:w="849" w:type="dxa"/>
            <w:tcBorders>
              <w:left w:val="single" w:sz="4" w:space="0" w:color="000000"/>
            </w:tcBorders>
            <w:shd w:val="clear" w:color="auto" w:fill="BEBEBE"/>
          </w:tcPr>
          <w:p>
            <w:pPr>
              <w:pStyle w:val="TableParagraph"/>
              <w:spacing w:before="25"/>
              <w:ind w:left="301"/>
              <w:jc w:val="left"/>
              <w:rPr>
                <w:b/>
                <w:sz w:val="14"/>
              </w:rPr>
            </w:pPr>
            <w:r>
              <w:rPr>
                <w:b/>
                <w:w w:val="105"/>
                <w:sz w:val="14"/>
              </w:rPr>
              <w:t>81.001</w:t>
            </w:r>
          </w:p>
        </w:tc>
        <w:tc>
          <w:tcPr>
            <w:tcW w:w="722" w:type="dxa"/>
            <w:tcBorders>
              <w:right w:val="single" w:sz="4" w:space="0" w:color="000000"/>
            </w:tcBorders>
            <w:shd w:val="clear" w:color="auto" w:fill="BEBEBE"/>
          </w:tcPr>
          <w:p>
            <w:pPr>
              <w:pStyle w:val="TableParagraph"/>
              <w:spacing w:before="25"/>
              <w:ind w:left="82"/>
              <w:jc w:val="left"/>
              <w:rPr>
                <w:b/>
                <w:sz w:val="14"/>
              </w:rPr>
            </w:pPr>
            <w:r>
              <w:rPr>
                <w:b/>
                <w:w w:val="105"/>
                <w:sz w:val="14"/>
              </w:rPr>
              <w:t>233.416</w:t>
            </w:r>
          </w:p>
        </w:tc>
      </w:tr>
    </w:tbl>
    <w:p>
      <w:pPr>
        <w:spacing w:after="0"/>
        <w:jc w:val="left"/>
        <w:rPr>
          <w:sz w:val="14"/>
        </w:rPr>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5"/>
        <w:rPr>
          <w:rFonts w:ascii="Times New Roman"/>
          <w:sz w:val="25"/>
        </w:rPr>
      </w:pPr>
    </w:p>
    <w:p>
      <w:pPr>
        <w:pStyle w:val="Heading2"/>
        <w:spacing w:before="100"/>
      </w:pPr>
      <w:r>
        <w:rPr>
          <w:u w:val="single"/>
        </w:rPr>
        <w:t>Debito per rimborso spese</w:t>
      </w:r>
    </w:p>
    <w:p>
      <w:pPr>
        <w:pStyle w:val="BodyText"/>
        <w:spacing w:before="10"/>
        <w:rPr>
          <w:b/>
          <w:sz w:val="23"/>
        </w:rPr>
      </w:pPr>
    </w:p>
    <w:p>
      <w:pPr>
        <w:pStyle w:val="BodyText"/>
        <w:spacing w:line="480" w:lineRule="auto" w:before="1"/>
        <w:ind w:left="1418" w:right="1518"/>
      </w:pPr>
      <w:r>
        <w:rPr/>
        <w:t>Il debito ammonta ad Euro 372 e risulta così suddiviso, come dettagliato dal tabulato fornito  dalla società che gestisce il</w:t>
      </w:r>
      <w:r>
        <w:rPr>
          <w:spacing w:val="-10"/>
        </w:rPr>
        <w:t> </w:t>
      </w:r>
      <w:r>
        <w:rPr>
          <w:i/>
        </w:rPr>
        <w:t>payroll</w:t>
      </w:r>
      <w:r>
        <w:rPr/>
        <w:t>:</w:t>
      </w:r>
    </w:p>
    <w:p>
      <w:pPr>
        <w:pStyle w:val="BodyText"/>
        <w:spacing w:before="10"/>
        <w:rPr>
          <w:sz w:val="27"/>
        </w:rPr>
      </w:pPr>
    </w:p>
    <w:tbl>
      <w:tblPr>
        <w:tblW w:w="0" w:type="auto"/>
        <w:jc w:val="left"/>
        <w:tblInd w:w="35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75"/>
        <w:gridCol w:w="2836"/>
        <w:gridCol w:w="945"/>
      </w:tblGrid>
      <w:tr>
        <w:trPr>
          <w:trHeight w:val="315" w:hRule="exact"/>
        </w:trPr>
        <w:tc>
          <w:tcPr>
            <w:tcW w:w="975" w:type="dxa"/>
            <w:shd w:val="clear" w:color="auto" w:fill="BEBEBE"/>
          </w:tcPr>
          <w:p>
            <w:pPr>
              <w:pStyle w:val="TableParagraph"/>
              <w:spacing w:before="33"/>
              <w:ind w:left="23" w:right="22"/>
              <w:jc w:val="center"/>
              <w:rPr>
                <w:b/>
                <w:sz w:val="24"/>
              </w:rPr>
            </w:pPr>
            <w:r>
              <w:rPr>
                <w:b/>
                <w:sz w:val="24"/>
              </w:rPr>
              <w:t>Cod dip.</w:t>
            </w:r>
          </w:p>
        </w:tc>
        <w:tc>
          <w:tcPr>
            <w:tcW w:w="2836" w:type="dxa"/>
            <w:shd w:val="clear" w:color="auto" w:fill="BEBEBE"/>
          </w:tcPr>
          <w:p>
            <w:pPr>
              <w:pStyle w:val="TableParagraph"/>
              <w:spacing w:before="33"/>
              <w:ind w:left="795"/>
              <w:jc w:val="left"/>
              <w:rPr>
                <w:b/>
                <w:sz w:val="24"/>
              </w:rPr>
            </w:pPr>
            <w:r>
              <w:rPr>
                <w:b/>
                <w:sz w:val="24"/>
              </w:rPr>
              <w:t>Dipendente</w:t>
            </w:r>
          </w:p>
        </w:tc>
        <w:tc>
          <w:tcPr>
            <w:tcW w:w="945" w:type="dxa"/>
            <w:shd w:val="clear" w:color="auto" w:fill="BEBEBE"/>
          </w:tcPr>
          <w:p>
            <w:pPr>
              <w:pStyle w:val="TableParagraph"/>
              <w:spacing w:before="33"/>
              <w:ind w:left="29" w:right="23"/>
              <w:jc w:val="center"/>
              <w:rPr>
                <w:b/>
                <w:sz w:val="24"/>
              </w:rPr>
            </w:pPr>
            <w:r>
              <w:rPr>
                <w:b/>
                <w:sz w:val="24"/>
              </w:rPr>
              <w:t>Importo</w:t>
            </w:r>
          </w:p>
        </w:tc>
      </w:tr>
      <w:tr>
        <w:trPr>
          <w:trHeight w:val="333" w:hRule="exact"/>
        </w:trPr>
        <w:tc>
          <w:tcPr>
            <w:tcW w:w="975" w:type="dxa"/>
            <w:tcBorders>
              <w:bottom w:val="nil"/>
            </w:tcBorders>
          </w:tcPr>
          <w:p>
            <w:pPr>
              <w:pStyle w:val="TableParagraph"/>
              <w:spacing w:before="33"/>
              <w:ind w:left="22" w:right="22"/>
              <w:jc w:val="center"/>
              <w:rPr>
                <w:sz w:val="24"/>
              </w:rPr>
            </w:pPr>
            <w:r>
              <w:rPr>
                <w:sz w:val="24"/>
              </w:rPr>
              <w:t>10298</w:t>
            </w:r>
          </w:p>
        </w:tc>
        <w:tc>
          <w:tcPr>
            <w:tcW w:w="2836" w:type="dxa"/>
            <w:tcBorders>
              <w:bottom w:val="nil"/>
            </w:tcBorders>
          </w:tcPr>
          <w:p>
            <w:pPr>
              <w:pStyle w:val="TableParagraph"/>
              <w:spacing w:before="33"/>
              <w:ind w:left="29"/>
              <w:jc w:val="left"/>
              <w:rPr>
                <w:sz w:val="24"/>
              </w:rPr>
            </w:pPr>
            <w:r>
              <w:rPr>
                <w:sz w:val="24"/>
              </w:rPr>
              <w:t>BRUNO CARLO</w:t>
            </w:r>
          </w:p>
        </w:tc>
        <w:tc>
          <w:tcPr>
            <w:tcW w:w="945" w:type="dxa"/>
            <w:tcBorders>
              <w:bottom w:val="nil"/>
            </w:tcBorders>
          </w:tcPr>
          <w:p>
            <w:pPr>
              <w:pStyle w:val="TableParagraph"/>
              <w:spacing w:before="33"/>
              <w:ind w:left="143" w:right="23"/>
              <w:jc w:val="center"/>
              <w:rPr>
                <w:sz w:val="24"/>
              </w:rPr>
            </w:pPr>
            <w:r>
              <w:rPr>
                <w:sz w:val="24"/>
              </w:rPr>
              <w:t>22</w:t>
            </w:r>
          </w:p>
        </w:tc>
      </w:tr>
      <w:tr>
        <w:trPr>
          <w:trHeight w:val="315" w:hRule="exact"/>
        </w:trPr>
        <w:tc>
          <w:tcPr>
            <w:tcW w:w="975" w:type="dxa"/>
            <w:tcBorders>
              <w:top w:val="nil"/>
              <w:bottom w:val="nil"/>
            </w:tcBorders>
          </w:tcPr>
          <w:p>
            <w:pPr>
              <w:pStyle w:val="TableParagraph"/>
              <w:spacing w:before="23"/>
              <w:ind w:left="22" w:right="22"/>
              <w:jc w:val="center"/>
              <w:rPr>
                <w:sz w:val="24"/>
              </w:rPr>
            </w:pPr>
            <w:r>
              <w:rPr>
                <w:sz w:val="24"/>
              </w:rPr>
              <w:t>10321</w:t>
            </w:r>
          </w:p>
        </w:tc>
        <w:tc>
          <w:tcPr>
            <w:tcW w:w="2836" w:type="dxa"/>
            <w:tcBorders>
              <w:top w:val="nil"/>
              <w:bottom w:val="nil"/>
            </w:tcBorders>
          </w:tcPr>
          <w:p>
            <w:pPr>
              <w:pStyle w:val="TableParagraph"/>
              <w:spacing w:before="23"/>
              <w:ind w:left="29"/>
              <w:jc w:val="left"/>
              <w:rPr>
                <w:sz w:val="24"/>
              </w:rPr>
            </w:pPr>
            <w:r>
              <w:rPr>
                <w:sz w:val="24"/>
              </w:rPr>
              <w:t>COBROR SANDRO</w:t>
            </w:r>
          </w:p>
        </w:tc>
        <w:tc>
          <w:tcPr>
            <w:tcW w:w="945" w:type="dxa"/>
            <w:tcBorders>
              <w:top w:val="nil"/>
              <w:bottom w:val="nil"/>
            </w:tcBorders>
          </w:tcPr>
          <w:p>
            <w:pPr>
              <w:pStyle w:val="TableParagraph"/>
              <w:spacing w:before="23"/>
              <w:ind w:left="143" w:right="23"/>
              <w:jc w:val="center"/>
              <w:rPr>
                <w:sz w:val="24"/>
              </w:rPr>
            </w:pPr>
            <w:r>
              <w:rPr>
                <w:sz w:val="24"/>
              </w:rPr>
              <w:t>88</w:t>
            </w:r>
          </w:p>
        </w:tc>
      </w:tr>
      <w:tr>
        <w:trPr>
          <w:trHeight w:val="315" w:hRule="exact"/>
        </w:trPr>
        <w:tc>
          <w:tcPr>
            <w:tcW w:w="975" w:type="dxa"/>
            <w:tcBorders>
              <w:top w:val="nil"/>
              <w:bottom w:val="nil"/>
            </w:tcBorders>
          </w:tcPr>
          <w:p>
            <w:pPr>
              <w:pStyle w:val="TableParagraph"/>
              <w:spacing w:before="22"/>
              <w:ind w:left="22" w:right="22"/>
              <w:jc w:val="center"/>
              <w:rPr>
                <w:sz w:val="24"/>
              </w:rPr>
            </w:pPr>
            <w:r>
              <w:rPr>
                <w:sz w:val="24"/>
              </w:rPr>
              <w:t>10319</w:t>
            </w:r>
          </w:p>
        </w:tc>
        <w:tc>
          <w:tcPr>
            <w:tcW w:w="2836" w:type="dxa"/>
            <w:tcBorders>
              <w:top w:val="nil"/>
              <w:bottom w:val="nil"/>
            </w:tcBorders>
          </w:tcPr>
          <w:p>
            <w:pPr>
              <w:pStyle w:val="TableParagraph"/>
              <w:spacing w:before="22"/>
              <w:ind w:left="29"/>
              <w:jc w:val="left"/>
              <w:rPr>
                <w:sz w:val="24"/>
              </w:rPr>
            </w:pPr>
            <w:r>
              <w:rPr>
                <w:sz w:val="24"/>
              </w:rPr>
              <w:t>DE VITA ANDREA</w:t>
            </w:r>
          </w:p>
        </w:tc>
        <w:tc>
          <w:tcPr>
            <w:tcW w:w="945" w:type="dxa"/>
            <w:tcBorders>
              <w:top w:val="nil"/>
              <w:bottom w:val="nil"/>
            </w:tcBorders>
          </w:tcPr>
          <w:p>
            <w:pPr>
              <w:pStyle w:val="TableParagraph"/>
              <w:spacing w:before="22"/>
              <w:ind w:left="143" w:right="23"/>
              <w:jc w:val="center"/>
              <w:rPr>
                <w:sz w:val="24"/>
              </w:rPr>
            </w:pPr>
            <w:r>
              <w:rPr>
                <w:sz w:val="24"/>
              </w:rPr>
              <w:t>78</w:t>
            </w:r>
          </w:p>
        </w:tc>
      </w:tr>
      <w:tr>
        <w:trPr>
          <w:trHeight w:val="315" w:hRule="exact"/>
        </w:trPr>
        <w:tc>
          <w:tcPr>
            <w:tcW w:w="975" w:type="dxa"/>
            <w:tcBorders>
              <w:top w:val="nil"/>
              <w:bottom w:val="nil"/>
            </w:tcBorders>
          </w:tcPr>
          <w:p>
            <w:pPr>
              <w:pStyle w:val="TableParagraph"/>
              <w:spacing w:before="22"/>
              <w:ind w:left="22" w:right="22"/>
              <w:jc w:val="center"/>
              <w:rPr>
                <w:sz w:val="24"/>
              </w:rPr>
            </w:pPr>
            <w:r>
              <w:rPr>
                <w:sz w:val="24"/>
              </w:rPr>
              <w:t>10125</w:t>
            </w:r>
          </w:p>
        </w:tc>
        <w:tc>
          <w:tcPr>
            <w:tcW w:w="2836" w:type="dxa"/>
            <w:tcBorders>
              <w:top w:val="nil"/>
              <w:bottom w:val="nil"/>
            </w:tcBorders>
          </w:tcPr>
          <w:p>
            <w:pPr>
              <w:pStyle w:val="TableParagraph"/>
              <w:spacing w:before="22"/>
              <w:ind w:left="29"/>
              <w:jc w:val="left"/>
              <w:rPr>
                <w:sz w:val="24"/>
              </w:rPr>
            </w:pPr>
            <w:r>
              <w:rPr>
                <w:sz w:val="24"/>
              </w:rPr>
              <w:t>PARACHINI MARCO</w:t>
            </w:r>
          </w:p>
        </w:tc>
        <w:tc>
          <w:tcPr>
            <w:tcW w:w="945" w:type="dxa"/>
            <w:tcBorders>
              <w:top w:val="nil"/>
              <w:bottom w:val="nil"/>
            </w:tcBorders>
          </w:tcPr>
          <w:p>
            <w:pPr>
              <w:pStyle w:val="TableParagraph"/>
              <w:spacing w:before="22"/>
              <w:ind w:left="23" w:right="23"/>
              <w:jc w:val="center"/>
              <w:rPr>
                <w:sz w:val="24"/>
              </w:rPr>
            </w:pPr>
            <w:r>
              <w:rPr>
                <w:sz w:val="24"/>
              </w:rPr>
              <w:t>160</w:t>
            </w:r>
          </w:p>
        </w:tc>
      </w:tr>
      <w:tr>
        <w:trPr>
          <w:trHeight w:val="297" w:hRule="exact"/>
        </w:trPr>
        <w:tc>
          <w:tcPr>
            <w:tcW w:w="975" w:type="dxa"/>
            <w:tcBorders>
              <w:top w:val="nil"/>
            </w:tcBorders>
          </w:tcPr>
          <w:p>
            <w:pPr>
              <w:pStyle w:val="TableParagraph"/>
              <w:spacing w:before="22"/>
              <w:ind w:left="22" w:right="22"/>
              <w:jc w:val="center"/>
              <w:rPr>
                <w:sz w:val="24"/>
              </w:rPr>
            </w:pPr>
            <w:r>
              <w:rPr>
                <w:sz w:val="24"/>
              </w:rPr>
              <w:t>10012</w:t>
            </w:r>
          </w:p>
        </w:tc>
        <w:tc>
          <w:tcPr>
            <w:tcW w:w="2836" w:type="dxa"/>
            <w:tcBorders>
              <w:top w:val="nil"/>
            </w:tcBorders>
          </w:tcPr>
          <w:p>
            <w:pPr>
              <w:pStyle w:val="TableParagraph"/>
              <w:spacing w:before="22"/>
              <w:ind w:left="29"/>
              <w:jc w:val="left"/>
              <w:rPr>
                <w:sz w:val="24"/>
              </w:rPr>
            </w:pPr>
            <w:r>
              <w:rPr>
                <w:sz w:val="24"/>
              </w:rPr>
              <w:t>ZANETTE FEDERICO</w:t>
            </w:r>
          </w:p>
        </w:tc>
        <w:tc>
          <w:tcPr>
            <w:tcW w:w="945" w:type="dxa"/>
            <w:tcBorders>
              <w:top w:val="nil"/>
            </w:tcBorders>
          </w:tcPr>
          <w:p>
            <w:pPr>
              <w:pStyle w:val="TableParagraph"/>
              <w:spacing w:before="22"/>
              <w:ind w:left="143" w:right="23"/>
              <w:jc w:val="center"/>
              <w:rPr>
                <w:sz w:val="24"/>
              </w:rPr>
            </w:pPr>
            <w:r>
              <w:rPr>
                <w:sz w:val="24"/>
              </w:rPr>
              <w:t>24</w:t>
            </w:r>
          </w:p>
        </w:tc>
      </w:tr>
      <w:tr>
        <w:trPr>
          <w:trHeight w:val="315" w:hRule="exact"/>
        </w:trPr>
        <w:tc>
          <w:tcPr>
            <w:tcW w:w="3812" w:type="dxa"/>
            <w:gridSpan w:val="2"/>
            <w:shd w:val="clear" w:color="auto" w:fill="BEBEBE"/>
          </w:tcPr>
          <w:p>
            <w:pPr>
              <w:pStyle w:val="TableParagraph"/>
              <w:spacing w:before="18"/>
              <w:ind w:left="29"/>
              <w:jc w:val="left"/>
              <w:rPr>
                <w:b/>
                <w:sz w:val="24"/>
              </w:rPr>
            </w:pPr>
            <w:r>
              <w:rPr>
                <w:b/>
                <w:sz w:val="24"/>
              </w:rPr>
              <w:t>Totale debiti per rimborso spese</w:t>
            </w:r>
          </w:p>
        </w:tc>
        <w:tc>
          <w:tcPr>
            <w:tcW w:w="945" w:type="dxa"/>
            <w:shd w:val="clear" w:color="auto" w:fill="BEBEBE"/>
          </w:tcPr>
          <w:p>
            <w:pPr>
              <w:pStyle w:val="TableParagraph"/>
              <w:spacing w:before="33"/>
              <w:ind w:left="23" w:right="23"/>
              <w:jc w:val="center"/>
              <w:rPr>
                <w:b/>
                <w:sz w:val="24"/>
              </w:rPr>
            </w:pPr>
            <w:r>
              <w:rPr>
                <w:b/>
                <w:sz w:val="24"/>
              </w:rPr>
              <w:t>372</w:t>
            </w:r>
          </w:p>
        </w:tc>
      </w:tr>
    </w:tbl>
    <w:p>
      <w:pPr>
        <w:pStyle w:val="BodyText"/>
        <w:rPr>
          <w:sz w:val="20"/>
        </w:rPr>
      </w:pPr>
    </w:p>
    <w:p>
      <w:pPr>
        <w:pStyle w:val="BodyText"/>
        <w:spacing w:before="2"/>
        <w:rPr>
          <w:sz w:val="23"/>
        </w:rPr>
      </w:pPr>
    </w:p>
    <w:p>
      <w:pPr>
        <w:pStyle w:val="Heading2"/>
        <w:spacing w:before="100"/>
        <w:jc w:val="both"/>
      </w:pPr>
      <w:r>
        <w:rPr>
          <w:u w:val="single"/>
        </w:rPr>
        <w:t>Debito per quattordicesima</w:t>
      </w:r>
    </w:p>
    <w:p>
      <w:pPr>
        <w:pStyle w:val="BodyText"/>
        <w:spacing w:before="10"/>
        <w:rPr>
          <w:b/>
          <w:sz w:val="23"/>
        </w:rPr>
      </w:pPr>
    </w:p>
    <w:p>
      <w:pPr>
        <w:pStyle w:val="BodyText"/>
        <w:spacing w:line="480" w:lineRule="auto"/>
        <w:ind w:left="1418" w:right="1415"/>
        <w:jc w:val="both"/>
      </w:pPr>
      <w:r>
        <w:rPr/>
        <w:t>La quota di quattordicesima iscritta in bilancio, con segno negativo, per complessivi Euro 4.142,  si riferisce alla quota non ancora maturata alla data del 15 ottobre 2017 destinata ad essere rettificata in data 31 dicembre 2017, quando maturerà il relativo</w:t>
      </w:r>
      <w:r>
        <w:rPr>
          <w:spacing w:val="-27"/>
        </w:rPr>
        <w:t> </w:t>
      </w:r>
      <w:r>
        <w:rPr/>
        <w:t>debito.</w:t>
      </w:r>
    </w:p>
    <w:p>
      <w:pPr>
        <w:pStyle w:val="Heading2"/>
        <w:jc w:val="both"/>
      </w:pPr>
      <w:r>
        <w:rPr>
          <w:u w:val="single"/>
        </w:rPr>
        <w:t>Debito per tredicesima</w:t>
      </w:r>
    </w:p>
    <w:p>
      <w:pPr>
        <w:pStyle w:val="BodyText"/>
        <w:rPr>
          <w:b/>
        </w:rPr>
      </w:pPr>
    </w:p>
    <w:p>
      <w:pPr>
        <w:pStyle w:val="BodyText"/>
        <w:spacing w:line="480" w:lineRule="auto"/>
        <w:ind w:left="1418" w:right="1421"/>
        <w:jc w:val="both"/>
      </w:pPr>
      <w:r>
        <w:rPr/>
        <w:t>Il debito per tredicesima alla data del 15 ottobre 2017 ammonta ad Euro 216.096 e risulta così suddiviso, come dettagliato dal tabulato fornito dalla società che gestisce il </w:t>
      </w:r>
      <w:r>
        <w:rPr>
          <w:i/>
        </w:rPr>
        <w:t>payroll</w:t>
      </w:r>
      <w:r>
        <w:rPr/>
        <w:t>:</w:t>
      </w:r>
    </w:p>
    <w:p>
      <w:pPr>
        <w:spacing w:after="0" w:line="480" w:lineRule="auto"/>
        <w:jc w:val="both"/>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3"/>
        <w:rPr>
          <w:rFonts w:ascii="Times New Roman"/>
          <w:sz w:val="11"/>
        </w:rPr>
      </w:pPr>
    </w:p>
    <w:tbl>
      <w:tblPr>
        <w:tblW w:w="0" w:type="auto"/>
        <w:jc w:val="left"/>
        <w:tblInd w:w="2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76"/>
        <w:gridCol w:w="2293"/>
        <w:gridCol w:w="972"/>
        <w:gridCol w:w="972"/>
        <w:gridCol w:w="972"/>
        <w:gridCol w:w="972"/>
      </w:tblGrid>
      <w:tr>
        <w:trPr>
          <w:trHeight w:val="198" w:hRule="exact"/>
        </w:trPr>
        <w:tc>
          <w:tcPr>
            <w:tcW w:w="576" w:type="dxa"/>
            <w:shd w:val="clear" w:color="auto" w:fill="BEBEBE"/>
          </w:tcPr>
          <w:p>
            <w:pPr>
              <w:pStyle w:val="TableParagraph"/>
              <w:spacing w:before="22"/>
              <w:jc w:val="center"/>
              <w:rPr>
                <w:b/>
                <w:sz w:val="15"/>
              </w:rPr>
            </w:pPr>
            <w:r>
              <w:rPr>
                <w:b/>
                <w:sz w:val="15"/>
              </w:rPr>
              <w:t>Cod dip.</w:t>
            </w:r>
          </w:p>
        </w:tc>
        <w:tc>
          <w:tcPr>
            <w:tcW w:w="2293" w:type="dxa"/>
            <w:shd w:val="clear" w:color="auto" w:fill="BEBEBE"/>
          </w:tcPr>
          <w:p>
            <w:pPr>
              <w:pStyle w:val="TableParagraph"/>
              <w:spacing w:before="22"/>
              <w:ind w:left="813" w:right="810"/>
              <w:jc w:val="center"/>
              <w:rPr>
                <w:b/>
                <w:sz w:val="15"/>
              </w:rPr>
            </w:pPr>
            <w:r>
              <w:rPr>
                <w:b/>
                <w:sz w:val="15"/>
              </w:rPr>
              <w:t>Cognome</w:t>
            </w:r>
          </w:p>
        </w:tc>
        <w:tc>
          <w:tcPr>
            <w:tcW w:w="972" w:type="dxa"/>
            <w:shd w:val="clear" w:color="auto" w:fill="BEBEBE"/>
          </w:tcPr>
          <w:p>
            <w:pPr>
              <w:pStyle w:val="TableParagraph"/>
              <w:spacing w:before="22"/>
              <w:ind w:right="126"/>
              <w:rPr>
                <w:b/>
                <w:sz w:val="15"/>
              </w:rPr>
            </w:pPr>
            <w:r>
              <w:rPr>
                <w:b/>
                <w:sz w:val="15"/>
              </w:rPr>
              <w:t>Imponibile</w:t>
            </w:r>
          </w:p>
        </w:tc>
        <w:tc>
          <w:tcPr>
            <w:tcW w:w="972" w:type="dxa"/>
            <w:shd w:val="clear" w:color="auto" w:fill="BEBEBE"/>
          </w:tcPr>
          <w:p>
            <w:pPr>
              <w:pStyle w:val="TableParagraph"/>
              <w:spacing w:before="22"/>
              <w:ind w:right="145"/>
              <w:rPr>
                <w:b/>
                <w:sz w:val="15"/>
              </w:rPr>
            </w:pPr>
            <w:r>
              <w:rPr>
                <w:b/>
                <w:sz w:val="15"/>
              </w:rPr>
              <w:t>Contributi</w:t>
            </w:r>
          </w:p>
        </w:tc>
        <w:tc>
          <w:tcPr>
            <w:tcW w:w="972" w:type="dxa"/>
            <w:shd w:val="clear" w:color="auto" w:fill="BEBEBE"/>
          </w:tcPr>
          <w:p>
            <w:pPr>
              <w:pStyle w:val="TableParagraph"/>
              <w:spacing w:before="22"/>
              <w:ind w:left="318" w:right="309"/>
              <w:jc w:val="center"/>
              <w:rPr>
                <w:b/>
                <w:sz w:val="15"/>
              </w:rPr>
            </w:pPr>
            <w:r>
              <w:rPr>
                <w:b/>
                <w:sz w:val="15"/>
              </w:rPr>
              <w:t>Inail</w:t>
            </w:r>
          </w:p>
        </w:tc>
        <w:tc>
          <w:tcPr>
            <w:tcW w:w="972" w:type="dxa"/>
            <w:shd w:val="clear" w:color="auto" w:fill="BEBEBE"/>
          </w:tcPr>
          <w:p>
            <w:pPr>
              <w:pStyle w:val="TableParagraph"/>
              <w:spacing w:before="22"/>
              <w:ind w:left="273"/>
              <w:jc w:val="left"/>
              <w:rPr>
                <w:b/>
                <w:sz w:val="15"/>
              </w:rPr>
            </w:pPr>
            <w:r>
              <w:rPr>
                <w:b/>
                <w:sz w:val="15"/>
              </w:rPr>
              <w:t>Totale</w:t>
            </w:r>
          </w:p>
        </w:tc>
      </w:tr>
      <w:tr>
        <w:trPr>
          <w:trHeight w:val="210" w:hRule="exact"/>
        </w:trPr>
        <w:tc>
          <w:tcPr>
            <w:tcW w:w="576" w:type="dxa"/>
            <w:tcBorders>
              <w:bottom w:val="nil"/>
            </w:tcBorders>
          </w:tcPr>
          <w:p>
            <w:pPr>
              <w:pStyle w:val="TableParagraph"/>
              <w:spacing w:before="21"/>
              <w:jc w:val="center"/>
              <w:rPr>
                <w:sz w:val="15"/>
              </w:rPr>
            </w:pPr>
            <w:r>
              <w:rPr>
                <w:sz w:val="15"/>
              </w:rPr>
              <w:t>10023</w:t>
            </w:r>
          </w:p>
        </w:tc>
        <w:tc>
          <w:tcPr>
            <w:tcW w:w="2293" w:type="dxa"/>
            <w:tcBorders>
              <w:bottom w:val="nil"/>
            </w:tcBorders>
          </w:tcPr>
          <w:p>
            <w:pPr>
              <w:pStyle w:val="TableParagraph"/>
              <w:spacing w:before="21"/>
              <w:ind w:left="18"/>
              <w:jc w:val="left"/>
              <w:rPr>
                <w:sz w:val="15"/>
              </w:rPr>
            </w:pPr>
            <w:r>
              <w:rPr>
                <w:sz w:val="15"/>
              </w:rPr>
              <w:t>BALDI ANDREA</w:t>
            </w:r>
          </w:p>
        </w:tc>
        <w:tc>
          <w:tcPr>
            <w:tcW w:w="972" w:type="dxa"/>
            <w:tcBorders>
              <w:bottom w:val="nil"/>
            </w:tcBorders>
          </w:tcPr>
          <w:p>
            <w:pPr>
              <w:pStyle w:val="TableParagraph"/>
              <w:spacing w:before="21"/>
              <w:ind w:right="177"/>
              <w:rPr>
                <w:sz w:val="15"/>
              </w:rPr>
            </w:pPr>
            <w:r>
              <w:rPr>
                <w:sz w:val="15"/>
              </w:rPr>
              <w:t>2.977</w:t>
            </w:r>
          </w:p>
        </w:tc>
        <w:tc>
          <w:tcPr>
            <w:tcW w:w="972" w:type="dxa"/>
            <w:tcBorders>
              <w:bottom w:val="nil"/>
            </w:tcBorders>
          </w:tcPr>
          <w:p>
            <w:pPr>
              <w:pStyle w:val="TableParagraph"/>
              <w:spacing w:before="21"/>
              <w:ind w:right="177"/>
              <w:rPr>
                <w:sz w:val="15"/>
              </w:rPr>
            </w:pPr>
            <w:r>
              <w:rPr>
                <w:sz w:val="15"/>
              </w:rPr>
              <w:t>928</w:t>
            </w:r>
          </w:p>
        </w:tc>
        <w:tc>
          <w:tcPr>
            <w:tcW w:w="972" w:type="dxa"/>
            <w:tcBorders>
              <w:bottom w:val="nil"/>
            </w:tcBorders>
          </w:tcPr>
          <w:p>
            <w:pPr>
              <w:pStyle w:val="TableParagraph"/>
              <w:spacing w:before="21"/>
              <w:ind w:right="177"/>
              <w:rPr>
                <w:sz w:val="15"/>
              </w:rPr>
            </w:pPr>
            <w:r>
              <w:rPr>
                <w:sz w:val="15"/>
              </w:rPr>
              <w:t>60</w:t>
            </w:r>
          </w:p>
        </w:tc>
        <w:tc>
          <w:tcPr>
            <w:tcW w:w="972" w:type="dxa"/>
            <w:tcBorders>
              <w:bottom w:val="nil"/>
            </w:tcBorders>
          </w:tcPr>
          <w:p>
            <w:pPr>
              <w:pStyle w:val="TableParagraph"/>
              <w:spacing w:before="21"/>
              <w:ind w:right="177"/>
              <w:rPr>
                <w:sz w:val="15"/>
              </w:rPr>
            </w:pPr>
            <w:r>
              <w:rPr>
                <w:sz w:val="15"/>
              </w:rPr>
              <w:t>3.965</w:t>
            </w:r>
          </w:p>
        </w:tc>
      </w:tr>
      <w:tr>
        <w:trPr>
          <w:trHeight w:val="198" w:hRule="exact"/>
        </w:trPr>
        <w:tc>
          <w:tcPr>
            <w:tcW w:w="576" w:type="dxa"/>
            <w:tcBorders>
              <w:top w:val="nil"/>
              <w:bottom w:val="nil"/>
            </w:tcBorders>
          </w:tcPr>
          <w:p>
            <w:pPr>
              <w:pStyle w:val="TableParagraph"/>
              <w:spacing w:before="15"/>
              <w:jc w:val="center"/>
              <w:rPr>
                <w:sz w:val="15"/>
              </w:rPr>
            </w:pPr>
            <w:r>
              <w:rPr>
                <w:sz w:val="15"/>
              </w:rPr>
              <w:t>10139</w:t>
            </w:r>
          </w:p>
        </w:tc>
        <w:tc>
          <w:tcPr>
            <w:tcW w:w="2293" w:type="dxa"/>
            <w:tcBorders>
              <w:top w:val="nil"/>
              <w:bottom w:val="nil"/>
            </w:tcBorders>
          </w:tcPr>
          <w:p>
            <w:pPr>
              <w:pStyle w:val="TableParagraph"/>
              <w:spacing w:before="15"/>
              <w:ind w:left="18"/>
              <w:jc w:val="left"/>
              <w:rPr>
                <w:sz w:val="15"/>
              </w:rPr>
            </w:pPr>
            <w:r>
              <w:rPr>
                <w:sz w:val="15"/>
              </w:rPr>
              <w:t>BERNARDI MARCO</w:t>
            </w:r>
          </w:p>
        </w:tc>
        <w:tc>
          <w:tcPr>
            <w:tcW w:w="972" w:type="dxa"/>
            <w:tcBorders>
              <w:top w:val="nil"/>
              <w:bottom w:val="nil"/>
            </w:tcBorders>
          </w:tcPr>
          <w:p>
            <w:pPr>
              <w:pStyle w:val="TableParagraph"/>
              <w:spacing w:before="15"/>
              <w:ind w:right="177"/>
              <w:rPr>
                <w:sz w:val="15"/>
              </w:rPr>
            </w:pPr>
            <w:r>
              <w:rPr>
                <w:sz w:val="15"/>
              </w:rPr>
              <w:t>2.285</w:t>
            </w:r>
          </w:p>
        </w:tc>
        <w:tc>
          <w:tcPr>
            <w:tcW w:w="972" w:type="dxa"/>
            <w:tcBorders>
              <w:top w:val="nil"/>
              <w:bottom w:val="nil"/>
            </w:tcBorders>
          </w:tcPr>
          <w:p>
            <w:pPr>
              <w:pStyle w:val="TableParagraph"/>
              <w:spacing w:before="15"/>
              <w:ind w:right="177"/>
              <w:rPr>
                <w:sz w:val="15"/>
              </w:rPr>
            </w:pPr>
            <w:r>
              <w:rPr>
                <w:sz w:val="15"/>
              </w:rPr>
              <w:t>660</w:t>
            </w:r>
          </w:p>
        </w:tc>
        <w:tc>
          <w:tcPr>
            <w:tcW w:w="972" w:type="dxa"/>
            <w:tcBorders>
              <w:top w:val="nil"/>
              <w:bottom w:val="nil"/>
            </w:tcBorders>
          </w:tcPr>
          <w:p>
            <w:pPr>
              <w:pStyle w:val="TableParagraph"/>
              <w:spacing w:before="15"/>
              <w:ind w:right="177"/>
              <w:rPr>
                <w:sz w:val="15"/>
              </w:rPr>
            </w:pPr>
            <w:r>
              <w:rPr>
                <w:sz w:val="15"/>
              </w:rPr>
              <w:t>21</w:t>
            </w:r>
          </w:p>
        </w:tc>
        <w:tc>
          <w:tcPr>
            <w:tcW w:w="972" w:type="dxa"/>
            <w:tcBorders>
              <w:top w:val="nil"/>
              <w:bottom w:val="nil"/>
            </w:tcBorders>
          </w:tcPr>
          <w:p>
            <w:pPr>
              <w:pStyle w:val="TableParagraph"/>
              <w:spacing w:before="15"/>
              <w:ind w:right="177"/>
              <w:rPr>
                <w:sz w:val="15"/>
              </w:rPr>
            </w:pPr>
            <w:r>
              <w:rPr>
                <w:sz w:val="15"/>
              </w:rPr>
              <w:t>2.965</w:t>
            </w:r>
          </w:p>
        </w:tc>
      </w:tr>
      <w:tr>
        <w:trPr>
          <w:trHeight w:val="198" w:hRule="exact"/>
        </w:trPr>
        <w:tc>
          <w:tcPr>
            <w:tcW w:w="576" w:type="dxa"/>
            <w:tcBorders>
              <w:top w:val="nil"/>
              <w:bottom w:val="nil"/>
            </w:tcBorders>
          </w:tcPr>
          <w:p>
            <w:pPr>
              <w:pStyle w:val="TableParagraph"/>
              <w:spacing w:before="15"/>
              <w:jc w:val="center"/>
              <w:rPr>
                <w:sz w:val="15"/>
              </w:rPr>
            </w:pPr>
            <w:r>
              <w:rPr>
                <w:sz w:val="15"/>
              </w:rPr>
              <w:t>10173</w:t>
            </w:r>
          </w:p>
        </w:tc>
        <w:tc>
          <w:tcPr>
            <w:tcW w:w="2293" w:type="dxa"/>
            <w:tcBorders>
              <w:top w:val="nil"/>
              <w:bottom w:val="nil"/>
            </w:tcBorders>
          </w:tcPr>
          <w:p>
            <w:pPr>
              <w:pStyle w:val="TableParagraph"/>
              <w:spacing w:before="15"/>
              <w:ind w:left="18"/>
              <w:jc w:val="left"/>
              <w:rPr>
                <w:sz w:val="15"/>
              </w:rPr>
            </w:pPr>
            <w:r>
              <w:rPr>
                <w:sz w:val="15"/>
              </w:rPr>
              <w:t>BIANCO FRANCESCO</w:t>
            </w:r>
          </w:p>
        </w:tc>
        <w:tc>
          <w:tcPr>
            <w:tcW w:w="972" w:type="dxa"/>
            <w:tcBorders>
              <w:top w:val="nil"/>
              <w:bottom w:val="nil"/>
            </w:tcBorders>
          </w:tcPr>
          <w:p>
            <w:pPr>
              <w:pStyle w:val="TableParagraph"/>
              <w:spacing w:before="15"/>
              <w:ind w:right="177"/>
              <w:rPr>
                <w:sz w:val="15"/>
              </w:rPr>
            </w:pPr>
            <w:r>
              <w:rPr>
                <w:sz w:val="15"/>
              </w:rPr>
              <w:t>1.814</w:t>
            </w:r>
          </w:p>
        </w:tc>
        <w:tc>
          <w:tcPr>
            <w:tcW w:w="972" w:type="dxa"/>
            <w:tcBorders>
              <w:top w:val="nil"/>
              <w:bottom w:val="nil"/>
            </w:tcBorders>
          </w:tcPr>
          <w:p>
            <w:pPr>
              <w:pStyle w:val="TableParagraph"/>
              <w:spacing w:before="15"/>
              <w:ind w:right="177"/>
              <w:rPr>
                <w:sz w:val="15"/>
              </w:rPr>
            </w:pPr>
            <w:r>
              <w:rPr>
                <w:sz w:val="15"/>
              </w:rPr>
              <w:t>533</w:t>
            </w:r>
          </w:p>
        </w:tc>
        <w:tc>
          <w:tcPr>
            <w:tcW w:w="972" w:type="dxa"/>
            <w:tcBorders>
              <w:top w:val="nil"/>
              <w:bottom w:val="nil"/>
            </w:tcBorders>
          </w:tcPr>
          <w:p>
            <w:pPr>
              <w:pStyle w:val="TableParagraph"/>
              <w:spacing w:before="15"/>
              <w:ind w:right="177"/>
              <w:rPr>
                <w:sz w:val="15"/>
              </w:rPr>
            </w:pPr>
            <w:r>
              <w:rPr>
                <w:sz w:val="15"/>
              </w:rPr>
              <w:t>16</w:t>
            </w:r>
          </w:p>
        </w:tc>
        <w:tc>
          <w:tcPr>
            <w:tcW w:w="972" w:type="dxa"/>
            <w:tcBorders>
              <w:top w:val="nil"/>
              <w:bottom w:val="nil"/>
            </w:tcBorders>
          </w:tcPr>
          <w:p>
            <w:pPr>
              <w:pStyle w:val="TableParagraph"/>
              <w:spacing w:before="15"/>
              <w:ind w:right="177"/>
              <w:rPr>
                <w:sz w:val="15"/>
              </w:rPr>
            </w:pPr>
            <w:r>
              <w:rPr>
                <w:sz w:val="15"/>
              </w:rPr>
              <w:t>2.363</w:t>
            </w:r>
          </w:p>
        </w:tc>
      </w:tr>
      <w:tr>
        <w:trPr>
          <w:trHeight w:val="198" w:hRule="exact"/>
        </w:trPr>
        <w:tc>
          <w:tcPr>
            <w:tcW w:w="576" w:type="dxa"/>
            <w:tcBorders>
              <w:top w:val="nil"/>
              <w:bottom w:val="nil"/>
            </w:tcBorders>
          </w:tcPr>
          <w:p>
            <w:pPr>
              <w:pStyle w:val="TableParagraph"/>
              <w:spacing w:before="15"/>
              <w:jc w:val="center"/>
              <w:rPr>
                <w:sz w:val="15"/>
              </w:rPr>
            </w:pPr>
            <w:r>
              <w:rPr>
                <w:sz w:val="15"/>
              </w:rPr>
              <w:t>10019</w:t>
            </w:r>
          </w:p>
        </w:tc>
        <w:tc>
          <w:tcPr>
            <w:tcW w:w="2293" w:type="dxa"/>
            <w:tcBorders>
              <w:top w:val="nil"/>
              <w:bottom w:val="nil"/>
            </w:tcBorders>
          </w:tcPr>
          <w:p>
            <w:pPr>
              <w:pStyle w:val="TableParagraph"/>
              <w:spacing w:before="15"/>
              <w:ind w:left="18"/>
              <w:jc w:val="left"/>
              <w:rPr>
                <w:sz w:val="15"/>
              </w:rPr>
            </w:pPr>
            <w:r>
              <w:rPr>
                <w:sz w:val="15"/>
              </w:rPr>
              <w:t>BOVERI GIUSEPPINA</w:t>
            </w:r>
          </w:p>
        </w:tc>
        <w:tc>
          <w:tcPr>
            <w:tcW w:w="972" w:type="dxa"/>
            <w:tcBorders>
              <w:top w:val="nil"/>
              <w:bottom w:val="nil"/>
            </w:tcBorders>
          </w:tcPr>
          <w:p>
            <w:pPr>
              <w:pStyle w:val="TableParagraph"/>
              <w:spacing w:before="15"/>
              <w:ind w:right="177"/>
              <w:rPr>
                <w:sz w:val="15"/>
              </w:rPr>
            </w:pPr>
            <w:r>
              <w:rPr>
                <w:sz w:val="15"/>
              </w:rPr>
              <w:t>6.923</w:t>
            </w:r>
          </w:p>
        </w:tc>
        <w:tc>
          <w:tcPr>
            <w:tcW w:w="972" w:type="dxa"/>
            <w:tcBorders>
              <w:top w:val="nil"/>
              <w:bottom w:val="nil"/>
            </w:tcBorders>
          </w:tcPr>
          <w:p>
            <w:pPr>
              <w:pStyle w:val="TableParagraph"/>
              <w:spacing w:before="15"/>
              <w:ind w:right="177"/>
              <w:rPr>
                <w:sz w:val="15"/>
              </w:rPr>
            </w:pPr>
            <w:r>
              <w:rPr>
                <w:sz w:val="15"/>
              </w:rPr>
              <w:t>2.116</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9.039</w:t>
            </w:r>
          </w:p>
        </w:tc>
      </w:tr>
      <w:tr>
        <w:trPr>
          <w:trHeight w:val="198" w:hRule="exact"/>
        </w:trPr>
        <w:tc>
          <w:tcPr>
            <w:tcW w:w="576" w:type="dxa"/>
            <w:tcBorders>
              <w:top w:val="nil"/>
              <w:bottom w:val="nil"/>
            </w:tcBorders>
          </w:tcPr>
          <w:p>
            <w:pPr>
              <w:pStyle w:val="TableParagraph"/>
              <w:spacing w:before="15"/>
              <w:jc w:val="center"/>
              <w:rPr>
                <w:sz w:val="15"/>
              </w:rPr>
            </w:pPr>
            <w:r>
              <w:rPr>
                <w:sz w:val="15"/>
              </w:rPr>
              <w:t>10047</w:t>
            </w:r>
          </w:p>
        </w:tc>
        <w:tc>
          <w:tcPr>
            <w:tcW w:w="2293" w:type="dxa"/>
            <w:tcBorders>
              <w:top w:val="nil"/>
              <w:bottom w:val="nil"/>
            </w:tcBorders>
          </w:tcPr>
          <w:p>
            <w:pPr>
              <w:pStyle w:val="TableParagraph"/>
              <w:spacing w:before="15"/>
              <w:ind w:left="18"/>
              <w:jc w:val="left"/>
              <w:rPr>
                <w:sz w:val="15"/>
              </w:rPr>
            </w:pPr>
            <w:r>
              <w:rPr>
                <w:sz w:val="15"/>
              </w:rPr>
              <w:t>BOZZINI LARA</w:t>
            </w:r>
          </w:p>
        </w:tc>
        <w:tc>
          <w:tcPr>
            <w:tcW w:w="972" w:type="dxa"/>
            <w:tcBorders>
              <w:top w:val="nil"/>
              <w:bottom w:val="nil"/>
            </w:tcBorders>
          </w:tcPr>
          <w:p>
            <w:pPr>
              <w:pStyle w:val="TableParagraph"/>
              <w:spacing w:before="15"/>
              <w:ind w:right="177"/>
              <w:rPr>
                <w:sz w:val="15"/>
              </w:rPr>
            </w:pPr>
            <w:r>
              <w:rPr>
                <w:sz w:val="15"/>
              </w:rPr>
              <w:t>1.921</w:t>
            </w:r>
          </w:p>
        </w:tc>
        <w:tc>
          <w:tcPr>
            <w:tcW w:w="972" w:type="dxa"/>
            <w:tcBorders>
              <w:top w:val="nil"/>
              <w:bottom w:val="nil"/>
            </w:tcBorders>
          </w:tcPr>
          <w:p>
            <w:pPr>
              <w:pStyle w:val="TableParagraph"/>
              <w:spacing w:before="15"/>
              <w:ind w:right="177"/>
              <w:rPr>
                <w:sz w:val="15"/>
              </w:rPr>
            </w:pPr>
            <w:r>
              <w:rPr>
                <w:sz w:val="15"/>
              </w:rPr>
              <w:t>599</w:t>
            </w:r>
          </w:p>
        </w:tc>
        <w:tc>
          <w:tcPr>
            <w:tcW w:w="972" w:type="dxa"/>
            <w:tcBorders>
              <w:top w:val="nil"/>
              <w:bottom w:val="nil"/>
            </w:tcBorders>
          </w:tcPr>
          <w:p>
            <w:pPr>
              <w:pStyle w:val="TableParagraph"/>
              <w:spacing w:before="15"/>
              <w:ind w:right="177"/>
              <w:rPr>
                <w:sz w:val="15"/>
              </w:rPr>
            </w:pPr>
            <w:r>
              <w:rPr>
                <w:sz w:val="15"/>
              </w:rPr>
              <w:t>14</w:t>
            </w:r>
          </w:p>
        </w:tc>
        <w:tc>
          <w:tcPr>
            <w:tcW w:w="972" w:type="dxa"/>
            <w:tcBorders>
              <w:top w:val="nil"/>
              <w:bottom w:val="nil"/>
            </w:tcBorders>
          </w:tcPr>
          <w:p>
            <w:pPr>
              <w:pStyle w:val="TableParagraph"/>
              <w:spacing w:before="15"/>
              <w:ind w:right="177"/>
              <w:rPr>
                <w:sz w:val="15"/>
              </w:rPr>
            </w:pPr>
            <w:r>
              <w:rPr>
                <w:sz w:val="15"/>
              </w:rPr>
              <w:t>2.534</w:t>
            </w:r>
          </w:p>
        </w:tc>
      </w:tr>
      <w:tr>
        <w:trPr>
          <w:trHeight w:val="198" w:hRule="exact"/>
        </w:trPr>
        <w:tc>
          <w:tcPr>
            <w:tcW w:w="576" w:type="dxa"/>
            <w:tcBorders>
              <w:top w:val="nil"/>
              <w:bottom w:val="nil"/>
            </w:tcBorders>
          </w:tcPr>
          <w:p>
            <w:pPr>
              <w:pStyle w:val="TableParagraph"/>
              <w:spacing w:before="15"/>
              <w:jc w:val="center"/>
              <w:rPr>
                <w:sz w:val="15"/>
              </w:rPr>
            </w:pPr>
            <w:r>
              <w:rPr>
                <w:sz w:val="15"/>
              </w:rPr>
              <w:t>10298</w:t>
            </w:r>
          </w:p>
        </w:tc>
        <w:tc>
          <w:tcPr>
            <w:tcW w:w="2293" w:type="dxa"/>
            <w:tcBorders>
              <w:top w:val="nil"/>
              <w:bottom w:val="nil"/>
            </w:tcBorders>
          </w:tcPr>
          <w:p>
            <w:pPr>
              <w:pStyle w:val="TableParagraph"/>
              <w:spacing w:before="15"/>
              <w:ind w:left="18"/>
              <w:jc w:val="left"/>
              <w:rPr>
                <w:sz w:val="15"/>
              </w:rPr>
            </w:pPr>
            <w:r>
              <w:rPr>
                <w:sz w:val="15"/>
              </w:rPr>
              <w:t>BRUNO CARLO</w:t>
            </w:r>
          </w:p>
        </w:tc>
        <w:tc>
          <w:tcPr>
            <w:tcW w:w="972" w:type="dxa"/>
            <w:tcBorders>
              <w:top w:val="nil"/>
              <w:bottom w:val="nil"/>
            </w:tcBorders>
          </w:tcPr>
          <w:p>
            <w:pPr>
              <w:pStyle w:val="TableParagraph"/>
              <w:spacing w:before="15"/>
              <w:ind w:right="177"/>
              <w:rPr>
                <w:sz w:val="15"/>
              </w:rPr>
            </w:pPr>
            <w:r>
              <w:rPr>
                <w:sz w:val="15"/>
              </w:rPr>
              <w:t>3.894</w:t>
            </w:r>
          </w:p>
        </w:tc>
        <w:tc>
          <w:tcPr>
            <w:tcW w:w="972" w:type="dxa"/>
            <w:tcBorders>
              <w:top w:val="nil"/>
              <w:bottom w:val="nil"/>
            </w:tcBorders>
          </w:tcPr>
          <w:p>
            <w:pPr>
              <w:pStyle w:val="TableParagraph"/>
              <w:spacing w:before="15"/>
              <w:ind w:right="177"/>
              <w:rPr>
                <w:sz w:val="15"/>
              </w:rPr>
            </w:pPr>
            <w:r>
              <w:rPr>
                <w:sz w:val="15"/>
              </w:rPr>
              <w:t>1.214</w:t>
            </w:r>
          </w:p>
        </w:tc>
        <w:tc>
          <w:tcPr>
            <w:tcW w:w="972" w:type="dxa"/>
            <w:tcBorders>
              <w:top w:val="nil"/>
              <w:bottom w:val="nil"/>
            </w:tcBorders>
          </w:tcPr>
          <w:p>
            <w:pPr>
              <w:pStyle w:val="TableParagraph"/>
              <w:spacing w:before="15"/>
              <w:ind w:right="177"/>
              <w:rPr>
                <w:sz w:val="15"/>
              </w:rPr>
            </w:pPr>
            <w:r>
              <w:rPr>
                <w:sz w:val="15"/>
              </w:rPr>
              <w:t>43</w:t>
            </w:r>
          </w:p>
        </w:tc>
        <w:tc>
          <w:tcPr>
            <w:tcW w:w="972" w:type="dxa"/>
            <w:tcBorders>
              <w:top w:val="nil"/>
              <w:bottom w:val="nil"/>
            </w:tcBorders>
          </w:tcPr>
          <w:p>
            <w:pPr>
              <w:pStyle w:val="TableParagraph"/>
              <w:spacing w:before="15"/>
              <w:ind w:right="177"/>
              <w:rPr>
                <w:sz w:val="15"/>
              </w:rPr>
            </w:pPr>
            <w:r>
              <w:rPr>
                <w:sz w:val="15"/>
              </w:rPr>
              <w:t>5.151</w:t>
            </w:r>
          </w:p>
        </w:tc>
      </w:tr>
      <w:tr>
        <w:trPr>
          <w:trHeight w:val="198" w:hRule="exact"/>
        </w:trPr>
        <w:tc>
          <w:tcPr>
            <w:tcW w:w="576" w:type="dxa"/>
            <w:tcBorders>
              <w:top w:val="nil"/>
              <w:bottom w:val="nil"/>
            </w:tcBorders>
          </w:tcPr>
          <w:p>
            <w:pPr>
              <w:pStyle w:val="TableParagraph"/>
              <w:spacing w:before="15"/>
              <w:jc w:val="center"/>
              <w:rPr>
                <w:sz w:val="15"/>
              </w:rPr>
            </w:pPr>
            <w:r>
              <w:rPr>
                <w:sz w:val="15"/>
              </w:rPr>
              <w:t>10057</w:t>
            </w:r>
          </w:p>
        </w:tc>
        <w:tc>
          <w:tcPr>
            <w:tcW w:w="2293" w:type="dxa"/>
            <w:tcBorders>
              <w:top w:val="nil"/>
              <w:bottom w:val="nil"/>
            </w:tcBorders>
          </w:tcPr>
          <w:p>
            <w:pPr>
              <w:pStyle w:val="TableParagraph"/>
              <w:spacing w:before="15"/>
              <w:ind w:left="18"/>
              <w:jc w:val="left"/>
              <w:rPr>
                <w:sz w:val="15"/>
              </w:rPr>
            </w:pPr>
            <w:r>
              <w:rPr>
                <w:sz w:val="15"/>
              </w:rPr>
              <w:t>CAMINADA GIANLUCA</w:t>
            </w:r>
          </w:p>
        </w:tc>
        <w:tc>
          <w:tcPr>
            <w:tcW w:w="972" w:type="dxa"/>
            <w:tcBorders>
              <w:top w:val="nil"/>
              <w:bottom w:val="nil"/>
            </w:tcBorders>
          </w:tcPr>
          <w:p>
            <w:pPr>
              <w:pStyle w:val="TableParagraph"/>
              <w:spacing w:before="15"/>
              <w:ind w:right="177"/>
              <w:rPr>
                <w:sz w:val="15"/>
              </w:rPr>
            </w:pPr>
            <w:r>
              <w:rPr>
                <w:sz w:val="15"/>
              </w:rPr>
              <w:t>1.574</w:t>
            </w:r>
          </w:p>
        </w:tc>
        <w:tc>
          <w:tcPr>
            <w:tcW w:w="972" w:type="dxa"/>
            <w:tcBorders>
              <w:top w:val="nil"/>
              <w:bottom w:val="nil"/>
            </w:tcBorders>
          </w:tcPr>
          <w:p>
            <w:pPr>
              <w:pStyle w:val="TableParagraph"/>
              <w:spacing w:before="15"/>
              <w:ind w:right="177"/>
              <w:rPr>
                <w:sz w:val="15"/>
              </w:rPr>
            </w:pPr>
            <w:r>
              <w:rPr>
                <w:sz w:val="15"/>
              </w:rPr>
              <w:t>455</w:t>
            </w:r>
          </w:p>
        </w:tc>
        <w:tc>
          <w:tcPr>
            <w:tcW w:w="972" w:type="dxa"/>
            <w:tcBorders>
              <w:top w:val="nil"/>
              <w:bottom w:val="nil"/>
            </w:tcBorders>
          </w:tcPr>
          <w:p>
            <w:pPr>
              <w:pStyle w:val="TableParagraph"/>
              <w:spacing w:before="15"/>
              <w:ind w:right="177"/>
              <w:rPr>
                <w:sz w:val="15"/>
              </w:rPr>
            </w:pPr>
            <w:r>
              <w:rPr>
                <w:sz w:val="15"/>
              </w:rPr>
              <w:t>40</w:t>
            </w:r>
          </w:p>
        </w:tc>
        <w:tc>
          <w:tcPr>
            <w:tcW w:w="972" w:type="dxa"/>
            <w:tcBorders>
              <w:top w:val="nil"/>
              <w:bottom w:val="nil"/>
            </w:tcBorders>
          </w:tcPr>
          <w:p>
            <w:pPr>
              <w:pStyle w:val="TableParagraph"/>
              <w:spacing w:before="15"/>
              <w:ind w:right="177"/>
              <w:rPr>
                <w:sz w:val="15"/>
              </w:rPr>
            </w:pPr>
            <w:r>
              <w:rPr>
                <w:sz w:val="15"/>
              </w:rPr>
              <w:t>2.069</w:t>
            </w:r>
          </w:p>
        </w:tc>
      </w:tr>
      <w:tr>
        <w:trPr>
          <w:trHeight w:val="198" w:hRule="exact"/>
        </w:trPr>
        <w:tc>
          <w:tcPr>
            <w:tcW w:w="576" w:type="dxa"/>
            <w:tcBorders>
              <w:top w:val="nil"/>
              <w:bottom w:val="nil"/>
            </w:tcBorders>
          </w:tcPr>
          <w:p>
            <w:pPr>
              <w:pStyle w:val="TableParagraph"/>
              <w:spacing w:before="15"/>
              <w:jc w:val="center"/>
              <w:rPr>
                <w:sz w:val="15"/>
              </w:rPr>
            </w:pPr>
            <w:r>
              <w:rPr>
                <w:sz w:val="15"/>
              </w:rPr>
              <w:t>12004</w:t>
            </w:r>
          </w:p>
        </w:tc>
        <w:tc>
          <w:tcPr>
            <w:tcW w:w="2293" w:type="dxa"/>
            <w:tcBorders>
              <w:top w:val="nil"/>
              <w:bottom w:val="nil"/>
            </w:tcBorders>
          </w:tcPr>
          <w:p>
            <w:pPr>
              <w:pStyle w:val="TableParagraph"/>
              <w:spacing w:before="15"/>
              <w:ind w:left="18"/>
              <w:jc w:val="left"/>
              <w:rPr>
                <w:sz w:val="15"/>
              </w:rPr>
            </w:pPr>
            <w:r>
              <w:rPr>
                <w:sz w:val="15"/>
              </w:rPr>
              <w:t>CARLI NADIA</w:t>
            </w:r>
          </w:p>
        </w:tc>
        <w:tc>
          <w:tcPr>
            <w:tcW w:w="972" w:type="dxa"/>
            <w:tcBorders>
              <w:top w:val="nil"/>
              <w:bottom w:val="nil"/>
            </w:tcBorders>
          </w:tcPr>
          <w:p>
            <w:pPr>
              <w:pStyle w:val="TableParagraph"/>
              <w:spacing w:before="15"/>
              <w:ind w:right="177"/>
              <w:rPr>
                <w:sz w:val="15"/>
              </w:rPr>
            </w:pPr>
            <w:r>
              <w:rPr>
                <w:sz w:val="15"/>
              </w:rPr>
              <w:t>1.197</w:t>
            </w:r>
          </w:p>
        </w:tc>
        <w:tc>
          <w:tcPr>
            <w:tcW w:w="972" w:type="dxa"/>
            <w:tcBorders>
              <w:top w:val="nil"/>
              <w:bottom w:val="nil"/>
            </w:tcBorders>
          </w:tcPr>
          <w:p>
            <w:pPr>
              <w:pStyle w:val="TableParagraph"/>
              <w:spacing w:before="15"/>
              <w:ind w:right="177"/>
              <w:rPr>
                <w:sz w:val="15"/>
              </w:rPr>
            </w:pPr>
            <w:r>
              <w:rPr>
                <w:sz w:val="15"/>
              </w:rPr>
              <w:t>373</w:t>
            </w:r>
          </w:p>
        </w:tc>
        <w:tc>
          <w:tcPr>
            <w:tcW w:w="972" w:type="dxa"/>
            <w:tcBorders>
              <w:top w:val="nil"/>
              <w:bottom w:val="nil"/>
            </w:tcBorders>
          </w:tcPr>
          <w:p>
            <w:pPr>
              <w:pStyle w:val="TableParagraph"/>
              <w:spacing w:before="15"/>
              <w:ind w:right="183"/>
              <w:rPr>
                <w:sz w:val="15"/>
              </w:rPr>
            </w:pPr>
            <w:r>
              <w:rPr>
                <w:w w:val="100"/>
                <w:sz w:val="15"/>
              </w:rPr>
              <w:t>6</w:t>
            </w:r>
          </w:p>
        </w:tc>
        <w:tc>
          <w:tcPr>
            <w:tcW w:w="972" w:type="dxa"/>
            <w:tcBorders>
              <w:top w:val="nil"/>
              <w:bottom w:val="nil"/>
            </w:tcBorders>
          </w:tcPr>
          <w:p>
            <w:pPr>
              <w:pStyle w:val="TableParagraph"/>
              <w:spacing w:before="15"/>
              <w:ind w:right="177"/>
              <w:rPr>
                <w:sz w:val="15"/>
              </w:rPr>
            </w:pPr>
            <w:r>
              <w:rPr>
                <w:sz w:val="15"/>
              </w:rPr>
              <w:t>1.576</w:t>
            </w:r>
          </w:p>
        </w:tc>
      </w:tr>
      <w:tr>
        <w:trPr>
          <w:trHeight w:val="198" w:hRule="exact"/>
        </w:trPr>
        <w:tc>
          <w:tcPr>
            <w:tcW w:w="576" w:type="dxa"/>
            <w:tcBorders>
              <w:top w:val="nil"/>
              <w:bottom w:val="nil"/>
            </w:tcBorders>
          </w:tcPr>
          <w:p>
            <w:pPr>
              <w:pStyle w:val="TableParagraph"/>
              <w:spacing w:before="15"/>
              <w:jc w:val="center"/>
              <w:rPr>
                <w:sz w:val="15"/>
              </w:rPr>
            </w:pPr>
            <w:r>
              <w:rPr>
                <w:sz w:val="15"/>
              </w:rPr>
              <w:t>10212</w:t>
            </w:r>
          </w:p>
        </w:tc>
        <w:tc>
          <w:tcPr>
            <w:tcW w:w="2293" w:type="dxa"/>
            <w:tcBorders>
              <w:top w:val="nil"/>
              <w:bottom w:val="nil"/>
            </w:tcBorders>
          </w:tcPr>
          <w:p>
            <w:pPr>
              <w:pStyle w:val="TableParagraph"/>
              <w:spacing w:before="15"/>
              <w:ind w:left="18"/>
              <w:jc w:val="left"/>
              <w:rPr>
                <w:sz w:val="15"/>
              </w:rPr>
            </w:pPr>
            <w:r>
              <w:rPr>
                <w:sz w:val="15"/>
              </w:rPr>
              <w:t>CARPINO SABRINA</w:t>
            </w:r>
          </w:p>
        </w:tc>
        <w:tc>
          <w:tcPr>
            <w:tcW w:w="972" w:type="dxa"/>
            <w:tcBorders>
              <w:top w:val="nil"/>
              <w:bottom w:val="nil"/>
            </w:tcBorders>
          </w:tcPr>
          <w:p>
            <w:pPr>
              <w:pStyle w:val="TableParagraph"/>
              <w:spacing w:before="15"/>
              <w:ind w:right="177"/>
              <w:rPr>
                <w:sz w:val="15"/>
              </w:rPr>
            </w:pPr>
            <w:r>
              <w:rPr>
                <w:sz w:val="15"/>
              </w:rPr>
              <w:t>1.739</w:t>
            </w:r>
          </w:p>
        </w:tc>
        <w:tc>
          <w:tcPr>
            <w:tcW w:w="972" w:type="dxa"/>
            <w:tcBorders>
              <w:top w:val="nil"/>
              <w:bottom w:val="nil"/>
            </w:tcBorders>
          </w:tcPr>
          <w:p>
            <w:pPr>
              <w:pStyle w:val="TableParagraph"/>
              <w:spacing w:before="15"/>
              <w:ind w:right="177"/>
              <w:rPr>
                <w:sz w:val="15"/>
              </w:rPr>
            </w:pPr>
            <w:r>
              <w:rPr>
                <w:sz w:val="15"/>
              </w:rPr>
              <w:t>502</w:t>
            </w:r>
          </w:p>
        </w:tc>
        <w:tc>
          <w:tcPr>
            <w:tcW w:w="972" w:type="dxa"/>
            <w:tcBorders>
              <w:top w:val="nil"/>
              <w:bottom w:val="nil"/>
            </w:tcBorders>
          </w:tcPr>
          <w:p>
            <w:pPr>
              <w:pStyle w:val="TableParagraph"/>
              <w:spacing w:before="15"/>
              <w:ind w:right="177"/>
              <w:rPr>
                <w:sz w:val="15"/>
              </w:rPr>
            </w:pPr>
            <w:r>
              <w:rPr>
                <w:sz w:val="15"/>
              </w:rPr>
              <w:t>16</w:t>
            </w:r>
          </w:p>
        </w:tc>
        <w:tc>
          <w:tcPr>
            <w:tcW w:w="972" w:type="dxa"/>
            <w:tcBorders>
              <w:top w:val="nil"/>
              <w:bottom w:val="nil"/>
            </w:tcBorders>
          </w:tcPr>
          <w:p>
            <w:pPr>
              <w:pStyle w:val="TableParagraph"/>
              <w:spacing w:before="15"/>
              <w:ind w:right="177"/>
              <w:rPr>
                <w:sz w:val="15"/>
              </w:rPr>
            </w:pPr>
            <w:r>
              <w:rPr>
                <w:sz w:val="15"/>
              </w:rPr>
              <w:t>2.257</w:t>
            </w:r>
          </w:p>
        </w:tc>
      </w:tr>
      <w:tr>
        <w:trPr>
          <w:trHeight w:val="198" w:hRule="exact"/>
        </w:trPr>
        <w:tc>
          <w:tcPr>
            <w:tcW w:w="576" w:type="dxa"/>
            <w:tcBorders>
              <w:top w:val="nil"/>
              <w:bottom w:val="nil"/>
            </w:tcBorders>
          </w:tcPr>
          <w:p>
            <w:pPr>
              <w:pStyle w:val="TableParagraph"/>
              <w:spacing w:before="15"/>
              <w:jc w:val="center"/>
              <w:rPr>
                <w:sz w:val="15"/>
              </w:rPr>
            </w:pPr>
            <w:r>
              <w:rPr>
                <w:sz w:val="15"/>
              </w:rPr>
              <w:t>10048</w:t>
            </w:r>
          </w:p>
        </w:tc>
        <w:tc>
          <w:tcPr>
            <w:tcW w:w="2293" w:type="dxa"/>
            <w:tcBorders>
              <w:top w:val="nil"/>
              <w:bottom w:val="nil"/>
            </w:tcBorders>
          </w:tcPr>
          <w:p>
            <w:pPr>
              <w:pStyle w:val="TableParagraph"/>
              <w:spacing w:before="15"/>
              <w:ind w:left="18"/>
              <w:jc w:val="left"/>
              <w:rPr>
                <w:sz w:val="15"/>
              </w:rPr>
            </w:pPr>
            <w:r>
              <w:rPr>
                <w:sz w:val="15"/>
              </w:rPr>
              <w:t>CASTELLANO DANIELA</w:t>
            </w:r>
          </w:p>
        </w:tc>
        <w:tc>
          <w:tcPr>
            <w:tcW w:w="972" w:type="dxa"/>
            <w:tcBorders>
              <w:top w:val="nil"/>
              <w:bottom w:val="nil"/>
            </w:tcBorders>
          </w:tcPr>
          <w:p>
            <w:pPr>
              <w:pStyle w:val="TableParagraph"/>
              <w:spacing w:before="15"/>
              <w:ind w:right="177"/>
              <w:rPr>
                <w:sz w:val="15"/>
              </w:rPr>
            </w:pPr>
            <w:r>
              <w:rPr>
                <w:sz w:val="15"/>
              </w:rPr>
              <w:t>1.869</w:t>
            </w:r>
          </w:p>
        </w:tc>
        <w:tc>
          <w:tcPr>
            <w:tcW w:w="972" w:type="dxa"/>
            <w:tcBorders>
              <w:top w:val="nil"/>
              <w:bottom w:val="nil"/>
            </w:tcBorders>
          </w:tcPr>
          <w:p>
            <w:pPr>
              <w:pStyle w:val="TableParagraph"/>
              <w:spacing w:before="15"/>
              <w:ind w:right="177"/>
              <w:rPr>
                <w:sz w:val="15"/>
              </w:rPr>
            </w:pPr>
            <w:r>
              <w:rPr>
                <w:sz w:val="15"/>
              </w:rPr>
              <w:t>583</w:t>
            </w:r>
          </w:p>
        </w:tc>
        <w:tc>
          <w:tcPr>
            <w:tcW w:w="972" w:type="dxa"/>
            <w:tcBorders>
              <w:top w:val="nil"/>
              <w:bottom w:val="nil"/>
            </w:tcBorders>
          </w:tcPr>
          <w:p>
            <w:pPr>
              <w:pStyle w:val="TableParagraph"/>
              <w:spacing w:before="15"/>
              <w:ind w:right="183"/>
              <w:rPr>
                <w:sz w:val="15"/>
              </w:rPr>
            </w:pPr>
            <w:r>
              <w:rPr>
                <w:w w:val="100"/>
                <w:sz w:val="15"/>
              </w:rPr>
              <w:t>9</w:t>
            </w:r>
          </w:p>
        </w:tc>
        <w:tc>
          <w:tcPr>
            <w:tcW w:w="972" w:type="dxa"/>
            <w:tcBorders>
              <w:top w:val="nil"/>
              <w:bottom w:val="nil"/>
            </w:tcBorders>
          </w:tcPr>
          <w:p>
            <w:pPr>
              <w:pStyle w:val="TableParagraph"/>
              <w:spacing w:before="15"/>
              <w:ind w:right="177"/>
              <w:rPr>
                <w:sz w:val="15"/>
              </w:rPr>
            </w:pPr>
            <w:r>
              <w:rPr>
                <w:sz w:val="15"/>
              </w:rPr>
              <w:t>2.461</w:t>
            </w:r>
          </w:p>
        </w:tc>
      </w:tr>
      <w:tr>
        <w:trPr>
          <w:trHeight w:val="198" w:hRule="exact"/>
        </w:trPr>
        <w:tc>
          <w:tcPr>
            <w:tcW w:w="576" w:type="dxa"/>
            <w:tcBorders>
              <w:top w:val="nil"/>
              <w:bottom w:val="nil"/>
            </w:tcBorders>
          </w:tcPr>
          <w:p>
            <w:pPr>
              <w:pStyle w:val="TableParagraph"/>
              <w:spacing w:before="15"/>
              <w:jc w:val="center"/>
              <w:rPr>
                <w:sz w:val="15"/>
              </w:rPr>
            </w:pPr>
            <w:r>
              <w:rPr>
                <w:sz w:val="15"/>
              </w:rPr>
              <w:t>10206</w:t>
            </w:r>
          </w:p>
        </w:tc>
        <w:tc>
          <w:tcPr>
            <w:tcW w:w="2293" w:type="dxa"/>
            <w:tcBorders>
              <w:top w:val="nil"/>
              <w:bottom w:val="nil"/>
            </w:tcBorders>
          </w:tcPr>
          <w:p>
            <w:pPr>
              <w:pStyle w:val="TableParagraph"/>
              <w:spacing w:before="15"/>
              <w:ind w:left="18"/>
              <w:jc w:val="left"/>
              <w:rPr>
                <w:sz w:val="15"/>
              </w:rPr>
            </w:pPr>
            <w:r>
              <w:rPr>
                <w:sz w:val="15"/>
              </w:rPr>
              <w:t>CASTELLI CLAUDIA</w:t>
            </w:r>
          </w:p>
        </w:tc>
        <w:tc>
          <w:tcPr>
            <w:tcW w:w="972" w:type="dxa"/>
            <w:tcBorders>
              <w:top w:val="nil"/>
              <w:bottom w:val="nil"/>
            </w:tcBorders>
          </w:tcPr>
          <w:p>
            <w:pPr>
              <w:pStyle w:val="TableParagraph"/>
              <w:spacing w:before="15"/>
              <w:ind w:right="177"/>
              <w:rPr>
                <w:sz w:val="15"/>
              </w:rPr>
            </w:pPr>
            <w:r>
              <w:rPr>
                <w:sz w:val="15"/>
              </w:rPr>
              <w:t>1.814</w:t>
            </w:r>
          </w:p>
        </w:tc>
        <w:tc>
          <w:tcPr>
            <w:tcW w:w="972" w:type="dxa"/>
            <w:tcBorders>
              <w:top w:val="nil"/>
              <w:bottom w:val="nil"/>
            </w:tcBorders>
          </w:tcPr>
          <w:p>
            <w:pPr>
              <w:pStyle w:val="TableParagraph"/>
              <w:spacing w:before="15"/>
              <w:ind w:right="177"/>
              <w:rPr>
                <w:sz w:val="15"/>
              </w:rPr>
            </w:pPr>
            <w:r>
              <w:rPr>
                <w:sz w:val="15"/>
              </w:rPr>
              <w:t>533</w:t>
            </w:r>
          </w:p>
        </w:tc>
        <w:tc>
          <w:tcPr>
            <w:tcW w:w="972" w:type="dxa"/>
            <w:tcBorders>
              <w:top w:val="nil"/>
              <w:bottom w:val="nil"/>
            </w:tcBorders>
          </w:tcPr>
          <w:p>
            <w:pPr>
              <w:pStyle w:val="TableParagraph"/>
              <w:spacing w:before="15"/>
              <w:ind w:right="177"/>
              <w:rPr>
                <w:sz w:val="15"/>
              </w:rPr>
            </w:pPr>
            <w:r>
              <w:rPr>
                <w:sz w:val="15"/>
              </w:rPr>
              <w:t>13</w:t>
            </w:r>
          </w:p>
        </w:tc>
        <w:tc>
          <w:tcPr>
            <w:tcW w:w="972" w:type="dxa"/>
            <w:tcBorders>
              <w:top w:val="nil"/>
              <w:bottom w:val="nil"/>
            </w:tcBorders>
          </w:tcPr>
          <w:p>
            <w:pPr>
              <w:pStyle w:val="TableParagraph"/>
              <w:spacing w:before="15"/>
              <w:ind w:right="177"/>
              <w:rPr>
                <w:sz w:val="15"/>
              </w:rPr>
            </w:pPr>
            <w:r>
              <w:rPr>
                <w:sz w:val="15"/>
              </w:rPr>
              <w:t>2.360</w:t>
            </w:r>
          </w:p>
        </w:tc>
      </w:tr>
      <w:tr>
        <w:trPr>
          <w:trHeight w:val="198" w:hRule="exact"/>
        </w:trPr>
        <w:tc>
          <w:tcPr>
            <w:tcW w:w="576" w:type="dxa"/>
            <w:tcBorders>
              <w:top w:val="nil"/>
              <w:bottom w:val="nil"/>
            </w:tcBorders>
          </w:tcPr>
          <w:p>
            <w:pPr>
              <w:pStyle w:val="TableParagraph"/>
              <w:spacing w:before="15"/>
              <w:jc w:val="center"/>
              <w:rPr>
                <w:sz w:val="15"/>
              </w:rPr>
            </w:pPr>
            <w:r>
              <w:rPr>
                <w:sz w:val="15"/>
              </w:rPr>
              <w:t>10140</w:t>
            </w:r>
          </w:p>
        </w:tc>
        <w:tc>
          <w:tcPr>
            <w:tcW w:w="2293" w:type="dxa"/>
            <w:tcBorders>
              <w:top w:val="nil"/>
              <w:bottom w:val="nil"/>
            </w:tcBorders>
          </w:tcPr>
          <w:p>
            <w:pPr>
              <w:pStyle w:val="TableParagraph"/>
              <w:spacing w:before="15"/>
              <w:ind w:left="18"/>
              <w:jc w:val="left"/>
              <w:rPr>
                <w:sz w:val="15"/>
              </w:rPr>
            </w:pPr>
            <w:r>
              <w:rPr>
                <w:sz w:val="15"/>
              </w:rPr>
              <w:t>CERETI ALESSANDRA</w:t>
            </w:r>
          </w:p>
        </w:tc>
        <w:tc>
          <w:tcPr>
            <w:tcW w:w="972" w:type="dxa"/>
            <w:tcBorders>
              <w:top w:val="nil"/>
              <w:bottom w:val="nil"/>
            </w:tcBorders>
          </w:tcPr>
          <w:p>
            <w:pPr>
              <w:pStyle w:val="TableParagraph"/>
              <w:spacing w:before="15"/>
              <w:ind w:right="177"/>
              <w:rPr>
                <w:sz w:val="15"/>
              </w:rPr>
            </w:pPr>
            <w:r>
              <w:rPr>
                <w:sz w:val="15"/>
              </w:rPr>
              <w:t>1.571</w:t>
            </w:r>
          </w:p>
        </w:tc>
        <w:tc>
          <w:tcPr>
            <w:tcW w:w="972" w:type="dxa"/>
            <w:tcBorders>
              <w:top w:val="nil"/>
              <w:bottom w:val="nil"/>
            </w:tcBorders>
          </w:tcPr>
          <w:p>
            <w:pPr>
              <w:pStyle w:val="TableParagraph"/>
              <w:spacing w:before="15"/>
              <w:ind w:right="177"/>
              <w:rPr>
                <w:sz w:val="15"/>
              </w:rPr>
            </w:pPr>
            <w:r>
              <w:rPr>
                <w:sz w:val="15"/>
              </w:rPr>
              <w:t>461</w:t>
            </w:r>
          </w:p>
        </w:tc>
        <w:tc>
          <w:tcPr>
            <w:tcW w:w="972" w:type="dxa"/>
            <w:tcBorders>
              <w:top w:val="nil"/>
              <w:bottom w:val="nil"/>
            </w:tcBorders>
          </w:tcPr>
          <w:p>
            <w:pPr>
              <w:pStyle w:val="TableParagraph"/>
              <w:spacing w:before="15"/>
              <w:ind w:right="177"/>
              <w:rPr>
                <w:sz w:val="15"/>
              </w:rPr>
            </w:pPr>
            <w:r>
              <w:rPr>
                <w:sz w:val="15"/>
              </w:rPr>
              <w:t>14</w:t>
            </w:r>
          </w:p>
        </w:tc>
        <w:tc>
          <w:tcPr>
            <w:tcW w:w="972" w:type="dxa"/>
            <w:tcBorders>
              <w:top w:val="nil"/>
              <w:bottom w:val="nil"/>
            </w:tcBorders>
          </w:tcPr>
          <w:p>
            <w:pPr>
              <w:pStyle w:val="TableParagraph"/>
              <w:spacing w:before="15"/>
              <w:ind w:right="177"/>
              <w:rPr>
                <w:sz w:val="15"/>
              </w:rPr>
            </w:pPr>
            <w:r>
              <w:rPr>
                <w:sz w:val="15"/>
              </w:rPr>
              <w:t>2.046</w:t>
            </w:r>
          </w:p>
        </w:tc>
      </w:tr>
      <w:tr>
        <w:trPr>
          <w:trHeight w:val="198" w:hRule="exact"/>
        </w:trPr>
        <w:tc>
          <w:tcPr>
            <w:tcW w:w="576" w:type="dxa"/>
            <w:tcBorders>
              <w:top w:val="nil"/>
              <w:bottom w:val="nil"/>
            </w:tcBorders>
          </w:tcPr>
          <w:p>
            <w:pPr>
              <w:pStyle w:val="TableParagraph"/>
              <w:spacing w:before="15"/>
              <w:jc w:val="center"/>
              <w:rPr>
                <w:sz w:val="15"/>
              </w:rPr>
            </w:pPr>
            <w:r>
              <w:rPr>
                <w:sz w:val="15"/>
              </w:rPr>
              <w:t>10321</w:t>
            </w:r>
          </w:p>
        </w:tc>
        <w:tc>
          <w:tcPr>
            <w:tcW w:w="2293" w:type="dxa"/>
            <w:tcBorders>
              <w:top w:val="nil"/>
              <w:bottom w:val="nil"/>
            </w:tcBorders>
          </w:tcPr>
          <w:p>
            <w:pPr>
              <w:pStyle w:val="TableParagraph"/>
              <w:spacing w:before="15"/>
              <w:ind w:left="18"/>
              <w:jc w:val="left"/>
              <w:rPr>
                <w:sz w:val="15"/>
              </w:rPr>
            </w:pPr>
            <w:r>
              <w:rPr>
                <w:sz w:val="15"/>
              </w:rPr>
              <w:t>COBROR SANDRO</w:t>
            </w:r>
          </w:p>
        </w:tc>
        <w:tc>
          <w:tcPr>
            <w:tcW w:w="972" w:type="dxa"/>
            <w:tcBorders>
              <w:top w:val="nil"/>
              <w:bottom w:val="nil"/>
            </w:tcBorders>
          </w:tcPr>
          <w:p>
            <w:pPr>
              <w:pStyle w:val="TableParagraph"/>
              <w:spacing w:before="15"/>
              <w:ind w:right="177"/>
              <w:rPr>
                <w:sz w:val="15"/>
              </w:rPr>
            </w:pPr>
            <w:r>
              <w:rPr>
                <w:sz w:val="15"/>
              </w:rPr>
              <w:t>5.889</w:t>
            </w:r>
          </w:p>
        </w:tc>
        <w:tc>
          <w:tcPr>
            <w:tcW w:w="972" w:type="dxa"/>
            <w:tcBorders>
              <w:top w:val="nil"/>
              <w:bottom w:val="nil"/>
            </w:tcBorders>
          </w:tcPr>
          <w:p>
            <w:pPr>
              <w:pStyle w:val="TableParagraph"/>
              <w:spacing w:before="15"/>
              <w:ind w:right="177"/>
              <w:rPr>
                <w:sz w:val="15"/>
              </w:rPr>
            </w:pPr>
            <w:r>
              <w:rPr>
                <w:sz w:val="15"/>
              </w:rPr>
              <w:t>1.783</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7.672</w:t>
            </w:r>
          </w:p>
        </w:tc>
      </w:tr>
      <w:tr>
        <w:trPr>
          <w:trHeight w:val="198" w:hRule="exact"/>
        </w:trPr>
        <w:tc>
          <w:tcPr>
            <w:tcW w:w="576" w:type="dxa"/>
            <w:tcBorders>
              <w:top w:val="nil"/>
              <w:bottom w:val="nil"/>
            </w:tcBorders>
          </w:tcPr>
          <w:p>
            <w:pPr>
              <w:pStyle w:val="TableParagraph"/>
              <w:spacing w:before="15"/>
              <w:jc w:val="center"/>
              <w:rPr>
                <w:sz w:val="15"/>
              </w:rPr>
            </w:pPr>
            <w:r>
              <w:rPr>
                <w:sz w:val="15"/>
              </w:rPr>
              <w:t>10167</w:t>
            </w:r>
          </w:p>
        </w:tc>
        <w:tc>
          <w:tcPr>
            <w:tcW w:w="2293" w:type="dxa"/>
            <w:tcBorders>
              <w:top w:val="nil"/>
              <w:bottom w:val="nil"/>
            </w:tcBorders>
          </w:tcPr>
          <w:p>
            <w:pPr>
              <w:pStyle w:val="TableParagraph"/>
              <w:spacing w:before="15"/>
              <w:ind w:left="18"/>
              <w:jc w:val="left"/>
              <w:rPr>
                <w:sz w:val="15"/>
              </w:rPr>
            </w:pPr>
            <w:r>
              <w:rPr>
                <w:sz w:val="15"/>
              </w:rPr>
              <w:t>COLLA MICHELE</w:t>
            </w:r>
          </w:p>
        </w:tc>
        <w:tc>
          <w:tcPr>
            <w:tcW w:w="972" w:type="dxa"/>
            <w:tcBorders>
              <w:top w:val="nil"/>
              <w:bottom w:val="nil"/>
            </w:tcBorders>
          </w:tcPr>
          <w:p>
            <w:pPr>
              <w:pStyle w:val="TableParagraph"/>
              <w:spacing w:before="15"/>
              <w:ind w:right="177"/>
              <w:rPr>
                <w:sz w:val="15"/>
              </w:rPr>
            </w:pPr>
            <w:r>
              <w:rPr>
                <w:sz w:val="15"/>
              </w:rPr>
              <w:t>1.422</w:t>
            </w:r>
          </w:p>
        </w:tc>
        <w:tc>
          <w:tcPr>
            <w:tcW w:w="972" w:type="dxa"/>
            <w:tcBorders>
              <w:top w:val="nil"/>
              <w:bottom w:val="nil"/>
            </w:tcBorders>
          </w:tcPr>
          <w:p>
            <w:pPr>
              <w:pStyle w:val="TableParagraph"/>
              <w:spacing w:before="15"/>
              <w:ind w:right="177"/>
              <w:rPr>
                <w:sz w:val="15"/>
              </w:rPr>
            </w:pPr>
            <w:r>
              <w:rPr>
                <w:sz w:val="15"/>
              </w:rPr>
              <w:t>417</w:t>
            </w:r>
          </w:p>
        </w:tc>
        <w:tc>
          <w:tcPr>
            <w:tcW w:w="972" w:type="dxa"/>
            <w:tcBorders>
              <w:top w:val="nil"/>
              <w:bottom w:val="nil"/>
            </w:tcBorders>
          </w:tcPr>
          <w:p>
            <w:pPr>
              <w:pStyle w:val="TableParagraph"/>
              <w:spacing w:before="15"/>
              <w:ind w:right="183"/>
              <w:rPr>
                <w:sz w:val="15"/>
              </w:rPr>
            </w:pPr>
            <w:r>
              <w:rPr>
                <w:w w:val="100"/>
                <w:sz w:val="15"/>
              </w:rPr>
              <w:t>7</w:t>
            </w:r>
          </w:p>
        </w:tc>
        <w:tc>
          <w:tcPr>
            <w:tcW w:w="972" w:type="dxa"/>
            <w:tcBorders>
              <w:top w:val="nil"/>
              <w:bottom w:val="nil"/>
            </w:tcBorders>
          </w:tcPr>
          <w:p>
            <w:pPr>
              <w:pStyle w:val="TableParagraph"/>
              <w:spacing w:before="15"/>
              <w:ind w:right="177"/>
              <w:rPr>
                <w:sz w:val="15"/>
              </w:rPr>
            </w:pPr>
            <w:r>
              <w:rPr>
                <w:sz w:val="15"/>
              </w:rPr>
              <w:t>1.846</w:t>
            </w:r>
          </w:p>
        </w:tc>
      </w:tr>
      <w:tr>
        <w:trPr>
          <w:trHeight w:val="198" w:hRule="exact"/>
        </w:trPr>
        <w:tc>
          <w:tcPr>
            <w:tcW w:w="576" w:type="dxa"/>
            <w:tcBorders>
              <w:top w:val="nil"/>
              <w:bottom w:val="nil"/>
            </w:tcBorders>
          </w:tcPr>
          <w:p>
            <w:pPr>
              <w:pStyle w:val="TableParagraph"/>
              <w:spacing w:before="15"/>
              <w:jc w:val="center"/>
              <w:rPr>
                <w:sz w:val="15"/>
              </w:rPr>
            </w:pPr>
            <w:r>
              <w:rPr>
                <w:sz w:val="15"/>
              </w:rPr>
              <w:t>10042</w:t>
            </w:r>
          </w:p>
        </w:tc>
        <w:tc>
          <w:tcPr>
            <w:tcW w:w="2293" w:type="dxa"/>
            <w:tcBorders>
              <w:top w:val="nil"/>
              <w:bottom w:val="nil"/>
            </w:tcBorders>
          </w:tcPr>
          <w:p>
            <w:pPr>
              <w:pStyle w:val="TableParagraph"/>
              <w:spacing w:before="15"/>
              <w:ind w:left="18"/>
              <w:jc w:val="left"/>
              <w:rPr>
                <w:sz w:val="15"/>
              </w:rPr>
            </w:pPr>
            <w:r>
              <w:rPr>
                <w:sz w:val="15"/>
              </w:rPr>
              <w:t>CORBELLANI PAOLO</w:t>
            </w:r>
          </w:p>
        </w:tc>
        <w:tc>
          <w:tcPr>
            <w:tcW w:w="972" w:type="dxa"/>
            <w:tcBorders>
              <w:top w:val="nil"/>
              <w:bottom w:val="nil"/>
            </w:tcBorders>
          </w:tcPr>
          <w:p>
            <w:pPr>
              <w:pStyle w:val="TableParagraph"/>
              <w:spacing w:before="15"/>
              <w:ind w:right="177"/>
              <w:rPr>
                <w:sz w:val="15"/>
              </w:rPr>
            </w:pPr>
            <w:r>
              <w:rPr>
                <w:sz w:val="15"/>
              </w:rPr>
              <w:t>3.820</w:t>
            </w:r>
          </w:p>
        </w:tc>
        <w:tc>
          <w:tcPr>
            <w:tcW w:w="972" w:type="dxa"/>
            <w:tcBorders>
              <w:top w:val="nil"/>
              <w:bottom w:val="nil"/>
            </w:tcBorders>
          </w:tcPr>
          <w:p>
            <w:pPr>
              <w:pStyle w:val="TableParagraph"/>
              <w:spacing w:before="15"/>
              <w:ind w:right="177"/>
              <w:rPr>
                <w:sz w:val="15"/>
              </w:rPr>
            </w:pPr>
            <w:r>
              <w:rPr>
                <w:sz w:val="15"/>
              </w:rPr>
              <w:t>1.122</w:t>
            </w:r>
          </w:p>
        </w:tc>
        <w:tc>
          <w:tcPr>
            <w:tcW w:w="972" w:type="dxa"/>
            <w:tcBorders>
              <w:top w:val="nil"/>
              <w:bottom w:val="nil"/>
            </w:tcBorders>
          </w:tcPr>
          <w:p>
            <w:pPr>
              <w:pStyle w:val="TableParagraph"/>
              <w:spacing w:before="15"/>
              <w:ind w:right="177"/>
              <w:rPr>
                <w:sz w:val="15"/>
              </w:rPr>
            </w:pPr>
            <w:r>
              <w:rPr>
                <w:sz w:val="15"/>
              </w:rPr>
              <w:t>42</w:t>
            </w:r>
          </w:p>
        </w:tc>
        <w:tc>
          <w:tcPr>
            <w:tcW w:w="972" w:type="dxa"/>
            <w:tcBorders>
              <w:top w:val="nil"/>
              <w:bottom w:val="nil"/>
            </w:tcBorders>
          </w:tcPr>
          <w:p>
            <w:pPr>
              <w:pStyle w:val="TableParagraph"/>
              <w:spacing w:before="15"/>
              <w:ind w:right="177"/>
              <w:rPr>
                <w:sz w:val="15"/>
              </w:rPr>
            </w:pPr>
            <w:r>
              <w:rPr>
                <w:sz w:val="15"/>
              </w:rPr>
              <w:t>4.984</w:t>
            </w:r>
          </w:p>
        </w:tc>
      </w:tr>
      <w:tr>
        <w:trPr>
          <w:trHeight w:val="198" w:hRule="exact"/>
        </w:trPr>
        <w:tc>
          <w:tcPr>
            <w:tcW w:w="576" w:type="dxa"/>
            <w:tcBorders>
              <w:top w:val="nil"/>
              <w:bottom w:val="nil"/>
            </w:tcBorders>
          </w:tcPr>
          <w:p>
            <w:pPr>
              <w:pStyle w:val="TableParagraph"/>
              <w:spacing w:before="15"/>
              <w:jc w:val="center"/>
              <w:rPr>
                <w:sz w:val="15"/>
              </w:rPr>
            </w:pPr>
            <w:r>
              <w:rPr>
                <w:sz w:val="15"/>
              </w:rPr>
              <w:t>10076</w:t>
            </w:r>
          </w:p>
        </w:tc>
        <w:tc>
          <w:tcPr>
            <w:tcW w:w="2293" w:type="dxa"/>
            <w:tcBorders>
              <w:top w:val="nil"/>
              <w:bottom w:val="nil"/>
            </w:tcBorders>
          </w:tcPr>
          <w:p>
            <w:pPr>
              <w:pStyle w:val="TableParagraph"/>
              <w:spacing w:before="15"/>
              <w:ind w:left="18"/>
              <w:jc w:val="left"/>
              <w:rPr>
                <w:sz w:val="15"/>
              </w:rPr>
            </w:pPr>
            <w:r>
              <w:rPr>
                <w:sz w:val="15"/>
              </w:rPr>
              <w:t>DE FAVERI DANILO</w:t>
            </w:r>
          </w:p>
        </w:tc>
        <w:tc>
          <w:tcPr>
            <w:tcW w:w="972" w:type="dxa"/>
            <w:tcBorders>
              <w:top w:val="nil"/>
              <w:bottom w:val="nil"/>
            </w:tcBorders>
          </w:tcPr>
          <w:p>
            <w:pPr>
              <w:pStyle w:val="TableParagraph"/>
              <w:spacing w:before="15"/>
              <w:ind w:right="177"/>
              <w:rPr>
                <w:sz w:val="15"/>
              </w:rPr>
            </w:pPr>
            <w:r>
              <w:rPr>
                <w:sz w:val="15"/>
              </w:rPr>
              <w:t>3.335</w:t>
            </w:r>
          </w:p>
        </w:tc>
        <w:tc>
          <w:tcPr>
            <w:tcW w:w="972" w:type="dxa"/>
            <w:tcBorders>
              <w:top w:val="nil"/>
              <w:bottom w:val="nil"/>
            </w:tcBorders>
          </w:tcPr>
          <w:p>
            <w:pPr>
              <w:pStyle w:val="TableParagraph"/>
              <w:spacing w:before="15"/>
              <w:ind w:right="177"/>
              <w:rPr>
                <w:sz w:val="15"/>
              </w:rPr>
            </w:pPr>
            <w:r>
              <w:rPr>
                <w:sz w:val="15"/>
              </w:rPr>
              <w:t>979</w:t>
            </w:r>
          </w:p>
        </w:tc>
        <w:tc>
          <w:tcPr>
            <w:tcW w:w="972" w:type="dxa"/>
            <w:tcBorders>
              <w:top w:val="nil"/>
              <w:bottom w:val="nil"/>
            </w:tcBorders>
          </w:tcPr>
          <w:p>
            <w:pPr>
              <w:pStyle w:val="TableParagraph"/>
              <w:spacing w:before="15"/>
              <w:ind w:right="177"/>
              <w:rPr>
                <w:sz w:val="15"/>
              </w:rPr>
            </w:pPr>
            <w:r>
              <w:rPr>
                <w:sz w:val="15"/>
              </w:rPr>
              <w:t>67</w:t>
            </w:r>
          </w:p>
        </w:tc>
        <w:tc>
          <w:tcPr>
            <w:tcW w:w="972" w:type="dxa"/>
            <w:tcBorders>
              <w:top w:val="nil"/>
              <w:bottom w:val="nil"/>
            </w:tcBorders>
          </w:tcPr>
          <w:p>
            <w:pPr>
              <w:pStyle w:val="TableParagraph"/>
              <w:spacing w:before="15"/>
              <w:ind w:right="177"/>
              <w:rPr>
                <w:sz w:val="15"/>
              </w:rPr>
            </w:pPr>
            <w:r>
              <w:rPr>
                <w:sz w:val="15"/>
              </w:rPr>
              <w:t>4.381</w:t>
            </w:r>
          </w:p>
        </w:tc>
      </w:tr>
      <w:tr>
        <w:trPr>
          <w:trHeight w:val="198" w:hRule="exact"/>
        </w:trPr>
        <w:tc>
          <w:tcPr>
            <w:tcW w:w="576" w:type="dxa"/>
            <w:tcBorders>
              <w:top w:val="nil"/>
              <w:bottom w:val="nil"/>
            </w:tcBorders>
          </w:tcPr>
          <w:p>
            <w:pPr>
              <w:pStyle w:val="TableParagraph"/>
              <w:spacing w:before="15"/>
              <w:jc w:val="center"/>
              <w:rPr>
                <w:sz w:val="15"/>
              </w:rPr>
            </w:pPr>
            <w:r>
              <w:rPr>
                <w:sz w:val="15"/>
              </w:rPr>
              <w:t>10319</w:t>
            </w:r>
          </w:p>
        </w:tc>
        <w:tc>
          <w:tcPr>
            <w:tcW w:w="2293" w:type="dxa"/>
            <w:tcBorders>
              <w:top w:val="nil"/>
              <w:bottom w:val="nil"/>
            </w:tcBorders>
          </w:tcPr>
          <w:p>
            <w:pPr>
              <w:pStyle w:val="TableParagraph"/>
              <w:spacing w:before="15"/>
              <w:ind w:left="18"/>
              <w:jc w:val="left"/>
              <w:rPr>
                <w:sz w:val="15"/>
              </w:rPr>
            </w:pPr>
            <w:r>
              <w:rPr>
                <w:sz w:val="15"/>
              </w:rPr>
              <w:t>DE VITA ANDREA</w:t>
            </w:r>
          </w:p>
        </w:tc>
        <w:tc>
          <w:tcPr>
            <w:tcW w:w="972" w:type="dxa"/>
            <w:tcBorders>
              <w:top w:val="nil"/>
              <w:bottom w:val="nil"/>
            </w:tcBorders>
          </w:tcPr>
          <w:p>
            <w:pPr>
              <w:pStyle w:val="TableParagraph"/>
              <w:spacing w:before="15"/>
              <w:ind w:right="177"/>
              <w:rPr>
                <w:sz w:val="15"/>
              </w:rPr>
            </w:pPr>
            <w:r>
              <w:rPr>
                <w:sz w:val="15"/>
              </w:rPr>
              <w:t>4.615</w:t>
            </w:r>
          </w:p>
        </w:tc>
        <w:tc>
          <w:tcPr>
            <w:tcW w:w="972" w:type="dxa"/>
            <w:tcBorders>
              <w:top w:val="nil"/>
              <w:bottom w:val="nil"/>
            </w:tcBorders>
          </w:tcPr>
          <w:p>
            <w:pPr>
              <w:pStyle w:val="TableParagraph"/>
              <w:spacing w:before="15"/>
              <w:ind w:right="177"/>
              <w:rPr>
                <w:sz w:val="15"/>
              </w:rPr>
            </w:pPr>
            <w:r>
              <w:rPr>
                <w:sz w:val="15"/>
              </w:rPr>
              <w:t>1.244</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5.860</w:t>
            </w:r>
          </w:p>
        </w:tc>
      </w:tr>
      <w:tr>
        <w:trPr>
          <w:trHeight w:val="198" w:hRule="exact"/>
        </w:trPr>
        <w:tc>
          <w:tcPr>
            <w:tcW w:w="576" w:type="dxa"/>
            <w:tcBorders>
              <w:top w:val="nil"/>
              <w:bottom w:val="nil"/>
            </w:tcBorders>
          </w:tcPr>
          <w:p>
            <w:pPr>
              <w:pStyle w:val="TableParagraph"/>
              <w:spacing w:before="15"/>
              <w:jc w:val="center"/>
              <w:rPr>
                <w:sz w:val="15"/>
              </w:rPr>
            </w:pPr>
            <w:r>
              <w:rPr>
                <w:sz w:val="15"/>
              </w:rPr>
              <w:t>10056</w:t>
            </w:r>
          </w:p>
        </w:tc>
        <w:tc>
          <w:tcPr>
            <w:tcW w:w="2293" w:type="dxa"/>
            <w:tcBorders>
              <w:top w:val="nil"/>
              <w:bottom w:val="nil"/>
            </w:tcBorders>
          </w:tcPr>
          <w:p>
            <w:pPr>
              <w:pStyle w:val="TableParagraph"/>
              <w:spacing w:before="15"/>
              <w:ind w:left="18"/>
              <w:jc w:val="left"/>
              <w:rPr>
                <w:sz w:val="15"/>
              </w:rPr>
            </w:pPr>
            <w:r>
              <w:rPr>
                <w:sz w:val="15"/>
              </w:rPr>
              <w:t>FERRARI GIANLUCA</w:t>
            </w:r>
          </w:p>
        </w:tc>
        <w:tc>
          <w:tcPr>
            <w:tcW w:w="972" w:type="dxa"/>
            <w:tcBorders>
              <w:top w:val="nil"/>
              <w:bottom w:val="nil"/>
            </w:tcBorders>
          </w:tcPr>
          <w:p>
            <w:pPr>
              <w:pStyle w:val="TableParagraph"/>
              <w:spacing w:before="15"/>
              <w:ind w:right="177"/>
              <w:rPr>
                <w:sz w:val="15"/>
              </w:rPr>
            </w:pPr>
            <w:r>
              <w:rPr>
                <w:sz w:val="15"/>
              </w:rPr>
              <w:t>7.006</w:t>
            </w:r>
          </w:p>
        </w:tc>
        <w:tc>
          <w:tcPr>
            <w:tcW w:w="972" w:type="dxa"/>
            <w:tcBorders>
              <w:top w:val="nil"/>
              <w:bottom w:val="nil"/>
            </w:tcBorders>
          </w:tcPr>
          <w:p>
            <w:pPr>
              <w:pStyle w:val="TableParagraph"/>
              <w:spacing w:before="15"/>
              <w:ind w:right="177"/>
              <w:rPr>
                <w:sz w:val="15"/>
              </w:rPr>
            </w:pPr>
            <w:r>
              <w:rPr>
                <w:sz w:val="15"/>
              </w:rPr>
              <w:t>2.049</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9.055</w:t>
            </w:r>
          </w:p>
        </w:tc>
      </w:tr>
      <w:tr>
        <w:trPr>
          <w:trHeight w:val="198" w:hRule="exact"/>
        </w:trPr>
        <w:tc>
          <w:tcPr>
            <w:tcW w:w="576" w:type="dxa"/>
            <w:tcBorders>
              <w:top w:val="nil"/>
              <w:bottom w:val="nil"/>
            </w:tcBorders>
          </w:tcPr>
          <w:p>
            <w:pPr>
              <w:pStyle w:val="TableParagraph"/>
              <w:spacing w:before="15"/>
              <w:jc w:val="center"/>
              <w:rPr>
                <w:sz w:val="15"/>
              </w:rPr>
            </w:pPr>
            <w:r>
              <w:rPr>
                <w:sz w:val="15"/>
              </w:rPr>
              <w:t>10049</w:t>
            </w:r>
          </w:p>
        </w:tc>
        <w:tc>
          <w:tcPr>
            <w:tcW w:w="2293" w:type="dxa"/>
            <w:tcBorders>
              <w:top w:val="nil"/>
              <w:bottom w:val="nil"/>
            </w:tcBorders>
          </w:tcPr>
          <w:p>
            <w:pPr>
              <w:pStyle w:val="TableParagraph"/>
              <w:spacing w:before="15"/>
              <w:ind w:left="18"/>
              <w:jc w:val="left"/>
              <w:rPr>
                <w:sz w:val="15"/>
              </w:rPr>
            </w:pPr>
            <w:r>
              <w:rPr>
                <w:sz w:val="15"/>
              </w:rPr>
              <w:t>FERRERO SIMONE</w:t>
            </w:r>
          </w:p>
        </w:tc>
        <w:tc>
          <w:tcPr>
            <w:tcW w:w="972" w:type="dxa"/>
            <w:tcBorders>
              <w:top w:val="nil"/>
              <w:bottom w:val="nil"/>
            </w:tcBorders>
          </w:tcPr>
          <w:p>
            <w:pPr>
              <w:pStyle w:val="TableParagraph"/>
              <w:spacing w:before="15"/>
              <w:ind w:right="177"/>
              <w:rPr>
                <w:sz w:val="15"/>
              </w:rPr>
            </w:pPr>
            <w:r>
              <w:rPr>
                <w:sz w:val="15"/>
              </w:rPr>
              <w:t>4.043</w:t>
            </w:r>
          </w:p>
        </w:tc>
        <w:tc>
          <w:tcPr>
            <w:tcW w:w="972" w:type="dxa"/>
            <w:tcBorders>
              <w:top w:val="nil"/>
              <w:bottom w:val="nil"/>
            </w:tcBorders>
          </w:tcPr>
          <w:p>
            <w:pPr>
              <w:pStyle w:val="TableParagraph"/>
              <w:spacing w:before="15"/>
              <w:ind w:right="177"/>
              <w:rPr>
                <w:sz w:val="15"/>
              </w:rPr>
            </w:pPr>
            <w:r>
              <w:rPr>
                <w:sz w:val="15"/>
              </w:rPr>
              <w:t>1.260</w:t>
            </w:r>
          </w:p>
        </w:tc>
        <w:tc>
          <w:tcPr>
            <w:tcW w:w="972" w:type="dxa"/>
            <w:tcBorders>
              <w:top w:val="nil"/>
              <w:bottom w:val="nil"/>
            </w:tcBorders>
          </w:tcPr>
          <w:p>
            <w:pPr>
              <w:pStyle w:val="TableParagraph"/>
              <w:spacing w:before="15"/>
              <w:ind w:right="177"/>
              <w:rPr>
                <w:sz w:val="15"/>
              </w:rPr>
            </w:pPr>
            <w:r>
              <w:rPr>
                <w:sz w:val="15"/>
              </w:rPr>
              <w:t>45</w:t>
            </w:r>
          </w:p>
        </w:tc>
        <w:tc>
          <w:tcPr>
            <w:tcW w:w="972" w:type="dxa"/>
            <w:tcBorders>
              <w:top w:val="nil"/>
              <w:bottom w:val="nil"/>
            </w:tcBorders>
          </w:tcPr>
          <w:p>
            <w:pPr>
              <w:pStyle w:val="TableParagraph"/>
              <w:spacing w:before="15"/>
              <w:ind w:right="177"/>
              <w:rPr>
                <w:sz w:val="15"/>
              </w:rPr>
            </w:pPr>
            <w:r>
              <w:rPr>
                <w:sz w:val="15"/>
              </w:rPr>
              <w:t>5.348</w:t>
            </w:r>
          </w:p>
        </w:tc>
      </w:tr>
      <w:tr>
        <w:trPr>
          <w:trHeight w:val="198" w:hRule="exact"/>
        </w:trPr>
        <w:tc>
          <w:tcPr>
            <w:tcW w:w="576" w:type="dxa"/>
            <w:tcBorders>
              <w:top w:val="nil"/>
              <w:bottom w:val="nil"/>
            </w:tcBorders>
          </w:tcPr>
          <w:p>
            <w:pPr>
              <w:pStyle w:val="TableParagraph"/>
              <w:spacing w:before="15"/>
              <w:jc w:val="center"/>
              <w:rPr>
                <w:sz w:val="15"/>
              </w:rPr>
            </w:pPr>
            <w:r>
              <w:rPr>
                <w:sz w:val="15"/>
              </w:rPr>
              <w:t>10069</w:t>
            </w:r>
          </w:p>
        </w:tc>
        <w:tc>
          <w:tcPr>
            <w:tcW w:w="2293" w:type="dxa"/>
            <w:tcBorders>
              <w:top w:val="nil"/>
              <w:bottom w:val="nil"/>
            </w:tcBorders>
          </w:tcPr>
          <w:p>
            <w:pPr>
              <w:pStyle w:val="TableParagraph"/>
              <w:spacing w:before="15"/>
              <w:ind w:left="18"/>
              <w:jc w:val="left"/>
              <w:rPr>
                <w:sz w:val="15"/>
              </w:rPr>
            </w:pPr>
            <w:r>
              <w:rPr>
                <w:sz w:val="15"/>
              </w:rPr>
              <w:t>FRANCHINI ELENA</w:t>
            </w:r>
          </w:p>
        </w:tc>
        <w:tc>
          <w:tcPr>
            <w:tcW w:w="972" w:type="dxa"/>
            <w:tcBorders>
              <w:top w:val="nil"/>
              <w:bottom w:val="nil"/>
            </w:tcBorders>
          </w:tcPr>
          <w:p>
            <w:pPr>
              <w:pStyle w:val="TableParagraph"/>
              <w:spacing w:before="15"/>
              <w:ind w:right="177"/>
              <w:rPr>
                <w:sz w:val="15"/>
              </w:rPr>
            </w:pPr>
            <w:r>
              <w:rPr>
                <w:sz w:val="15"/>
              </w:rPr>
              <w:t>1.606</w:t>
            </w:r>
          </w:p>
        </w:tc>
        <w:tc>
          <w:tcPr>
            <w:tcW w:w="972" w:type="dxa"/>
            <w:tcBorders>
              <w:top w:val="nil"/>
              <w:bottom w:val="nil"/>
            </w:tcBorders>
          </w:tcPr>
          <w:p>
            <w:pPr>
              <w:pStyle w:val="TableParagraph"/>
              <w:spacing w:before="15"/>
              <w:ind w:right="177"/>
              <w:rPr>
                <w:sz w:val="15"/>
              </w:rPr>
            </w:pPr>
            <w:r>
              <w:rPr>
                <w:sz w:val="15"/>
              </w:rPr>
              <w:t>471</w:t>
            </w:r>
          </w:p>
        </w:tc>
        <w:tc>
          <w:tcPr>
            <w:tcW w:w="972" w:type="dxa"/>
            <w:tcBorders>
              <w:top w:val="nil"/>
              <w:bottom w:val="nil"/>
            </w:tcBorders>
          </w:tcPr>
          <w:p>
            <w:pPr>
              <w:pStyle w:val="TableParagraph"/>
              <w:spacing w:before="15"/>
              <w:ind w:right="183"/>
              <w:rPr>
                <w:sz w:val="15"/>
              </w:rPr>
            </w:pPr>
            <w:r>
              <w:rPr>
                <w:w w:val="100"/>
                <w:sz w:val="15"/>
              </w:rPr>
              <w:t>8</w:t>
            </w:r>
          </w:p>
        </w:tc>
        <w:tc>
          <w:tcPr>
            <w:tcW w:w="972" w:type="dxa"/>
            <w:tcBorders>
              <w:top w:val="nil"/>
              <w:bottom w:val="nil"/>
            </w:tcBorders>
          </w:tcPr>
          <w:p>
            <w:pPr>
              <w:pStyle w:val="TableParagraph"/>
              <w:spacing w:before="15"/>
              <w:ind w:right="177"/>
              <w:rPr>
                <w:sz w:val="15"/>
              </w:rPr>
            </w:pPr>
            <w:r>
              <w:rPr>
                <w:sz w:val="15"/>
              </w:rPr>
              <w:t>2.085</w:t>
            </w:r>
          </w:p>
        </w:tc>
      </w:tr>
      <w:tr>
        <w:trPr>
          <w:trHeight w:val="198" w:hRule="exact"/>
        </w:trPr>
        <w:tc>
          <w:tcPr>
            <w:tcW w:w="576" w:type="dxa"/>
            <w:tcBorders>
              <w:top w:val="nil"/>
              <w:bottom w:val="nil"/>
            </w:tcBorders>
          </w:tcPr>
          <w:p>
            <w:pPr>
              <w:pStyle w:val="TableParagraph"/>
              <w:spacing w:before="15"/>
              <w:jc w:val="center"/>
              <w:rPr>
                <w:sz w:val="15"/>
              </w:rPr>
            </w:pPr>
            <w:r>
              <w:rPr>
                <w:sz w:val="15"/>
              </w:rPr>
              <w:t>10146</w:t>
            </w:r>
          </w:p>
        </w:tc>
        <w:tc>
          <w:tcPr>
            <w:tcW w:w="2293" w:type="dxa"/>
            <w:tcBorders>
              <w:top w:val="nil"/>
              <w:bottom w:val="nil"/>
            </w:tcBorders>
          </w:tcPr>
          <w:p>
            <w:pPr>
              <w:pStyle w:val="TableParagraph"/>
              <w:spacing w:before="15"/>
              <w:ind w:left="18"/>
              <w:jc w:val="left"/>
              <w:rPr>
                <w:sz w:val="15"/>
              </w:rPr>
            </w:pPr>
            <w:r>
              <w:rPr>
                <w:sz w:val="15"/>
              </w:rPr>
              <w:t>GELMI GIUSEPPE</w:t>
            </w:r>
          </w:p>
        </w:tc>
        <w:tc>
          <w:tcPr>
            <w:tcW w:w="972" w:type="dxa"/>
            <w:tcBorders>
              <w:top w:val="nil"/>
              <w:bottom w:val="nil"/>
            </w:tcBorders>
          </w:tcPr>
          <w:p>
            <w:pPr>
              <w:pStyle w:val="TableParagraph"/>
              <w:spacing w:before="15"/>
              <w:ind w:right="177"/>
              <w:rPr>
                <w:sz w:val="15"/>
              </w:rPr>
            </w:pPr>
            <w:r>
              <w:rPr>
                <w:sz w:val="15"/>
              </w:rPr>
              <w:t>3.520</w:t>
            </w:r>
          </w:p>
        </w:tc>
        <w:tc>
          <w:tcPr>
            <w:tcW w:w="972" w:type="dxa"/>
            <w:tcBorders>
              <w:top w:val="nil"/>
              <w:bottom w:val="nil"/>
            </w:tcBorders>
          </w:tcPr>
          <w:p>
            <w:pPr>
              <w:pStyle w:val="TableParagraph"/>
              <w:spacing w:before="15"/>
              <w:ind w:right="177"/>
              <w:rPr>
                <w:sz w:val="15"/>
              </w:rPr>
            </w:pPr>
            <w:r>
              <w:rPr>
                <w:sz w:val="15"/>
              </w:rPr>
              <w:t>1.034</w:t>
            </w:r>
          </w:p>
        </w:tc>
        <w:tc>
          <w:tcPr>
            <w:tcW w:w="972" w:type="dxa"/>
            <w:tcBorders>
              <w:top w:val="nil"/>
              <w:bottom w:val="nil"/>
            </w:tcBorders>
          </w:tcPr>
          <w:p>
            <w:pPr>
              <w:pStyle w:val="TableParagraph"/>
              <w:spacing w:before="15"/>
              <w:ind w:right="177"/>
              <w:rPr>
                <w:sz w:val="15"/>
              </w:rPr>
            </w:pPr>
            <w:r>
              <w:rPr>
                <w:sz w:val="15"/>
              </w:rPr>
              <w:t>39</w:t>
            </w:r>
          </w:p>
        </w:tc>
        <w:tc>
          <w:tcPr>
            <w:tcW w:w="972" w:type="dxa"/>
            <w:tcBorders>
              <w:top w:val="nil"/>
              <w:bottom w:val="nil"/>
            </w:tcBorders>
          </w:tcPr>
          <w:p>
            <w:pPr>
              <w:pStyle w:val="TableParagraph"/>
              <w:spacing w:before="15"/>
              <w:ind w:right="177"/>
              <w:rPr>
                <w:sz w:val="15"/>
              </w:rPr>
            </w:pPr>
            <w:r>
              <w:rPr>
                <w:sz w:val="15"/>
              </w:rPr>
              <w:t>4.593</w:t>
            </w:r>
          </w:p>
        </w:tc>
      </w:tr>
      <w:tr>
        <w:trPr>
          <w:trHeight w:val="198" w:hRule="exact"/>
        </w:trPr>
        <w:tc>
          <w:tcPr>
            <w:tcW w:w="576" w:type="dxa"/>
            <w:tcBorders>
              <w:top w:val="nil"/>
              <w:bottom w:val="nil"/>
            </w:tcBorders>
          </w:tcPr>
          <w:p>
            <w:pPr>
              <w:pStyle w:val="TableParagraph"/>
              <w:spacing w:before="15"/>
              <w:jc w:val="center"/>
              <w:rPr>
                <w:sz w:val="15"/>
              </w:rPr>
            </w:pPr>
            <w:r>
              <w:rPr>
                <w:sz w:val="15"/>
              </w:rPr>
              <w:t>10329</w:t>
            </w:r>
          </w:p>
        </w:tc>
        <w:tc>
          <w:tcPr>
            <w:tcW w:w="2293" w:type="dxa"/>
            <w:tcBorders>
              <w:top w:val="nil"/>
              <w:bottom w:val="nil"/>
            </w:tcBorders>
          </w:tcPr>
          <w:p>
            <w:pPr>
              <w:pStyle w:val="TableParagraph"/>
              <w:spacing w:before="15"/>
              <w:ind w:left="18"/>
              <w:jc w:val="left"/>
              <w:rPr>
                <w:sz w:val="15"/>
              </w:rPr>
            </w:pPr>
            <w:r>
              <w:rPr>
                <w:sz w:val="15"/>
              </w:rPr>
              <w:t>GIUSTI ALESSANDRA</w:t>
            </w:r>
          </w:p>
        </w:tc>
        <w:tc>
          <w:tcPr>
            <w:tcW w:w="972" w:type="dxa"/>
            <w:tcBorders>
              <w:top w:val="nil"/>
              <w:bottom w:val="nil"/>
            </w:tcBorders>
          </w:tcPr>
          <w:p>
            <w:pPr>
              <w:pStyle w:val="TableParagraph"/>
              <w:spacing w:before="15"/>
              <w:ind w:right="177"/>
              <w:rPr>
                <w:sz w:val="15"/>
              </w:rPr>
            </w:pPr>
            <w:r>
              <w:rPr>
                <w:sz w:val="15"/>
              </w:rPr>
              <w:t>8.654</w:t>
            </w:r>
          </w:p>
        </w:tc>
        <w:tc>
          <w:tcPr>
            <w:tcW w:w="972" w:type="dxa"/>
            <w:tcBorders>
              <w:top w:val="nil"/>
              <w:bottom w:val="nil"/>
            </w:tcBorders>
          </w:tcPr>
          <w:p>
            <w:pPr>
              <w:pStyle w:val="TableParagraph"/>
              <w:spacing w:before="15"/>
              <w:ind w:right="177"/>
              <w:rPr>
                <w:sz w:val="15"/>
              </w:rPr>
            </w:pPr>
            <w:r>
              <w:rPr>
                <w:sz w:val="15"/>
              </w:rPr>
              <w:t>2.333</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10.987</w:t>
            </w:r>
          </w:p>
        </w:tc>
      </w:tr>
      <w:tr>
        <w:trPr>
          <w:trHeight w:val="198" w:hRule="exact"/>
        </w:trPr>
        <w:tc>
          <w:tcPr>
            <w:tcW w:w="576" w:type="dxa"/>
            <w:tcBorders>
              <w:top w:val="nil"/>
              <w:bottom w:val="nil"/>
            </w:tcBorders>
          </w:tcPr>
          <w:p>
            <w:pPr>
              <w:pStyle w:val="TableParagraph"/>
              <w:spacing w:before="15"/>
              <w:jc w:val="center"/>
              <w:rPr>
                <w:sz w:val="15"/>
              </w:rPr>
            </w:pPr>
            <w:r>
              <w:rPr>
                <w:sz w:val="15"/>
              </w:rPr>
              <w:t>10168</w:t>
            </w:r>
          </w:p>
        </w:tc>
        <w:tc>
          <w:tcPr>
            <w:tcW w:w="2293" w:type="dxa"/>
            <w:tcBorders>
              <w:top w:val="nil"/>
              <w:bottom w:val="nil"/>
            </w:tcBorders>
          </w:tcPr>
          <w:p>
            <w:pPr>
              <w:pStyle w:val="TableParagraph"/>
              <w:spacing w:before="15"/>
              <w:ind w:left="18"/>
              <w:jc w:val="left"/>
              <w:rPr>
                <w:sz w:val="15"/>
              </w:rPr>
            </w:pPr>
            <w:r>
              <w:rPr>
                <w:sz w:val="15"/>
              </w:rPr>
              <w:t>GRASSANO GIUSEPPE</w:t>
            </w:r>
          </w:p>
        </w:tc>
        <w:tc>
          <w:tcPr>
            <w:tcW w:w="972" w:type="dxa"/>
            <w:tcBorders>
              <w:top w:val="nil"/>
              <w:bottom w:val="nil"/>
            </w:tcBorders>
          </w:tcPr>
          <w:p>
            <w:pPr>
              <w:pStyle w:val="TableParagraph"/>
              <w:spacing w:before="15"/>
              <w:ind w:right="177"/>
              <w:rPr>
                <w:sz w:val="15"/>
              </w:rPr>
            </w:pPr>
            <w:r>
              <w:rPr>
                <w:sz w:val="15"/>
              </w:rPr>
              <w:t>4.037</w:t>
            </w:r>
          </w:p>
        </w:tc>
        <w:tc>
          <w:tcPr>
            <w:tcW w:w="972" w:type="dxa"/>
            <w:tcBorders>
              <w:top w:val="nil"/>
              <w:bottom w:val="nil"/>
            </w:tcBorders>
          </w:tcPr>
          <w:p>
            <w:pPr>
              <w:pStyle w:val="TableParagraph"/>
              <w:spacing w:before="15"/>
              <w:ind w:right="177"/>
              <w:rPr>
                <w:sz w:val="15"/>
              </w:rPr>
            </w:pPr>
            <w:r>
              <w:rPr>
                <w:sz w:val="15"/>
              </w:rPr>
              <w:t>1.259</w:t>
            </w:r>
          </w:p>
        </w:tc>
        <w:tc>
          <w:tcPr>
            <w:tcW w:w="972" w:type="dxa"/>
            <w:tcBorders>
              <w:top w:val="nil"/>
              <w:bottom w:val="nil"/>
            </w:tcBorders>
          </w:tcPr>
          <w:p>
            <w:pPr>
              <w:pStyle w:val="TableParagraph"/>
              <w:spacing w:before="15"/>
              <w:ind w:right="177"/>
              <w:rPr>
                <w:sz w:val="15"/>
              </w:rPr>
            </w:pPr>
            <w:r>
              <w:rPr>
                <w:sz w:val="15"/>
              </w:rPr>
              <w:t>20</w:t>
            </w:r>
          </w:p>
        </w:tc>
        <w:tc>
          <w:tcPr>
            <w:tcW w:w="972" w:type="dxa"/>
            <w:tcBorders>
              <w:top w:val="nil"/>
              <w:bottom w:val="nil"/>
            </w:tcBorders>
          </w:tcPr>
          <w:p>
            <w:pPr>
              <w:pStyle w:val="TableParagraph"/>
              <w:spacing w:before="15"/>
              <w:ind w:right="177"/>
              <w:rPr>
                <w:sz w:val="15"/>
              </w:rPr>
            </w:pPr>
            <w:r>
              <w:rPr>
                <w:sz w:val="15"/>
              </w:rPr>
              <w:t>5.316</w:t>
            </w:r>
          </w:p>
        </w:tc>
      </w:tr>
      <w:tr>
        <w:trPr>
          <w:trHeight w:val="198" w:hRule="exact"/>
        </w:trPr>
        <w:tc>
          <w:tcPr>
            <w:tcW w:w="576" w:type="dxa"/>
            <w:tcBorders>
              <w:top w:val="nil"/>
              <w:bottom w:val="nil"/>
            </w:tcBorders>
          </w:tcPr>
          <w:p>
            <w:pPr>
              <w:pStyle w:val="TableParagraph"/>
              <w:spacing w:before="15"/>
              <w:jc w:val="center"/>
              <w:rPr>
                <w:sz w:val="15"/>
              </w:rPr>
            </w:pPr>
            <w:r>
              <w:rPr>
                <w:sz w:val="15"/>
              </w:rPr>
              <w:t>10033</w:t>
            </w:r>
          </w:p>
        </w:tc>
        <w:tc>
          <w:tcPr>
            <w:tcW w:w="2293" w:type="dxa"/>
            <w:tcBorders>
              <w:top w:val="nil"/>
              <w:bottom w:val="nil"/>
            </w:tcBorders>
          </w:tcPr>
          <w:p>
            <w:pPr>
              <w:pStyle w:val="TableParagraph"/>
              <w:spacing w:before="15"/>
              <w:ind w:left="18"/>
              <w:jc w:val="left"/>
              <w:rPr>
                <w:sz w:val="15"/>
              </w:rPr>
            </w:pPr>
            <w:r>
              <w:rPr>
                <w:sz w:val="15"/>
              </w:rPr>
              <w:t>KULICH ISABELLA</w:t>
            </w:r>
          </w:p>
        </w:tc>
        <w:tc>
          <w:tcPr>
            <w:tcW w:w="972" w:type="dxa"/>
            <w:tcBorders>
              <w:top w:val="nil"/>
              <w:bottom w:val="nil"/>
            </w:tcBorders>
          </w:tcPr>
          <w:p>
            <w:pPr>
              <w:pStyle w:val="TableParagraph"/>
              <w:spacing w:before="15"/>
              <w:ind w:right="177"/>
              <w:rPr>
                <w:sz w:val="15"/>
              </w:rPr>
            </w:pPr>
            <w:r>
              <w:rPr>
                <w:sz w:val="15"/>
              </w:rPr>
              <w:t>2.056</w:t>
            </w:r>
          </w:p>
        </w:tc>
        <w:tc>
          <w:tcPr>
            <w:tcW w:w="972" w:type="dxa"/>
            <w:tcBorders>
              <w:top w:val="nil"/>
              <w:bottom w:val="nil"/>
            </w:tcBorders>
          </w:tcPr>
          <w:p>
            <w:pPr>
              <w:pStyle w:val="TableParagraph"/>
              <w:spacing w:before="15"/>
              <w:ind w:right="177"/>
              <w:rPr>
                <w:sz w:val="15"/>
              </w:rPr>
            </w:pPr>
            <w:r>
              <w:rPr>
                <w:sz w:val="15"/>
              </w:rPr>
              <w:t>641</w:t>
            </w:r>
          </w:p>
        </w:tc>
        <w:tc>
          <w:tcPr>
            <w:tcW w:w="972" w:type="dxa"/>
            <w:tcBorders>
              <w:top w:val="nil"/>
              <w:bottom w:val="nil"/>
            </w:tcBorders>
          </w:tcPr>
          <w:p>
            <w:pPr>
              <w:pStyle w:val="TableParagraph"/>
              <w:spacing w:before="15"/>
              <w:ind w:right="177"/>
              <w:rPr>
                <w:sz w:val="15"/>
              </w:rPr>
            </w:pPr>
            <w:r>
              <w:rPr>
                <w:sz w:val="15"/>
              </w:rPr>
              <w:t>10</w:t>
            </w:r>
          </w:p>
        </w:tc>
        <w:tc>
          <w:tcPr>
            <w:tcW w:w="972" w:type="dxa"/>
            <w:tcBorders>
              <w:top w:val="nil"/>
              <w:bottom w:val="nil"/>
            </w:tcBorders>
          </w:tcPr>
          <w:p>
            <w:pPr>
              <w:pStyle w:val="TableParagraph"/>
              <w:spacing w:before="15"/>
              <w:ind w:right="177"/>
              <w:rPr>
                <w:sz w:val="15"/>
              </w:rPr>
            </w:pPr>
            <w:r>
              <w:rPr>
                <w:sz w:val="15"/>
              </w:rPr>
              <w:t>2.708</w:t>
            </w:r>
          </w:p>
        </w:tc>
      </w:tr>
      <w:tr>
        <w:trPr>
          <w:trHeight w:val="198" w:hRule="exact"/>
        </w:trPr>
        <w:tc>
          <w:tcPr>
            <w:tcW w:w="576" w:type="dxa"/>
            <w:tcBorders>
              <w:top w:val="nil"/>
              <w:bottom w:val="nil"/>
            </w:tcBorders>
          </w:tcPr>
          <w:p>
            <w:pPr>
              <w:pStyle w:val="TableParagraph"/>
              <w:spacing w:before="15"/>
              <w:jc w:val="center"/>
              <w:rPr>
                <w:sz w:val="15"/>
              </w:rPr>
            </w:pPr>
            <w:r>
              <w:rPr>
                <w:sz w:val="15"/>
              </w:rPr>
              <w:t>10328</w:t>
            </w:r>
          </w:p>
        </w:tc>
        <w:tc>
          <w:tcPr>
            <w:tcW w:w="2293" w:type="dxa"/>
            <w:tcBorders>
              <w:top w:val="nil"/>
              <w:bottom w:val="nil"/>
            </w:tcBorders>
          </w:tcPr>
          <w:p>
            <w:pPr>
              <w:pStyle w:val="TableParagraph"/>
              <w:spacing w:before="15"/>
              <w:ind w:left="18"/>
              <w:jc w:val="left"/>
              <w:rPr>
                <w:sz w:val="15"/>
              </w:rPr>
            </w:pPr>
            <w:r>
              <w:rPr>
                <w:sz w:val="15"/>
              </w:rPr>
              <w:t>LAZZERI PAOLO</w:t>
            </w:r>
          </w:p>
        </w:tc>
        <w:tc>
          <w:tcPr>
            <w:tcW w:w="972" w:type="dxa"/>
            <w:tcBorders>
              <w:top w:val="nil"/>
              <w:bottom w:val="nil"/>
            </w:tcBorders>
          </w:tcPr>
          <w:p>
            <w:pPr>
              <w:pStyle w:val="TableParagraph"/>
              <w:spacing w:before="15"/>
              <w:ind w:right="177"/>
              <w:rPr>
                <w:sz w:val="15"/>
              </w:rPr>
            </w:pPr>
            <w:r>
              <w:rPr>
                <w:sz w:val="15"/>
              </w:rPr>
              <w:t>6.058</w:t>
            </w:r>
          </w:p>
        </w:tc>
        <w:tc>
          <w:tcPr>
            <w:tcW w:w="972" w:type="dxa"/>
            <w:tcBorders>
              <w:top w:val="nil"/>
              <w:bottom w:val="nil"/>
            </w:tcBorders>
          </w:tcPr>
          <w:p>
            <w:pPr>
              <w:pStyle w:val="TableParagraph"/>
              <w:spacing w:before="15"/>
              <w:ind w:right="177"/>
              <w:rPr>
                <w:sz w:val="15"/>
              </w:rPr>
            </w:pPr>
            <w:r>
              <w:rPr>
                <w:sz w:val="15"/>
              </w:rPr>
              <w:t>1.852</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7.909</w:t>
            </w:r>
          </w:p>
        </w:tc>
      </w:tr>
      <w:tr>
        <w:trPr>
          <w:trHeight w:val="198" w:hRule="exact"/>
        </w:trPr>
        <w:tc>
          <w:tcPr>
            <w:tcW w:w="576" w:type="dxa"/>
            <w:tcBorders>
              <w:top w:val="nil"/>
              <w:bottom w:val="nil"/>
            </w:tcBorders>
          </w:tcPr>
          <w:p>
            <w:pPr>
              <w:pStyle w:val="TableParagraph"/>
              <w:spacing w:before="15"/>
              <w:jc w:val="center"/>
              <w:rPr>
                <w:sz w:val="15"/>
              </w:rPr>
            </w:pPr>
            <w:r>
              <w:rPr>
                <w:sz w:val="15"/>
              </w:rPr>
              <w:t>10331</w:t>
            </w:r>
          </w:p>
        </w:tc>
        <w:tc>
          <w:tcPr>
            <w:tcW w:w="2293" w:type="dxa"/>
            <w:tcBorders>
              <w:top w:val="nil"/>
              <w:bottom w:val="nil"/>
            </w:tcBorders>
          </w:tcPr>
          <w:p>
            <w:pPr>
              <w:pStyle w:val="TableParagraph"/>
              <w:spacing w:before="15"/>
              <w:ind w:left="18"/>
              <w:jc w:val="left"/>
              <w:rPr>
                <w:sz w:val="15"/>
              </w:rPr>
            </w:pPr>
            <w:r>
              <w:rPr>
                <w:sz w:val="15"/>
              </w:rPr>
              <w:t>LENTI ROBERTO</w:t>
            </w:r>
          </w:p>
        </w:tc>
        <w:tc>
          <w:tcPr>
            <w:tcW w:w="972" w:type="dxa"/>
            <w:tcBorders>
              <w:top w:val="nil"/>
              <w:bottom w:val="nil"/>
            </w:tcBorders>
          </w:tcPr>
          <w:p>
            <w:pPr>
              <w:pStyle w:val="TableParagraph"/>
              <w:spacing w:before="15"/>
              <w:ind w:right="177"/>
              <w:rPr>
                <w:sz w:val="15"/>
              </w:rPr>
            </w:pPr>
            <w:r>
              <w:rPr>
                <w:sz w:val="15"/>
              </w:rPr>
              <w:t>4.384</w:t>
            </w:r>
          </w:p>
        </w:tc>
        <w:tc>
          <w:tcPr>
            <w:tcW w:w="972" w:type="dxa"/>
            <w:tcBorders>
              <w:top w:val="nil"/>
              <w:bottom w:val="nil"/>
            </w:tcBorders>
          </w:tcPr>
          <w:p>
            <w:pPr>
              <w:pStyle w:val="TableParagraph"/>
              <w:spacing w:before="15"/>
              <w:ind w:right="177"/>
              <w:rPr>
                <w:sz w:val="15"/>
              </w:rPr>
            </w:pPr>
            <w:r>
              <w:rPr>
                <w:sz w:val="15"/>
              </w:rPr>
              <w:t>1.287</w:t>
            </w:r>
          </w:p>
        </w:tc>
        <w:tc>
          <w:tcPr>
            <w:tcW w:w="972" w:type="dxa"/>
            <w:tcBorders>
              <w:top w:val="nil"/>
              <w:bottom w:val="nil"/>
            </w:tcBorders>
          </w:tcPr>
          <w:p>
            <w:pPr>
              <w:pStyle w:val="TableParagraph"/>
              <w:spacing w:before="15"/>
              <w:ind w:right="177"/>
              <w:rPr>
                <w:sz w:val="15"/>
              </w:rPr>
            </w:pPr>
            <w:r>
              <w:rPr>
                <w:sz w:val="15"/>
              </w:rPr>
              <w:t>22</w:t>
            </w:r>
          </w:p>
        </w:tc>
        <w:tc>
          <w:tcPr>
            <w:tcW w:w="972" w:type="dxa"/>
            <w:tcBorders>
              <w:top w:val="nil"/>
              <w:bottom w:val="nil"/>
            </w:tcBorders>
          </w:tcPr>
          <w:p>
            <w:pPr>
              <w:pStyle w:val="TableParagraph"/>
              <w:spacing w:before="15"/>
              <w:ind w:right="177"/>
              <w:rPr>
                <w:sz w:val="15"/>
              </w:rPr>
            </w:pPr>
            <w:r>
              <w:rPr>
                <w:sz w:val="15"/>
              </w:rPr>
              <w:t>5.693</w:t>
            </w:r>
          </w:p>
        </w:tc>
      </w:tr>
      <w:tr>
        <w:trPr>
          <w:trHeight w:val="198" w:hRule="exact"/>
        </w:trPr>
        <w:tc>
          <w:tcPr>
            <w:tcW w:w="576" w:type="dxa"/>
            <w:tcBorders>
              <w:top w:val="nil"/>
              <w:bottom w:val="nil"/>
            </w:tcBorders>
          </w:tcPr>
          <w:p>
            <w:pPr>
              <w:pStyle w:val="TableParagraph"/>
              <w:spacing w:before="15"/>
              <w:jc w:val="center"/>
              <w:rPr>
                <w:sz w:val="15"/>
              </w:rPr>
            </w:pPr>
            <w:r>
              <w:rPr>
                <w:sz w:val="15"/>
              </w:rPr>
              <w:t>10171</w:t>
            </w:r>
          </w:p>
        </w:tc>
        <w:tc>
          <w:tcPr>
            <w:tcW w:w="2293" w:type="dxa"/>
            <w:tcBorders>
              <w:top w:val="nil"/>
              <w:bottom w:val="nil"/>
            </w:tcBorders>
          </w:tcPr>
          <w:p>
            <w:pPr>
              <w:pStyle w:val="TableParagraph"/>
              <w:spacing w:before="15"/>
              <w:ind w:left="18"/>
              <w:jc w:val="left"/>
              <w:rPr>
                <w:sz w:val="15"/>
              </w:rPr>
            </w:pPr>
            <w:r>
              <w:rPr>
                <w:sz w:val="15"/>
              </w:rPr>
              <w:t>LINCE FEDERICA</w:t>
            </w:r>
          </w:p>
        </w:tc>
        <w:tc>
          <w:tcPr>
            <w:tcW w:w="972" w:type="dxa"/>
            <w:tcBorders>
              <w:top w:val="nil"/>
              <w:bottom w:val="nil"/>
            </w:tcBorders>
          </w:tcPr>
          <w:p>
            <w:pPr>
              <w:pStyle w:val="TableParagraph"/>
              <w:spacing w:before="15"/>
              <w:ind w:right="177"/>
              <w:rPr>
                <w:sz w:val="15"/>
              </w:rPr>
            </w:pPr>
            <w:r>
              <w:rPr>
                <w:sz w:val="15"/>
              </w:rPr>
              <w:t>2.201</w:t>
            </w:r>
          </w:p>
        </w:tc>
        <w:tc>
          <w:tcPr>
            <w:tcW w:w="972" w:type="dxa"/>
            <w:tcBorders>
              <w:top w:val="nil"/>
              <w:bottom w:val="nil"/>
            </w:tcBorders>
          </w:tcPr>
          <w:p>
            <w:pPr>
              <w:pStyle w:val="TableParagraph"/>
              <w:spacing w:before="15"/>
              <w:ind w:right="177"/>
              <w:rPr>
                <w:sz w:val="15"/>
              </w:rPr>
            </w:pPr>
            <w:r>
              <w:rPr>
                <w:sz w:val="15"/>
              </w:rPr>
              <w:t>686</w:t>
            </w:r>
          </w:p>
        </w:tc>
        <w:tc>
          <w:tcPr>
            <w:tcW w:w="972" w:type="dxa"/>
            <w:tcBorders>
              <w:top w:val="nil"/>
              <w:bottom w:val="nil"/>
            </w:tcBorders>
          </w:tcPr>
          <w:p>
            <w:pPr>
              <w:pStyle w:val="TableParagraph"/>
              <w:spacing w:before="15"/>
              <w:ind w:right="177"/>
              <w:rPr>
                <w:sz w:val="15"/>
              </w:rPr>
            </w:pPr>
            <w:r>
              <w:rPr>
                <w:sz w:val="15"/>
              </w:rPr>
              <w:t>11</w:t>
            </w:r>
          </w:p>
        </w:tc>
        <w:tc>
          <w:tcPr>
            <w:tcW w:w="972" w:type="dxa"/>
            <w:tcBorders>
              <w:top w:val="nil"/>
              <w:bottom w:val="nil"/>
            </w:tcBorders>
          </w:tcPr>
          <w:p>
            <w:pPr>
              <w:pStyle w:val="TableParagraph"/>
              <w:spacing w:before="15"/>
              <w:ind w:right="177"/>
              <w:rPr>
                <w:sz w:val="15"/>
              </w:rPr>
            </w:pPr>
            <w:r>
              <w:rPr>
                <w:sz w:val="15"/>
              </w:rPr>
              <w:t>2.899</w:t>
            </w:r>
          </w:p>
        </w:tc>
      </w:tr>
      <w:tr>
        <w:trPr>
          <w:trHeight w:val="198" w:hRule="exact"/>
        </w:trPr>
        <w:tc>
          <w:tcPr>
            <w:tcW w:w="576" w:type="dxa"/>
            <w:tcBorders>
              <w:top w:val="nil"/>
              <w:bottom w:val="nil"/>
            </w:tcBorders>
          </w:tcPr>
          <w:p>
            <w:pPr>
              <w:pStyle w:val="TableParagraph"/>
              <w:spacing w:before="15"/>
              <w:jc w:val="center"/>
              <w:rPr>
                <w:sz w:val="15"/>
              </w:rPr>
            </w:pPr>
            <w:r>
              <w:rPr>
                <w:sz w:val="15"/>
              </w:rPr>
              <w:t>10246</w:t>
            </w:r>
          </w:p>
        </w:tc>
        <w:tc>
          <w:tcPr>
            <w:tcW w:w="2293" w:type="dxa"/>
            <w:tcBorders>
              <w:top w:val="nil"/>
              <w:bottom w:val="nil"/>
            </w:tcBorders>
          </w:tcPr>
          <w:p>
            <w:pPr>
              <w:pStyle w:val="TableParagraph"/>
              <w:spacing w:before="15"/>
              <w:ind w:left="18"/>
              <w:jc w:val="left"/>
              <w:rPr>
                <w:sz w:val="15"/>
              </w:rPr>
            </w:pPr>
            <w:r>
              <w:rPr>
                <w:sz w:val="15"/>
              </w:rPr>
              <w:t>MARCON STEFANO</w:t>
            </w:r>
          </w:p>
        </w:tc>
        <w:tc>
          <w:tcPr>
            <w:tcW w:w="972" w:type="dxa"/>
            <w:tcBorders>
              <w:top w:val="nil"/>
              <w:bottom w:val="nil"/>
            </w:tcBorders>
          </w:tcPr>
          <w:p>
            <w:pPr>
              <w:pStyle w:val="TableParagraph"/>
              <w:spacing w:before="15"/>
              <w:ind w:right="177"/>
              <w:rPr>
                <w:sz w:val="15"/>
              </w:rPr>
            </w:pPr>
            <w:r>
              <w:rPr>
                <w:sz w:val="15"/>
              </w:rPr>
              <w:t>2.951</w:t>
            </w:r>
          </w:p>
        </w:tc>
        <w:tc>
          <w:tcPr>
            <w:tcW w:w="972" w:type="dxa"/>
            <w:tcBorders>
              <w:top w:val="nil"/>
              <w:bottom w:val="nil"/>
            </w:tcBorders>
          </w:tcPr>
          <w:p>
            <w:pPr>
              <w:pStyle w:val="TableParagraph"/>
              <w:spacing w:before="15"/>
              <w:ind w:right="177"/>
              <w:rPr>
                <w:sz w:val="15"/>
              </w:rPr>
            </w:pPr>
            <w:r>
              <w:rPr>
                <w:sz w:val="15"/>
              </w:rPr>
              <w:t>866</w:t>
            </w:r>
          </w:p>
        </w:tc>
        <w:tc>
          <w:tcPr>
            <w:tcW w:w="972" w:type="dxa"/>
            <w:tcBorders>
              <w:top w:val="nil"/>
              <w:bottom w:val="nil"/>
            </w:tcBorders>
          </w:tcPr>
          <w:p>
            <w:pPr>
              <w:pStyle w:val="TableParagraph"/>
              <w:spacing w:before="15"/>
              <w:ind w:right="177"/>
              <w:rPr>
                <w:sz w:val="15"/>
              </w:rPr>
            </w:pPr>
            <w:r>
              <w:rPr>
                <w:sz w:val="15"/>
              </w:rPr>
              <w:t>15</w:t>
            </w:r>
          </w:p>
        </w:tc>
        <w:tc>
          <w:tcPr>
            <w:tcW w:w="972" w:type="dxa"/>
            <w:tcBorders>
              <w:top w:val="nil"/>
              <w:bottom w:val="nil"/>
            </w:tcBorders>
          </w:tcPr>
          <w:p>
            <w:pPr>
              <w:pStyle w:val="TableParagraph"/>
              <w:spacing w:before="15"/>
              <w:ind w:right="177"/>
              <w:rPr>
                <w:sz w:val="15"/>
              </w:rPr>
            </w:pPr>
            <w:r>
              <w:rPr>
                <w:sz w:val="15"/>
              </w:rPr>
              <w:t>3.832</w:t>
            </w:r>
          </w:p>
        </w:tc>
      </w:tr>
      <w:tr>
        <w:trPr>
          <w:trHeight w:val="198" w:hRule="exact"/>
        </w:trPr>
        <w:tc>
          <w:tcPr>
            <w:tcW w:w="576" w:type="dxa"/>
            <w:tcBorders>
              <w:top w:val="nil"/>
              <w:bottom w:val="nil"/>
            </w:tcBorders>
          </w:tcPr>
          <w:p>
            <w:pPr>
              <w:pStyle w:val="TableParagraph"/>
              <w:spacing w:before="15"/>
              <w:jc w:val="center"/>
              <w:rPr>
                <w:sz w:val="15"/>
              </w:rPr>
            </w:pPr>
            <w:r>
              <w:rPr>
                <w:sz w:val="15"/>
              </w:rPr>
              <w:t>10004</w:t>
            </w:r>
          </w:p>
        </w:tc>
        <w:tc>
          <w:tcPr>
            <w:tcW w:w="2293" w:type="dxa"/>
            <w:tcBorders>
              <w:top w:val="nil"/>
              <w:bottom w:val="nil"/>
            </w:tcBorders>
          </w:tcPr>
          <w:p>
            <w:pPr>
              <w:pStyle w:val="TableParagraph"/>
              <w:spacing w:before="15"/>
              <w:ind w:left="18"/>
              <w:jc w:val="left"/>
              <w:rPr>
                <w:sz w:val="15"/>
              </w:rPr>
            </w:pPr>
            <w:r>
              <w:rPr>
                <w:sz w:val="15"/>
              </w:rPr>
              <w:t>MARGUTTI PATRIZIA LAURA</w:t>
            </w:r>
          </w:p>
        </w:tc>
        <w:tc>
          <w:tcPr>
            <w:tcW w:w="972" w:type="dxa"/>
            <w:tcBorders>
              <w:top w:val="nil"/>
              <w:bottom w:val="nil"/>
            </w:tcBorders>
          </w:tcPr>
          <w:p>
            <w:pPr>
              <w:pStyle w:val="TableParagraph"/>
              <w:spacing w:before="15"/>
              <w:ind w:right="177"/>
              <w:rPr>
                <w:sz w:val="15"/>
              </w:rPr>
            </w:pPr>
            <w:r>
              <w:rPr>
                <w:sz w:val="15"/>
              </w:rPr>
              <w:t>1.942</w:t>
            </w:r>
          </w:p>
        </w:tc>
        <w:tc>
          <w:tcPr>
            <w:tcW w:w="972" w:type="dxa"/>
            <w:tcBorders>
              <w:top w:val="nil"/>
              <w:bottom w:val="nil"/>
            </w:tcBorders>
          </w:tcPr>
          <w:p>
            <w:pPr>
              <w:pStyle w:val="TableParagraph"/>
              <w:spacing w:before="15"/>
              <w:ind w:right="177"/>
              <w:rPr>
                <w:sz w:val="15"/>
              </w:rPr>
            </w:pPr>
            <w:r>
              <w:rPr>
                <w:sz w:val="15"/>
              </w:rPr>
              <w:t>570</w:t>
            </w:r>
          </w:p>
        </w:tc>
        <w:tc>
          <w:tcPr>
            <w:tcW w:w="972" w:type="dxa"/>
            <w:tcBorders>
              <w:top w:val="nil"/>
              <w:bottom w:val="nil"/>
            </w:tcBorders>
          </w:tcPr>
          <w:p>
            <w:pPr>
              <w:pStyle w:val="TableParagraph"/>
              <w:spacing w:before="15"/>
              <w:ind w:right="177"/>
              <w:rPr>
                <w:sz w:val="15"/>
              </w:rPr>
            </w:pPr>
            <w:r>
              <w:rPr>
                <w:sz w:val="15"/>
              </w:rPr>
              <w:t>10</w:t>
            </w:r>
          </w:p>
        </w:tc>
        <w:tc>
          <w:tcPr>
            <w:tcW w:w="972" w:type="dxa"/>
            <w:tcBorders>
              <w:top w:val="nil"/>
              <w:bottom w:val="nil"/>
            </w:tcBorders>
          </w:tcPr>
          <w:p>
            <w:pPr>
              <w:pStyle w:val="TableParagraph"/>
              <w:spacing w:before="15"/>
              <w:ind w:right="177"/>
              <w:rPr>
                <w:sz w:val="15"/>
              </w:rPr>
            </w:pPr>
            <w:r>
              <w:rPr>
                <w:sz w:val="15"/>
              </w:rPr>
              <w:t>2.522</w:t>
            </w:r>
          </w:p>
        </w:tc>
      </w:tr>
      <w:tr>
        <w:trPr>
          <w:trHeight w:val="198" w:hRule="exact"/>
        </w:trPr>
        <w:tc>
          <w:tcPr>
            <w:tcW w:w="576" w:type="dxa"/>
            <w:tcBorders>
              <w:top w:val="nil"/>
              <w:bottom w:val="nil"/>
            </w:tcBorders>
          </w:tcPr>
          <w:p>
            <w:pPr>
              <w:pStyle w:val="TableParagraph"/>
              <w:spacing w:before="15"/>
              <w:jc w:val="center"/>
              <w:rPr>
                <w:sz w:val="15"/>
              </w:rPr>
            </w:pPr>
            <w:r>
              <w:rPr>
                <w:sz w:val="15"/>
              </w:rPr>
              <w:t>10201</w:t>
            </w:r>
          </w:p>
        </w:tc>
        <w:tc>
          <w:tcPr>
            <w:tcW w:w="2293" w:type="dxa"/>
            <w:tcBorders>
              <w:top w:val="nil"/>
              <w:bottom w:val="nil"/>
            </w:tcBorders>
          </w:tcPr>
          <w:p>
            <w:pPr>
              <w:pStyle w:val="TableParagraph"/>
              <w:spacing w:before="15"/>
              <w:ind w:left="18"/>
              <w:jc w:val="left"/>
              <w:rPr>
                <w:sz w:val="15"/>
              </w:rPr>
            </w:pPr>
            <w:r>
              <w:rPr>
                <w:sz w:val="15"/>
              </w:rPr>
              <w:t>MORANDO MATTEO</w:t>
            </w:r>
          </w:p>
        </w:tc>
        <w:tc>
          <w:tcPr>
            <w:tcW w:w="972" w:type="dxa"/>
            <w:tcBorders>
              <w:top w:val="nil"/>
              <w:bottom w:val="nil"/>
            </w:tcBorders>
          </w:tcPr>
          <w:p>
            <w:pPr>
              <w:pStyle w:val="TableParagraph"/>
              <w:spacing w:before="15"/>
              <w:ind w:right="177"/>
              <w:rPr>
                <w:sz w:val="15"/>
              </w:rPr>
            </w:pPr>
            <w:r>
              <w:rPr>
                <w:sz w:val="15"/>
              </w:rPr>
              <w:t>1.642</w:t>
            </w:r>
          </w:p>
        </w:tc>
        <w:tc>
          <w:tcPr>
            <w:tcW w:w="972" w:type="dxa"/>
            <w:tcBorders>
              <w:top w:val="nil"/>
              <w:bottom w:val="nil"/>
            </w:tcBorders>
          </w:tcPr>
          <w:p>
            <w:pPr>
              <w:pStyle w:val="TableParagraph"/>
              <w:spacing w:before="15"/>
              <w:ind w:right="177"/>
              <w:rPr>
                <w:sz w:val="15"/>
              </w:rPr>
            </w:pPr>
            <w:r>
              <w:rPr>
                <w:sz w:val="15"/>
              </w:rPr>
              <w:t>482</w:t>
            </w:r>
          </w:p>
        </w:tc>
        <w:tc>
          <w:tcPr>
            <w:tcW w:w="972" w:type="dxa"/>
            <w:tcBorders>
              <w:top w:val="nil"/>
              <w:bottom w:val="nil"/>
            </w:tcBorders>
          </w:tcPr>
          <w:p>
            <w:pPr>
              <w:pStyle w:val="TableParagraph"/>
              <w:spacing w:before="15"/>
              <w:ind w:right="177"/>
              <w:rPr>
                <w:sz w:val="15"/>
              </w:rPr>
            </w:pPr>
            <w:r>
              <w:rPr>
                <w:sz w:val="15"/>
              </w:rPr>
              <w:t>33</w:t>
            </w:r>
          </w:p>
        </w:tc>
        <w:tc>
          <w:tcPr>
            <w:tcW w:w="972" w:type="dxa"/>
            <w:tcBorders>
              <w:top w:val="nil"/>
              <w:bottom w:val="nil"/>
            </w:tcBorders>
          </w:tcPr>
          <w:p>
            <w:pPr>
              <w:pStyle w:val="TableParagraph"/>
              <w:spacing w:before="15"/>
              <w:ind w:right="177"/>
              <w:rPr>
                <w:sz w:val="15"/>
              </w:rPr>
            </w:pPr>
            <w:r>
              <w:rPr>
                <w:sz w:val="15"/>
              </w:rPr>
              <w:t>2.157</w:t>
            </w:r>
          </w:p>
        </w:tc>
      </w:tr>
      <w:tr>
        <w:trPr>
          <w:trHeight w:val="198" w:hRule="exact"/>
        </w:trPr>
        <w:tc>
          <w:tcPr>
            <w:tcW w:w="576" w:type="dxa"/>
            <w:tcBorders>
              <w:top w:val="nil"/>
              <w:bottom w:val="nil"/>
            </w:tcBorders>
          </w:tcPr>
          <w:p>
            <w:pPr>
              <w:pStyle w:val="TableParagraph"/>
              <w:spacing w:before="15"/>
              <w:jc w:val="center"/>
              <w:rPr>
                <w:sz w:val="15"/>
              </w:rPr>
            </w:pPr>
            <w:r>
              <w:rPr>
                <w:sz w:val="15"/>
              </w:rPr>
              <w:t>10258</w:t>
            </w:r>
          </w:p>
        </w:tc>
        <w:tc>
          <w:tcPr>
            <w:tcW w:w="2293" w:type="dxa"/>
            <w:tcBorders>
              <w:top w:val="nil"/>
              <w:bottom w:val="nil"/>
            </w:tcBorders>
          </w:tcPr>
          <w:p>
            <w:pPr>
              <w:pStyle w:val="TableParagraph"/>
              <w:spacing w:before="15"/>
              <w:ind w:left="18"/>
              <w:jc w:val="left"/>
              <w:rPr>
                <w:sz w:val="15"/>
              </w:rPr>
            </w:pPr>
            <w:r>
              <w:rPr>
                <w:sz w:val="15"/>
              </w:rPr>
              <w:t>MORINI FEDERICA</w:t>
            </w:r>
          </w:p>
        </w:tc>
        <w:tc>
          <w:tcPr>
            <w:tcW w:w="972" w:type="dxa"/>
            <w:tcBorders>
              <w:top w:val="nil"/>
              <w:bottom w:val="nil"/>
            </w:tcBorders>
          </w:tcPr>
          <w:p>
            <w:pPr>
              <w:pStyle w:val="TableParagraph"/>
              <w:spacing w:before="15"/>
              <w:ind w:right="177"/>
              <w:rPr>
                <w:sz w:val="15"/>
              </w:rPr>
            </w:pPr>
            <w:r>
              <w:rPr>
                <w:sz w:val="15"/>
              </w:rPr>
              <w:t>1.397</w:t>
            </w:r>
          </w:p>
        </w:tc>
        <w:tc>
          <w:tcPr>
            <w:tcW w:w="972" w:type="dxa"/>
            <w:tcBorders>
              <w:top w:val="nil"/>
              <w:bottom w:val="nil"/>
            </w:tcBorders>
          </w:tcPr>
          <w:p>
            <w:pPr>
              <w:pStyle w:val="TableParagraph"/>
              <w:spacing w:before="15"/>
              <w:ind w:right="177"/>
              <w:rPr>
                <w:sz w:val="15"/>
              </w:rPr>
            </w:pPr>
            <w:r>
              <w:rPr>
                <w:sz w:val="15"/>
              </w:rPr>
              <w:t>410</w:t>
            </w:r>
          </w:p>
        </w:tc>
        <w:tc>
          <w:tcPr>
            <w:tcW w:w="972" w:type="dxa"/>
            <w:tcBorders>
              <w:top w:val="nil"/>
              <w:bottom w:val="nil"/>
            </w:tcBorders>
          </w:tcPr>
          <w:p>
            <w:pPr>
              <w:pStyle w:val="TableParagraph"/>
              <w:spacing w:before="15"/>
              <w:ind w:right="183"/>
              <w:rPr>
                <w:sz w:val="15"/>
              </w:rPr>
            </w:pPr>
            <w:r>
              <w:rPr>
                <w:w w:val="100"/>
                <w:sz w:val="15"/>
              </w:rPr>
              <w:t>7</w:t>
            </w:r>
          </w:p>
        </w:tc>
        <w:tc>
          <w:tcPr>
            <w:tcW w:w="972" w:type="dxa"/>
            <w:tcBorders>
              <w:top w:val="nil"/>
              <w:bottom w:val="nil"/>
            </w:tcBorders>
          </w:tcPr>
          <w:p>
            <w:pPr>
              <w:pStyle w:val="TableParagraph"/>
              <w:spacing w:before="15"/>
              <w:ind w:right="177"/>
              <w:rPr>
                <w:sz w:val="15"/>
              </w:rPr>
            </w:pPr>
            <w:r>
              <w:rPr>
                <w:sz w:val="15"/>
              </w:rPr>
              <w:t>1.814</w:t>
            </w:r>
          </w:p>
        </w:tc>
      </w:tr>
      <w:tr>
        <w:trPr>
          <w:trHeight w:val="198" w:hRule="exact"/>
        </w:trPr>
        <w:tc>
          <w:tcPr>
            <w:tcW w:w="576" w:type="dxa"/>
            <w:tcBorders>
              <w:top w:val="nil"/>
              <w:bottom w:val="nil"/>
            </w:tcBorders>
          </w:tcPr>
          <w:p>
            <w:pPr>
              <w:pStyle w:val="TableParagraph"/>
              <w:spacing w:before="15"/>
              <w:jc w:val="center"/>
              <w:rPr>
                <w:sz w:val="15"/>
              </w:rPr>
            </w:pPr>
            <w:r>
              <w:rPr>
                <w:sz w:val="15"/>
              </w:rPr>
              <w:t>10098</w:t>
            </w:r>
          </w:p>
        </w:tc>
        <w:tc>
          <w:tcPr>
            <w:tcW w:w="2293" w:type="dxa"/>
            <w:tcBorders>
              <w:top w:val="nil"/>
              <w:bottom w:val="nil"/>
            </w:tcBorders>
          </w:tcPr>
          <w:p>
            <w:pPr>
              <w:pStyle w:val="TableParagraph"/>
              <w:spacing w:before="15"/>
              <w:ind w:left="18"/>
              <w:jc w:val="left"/>
              <w:rPr>
                <w:sz w:val="15"/>
              </w:rPr>
            </w:pPr>
            <w:r>
              <w:rPr>
                <w:sz w:val="15"/>
              </w:rPr>
              <w:t>MULE' MARIELLA</w:t>
            </w:r>
          </w:p>
        </w:tc>
        <w:tc>
          <w:tcPr>
            <w:tcW w:w="972" w:type="dxa"/>
            <w:tcBorders>
              <w:top w:val="nil"/>
              <w:bottom w:val="nil"/>
            </w:tcBorders>
          </w:tcPr>
          <w:p>
            <w:pPr>
              <w:pStyle w:val="TableParagraph"/>
              <w:spacing w:before="15"/>
              <w:ind w:right="177"/>
              <w:rPr>
                <w:sz w:val="15"/>
              </w:rPr>
            </w:pPr>
            <w:r>
              <w:rPr>
                <w:sz w:val="15"/>
              </w:rPr>
              <w:t>1.814</w:t>
            </w:r>
          </w:p>
        </w:tc>
        <w:tc>
          <w:tcPr>
            <w:tcW w:w="972" w:type="dxa"/>
            <w:tcBorders>
              <w:top w:val="nil"/>
              <w:bottom w:val="nil"/>
            </w:tcBorders>
          </w:tcPr>
          <w:p>
            <w:pPr>
              <w:pStyle w:val="TableParagraph"/>
              <w:spacing w:before="15"/>
              <w:ind w:right="177"/>
              <w:rPr>
                <w:sz w:val="15"/>
              </w:rPr>
            </w:pPr>
            <w:r>
              <w:rPr>
                <w:sz w:val="15"/>
              </w:rPr>
              <w:t>566</w:t>
            </w:r>
          </w:p>
        </w:tc>
        <w:tc>
          <w:tcPr>
            <w:tcW w:w="972" w:type="dxa"/>
            <w:tcBorders>
              <w:top w:val="nil"/>
              <w:bottom w:val="nil"/>
            </w:tcBorders>
          </w:tcPr>
          <w:p>
            <w:pPr>
              <w:pStyle w:val="TableParagraph"/>
              <w:spacing w:before="15"/>
              <w:ind w:right="183"/>
              <w:rPr>
                <w:sz w:val="15"/>
              </w:rPr>
            </w:pPr>
            <w:r>
              <w:rPr>
                <w:w w:val="100"/>
                <w:sz w:val="15"/>
              </w:rPr>
              <w:t>9</w:t>
            </w:r>
          </w:p>
        </w:tc>
        <w:tc>
          <w:tcPr>
            <w:tcW w:w="972" w:type="dxa"/>
            <w:tcBorders>
              <w:top w:val="nil"/>
              <w:bottom w:val="nil"/>
            </w:tcBorders>
          </w:tcPr>
          <w:p>
            <w:pPr>
              <w:pStyle w:val="TableParagraph"/>
              <w:spacing w:before="15"/>
              <w:ind w:right="177"/>
              <w:rPr>
                <w:sz w:val="15"/>
              </w:rPr>
            </w:pPr>
            <w:r>
              <w:rPr>
                <w:sz w:val="15"/>
              </w:rPr>
              <w:t>2.389</w:t>
            </w:r>
          </w:p>
        </w:tc>
      </w:tr>
      <w:tr>
        <w:trPr>
          <w:trHeight w:val="198" w:hRule="exact"/>
        </w:trPr>
        <w:tc>
          <w:tcPr>
            <w:tcW w:w="576" w:type="dxa"/>
            <w:tcBorders>
              <w:top w:val="nil"/>
              <w:bottom w:val="nil"/>
            </w:tcBorders>
          </w:tcPr>
          <w:p>
            <w:pPr>
              <w:pStyle w:val="TableParagraph"/>
              <w:spacing w:before="15"/>
              <w:jc w:val="center"/>
              <w:rPr>
                <w:sz w:val="15"/>
              </w:rPr>
            </w:pPr>
            <w:r>
              <w:rPr>
                <w:sz w:val="15"/>
              </w:rPr>
              <w:t>10175</w:t>
            </w:r>
          </w:p>
        </w:tc>
        <w:tc>
          <w:tcPr>
            <w:tcW w:w="2293" w:type="dxa"/>
            <w:tcBorders>
              <w:top w:val="nil"/>
              <w:bottom w:val="nil"/>
            </w:tcBorders>
          </w:tcPr>
          <w:p>
            <w:pPr>
              <w:pStyle w:val="TableParagraph"/>
              <w:spacing w:before="15"/>
              <w:ind w:left="18"/>
              <w:jc w:val="left"/>
              <w:rPr>
                <w:sz w:val="15"/>
              </w:rPr>
            </w:pPr>
            <w:r>
              <w:rPr>
                <w:sz w:val="15"/>
              </w:rPr>
              <w:t>NICORA ILARIA</w:t>
            </w:r>
          </w:p>
        </w:tc>
        <w:tc>
          <w:tcPr>
            <w:tcW w:w="972" w:type="dxa"/>
            <w:tcBorders>
              <w:top w:val="nil"/>
              <w:bottom w:val="nil"/>
            </w:tcBorders>
          </w:tcPr>
          <w:p>
            <w:pPr>
              <w:pStyle w:val="TableParagraph"/>
              <w:spacing w:before="15"/>
              <w:ind w:right="177"/>
              <w:rPr>
                <w:sz w:val="15"/>
              </w:rPr>
            </w:pPr>
            <w:r>
              <w:rPr>
                <w:sz w:val="15"/>
              </w:rPr>
              <w:t>1.281</w:t>
            </w:r>
          </w:p>
        </w:tc>
        <w:tc>
          <w:tcPr>
            <w:tcW w:w="972" w:type="dxa"/>
            <w:tcBorders>
              <w:top w:val="nil"/>
              <w:bottom w:val="nil"/>
            </w:tcBorders>
          </w:tcPr>
          <w:p>
            <w:pPr>
              <w:pStyle w:val="TableParagraph"/>
              <w:spacing w:before="15"/>
              <w:ind w:right="177"/>
              <w:rPr>
                <w:sz w:val="15"/>
              </w:rPr>
            </w:pPr>
            <w:r>
              <w:rPr>
                <w:sz w:val="15"/>
              </w:rPr>
              <w:t>376</w:t>
            </w:r>
          </w:p>
        </w:tc>
        <w:tc>
          <w:tcPr>
            <w:tcW w:w="972" w:type="dxa"/>
            <w:tcBorders>
              <w:top w:val="nil"/>
              <w:bottom w:val="nil"/>
            </w:tcBorders>
          </w:tcPr>
          <w:p>
            <w:pPr>
              <w:pStyle w:val="TableParagraph"/>
              <w:spacing w:before="15"/>
              <w:ind w:right="183"/>
              <w:rPr>
                <w:sz w:val="15"/>
              </w:rPr>
            </w:pPr>
            <w:r>
              <w:rPr>
                <w:w w:val="100"/>
                <w:sz w:val="15"/>
              </w:rPr>
              <w:t>6</w:t>
            </w:r>
          </w:p>
        </w:tc>
        <w:tc>
          <w:tcPr>
            <w:tcW w:w="972" w:type="dxa"/>
            <w:tcBorders>
              <w:top w:val="nil"/>
              <w:bottom w:val="nil"/>
            </w:tcBorders>
          </w:tcPr>
          <w:p>
            <w:pPr>
              <w:pStyle w:val="TableParagraph"/>
              <w:spacing w:before="15"/>
              <w:ind w:right="177"/>
              <w:rPr>
                <w:sz w:val="15"/>
              </w:rPr>
            </w:pPr>
            <w:r>
              <w:rPr>
                <w:sz w:val="15"/>
              </w:rPr>
              <w:t>1.663</w:t>
            </w:r>
          </w:p>
        </w:tc>
      </w:tr>
      <w:tr>
        <w:trPr>
          <w:trHeight w:val="198" w:hRule="exact"/>
        </w:trPr>
        <w:tc>
          <w:tcPr>
            <w:tcW w:w="576" w:type="dxa"/>
            <w:tcBorders>
              <w:top w:val="nil"/>
              <w:bottom w:val="nil"/>
            </w:tcBorders>
          </w:tcPr>
          <w:p>
            <w:pPr>
              <w:pStyle w:val="TableParagraph"/>
              <w:spacing w:before="15"/>
              <w:jc w:val="center"/>
              <w:rPr>
                <w:sz w:val="15"/>
              </w:rPr>
            </w:pPr>
            <w:r>
              <w:rPr>
                <w:sz w:val="15"/>
              </w:rPr>
              <w:t>10200</w:t>
            </w:r>
          </w:p>
        </w:tc>
        <w:tc>
          <w:tcPr>
            <w:tcW w:w="2293" w:type="dxa"/>
            <w:tcBorders>
              <w:top w:val="nil"/>
              <w:bottom w:val="nil"/>
            </w:tcBorders>
          </w:tcPr>
          <w:p>
            <w:pPr>
              <w:pStyle w:val="TableParagraph"/>
              <w:spacing w:before="15"/>
              <w:ind w:left="18"/>
              <w:jc w:val="left"/>
              <w:rPr>
                <w:sz w:val="15"/>
              </w:rPr>
            </w:pPr>
            <w:r>
              <w:rPr>
                <w:sz w:val="15"/>
              </w:rPr>
              <w:t>OLIVA DESDEMONA</w:t>
            </w:r>
          </w:p>
        </w:tc>
        <w:tc>
          <w:tcPr>
            <w:tcW w:w="972" w:type="dxa"/>
            <w:tcBorders>
              <w:top w:val="nil"/>
              <w:bottom w:val="nil"/>
            </w:tcBorders>
          </w:tcPr>
          <w:p>
            <w:pPr>
              <w:pStyle w:val="TableParagraph"/>
              <w:spacing w:before="15"/>
              <w:ind w:right="177"/>
              <w:rPr>
                <w:sz w:val="15"/>
              </w:rPr>
            </w:pPr>
            <w:r>
              <w:rPr>
                <w:sz w:val="15"/>
              </w:rPr>
              <w:t>3.942</w:t>
            </w:r>
          </w:p>
        </w:tc>
        <w:tc>
          <w:tcPr>
            <w:tcW w:w="972" w:type="dxa"/>
            <w:tcBorders>
              <w:top w:val="nil"/>
              <w:bottom w:val="nil"/>
            </w:tcBorders>
          </w:tcPr>
          <w:p>
            <w:pPr>
              <w:pStyle w:val="TableParagraph"/>
              <w:spacing w:before="15"/>
              <w:ind w:right="177"/>
              <w:rPr>
                <w:sz w:val="15"/>
              </w:rPr>
            </w:pPr>
            <w:r>
              <w:rPr>
                <w:sz w:val="15"/>
              </w:rPr>
              <w:t>1.157</w:t>
            </w:r>
          </w:p>
        </w:tc>
        <w:tc>
          <w:tcPr>
            <w:tcW w:w="972" w:type="dxa"/>
            <w:tcBorders>
              <w:top w:val="nil"/>
              <w:bottom w:val="nil"/>
            </w:tcBorders>
          </w:tcPr>
          <w:p>
            <w:pPr>
              <w:pStyle w:val="TableParagraph"/>
              <w:spacing w:before="15"/>
              <w:ind w:right="177"/>
              <w:rPr>
                <w:sz w:val="15"/>
              </w:rPr>
            </w:pPr>
            <w:r>
              <w:rPr>
                <w:sz w:val="15"/>
              </w:rPr>
              <w:t>36</w:t>
            </w:r>
          </w:p>
        </w:tc>
        <w:tc>
          <w:tcPr>
            <w:tcW w:w="972" w:type="dxa"/>
            <w:tcBorders>
              <w:top w:val="nil"/>
              <w:bottom w:val="nil"/>
            </w:tcBorders>
          </w:tcPr>
          <w:p>
            <w:pPr>
              <w:pStyle w:val="TableParagraph"/>
              <w:spacing w:before="15"/>
              <w:ind w:right="177"/>
              <w:rPr>
                <w:sz w:val="15"/>
              </w:rPr>
            </w:pPr>
            <w:r>
              <w:rPr>
                <w:sz w:val="15"/>
              </w:rPr>
              <w:t>5.135</w:t>
            </w:r>
          </w:p>
        </w:tc>
      </w:tr>
      <w:tr>
        <w:trPr>
          <w:trHeight w:val="198" w:hRule="exact"/>
        </w:trPr>
        <w:tc>
          <w:tcPr>
            <w:tcW w:w="576" w:type="dxa"/>
            <w:tcBorders>
              <w:top w:val="nil"/>
              <w:bottom w:val="nil"/>
            </w:tcBorders>
          </w:tcPr>
          <w:p>
            <w:pPr>
              <w:pStyle w:val="TableParagraph"/>
              <w:spacing w:before="15"/>
              <w:jc w:val="center"/>
              <w:rPr>
                <w:sz w:val="15"/>
              </w:rPr>
            </w:pPr>
            <w:r>
              <w:rPr>
                <w:sz w:val="15"/>
              </w:rPr>
              <w:t>10125</w:t>
            </w:r>
          </w:p>
        </w:tc>
        <w:tc>
          <w:tcPr>
            <w:tcW w:w="2293" w:type="dxa"/>
            <w:tcBorders>
              <w:top w:val="nil"/>
              <w:bottom w:val="nil"/>
            </w:tcBorders>
          </w:tcPr>
          <w:p>
            <w:pPr>
              <w:pStyle w:val="TableParagraph"/>
              <w:spacing w:before="15"/>
              <w:ind w:left="18"/>
              <w:jc w:val="left"/>
              <w:rPr>
                <w:sz w:val="15"/>
              </w:rPr>
            </w:pPr>
            <w:r>
              <w:rPr>
                <w:sz w:val="15"/>
              </w:rPr>
              <w:t>PARACHINI MARCO</w:t>
            </w:r>
          </w:p>
        </w:tc>
        <w:tc>
          <w:tcPr>
            <w:tcW w:w="972" w:type="dxa"/>
            <w:tcBorders>
              <w:top w:val="nil"/>
              <w:bottom w:val="nil"/>
            </w:tcBorders>
          </w:tcPr>
          <w:p>
            <w:pPr>
              <w:pStyle w:val="TableParagraph"/>
              <w:spacing w:before="15"/>
              <w:ind w:right="177"/>
              <w:rPr>
                <w:sz w:val="15"/>
              </w:rPr>
            </w:pPr>
            <w:r>
              <w:rPr>
                <w:sz w:val="15"/>
              </w:rPr>
              <w:t>6.637</w:t>
            </w:r>
          </w:p>
        </w:tc>
        <w:tc>
          <w:tcPr>
            <w:tcW w:w="972" w:type="dxa"/>
            <w:tcBorders>
              <w:top w:val="nil"/>
              <w:bottom w:val="nil"/>
            </w:tcBorders>
          </w:tcPr>
          <w:p>
            <w:pPr>
              <w:pStyle w:val="TableParagraph"/>
              <w:spacing w:before="15"/>
              <w:ind w:right="177"/>
              <w:rPr>
                <w:sz w:val="15"/>
              </w:rPr>
            </w:pPr>
            <w:r>
              <w:rPr>
                <w:sz w:val="15"/>
              </w:rPr>
              <w:t>2.010</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8.646</w:t>
            </w:r>
          </w:p>
        </w:tc>
      </w:tr>
      <w:tr>
        <w:trPr>
          <w:trHeight w:val="198" w:hRule="exact"/>
        </w:trPr>
        <w:tc>
          <w:tcPr>
            <w:tcW w:w="576" w:type="dxa"/>
            <w:tcBorders>
              <w:top w:val="nil"/>
              <w:bottom w:val="nil"/>
            </w:tcBorders>
          </w:tcPr>
          <w:p>
            <w:pPr>
              <w:pStyle w:val="TableParagraph"/>
              <w:spacing w:before="15"/>
              <w:jc w:val="center"/>
              <w:rPr>
                <w:sz w:val="15"/>
              </w:rPr>
            </w:pPr>
            <w:r>
              <w:rPr>
                <w:sz w:val="15"/>
              </w:rPr>
              <w:t>10094</w:t>
            </w:r>
          </w:p>
        </w:tc>
        <w:tc>
          <w:tcPr>
            <w:tcW w:w="2293" w:type="dxa"/>
            <w:tcBorders>
              <w:top w:val="nil"/>
              <w:bottom w:val="nil"/>
            </w:tcBorders>
          </w:tcPr>
          <w:p>
            <w:pPr>
              <w:pStyle w:val="TableParagraph"/>
              <w:spacing w:before="15"/>
              <w:ind w:left="18"/>
              <w:jc w:val="left"/>
              <w:rPr>
                <w:sz w:val="15"/>
              </w:rPr>
            </w:pPr>
            <w:r>
              <w:rPr>
                <w:sz w:val="15"/>
              </w:rPr>
              <w:t>PESCAROLO STEFANIA</w:t>
            </w:r>
          </w:p>
        </w:tc>
        <w:tc>
          <w:tcPr>
            <w:tcW w:w="972" w:type="dxa"/>
            <w:tcBorders>
              <w:top w:val="nil"/>
              <w:bottom w:val="nil"/>
            </w:tcBorders>
          </w:tcPr>
          <w:p>
            <w:pPr>
              <w:pStyle w:val="TableParagraph"/>
              <w:spacing w:before="15"/>
              <w:ind w:right="177"/>
              <w:rPr>
                <w:sz w:val="15"/>
              </w:rPr>
            </w:pPr>
            <w:r>
              <w:rPr>
                <w:sz w:val="15"/>
              </w:rPr>
              <w:t>3.054</w:t>
            </w:r>
          </w:p>
        </w:tc>
        <w:tc>
          <w:tcPr>
            <w:tcW w:w="972" w:type="dxa"/>
            <w:tcBorders>
              <w:top w:val="nil"/>
              <w:bottom w:val="nil"/>
            </w:tcBorders>
          </w:tcPr>
          <w:p>
            <w:pPr>
              <w:pStyle w:val="TableParagraph"/>
              <w:spacing w:before="15"/>
              <w:ind w:right="177"/>
              <w:rPr>
                <w:sz w:val="15"/>
              </w:rPr>
            </w:pPr>
            <w:r>
              <w:rPr>
                <w:sz w:val="15"/>
              </w:rPr>
              <w:t>952</w:t>
            </w:r>
          </w:p>
        </w:tc>
        <w:tc>
          <w:tcPr>
            <w:tcW w:w="972" w:type="dxa"/>
            <w:tcBorders>
              <w:top w:val="nil"/>
              <w:bottom w:val="nil"/>
            </w:tcBorders>
          </w:tcPr>
          <w:p>
            <w:pPr>
              <w:pStyle w:val="TableParagraph"/>
              <w:spacing w:before="15"/>
              <w:ind w:right="177"/>
              <w:rPr>
                <w:sz w:val="15"/>
              </w:rPr>
            </w:pPr>
            <w:r>
              <w:rPr>
                <w:sz w:val="15"/>
              </w:rPr>
              <w:t>22</w:t>
            </w:r>
          </w:p>
        </w:tc>
        <w:tc>
          <w:tcPr>
            <w:tcW w:w="972" w:type="dxa"/>
            <w:tcBorders>
              <w:top w:val="nil"/>
              <w:bottom w:val="nil"/>
            </w:tcBorders>
          </w:tcPr>
          <w:p>
            <w:pPr>
              <w:pStyle w:val="TableParagraph"/>
              <w:spacing w:before="15"/>
              <w:ind w:right="177"/>
              <w:rPr>
                <w:sz w:val="15"/>
              </w:rPr>
            </w:pPr>
            <w:r>
              <w:rPr>
                <w:sz w:val="15"/>
              </w:rPr>
              <w:t>4.028</w:t>
            </w:r>
          </w:p>
        </w:tc>
      </w:tr>
      <w:tr>
        <w:trPr>
          <w:trHeight w:val="198" w:hRule="exact"/>
        </w:trPr>
        <w:tc>
          <w:tcPr>
            <w:tcW w:w="576" w:type="dxa"/>
            <w:tcBorders>
              <w:top w:val="nil"/>
              <w:bottom w:val="nil"/>
            </w:tcBorders>
          </w:tcPr>
          <w:p>
            <w:pPr>
              <w:pStyle w:val="TableParagraph"/>
              <w:spacing w:before="15"/>
              <w:jc w:val="center"/>
              <w:rPr>
                <w:sz w:val="15"/>
              </w:rPr>
            </w:pPr>
            <w:r>
              <w:rPr>
                <w:sz w:val="15"/>
              </w:rPr>
              <w:t>10186</w:t>
            </w:r>
          </w:p>
        </w:tc>
        <w:tc>
          <w:tcPr>
            <w:tcW w:w="2293" w:type="dxa"/>
            <w:tcBorders>
              <w:top w:val="nil"/>
              <w:bottom w:val="nil"/>
            </w:tcBorders>
          </w:tcPr>
          <w:p>
            <w:pPr>
              <w:pStyle w:val="TableParagraph"/>
              <w:spacing w:before="15"/>
              <w:ind w:left="18"/>
              <w:jc w:val="left"/>
              <w:rPr>
                <w:sz w:val="15"/>
              </w:rPr>
            </w:pPr>
            <w:r>
              <w:rPr>
                <w:sz w:val="15"/>
              </w:rPr>
              <w:t>PIRTAC VLAD IONUT</w:t>
            </w:r>
          </w:p>
        </w:tc>
        <w:tc>
          <w:tcPr>
            <w:tcW w:w="972" w:type="dxa"/>
            <w:tcBorders>
              <w:top w:val="nil"/>
              <w:bottom w:val="nil"/>
            </w:tcBorders>
          </w:tcPr>
          <w:p>
            <w:pPr>
              <w:pStyle w:val="TableParagraph"/>
              <w:spacing w:before="15"/>
              <w:ind w:right="177"/>
              <w:rPr>
                <w:sz w:val="15"/>
              </w:rPr>
            </w:pPr>
            <w:r>
              <w:rPr>
                <w:sz w:val="15"/>
              </w:rPr>
              <w:t>1.491</w:t>
            </w:r>
          </w:p>
        </w:tc>
        <w:tc>
          <w:tcPr>
            <w:tcW w:w="972" w:type="dxa"/>
            <w:tcBorders>
              <w:top w:val="nil"/>
              <w:bottom w:val="nil"/>
            </w:tcBorders>
          </w:tcPr>
          <w:p>
            <w:pPr>
              <w:pStyle w:val="TableParagraph"/>
              <w:spacing w:before="15"/>
              <w:ind w:right="177"/>
              <w:rPr>
                <w:sz w:val="15"/>
              </w:rPr>
            </w:pPr>
            <w:r>
              <w:rPr>
                <w:sz w:val="15"/>
              </w:rPr>
              <w:t>471</w:t>
            </w:r>
          </w:p>
        </w:tc>
        <w:tc>
          <w:tcPr>
            <w:tcW w:w="972" w:type="dxa"/>
            <w:tcBorders>
              <w:top w:val="nil"/>
              <w:bottom w:val="nil"/>
            </w:tcBorders>
          </w:tcPr>
          <w:p>
            <w:pPr>
              <w:pStyle w:val="TableParagraph"/>
              <w:spacing w:before="15"/>
              <w:ind w:right="177"/>
              <w:rPr>
                <w:sz w:val="15"/>
              </w:rPr>
            </w:pPr>
            <w:r>
              <w:rPr>
                <w:sz w:val="15"/>
              </w:rPr>
              <w:t>38</w:t>
            </w:r>
          </w:p>
        </w:tc>
        <w:tc>
          <w:tcPr>
            <w:tcW w:w="972" w:type="dxa"/>
            <w:tcBorders>
              <w:top w:val="nil"/>
              <w:bottom w:val="nil"/>
            </w:tcBorders>
          </w:tcPr>
          <w:p>
            <w:pPr>
              <w:pStyle w:val="TableParagraph"/>
              <w:spacing w:before="15"/>
              <w:ind w:right="177"/>
              <w:rPr>
                <w:sz w:val="15"/>
              </w:rPr>
            </w:pPr>
            <w:r>
              <w:rPr>
                <w:sz w:val="15"/>
              </w:rPr>
              <w:t>2.000</w:t>
            </w:r>
          </w:p>
        </w:tc>
      </w:tr>
      <w:tr>
        <w:trPr>
          <w:trHeight w:val="198" w:hRule="exact"/>
        </w:trPr>
        <w:tc>
          <w:tcPr>
            <w:tcW w:w="576" w:type="dxa"/>
            <w:tcBorders>
              <w:top w:val="nil"/>
              <w:bottom w:val="nil"/>
            </w:tcBorders>
          </w:tcPr>
          <w:p>
            <w:pPr>
              <w:pStyle w:val="TableParagraph"/>
              <w:spacing w:before="15"/>
              <w:jc w:val="center"/>
              <w:rPr>
                <w:sz w:val="15"/>
              </w:rPr>
            </w:pPr>
            <w:r>
              <w:rPr>
                <w:sz w:val="15"/>
              </w:rPr>
              <w:t>11050</w:t>
            </w:r>
          </w:p>
        </w:tc>
        <w:tc>
          <w:tcPr>
            <w:tcW w:w="2293" w:type="dxa"/>
            <w:tcBorders>
              <w:top w:val="nil"/>
              <w:bottom w:val="nil"/>
            </w:tcBorders>
          </w:tcPr>
          <w:p>
            <w:pPr>
              <w:pStyle w:val="TableParagraph"/>
              <w:spacing w:before="15"/>
              <w:ind w:left="18"/>
              <w:jc w:val="left"/>
              <w:rPr>
                <w:sz w:val="15"/>
              </w:rPr>
            </w:pPr>
            <w:r>
              <w:rPr>
                <w:sz w:val="15"/>
              </w:rPr>
              <w:t>PORTA TOMMASO</w:t>
            </w:r>
          </w:p>
        </w:tc>
        <w:tc>
          <w:tcPr>
            <w:tcW w:w="972" w:type="dxa"/>
            <w:tcBorders>
              <w:top w:val="nil"/>
              <w:bottom w:val="nil"/>
            </w:tcBorders>
          </w:tcPr>
          <w:p>
            <w:pPr>
              <w:pStyle w:val="TableParagraph"/>
              <w:spacing w:before="15"/>
              <w:ind w:right="177"/>
              <w:rPr>
                <w:sz w:val="15"/>
              </w:rPr>
            </w:pPr>
            <w:r>
              <w:rPr>
                <w:sz w:val="15"/>
              </w:rPr>
              <w:t>2.040</w:t>
            </w:r>
          </w:p>
        </w:tc>
        <w:tc>
          <w:tcPr>
            <w:tcW w:w="972" w:type="dxa"/>
            <w:tcBorders>
              <w:top w:val="nil"/>
              <w:bottom w:val="nil"/>
            </w:tcBorders>
          </w:tcPr>
          <w:p>
            <w:pPr>
              <w:pStyle w:val="TableParagraph"/>
              <w:spacing w:before="15"/>
              <w:ind w:right="177"/>
              <w:rPr>
                <w:sz w:val="15"/>
              </w:rPr>
            </w:pPr>
            <w:r>
              <w:rPr>
                <w:sz w:val="15"/>
              </w:rPr>
              <w:t>599</w:t>
            </w:r>
          </w:p>
        </w:tc>
        <w:tc>
          <w:tcPr>
            <w:tcW w:w="972" w:type="dxa"/>
            <w:tcBorders>
              <w:top w:val="nil"/>
              <w:bottom w:val="nil"/>
            </w:tcBorders>
          </w:tcPr>
          <w:p>
            <w:pPr>
              <w:pStyle w:val="TableParagraph"/>
              <w:spacing w:before="15"/>
              <w:ind w:right="177"/>
              <w:rPr>
                <w:sz w:val="15"/>
              </w:rPr>
            </w:pPr>
            <w:r>
              <w:rPr>
                <w:sz w:val="15"/>
              </w:rPr>
              <w:t>10</w:t>
            </w:r>
          </w:p>
        </w:tc>
        <w:tc>
          <w:tcPr>
            <w:tcW w:w="972" w:type="dxa"/>
            <w:tcBorders>
              <w:top w:val="nil"/>
              <w:bottom w:val="nil"/>
            </w:tcBorders>
          </w:tcPr>
          <w:p>
            <w:pPr>
              <w:pStyle w:val="TableParagraph"/>
              <w:spacing w:before="15"/>
              <w:ind w:right="177"/>
              <w:rPr>
                <w:sz w:val="15"/>
              </w:rPr>
            </w:pPr>
            <w:r>
              <w:rPr>
                <w:sz w:val="15"/>
              </w:rPr>
              <w:t>2.650</w:t>
            </w:r>
          </w:p>
        </w:tc>
      </w:tr>
      <w:tr>
        <w:trPr>
          <w:trHeight w:val="198" w:hRule="exact"/>
        </w:trPr>
        <w:tc>
          <w:tcPr>
            <w:tcW w:w="576" w:type="dxa"/>
            <w:tcBorders>
              <w:top w:val="nil"/>
              <w:bottom w:val="nil"/>
            </w:tcBorders>
          </w:tcPr>
          <w:p>
            <w:pPr>
              <w:pStyle w:val="TableParagraph"/>
              <w:spacing w:before="15"/>
              <w:jc w:val="center"/>
              <w:rPr>
                <w:sz w:val="15"/>
              </w:rPr>
            </w:pPr>
            <w:r>
              <w:rPr>
                <w:sz w:val="15"/>
              </w:rPr>
              <w:t>10286</w:t>
            </w:r>
          </w:p>
        </w:tc>
        <w:tc>
          <w:tcPr>
            <w:tcW w:w="2293" w:type="dxa"/>
            <w:tcBorders>
              <w:top w:val="nil"/>
              <w:bottom w:val="nil"/>
            </w:tcBorders>
          </w:tcPr>
          <w:p>
            <w:pPr>
              <w:pStyle w:val="TableParagraph"/>
              <w:spacing w:before="15"/>
              <w:ind w:left="18"/>
              <w:jc w:val="left"/>
              <w:rPr>
                <w:sz w:val="15"/>
              </w:rPr>
            </w:pPr>
            <w:r>
              <w:rPr>
                <w:sz w:val="15"/>
              </w:rPr>
              <w:t>PUTIGNANO LUCA</w:t>
            </w:r>
          </w:p>
        </w:tc>
        <w:tc>
          <w:tcPr>
            <w:tcW w:w="972" w:type="dxa"/>
            <w:tcBorders>
              <w:top w:val="nil"/>
              <w:bottom w:val="nil"/>
            </w:tcBorders>
          </w:tcPr>
          <w:p>
            <w:pPr>
              <w:pStyle w:val="TableParagraph"/>
              <w:spacing w:before="15"/>
              <w:ind w:right="177"/>
              <w:rPr>
                <w:sz w:val="15"/>
              </w:rPr>
            </w:pPr>
            <w:r>
              <w:rPr>
                <w:sz w:val="15"/>
              </w:rPr>
              <w:t>1.491</w:t>
            </w:r>
          </w:p>
        </w:tc>
        <w:tc>
          <w:tcPr>
            <w:tcW w:w="972" w:type="dxa"/>
            <w:tcBorders>
              <w:top w:val="nil"/>
              <w:bottom w:val="nil"/>
            </w:tcBorders>
          </w:tcPr>
          <w:p>
            <w:pPr>
              <w:pStyle w:val="TableParagraph"/>
              <w:spacing w:before="15"/>
              <w:ind w:right="177"/>
              <w:rPr>
                <w:sz w:val="15"/>
              </w:rPr>
            </w:pPr>
            <w:r>
              <w:rPr>
                <w:sz w:val="15"/>
              </w:rPr>
              <w:t>438</w:t>
            </w:r>
          </w:p>
        </w:tc>
        <w:tc>
          <w:tcPr>
            <w:tcW w:w="972" w:type="dxa"/>
            <w:tcBorders>
              <w:top w:val="nil"/>
              <w:bottom w:val="nil"/>
            </w:tcBorders>
          </w:tcPr>
          <w:p>
            <w:pPr>
              <w:pStyle w:val="TableParagraph"/>
              <w:spacing w:before="15"/>
              <w:ind w:right="183"/>
              <w:rPr>
                <w:sz w:val="15"/>
              </w:rPr>
            </w:pPr>
            <w:r>
              <w:rPr>
                <w:w w:val="100"/>
                <w:sz w:val="15"/>
              </w:rPr>
              <w:t>8</w:t>
            </w:r>
          </w:p>
        </w:tc>
        <w:tc>
          <w:tcPr>
            <w:tcW w:w="972" w:type="dxa"/>
            <w:tcBorders>
              <w:top w:val="nil"/>
              <w:bottom w:val="nil"/>
            </w:tcBorders>
          </w:tcPr>
          <w:p>
            <w:pPr>
              <w:pStyle w:val="TableParagraph"/>
              <w:spacing w:before="15"/>
              <w:ind w:right="177"/>
              <w:rPr>
                <w:sz w:val="15"/>
              </w:rPr>
            </w:pPr>
            <w:r>
              <w:rPr>
                <w:sz w:val="15"/>
              </w:rPr>
              <w:t>1.937</w:t>
            </w:r>
          </w:p>
        </w:tc>
      </w:tr>
      <w:tr>
        <w:trPr>
          <w:trHeight w:val="198" w:hRule="exact"/>
        </w:trPr>
        <w:tc>
          <w:tcPr>
            <w:tcW w:w="576" w:type="dxa"/>
            <w:tcBorders>
              <w:top w:val="nil"/>
              <w:bottom w:val="nil"/>
            </w:tcBorders>
          </w:tcPr>
          <w:p>
            <w:pPr>
              <w:pStyle w:val="TableParagraph"/>
              <w:spacing w:before="15"/>
              <w:jc w:val="center"/>
              <w:rPr>
                <w:sz w:val="15"/>
              </w:rPr>
            </w:pPr>
            <w:r>
              <w:rPr>
                <w:sz w:val="15"/>
              </w:rPr>
              <w:t>10054</w:t>
            </w:r>
          </w:p>
        </w:tc>
        <w:tc>
          <w:tcPr>
            <w:tcW w:w="2293" w:type="dxa"/>
            <w:tcBorders>
              <w:top w:val="nil"/>
              <w:bottom w:val="nil"/>
            </w:tcBorders>
          </w:tcPr>
          <w:p>
            <w:pPr>
              <w:pStyle w:val="TableParagraph"/>
              <w:spacing w:before="15"/>
              <w:ind w:left="18"/>
              <w:jc w:val="left"/>
              <w:rPr>
                <w:sz w:val="15"/>
              </w:rPr>
            </w:pPr>
            <w:r>
              <w:rPr>
                <w:sz w:val="15"/>
              </w:rPr>
              <w:t>QUIRICO ERIKA CINZIA</w:t>
            </w:r>
          </w:p>
        </w:tc>
        <w:tc>
          <w:tcPr>
            <w:tcW w:w="972" w:type="dxa"/>
            <w:tcBorders>
              <w:top w:val="nil"/>
              <w:bottom w:val="nil"/>
            </w:tcBorders>
          </w:tcPr>
          <w:p>
            <w:pPr>
              <w:pStyle w:val="TableParagraph"/>
              <w:spacing w:before="15"/>
              <w:ind w:right="177"/>
              <w:rPr>
                <w:sz w:val="15"/>
              </w:rPr>
            </w:pPr>
            <w:r>
              <w:rPr>
                <w:sz w:val="15"/>
              </w:rPr>
              <w:t>1.856</w:t>
            </w:r>
          </w:p>
        </w:tc>
        <w:tc>
          <w:tcPr>
            <w:tcW w:w="972" w:type="dxa"/>
            <w:tcBorders>
              <w:top w:val="nil"/>
              <w:bottom w:val="nil"/>
            </w:tcBorders>
          </w:tcPr>
          <w:p>
            <w:pPr>
              <w:pStyle w:val="TableParagraph"/>
              <w:spacing w:before="15"/>
              <w:ind w:right="177"/>
              <w:rPr>
                <w:sz w:val="15"/>
              </w:rPr>
            </w:pPr>
            <w:r>
              <w:rPr>
                <w:sz w:val="15"/>
              </w:rPr>
              <w:t>579</w:t>
            </w:r>
          </w:p>
        </w:tc>
        <w:tc>
          <w:tcPr>
            <w:tcW w:w="972" w:type="dxa"/>
            <w:tcBorders>
              <w:top w:val="nil"/>
              <w:bottom w:val="nil"/>
            </w:tcBorders>
          </w:tcPr>
          <w:p>
            <w:pPr>
              <w:pStyle w:val="TableParagraph"/>
              <w:spacing w:before="15"/>
              <w:ind w:right="177"/>
              <w:rPr>
                <w:sz w:val="15"/>
              </w:rPr>
            </w:pPr>
            <w:r>
              <w:rPr>
                <w:sz w:val="15"/>
              </w:rPr>
              <w:t>17</w:t>
            </w:r>
          </w:p>
        </w:tc>
        <w:tc>
          <w:tcPr>
            <w:tcW w:w="972" w:type="dxa"/>
            <w:tcBorders>
              <w:top w:val="nil"/>
              <w:bottom w:val="nil"/>
            </w:tcBorders>
          </w:tcPr>
          <w:p>
            <w:pPr>
              <w:pStyle w:val="TableParagraph"/>
              <w:spacing w:before="15"/>
              <w:ind w:right="177"/>
              <w:rPr>
                <w:sz w:val="15"/>
              </w:rPr>
            </w:pPr>
            <w:r>
              <w:rPr>
                <w:sz w:val="15"/>
              </w:rPr>
              <w:t>2.452</w:t>
            </w:r>
          </w:p>
        </w:tc>
      </w:tr>
      <w:tr>
        <w:trPr>
          <w:trHeight w:val="198" w:hRule="exact"/>
        </w:trPr>
        <w:tc>
          <w:tcPr>
            <w:tcW w:w="576" w:type="dxa"/>
            <w:tcBorders>
              <w:top w:val="nil"/>
              <w:bottom w:val="nil"/>
            </w:tcBorders>
          </w:tcPr>
          <w:p>
            <w:pPr>
              <w:pStyle w:val="TableParagraph"/>
              <w:spacing w:before="15"/>
              <w:jc w:val="center"/>
              <w:rPr>
                <w:sz w:val="15"/>
              </w:rPr>
            </w:pPr>
            <w:r>
              <w:rPr>
                <w:sz w:val="15"/>
              </w:rPr>
              <w:t>10017</w:t>
            </w:r>
          </w:p>
        </w:tc>
        <w:tc>
          <w:tcPr>
            <w:tcW w:w="2293" w:type="dxa"/>
            <w:tcBorders>
              <w:top w:val="nil"/>
              <w:bottom w:val="nil"/>
            </w:tcBorders>
          </w:tcPr>
          <w:p>
            <w:pPr>
              <w:pStyle w:val="TableParagraph"/>
              <w:spacing w:before="15"/>
              <w:ind w:left="18"/>
              <w:jc w:val="left"/>
              <w:rPr>
                <w:sz w:val="15"/>
              </w:rPr>
            </w:pPr>
            <w:r>
              <w:rPr>
                <w:sz w:val="15"/>
              </w:rPr>
              <w:t>RAITERI PAOLA</w:t>
            </w:r>
          </w:p>
        </w:tc>
        <w:tc>
          <w:tcPr>
            <w:tcW w:w="972" w:type="dxa"/>
            <w:tcBorders>
              <w:top w:val="nil"/>
              <w:bottom w:val="nil"/>
            </w:tcBorders>
          </w:tcPr>
          <w:p>
            <w:pPr>
              <w:pStyle w:val="TableParagraph"/>
              <w:spacing w:before="15"/>
              <w:ind w:right="177"/>
              <w:rPr>
                <w:sz w:val="15"/>
              </w:rPr>
            </w:pPr>
            <w:r>
              <w:rPr>
                <w:sz w:val="15"/>
              </w:rPr>
              <w:t>1.739</w:t>
            </w:r>
          </w:p>
        </w:tc>
        <w:tc>
          <w:tcPr>
            <w:tcW w:w="972" w:type="dxa"/>
            <w:tcBorders>
              <w:top w:val="nil"/>
              <w:bottom w:val="nil"/>
            </w:tcBorders>
          </w:tcPr>
          <w:p>
            <w:pPr>
              <w:pStyle w:val="TableParagraph"/>
              <w:spacing w:before="15"/>
              <w:ind w:right="177"/>
              <w:rPr>
                <w:sz w:val="15"/>
              </w:rPr>
            </w:pPr>
            <w:r>
              <w:rPr>
                <w:sz w:val="15"/>
              </w:rPr>
              <w:t>511</w:t>
            </w:r>
          </w:p>
        </w:tc>
        <w:tc>
          <w:tcPr>
            <w:tcW w:w="972" w:type="dxa"/>
            <w:tcBorders>
              <w:top w:val="nil"/>
              <w:bottom w:val="nil"/>
            </w:tcBorders>
          </w:tcPr>
          <w:p>
            <w:pPr>
              <w:pStyle w:val="TableParagraph"/>
              <w:spacing w:before="15"/>
              <w:ind w:right="183"/>
              <w:rPr>
                <w:sz w:val="15"/>
              </w:rPr>
            </w:pPr>
            <w:r>
              <w:rPr>
                <w:w w:val="100"/>
                <w:sz w:val="15"/>
              </w:rPr>
              <w:t>9</w:t>
            </w:r>
          </w:p>
        </w:tc>
        <w:tc>
          <w:tcPr>
            <w:tcW w:w="972" w:type="dxa"/>
            <w:tcBorders>
              <w:top w:val="nil"/>
              <w:bottom w:val="nil"/>
            </w:tcBorders>
          </w:tcPr>
          <w:p>
            <w:pPr>
              <w:pStyle w:val="TableParagraph"/>
              <w:spacing w:before="15"/>
              <w:ind w:right="177"/>
              <w:rPr>
                <w:sz w:val="15"/>
              </w:rPr>
            </w:pPr>
            <w:r>
              <w:rPr>
                <w:sz w:val="15"/>
              </w:rPr>
              <w:t>2.258</w:t>
            </w:r>
          </w:p>
        </w:tc>
      </w:tr>
      <w:tr>
        <w:trPr>
          <w:trHeight w:val="198" w:hRule="exact"/>
        </w:trPr>
        <w:tc>
          <w:tcPr>
            <w:tcW w:w="576" w:type="dxa"/>
            <w:tcBorders>
              <w:top w:val="nil"/>
              <w:bottom w:val="nil"/>
            </w:tcBorders>
          </w:tcPr>
          <w:p>
            <w:pPr>
              <w:pStyle w:val="TableParagraph"/>
              <w:spacing w:before="15"/>
              <w:jc w:val="center"/>
              <w:rPr>
                <w:sz w:val="15"/>
              </w:rPr>
            </w:pPr>
            <w:r>
              <w:rPr>
                <w:sz w:val="15"/>
              </w:rPr>
              <w:t>10283</w:t>
            </w:r>
          </w:p>
        </w:tc>
        <w:tc>
          <w:tcPr>
            <w:tcW w:w="2293" w:type="dxa"/>
            <w:tcBorders>
              <w:top w:val="nil"/>
              <w:bottom w:val="nil"/>
            </w:tcBorders>
          </w:tcPr>
          <w:p>
            <w:pPr>
              <w:pStyle w:val="TableParagraph"/>
              <w:spacing w:before="15"/>
              <w:ind w:left="18"/>
              <w:jc w:val="left"/>
              <w:rPr>
                <w:sz w:val="15"/>
              </w:rPr>
            </w:pPr>
            <w:r>
              <w:rPr>
                <w:sz w:val="15"/>
              </w:rPr>
              <w:t>REDAELLI SILVIA</w:t>
            </w:r>
          </w:p>
        </w:tc>
        <w:tc>
          <w:tcPr>
            <w:tcW w:w="972" w:type="dxa"/>
            <w:tcBorders>
              <w:top w:val="nil"/>
              <w:bottom w:val="nil"/>
            </w:tcBorders>
          </w:tcPr>
          <w:p>
            <w:pPr>
              <w:pStyle w:val="TableParagraph"/>
              <w:spacing w:before="15"/>
              <w:ind w:right="177"/>
              <w:rPr>
                <w:sz w:val="15"/>
              </w:rPr>
            </w:pPr>
            <w:r>
              <w:rPr>
                <w:sz w:val="15"/>
              </w:rPr>
              <w:t>1.940</w:t>
            </w:r>
          </w:p>
        </w:tc>
        <w:tc>
          <w:tcPr>
            <w:tcW w:w="972" w:type="dxa"/>
            <w:tcBorders>
              <w:top w:val="nil"/>
              <w:bottom w:val="nil"/>
            </w:tcBorders>
          </w:tcPr>
          <w:p>
            <w:pPr>
              <w:pStyle w:val="TableParagraph"/>
              <w:spacing w:before="15"/>
              <w:ind w:right="177"/>
              <w:rPr>
                <w:sz w:val="15"/>
              </w:rPr>
            </w:pPr>
            <w:r>
              <w:rPr>
                <w:sz w:val="15"/>
              </w:rPr>
              <w:t>569</w:t>
            </w:r>
          </w:p>
        </w:tc>
        <w:tc>
          <w:tcPr>
            <w:tcW w:w="972" w:type="dxa"/>
            <w:tcBorders>
              <w:top w:val="nil"/>
              <w:bottom w:val="nil"/>
            </w:tcBorders>
          </w:tcPr>
          <w:p>
            <w:pPr>
              <w:pStyle w:val="TableParagraph"/>
              <w:spacing w:before="15"/>
              <w:ind w:right="177"/>
              <w:rPr>
                <w:sz w:val="15"/>
              </w:rPr>
            </w:pPr>
            <w:r>
              <w:rPr>
                <w:sz w:val="15"/>
              </w:rPr>
              <w:t>18</w:t>
            </w:r>
          </w:p>
        </w:tc>
        <w:tc>
          <w:tcPr>
            <w:tcW w:w="972" w:type="dxa"/>
            <w:tcBorders>
              <w:top w:val="nil"/>
              <w:bottom w:val="nil"/>
            </w:tcBorders>
          </w:tcPr>
          <w:p>
            <w:pPr>
              <w:pStyle w:val="TableParagraph"/>
              <w:spacing w:before="15"/>
              <w:ind w:right="177"/>
              <w:rPr>
                <w:sz w:val="15"/>
              </w:rPr>
            </w:pPr>
            <w:r>
              <w:rPr>
                <w:sz w:val="15"/>
              </w:rPr>
              <w:t>2.527</w:t>
            </w:r>
          </w:p>
        </w:tc>
      </w:tr>
      <w:tr>
        <w:trPr>
          <w:trHeight w:val="198" w:hRule="exact"/>
        </w:trPr>
        <w:tc>
          <w:tcPr>
            <w:tcW w:w="576" w:type="dxa"/>
            <w:tcBorders>
              <w:top w:val="nil"/>
              <w:bottom w:val="nil"/>
            </w:tcBorders>
          </w:tcPr>
          <w:p>
            <w:pPr>
              <w:pStyle w:val="TableParagraph"/>
              <w:spacing w:before="15"/>
              <w:jc w:val="center"/>
              <w:rPr>
                <w:sz w:val="15"/>
              </w:rPr>
            </w:pPr>
            <w:r>
              <w:rPr>
                <w:sz w:val="15"/>
              </w:rPr>
              <w:t>10137</w:t>
            </w:r>
          </w:p>
        </w:tc>
        <w:tc>
          <w:tcPr>
            <w:tcW w:w="2293" w:type="dxa"/>
            <w:tcBorders>
              <w:top w:val="nil"/>
              <w:bottom w:val="nil"/>
            </w:tcBorders>
          </w:tcPr>
          <w:p>
            <w:pPr>
              <w:pStyle w:val="TableParagraph"/>
              <w:spacing w:before="15"/>
              <w:ind w:left="18"/>
              <w:jc w:val="left"/>
              <w:rPr>
                <w:sz w:val="15"/>
              </w:rPr>
            </w:pPr>
            <w:r>
              <w:rPr>
                <w:sz w:val="15"/>
              </w:rPr>
              <w:t>RIVA DANIELE</w:t>
            </w:r>
          </w:p>
        </w:tc>
        <w:tc>
          <w:tcPr>
            <w:tcW w:w="972" w:type="dxa"/>
            <w:tcBorders>
              <w:top w:val="nil"/>
              <w:bottom w:val="nil"/>
            </w:tcBorders>
          </w:tcPr>
          <w:p>
            <w:pPr>
              <w:pStyle w:val="TableParagraph"/>
              <w:spacing w:before="15"/>
              <w:ind w:right="177"/>
              <w:rPr>
                <w:sz w:val="15"/>
              </w:rPr>
            </w:pPr>
            <w:r>
              <w:rPr>
                <w:sz w:val="15"/>
              </w:rPr>
              <w:t>2.432</w:t>
            </w:r>
          </w:p>
        </w:tc>
        <w:tc>
          <w:tcPr>
            <w:tcW w:w="972" w:type="dxa"/>
            <w:tcBorders>
              <w:top w:val="nil"/>
              <w:bottom w:val="nil"/>
            </w:tcBorders>
          </w:tcPr>
          <w:p>
            <w:pPr>
              <w:pStyle w:val="TableParagraph"/>
              <w:spacing w:before="15"/>
              <w:ind w:right="177"/>
              <w:rPr>
                <w:sz w:val="15"/>
              </w:rPr>
            </w:pPr>
            <w:r>
              <w:rPr>
                <w:sz w:val="15"/>
              </w:rPr>
              <w:t>714</w:t>
            </w:r>
          </w:p>
        </w:tc>
        <w:tc>
          <w:tcPr>
            <w:tcW w:w="972" w:type="dxa"/>
            <w:tcBorders>
              <w:top w:val="nil"/>
              <w:bottom w:val="nil"/>
            </w:tcBorders>
          </w:tcPr>
          <w:p>
            <w:pPr>
              <w:pStyle w:val="TableParagraph"/>
              <w:spacing w:before="15"/>
              <w:ind w:right="177"/>
              <w:rPr>
                <w:sz w:val="15"/>
              </w:rPr>
            </w:pPr>
            <w:r>
              <w:rPr>
                <w:sz w:val="15"/>
              </w:rPr>
              <w:t>52</w:t>
            </w:r>
          </w:p>
        </w:tc>
        <w:tc>
          <w:tcPr>
            <w:tcW w:w="972" w:type="dxa"/>
            <w:tcBorders>
              <w:top w:val="nil"/>
              <w:bottom w:val="nil"/>
            </w:tcBorders>
          </w:tcPr>
          <w:p>
            <w:pPr>
              <w:pStyle w:val="TableParagraph"/>
              <w:spacing w:before="15"/>
              <w:ind w:right="177"/>
              <w:rPr>
                <w:sz w:val="15"/>
              </w:rPr>
            </w:pPr>
            <w:r>
              <w:rPr>
                <w:sz w:val="15"/>
              </w:rPr>
              <w:t>3.197</w:t>
            </w:r>
          </w:p>
        </w:tc>
      </w:tr>
      <w:tr>
        <w:trPr>
          <w:trHeight w:val="198" w:hRule="exact"/>
        </w:trPr>
        <w:tc>
          <w:tcPr>
            <w:tcW w:w="576" w:type="dxa"/>
            <w:tcBorders>
              <w:top w:val="nil"/>
              <w:bottom w:val="nil"/>
            </w:tcBorders>
          </w:tcPr>
          <w:p>
            <w:pPr>
              <w:pStyle w:val="TableParagraph"/>
              <w:spacing w:before="15"/>
              <w:jc w:val="center"/>
              <w:rPr>
                <w:sz w:val="15"/>
              </w:rPr>
            </w:pPr>
            <w:r>
              <w:rPr>
                <w:sz w:val="15"/>
              </w:rPr>
              <w:t>10207</w:t>
            </w:r>
          </w:p>
        </w:tc>
        <w:tc>
          <w:tcPr>
            <w:tcW w:w="2293" w:type="dxa"/>
            <w:tcBorders>
              <w:top w:val="nil"/>
              <w:bottom w:val="nil"/>
            </w:tcBorders>
          </w:tcPr>
          <w:p>
            <w:pPr>
              <w:pStyle w:val="TableParagraph"/>
              <w:spacing w:before="15"/>
              <w:ind w:left="18"/>
              <w:jc w:val="left"/>
              <w:rPr>
                <w:sz w:val="15"/>
              </w:rPr>
            </w:pPr>
            <w:r>
              <w:rPr>
                <w:sz w:val="15"/>
              </w:rPr>
              <w:t>RIVAS TORRES BEATRIZ</w:t>
            </w:r>
          </w:p>
        </w:tc>
        <w:tc>
          <w:tcPr>
            <w:tcW w:w="972" w:type="dxa"/>
            <w:tcBorders>
              <w:top w:val="nil"/>
              <w:bottom w:val="nil"/>
            </w:tcBorders>
          </w:tcPr>
          <w:p>
            <w:pPr>
              <w:pStyle w:val="TableParagraph"/>
              <w:spacing w:before="15"/>
              <w:ind w:right="177"/>
              <w:rPr>
                <w:sz w:val="15"/>
              </w:rPr>
            </w:pPr>
            <w:r>
              <w:rPr>
                <w:sz w:val="15"/>
              </w:rPr>
              <w:t>1.928</w:t>
            </w:r>
          </w:p>
        </w:tc>
        <w:tc>
          <w:tcPr>
            <w:tcW w:w="972" w:type="dxa"/>
            <w:tcBorders>
              <w:top w:val="nil"/>
              <w:bottom w:val="nil"/>
            </w:tcBorders>
          </w:tcPr>
          <w:p>
            <w:pPr>
              <w:pStyle w:val="TableParagraph"/>
              <w:spacing w:before="15"/>
              <w:ind w:right="177"/>
              <w:rPr>
                <w:sz w:val="15"/>
              </w:rPr>
            </w:pPr>
            <w:r>
              <w:rPr>
                <w:sz w:val="15"/>
              </w:rPr>
              <w:t>601</w:t>
            </w:r>
          </w:p>
        </w:tc>
        <w:tc>
          <w:tcPr>
            <w:tcW w:w="972" w:type="dxa"/>
            <w:tcBorders>
              <w:top w:val="nil"/>
              <w:bottom w:val="nil"/>
            </w:tcBorders>
          </w:tcPr>
          <w:p>
            <w:pPr>
              <w:pStyle w:val="TableParagraph"/>
              <w:spacing w:before="15"/>
              <w:ind w:right="177"/>
              <w:rPr>
                <w:sz w:val="15"/>
              </w:rPr>
            </w:pPr>
            <w:r>
              <w:rPr>
                <w:sz w:val="15"/>
              </w:rPr>
              <w:t>10</w:t>
            </w:r>
          </w:p>
        </w:tc>
        <w:tc>
          <w:tcPr>
            <w:tcW w:w="972" w:type="dxa"/>
            <w:tcBorders>
              <w:top w:val="nil"/>
              <w:bottom w:val="nil"/>
            </w:tcBorders>
          </w:tcPr>
          <w:p>
            <w:pPr>
              <w:pStyle w:val="TableParagraph"/>
              <w:spacing w:before="15"/>
              <w:ind w:right="177"/>
              <w:rPr>
                <w:sz w:val="15"/>
              </w:rPr>
            </w:pPr>
            <w:r>
              <w:rPr>
                <w:sz w:val="15"/>
              </w:rPr>
              <w:t>2.539</w:t>
            </w:r>
          </w:p>
        </w:tc>
      </w:tr>
      <w:tr>
        <w:trPr>
          <w:trHeight w:val="198" w:hRule="exact"/>
        </w:trPr>
        <w:tc>
          <w:tcPr>
            <w:tcW w:w="576" w:type="dxa"/>
            <w:tcBorders>
              <w:top w:val="nil"/>
              <w:bottom w:val="nil"/>
            </w:tcBorders>
          </w:tcPr>
          <w:p>
            <w:pPr>
              <w:pStyle w:val="TableParagraph"/>
              <w:spacing w:before="15"/>
              <w:jc w:val="center"/>
              <w:rPr>
                <w:sz w:val="15"/>
              </w:rPr>
            </w:pPr>
            <w:r>
              <w:rPr>
                <w:sz w:val="15"/>
              </w:rPr>
              <w:t>10073</w:t>
            </w:r>
          </w:p>
        </w:tc>
        <w:tc>
          <w:tcPr>
            <w:tcW w:w="2293" w:type="dxa"/>
            <w:tcBorders>
              <w:top w:val="nil"/>
              <w:bottom w:val="nil"/>
            </w:tcBorders>
          </w:tcPr>
          <w:p>
            <w:pPr>
              <w:pStyle w:val="TableParagraph"/>
              <w:spacing w:before="15"/>
              <w:ind w:left="18"/>
              <w:jc w:val="left"/>
              <w:rPr>
                <w:sz w:val="15"/>
              </w:rPr>
            </w:pPr>
            <w:r>
              <w:rPr>
                <w:sz w:val="15"/>
              </w:rPr>
              <w:t>SARCHI PAOLO</w:t>
            </w:r>
          </w:p>
        </w:tc>
        <w:tc>
          <w:tcPr>
            <w:tcW w:w="972" w:type="dxa"/>
            <w:tcBorders>
              <w:top w:val="nil"/>
              <w:bottom w:val="nil"/>
            </w:tcBorders>
          </w:tcPr>
          <w:p>
            <w:pPr>
              <w:pStyle w:val="TableParagraph"/>
              <w:spacing w:before="15"/>
              <w:ind w:right="177"/>
              <w:rPr>
                <w:sz w:val="15"/>
              </w:rPr>
            </w:pPr>
            <w:r>
              <w:rPr>
                <w:sz w:val="15"/>
              </w:rPr>
              <w:t>4.113</w:t>
            </w:r>
          </w:p>
        </w:tc>
        <w:tc>
          <w:tcPr>
            <w:tcW w:w="972" w:type="dxa"/>
            <w:tcBorders>
              <w:top w:val="nil"/>
              <w:bottom w:val="nil"/>
            </w:tcBorders>
          </w:tcPr>
          <w:p>
            <w:pPr>
              <w:pStyle w:val="TableParagraph"/>
              <w:spacing w:before="15"/>
              <w:ind w:right="177"/>
              <w:rPr>
                <w:sz w:val="15"/>
              </w:rPr>
            </w:pPr>
            <w:r>
              <w:rPr>
                <w:sz w:val="15"/>
              </w:rPr>
              <w:t>1.208</w:t>
            </w:r>
          </w:p>
        </w:tc>
        <w:tc>
          <w:tcPr>
            <w:tcW w:w="972" w:type="dxa"/>
            <w:tcBorders>
              <w:top w:val="nil"/>
              <w:bottom w:val="nil"/>
            </w:tcBorders>
          </w:tcPr>
          <w:p>
            <w:pPr>
              <w:pStyle w:val="TableParagraph"/>
              <w:spacing w:before="15"/>
              <w:ind w:right="177"/>
              <w:rPr>
                <w:sz w:val="15"/>
              </w:rPr>
            </w:pPr>
            <w:r>
              <w:rPr>
                <w:sz w:val="15"/>
              </w:rPr>
              <w:t>46</w:t>
            </w:r>
          </w:p>
        </w:tc>
        <w:tc>
          <w:tcPr>
            <w:tcW w:w="972" w:type="dxa"/>
            <w:tcBorders>
              <w:top w:val="nil"/>
              <w:bottom w:val="nil"/>
            </w:tcBorders>
          </w:tcPr>
          <w:p>
            <w:pPr>
              <w:pStyle w:val="TableParagraph"/>
              <w:spacing w:before="15"/>
              <w:ind w:right="177"/>
              <w:rPr>
                <w:sz w:val="15"/>
              </w:rPr>
            </w:pPr>
            <w:r>
              <w:rPr>
                <w:sz w:val="15"/>
              </w:rPr>
              <w:t>5.366</w:t>
            </w:r>
          </w:p>
        </w:tc>
      </w:tr>
      <w:tr>
        <w:trPr>
          <w:trHeight w:val="198" w:hRule="exact"/>
        </w:trPr>
        <w:tc>
          <w:tcPr>
            <w:tcW w:w="576" w:type="dxa"/>
            <w:tcBorders>
              <w:top w:val="nil"/>
              <w:bottom w:val="nil"/>
            </w:tcBorders>
          </w:tcPr>
          <w:p>
            <w:pPr>
              <w:pStyle w:val="TableParagraph"/>
              <w:spacing w:before="15"/>
              <w:jc w:val="center"/>
              <w:rPr>
                <w:sz w:val="15"/>
              </w:rPr>
            </w:pPr>
            <w:r>
              <w:rPr>
                <w:sz w:val="15"/>
              </w:rPr>
              <w:t>12005</w:t>
            </w:r>
          </w:p>
        </w:tc>
        <w:tc>
          <w:tcPr>
            <w:tcW w:w="2293" w:type="dxa"/>
            <w:tcBorders>
              <w:top w:val="nil"/>
              <w:bottom w:val="nil"/>
            </w:tcBorders>
          </w:tcPr>
          <w:p>
            <w:pPr>
              <w:pStyle w:val="TableParagraph"/>
              <w:spacing w:before="15"/>
              <w:ind w:left="18"/>
              <w:jc w:val="left"/>
              <w:rPr>
                <w:sz w:val="15"/>
              </w:rPr>
            </w:pPr>
            <w:r>
              <w:rPr>
                <w:sz w:val="15"/>
              </w:rPr>
              <w:t>SCORZA SONIA</w:t>
            </w:r>
          </w:p>
        </w:tc>
        <w:tc>
          <w:tcPr>
            <w:tcW w:w="972" w:type="dxa"/>
            <w:tcBorders>
              <w:top w:val="nil"/>
              <w:bottom w:val="nil"/>
            </w:tcBorders>
          </w:tcPr>
          <w:p>
            <w:pPr>
              <w:pStyle w:val="TableParagraph"/>
              <w:spacing w:before="15"/>
              <w:ind w:right="177"/>
              <w:rPr>
                <w:sz w:val="15"/>
              </w:rPr>
            </w:pPr>
            <w:r>
              <w:rPr>
                <w:sz w:val="15"/>
              </w:rPr>
              <w:t>303</w:t>
            </w:r>
          </w:p>
        </w:tc>
        <w:tc>
          <w:tcPr>
            <w:tcW w:w="972" w:type="dxa"/>
            <w:tcBorders>
              <w:top w:val="nil"/>
              <w:bottom w:val="nil"/>
            </w:tcBorders>
          </w:tcPr>
          <w:p>
            <w:pPr>
              <w:pStyle w:val="TableParagraph"/>
              <w:spacing w:before="15"/>
              <w:ind w:right="177"/>
              <w:rPr>
                <w:sz w:val="15"/>
              </w:rPr>
            </w:pPr>
            <w:r>
              <w:rPr>
                <w:sz w:val="15"/>
              </w:rPr>
              <w:t>95</w:t>
            </w:r>
          </w:p>
        </w:tc>
        <w:tc>
          <w:tcPr>
            <w:tcW w:w="972" w:type="dxa"/>
            <w:tcBorders>
              <w:top w:val="nil"/>
              <w:bottom w:val="nil"/>
            </w:tcBorders>
          </w:tcPr>
          <w:p>
            <w:pPr>
              <w:pStyle w:val="TableParagraph"/>
              <w:spacing w:before="15"/>
              <w:ind w:right="183"/>
              <w:rPr>
                <w:sz w:val="15"/>
              </w:rPr>
            </w:pPr>
            <w:r>
              <w:rPr>
                <w:w w:val="100"/>
                <w:sz w:val="15"/>
              </w:rPr>
              <w:t>3</w:t>
            </w:r>
          </w:p>
        </w:tc>
        <w:tc>
          <w:tcPr>
            <w:tcW w:w="972" w:type="dxa"/>
            <w:tcBorders>
              <w:top w:val="nil"/>
              <w:bottom w:val="nil"/>
            </w:tcBorders>
          </w:tcPr>
          <w:p>
            <w:pPr>
              <w:pStyle w:val="TableParagraph"/>
              <w:spacing w:before="15"/>
              <w:ind w:right="177"/>
              <w:rPr>
                <w:sz w:val="15"/>
              </w:rPr>
            </w:pPr>
            <w:r>
              <w:rPr>
                <w:sz w:val="15"/>
              </w:rPr>
              <w:t>400</w:t>
            </w:r>
          </w:p>
        </w:tc>
      </w:tr>
      <w:tr>
        <w:trPr>
          <w:trHeight w:val="198" w:hRule="exact"/>
        </w:trPr>
        <w:tc>
          <w:tcPr>
            <w:tcW w:w="576" w:type="dxa"/>
            <w:tcBorders>
              <w:top w:val="nil"/>
              <w:bottom w:val="nil"/>
            </w:tcBorders>
          </w:tcPr>
          <w:p>
            <w:pPr>
              <w:pStyle w:val="TableParagraph"/>
              <w:spacing w:before="15"/>
              <w:jc w:val="center"/>
              <w:rPr>
                <w:sz w:val="15"/>
              </w:rPr>
            </w:pPr>
            <w:r>
              <w:rPr>
                <w:sz w:val="15"/>
              </w:rPr>
              <w:t>12002</w:t>
            </w:r>
          </w:p>
        </w:tc>
        <w:tc>
          <w:tcPr>
            <w:tcW w:w="2293" w:type="dxa"/>
            <w:tcBorders>
              <w:top w:val="nil"/>
              <w:bottom w:val="nil"/>
            </w:tcBorders>
          </w:tcPr>
          <w:p>
            <w:pPr>
              <w:pStyle w:val="TableParagraph"/>
              <w:spacing w:before="15"/>
              <w:ind w:left="18"/>
              <w:jc w:val="left"/>
              <w:rPr>
                <w:sz w:val="15"/>
              </w:rPr>
            </w:pPr>
            <w:r>
              <w:rPr>
                <w:sz w:val="15"/>
              </w:rPr>
              <w:t>SCREMIN SIMONETTA</w:t>
            </w:r>
          </w:p>
        </w:tc>
        <w:tc>
          <w:tcPr>
            <w:tcW w:w="972" w:type="dxa"/>
            <w:tcBorders>
              <w:top w:val="nil"/>
              <w:bottom w:val="nil"/>
            </w:tcBorders>
          </w:tcPr>
          <w:p>
            <w:pPr>
              <w:pStyle w:val="TableParagraph"/>
              <w:spacing w:before="15"/>
              <w:ind w:right="177"/>
              <w:rPr>
                <w:sz w:val="15"/>
              </w:rPr>
            </w:pPr>
            <w:r>
              <w:rPr>
                <w:sz w:val="15"/>
              </w:rPr>
              <w:t>1.429</w:t>
            </w:r>
          </w:p>
        </w:tc>
        <w:tc>
          <w:tcPr>
            <w:tcW w:w="972" w:type="dxa"/>
            <w:tcBorders>
              <w:top w:val="nil"/>
              <w:bottom w:val="nil"/>
            </w:tcBorders>
          </w:tcPr>
          <w:p>
            <w:pPr>
              <w:pStyle w:val="TableParagraph"/>
              <w:spacing w:before="15"/>
              <w:ind w:right="177"/>
              <w:rPr>
                <w:sz w:val="15"/>
              </w:rPr>
            </w:pPr>
            <w:r>
              <w:rPr>
                <w:sz w:val="15"/>
              </w:rPr>
              <w:t>446</w:t>
            </w:r>
          </w:p>
        </w:tc>
        <w:tc>
          <w:tcPr>
            <w:tcW w:w="972" w:type="dxa"/>
            <w:tcBorders>
              <w:top w:val="nil"/>
              <w:bottom w:val="nil"/>
            </w:tcBorders>
          </w:tcPr>
          <w:p>
            <w:pPr>
              <w:pStyle w:val="TableParagraph"/>
              <w:spacing w:before="15"/>
              <w:ind w:right="183"/>
              <w:rPr>
                <w:sz w:val="15"/>
              </w:rPr>
            </w:pPr>
            <w:r>
              <w:rPr>
                <w:w w:val="100"/>
                <w:sz w:val="15"/>
              </w:rPr>
              <w:t>7</w:t>
            </w:r>
          </w:p>
        </w:tc>
        <w:tc>
          <w:tcPr>
            <w:tcW w:w="972" w:type="dxa"/>
            <w:tcBorders>
              <w:top w:val="nil"/>
              <w:bottom w:val="nil"/>
            </w:tcBorders>
          </w:tcPr>
          <w:p>
            <w:pPr>
              <w:pStyle w:val="TableParagraph"/>
              <w:spacing w:before="15"/>
              <w:ind w:right="177"/>
              <w:rPr>
                <w:sz w:val="15"/>
              </w:rPr>
            </w:pPr>
            <w:r>
              <w:rPr>
                <w:sz w:val="15"/>
              </w:rPr>
              <w:t>1.882</w:t>
            </w:r>
          </w:p>
        </w:tc>
      </w:tr>
      <w:tr>
        <w:trPr>
          <w:trHeight w:val="198" w:hRule="exact"/>
        </w:trPr>
        <w:tc>
          <w:tcPr>
            <w:tcW w:w="576" w:type="dxa"/>
            <w:tcBorders>
              <w:top w:val="nil"/>
              <w:bottom w:val="nil"/>
            </w:tcBorders>
          </w:tcPr>
          <w:p>
            <w:pPr>
              <w:pStyle w:val="TableParagraph"/>
              <w:spacing w:before="15"/>
              <w:jc w:val="center"/>
              <w:rPr>
                <w:sz w:val="15"/>
              </w:rPr>
            </w:pPr>
            <w:r>
              <w:rPr>
                <w:sz w:val="15"/>
              </w:rPr>
              <w:t>10271</w:t>
            </w:r>
          </w:p>
        </w:tc>
        <w:tc>
          <w:tcPr>
            <w:tcW w:w="2293" w:type="dxa"/>
            <w:tcBorders>
              <w:top w:val="nil"/>
              <w:bottom w:val="nil"/>
            </w:tcBorders>
          </w:tcPr>
          <w:p>
            <w:pPr>
              <w:pStyle w:val="TableParagraph"/>
              <w:spacing w:before="15"/>
              <w:ind w:left="18"/>
              <w:jc w:val="left"/>
              <w:rPr>
                <w:sz w:val="15"/>
              </w:rPr>
            </w:pPr>
            <w:r>
              <w:rPr>
                <w:sz w:val="15"/>
              </w:rPr>
              <w:t>SIMONE MARCO</w:t>
            </w:r>
          </w:p>
        </w:tc>
        <w:tc>
          <w:tcPr>
            <w:tcW w:w="972" w:type="dxa"/>
            <w:tcBorders>
              <w:top w:val="nil"/>
              <w:bottom w:val="nil"/>
            </w:tcBorders>
          </w:tcPr>
          <w:p>
            <w:pPr>
              <w:pStyle w:val="TableParagraph"/>
              <w:spacing w:before="15"/>
              <w:ind w:right="177"/>
              <w:rPr>
                <w:sz w:val="15"/>
              </w:rPr>
            </w:pPr>
            <w:r>
              <w:rPr>
                <w:sz w:val="15"/>
              </w:rPr>
              <w:t>2.069</w:t>
            </w:r>
          </w:p>
        </w:tc>
        <w:tc>
          <w:tcPr>
            <w:tcW w:w="972" w:type="dxa"/>
            <w:tcBorders>
              <w:top w:val="nil"/>
              <w:bottom w:val="nil"/>
            </w:tcBorders>
          </w:tcPr>
          <w:p>
            <w:pPr>
              <w:pStyle w:val="TableParagraph"/>
              <w:spacing w:before="15"/>
              <w:ind w:right="177"/>
              <w:rPr>
                <w:sz w:val="15"/>
              </w:rPr>
            </w:pPr>
            <w:r>
              <w:rPr>
                <w:sz w:val="15"/>
              </w:rPr>
              <w:t>645</w:t>
            </w:r>
          </w:p>
        </w:tc>
        <w:tc>
          <w:tcPr>
            <w:tcW w:w="972" w:type="dxa"/>
            <w:tcBorders>
              <w:top w:val="nil"/>
              <w:bottom w:val="nil"/>
            </w:tcBorders>
          </w:tcPr>
          <w:p>
            <w:pPr>
              <w:pStyle w:val="TableParagraph"/>
              <w:spacing w:before="15"/>
              <w:ind w:right="177"/>
              <w:rPr>
                <w:sz w:val="15"/>
              </w:rPr>
            </w:pPr>
            <w:r>
              <w:rPr>
                <w:sz w:val="15"/>
              </w:rPr>
              <w:t>10</w:t>
            </w:r>
          </w:p>
        </w:tc>
        <w:tc>
          <w:tcPr>
            <w:tcW w:w="972" w:type="dxa"/>
            <w:tcBorders>
              <w:top w:val="nil"/>
              <w:bottom w:val="nil"/>
            </w:tcBorders>
          </w:tcPr>
          <w:p>
            <w:pPr>
              <w:pStyle w:val="TableParagraph"/>
              <w:spacing w:before="15"/>
              <w:ind w:right="177"/>
              <w:rPr>
                <w:sz w:val="15"/>
              </w:rPr>
            </w:pPr>
            <w:r>
              <w:rPr>
                <w:sz w:val="15"/>
              </w:rPr>
              <w:t>2.724</w:t>
            </w:r>
          </w:p>
        </w:tc>
      </w:tr>
      <w:tr>
        <w:trPr>
          <w:trHeight w:val="198" w:hRule="exact"/>
        </w:trPr>
        <w:tc>
          <w:tcPr>
            <w:tcW w:w="576" w:type="dxa"/>
            <w:tcBorders>
              <w:top w:val="nil"/>
              <w:bottom w:val="nil"/>
            </w:tcBorders>
          </w:tcPr>
          <w:p>
            <w:pPr>
              <w:pStyle w:val="TableParagraph"/>
              <w:spacing w:before="15"/>
              <w:jc w:val="center"/>
              <w:rPr>
                <w:sz w:val="15"/>
              </w:rPr>
            </w:pPr>
            <w:r>
              <w:rPr>
                <w:sz w:val="15"/>
              </w:rPr>
              <w:t>10130</w:t>
            </w:r>
          </w:p>
        </w:tc>
        <w:tc>
          <w:tcPr>
            <w:tcW w:w="2293" w:type="dxa"/>
            <w:tcBorders>
              <w:top w:val="nil"/>
              <w:bottom w:val="nil"/>
            </w:tcBorders>
          </w:tcPr>
          <w:p>
            <w:pPr>
              <w:pStyle w:val="TableParagraph"/>
              <w:spacing w:before="15"/>
              <w:ind w:left="18"/>
              <w:jc w:val="left"/>
              <w:rPr>
                <w:sz w:val="15"/>
              </w:rPr>
            </w:pPr>
            <w:r>
              <w:rPr>
                <w:sz w:val="15"/>
              </w:rPr>
              <w:t>STAFIE VASILE</w:t>
            </w:r>
          </w:p>
        </w:tc>
        <w:tc>
          <w:tcPr>
            <w:tcW w:w="972" w:type="dxa"/>
            <w:tcBorders>
              <w:top w:val="nil"/>
              <w:bottom w:val="nil"/>
            </w:tcBorders>
          </w:tcPr>
          <w:p>
            <w:pPr>
              <w:pStyle w:val="TableParagraph"/>
              <w:spacing w:before="15"/>
              <w:ind w:right="177"/>
              <w:rPr>
                <w:sz w:val="15"/>
              </w:rPr>
            </w:pPr>
            <w:r>
              <w:rPr>
                <w:sz w:val="15"/>
              </w:rPr>
              <w:t>1.518</w:t>
            </w:r>
          </w:p>
        </w:tc>
        <w:tc>
          <w:tcPr>
            <w:tcW w:w="972" w:type="dxa"/>
            <w:tcBorders>
              <w:top w:val="nil"/>
              <w:bottom w:val="nil"/>
            </w:tcBorders>
          </w:tcPr>
          <w:p>
            <w:pPr>
              <w:pStyle w:val="TableParagraph"/>
              <w:spacing w:before="15"/>
              <w:ind w:right="177"/>
              <w:rPr>
                <w:sz w:val="15"/>
              </w:rPr>
            </w:pPr>
            <w:r>
              <w:rPr>
                <w:sz w:val="15"/>
              </w:rPr>
              <w:t>479</w:t>
            </w:r>
          </w:p>
        </w:tc>
        <w:tc>
          <w:tcPr>
            <w:tcW w:w="972" w:type="dxa"/>
            <w:tcBorders>
              <w:top w:val="nil"/>
              <w:bottom w:val="nil"/>
            </w:tcBorders>
          </w:tcPr>
          <w:p>
            <w:pPr>
              <w:pStyle w:val="TableParagraph"/>
              <w:spacing w:before="15"/>
              <w:ind w:right="177"/>
              <w:rPr>
                <w:sz w:val="15"/>
              </w:rPr>
            </w:pPr>
            <w:r>
              <w:rPr>
                <w:sz w:val="15"/>
              </w:rPr>
              <w:t>26</w:t>
            </w:r>
          </w:p>
        </w:tc>
        <w:tc>
          <w:tcPr>
            <w:tcW w:w="972" w:type="dxa"/>
            <w:tcBorders>
              <w:top w:val="nil"/>
              <w:bottom w:val="nil"/>
            </w:tcBorders>
          </w:tcPr>
          <w:p>
            <w:pPr>
              <w:pStyle w:val="TableParagraph"/>
              <w:spacing w:before="15"/>
              <w:ind w:right="177"/>
              <w:rPr>
                <w:sz w:val="15"/>
              </w:rPr>
            </w:pPr>
            <w:r>
              <w:rPr>
                <w:sz w:val="15"/>
              </w:rPr>
              <w:t>2.024</w:t>
            </w:r>
          </w:p>
        </w:tc>
      </w:tr>
      <w:tr>
        <w:trPr>
          <w:trHeight w:val="198" w:hRule="exact"/>
        </w:trPr>
        <w:tc>
          <w:tcPr>
            <w:tcW w:w="576" w:type="dxa"/>
            <w:tcBorders>
              <w:top w:val="nil"/>
              <w:bottom w:val="nil"/>
            </w:tcBorders>
          </w:tcPr>
          <w:p>
            <w:pPr>
              <w:pStyle w:val="TableParagraph"/>
              <w:spacing w:before="15"/>
              <w:jc w:val="center"/>
              <w:rPr>
                <w:sz w:val="15"/>
              </w:rPr>
            </w:pPr>
            <w:r>
              <w:rPr>
                <w:sz w:val="15"/>
              </w:rPr>
              <w:t>10067</w:t>
            </w:r>
          </w:p>
        </w:tc>
        <w:tc>
          <w:tcPr>
            <w:tcW w:w="2293" w:type="dxa"/>
            <w:tcBorders>
              <w:top w:val="nil"/>
              <w:bottom w:val="nil"/>
            </w:tcBorders>
          </w:tcPr>
          <w:p>
            <w:pPr>
              <w:pStyle w:val="TableParagraph"/>
              <w:spacing w:before="15"/>
              <w:ind w:left="18"/>
              <w:jc w:val="left"/>
              <w:rPr>
                <w:sz w:val="15"/>
              </w:rPr>
            </w:pPr>
            <w:r>
              <w:rPr>
                <w:sz w:val="15"/>
              </w:rPr>
              <w:t>STRACCAMORE FRANCESCO</w:t>
            </w:r>
          </w:p>
        </w:tc>
        <w:tc>
          <w:tcPr>
            <w:tcW w:w="972" w:type="dxa"/>
            <w:tcBorders>
              <w:top w:val="nil"/>
              <w:bottom w:val="nil"/>
            </w:tcBorders>
          </w:tcPr>
          <w:p>
            <w:pPr>
              <w:pStyle w:val="TableParagraph"/>
              <w:spacing w:before="15"/>
              <w:ind w:right="177"/>
              <w:rPr>
                <w:sz w:val="15"/>
              </w:rPr>
            </w:pPr>
            <w:r>
              <w:rPr>
                <w:sz w:val="15"/>
              </w:rPr>
              <w:t>5.769</w:t>
            </w:r>
          </w:p>
        </w:tc>
        <w:tc>
          <w:tcPr>
            <w:tcW w:w="972" w:type="dxa"/>
            <w:tcBorders>
              <w:top w:val="nil"/>
              <w:bottom w:val="nil"/>
            </w:tcBorders>
          </w:tcPr>
          <w:p>
            <w:pPr>
              <w:pStyle w:val="TableParagraph"/>
              <w:spacing w:before="15"/>
              <w:ind w:right="177"/>
              <w:rPr>
                <w:sz w:val="15"/>
              </w:rPr>
            </w:pPr>
            <w:r>
              <w:rPr>
                <w:sz w:val="15"/>
              </w:rPr>
              <w:t>1.763</w:t>
            </w:r>
          </w:p>
        </w:tc>
        <w:tc>
          <w:tcPr>
            <w:tcW w:w="972" w:type="dxa"/>
            <w:tcBorders>
              <w:top w:val="nil"/>
              <w:bottom w:val="nil"/>
            </w:tcBorders>
          </w:tcPr>
          <w:p>
            <w:pPr>
              <w:pStyle w:val="TableParagraph"/>
              <w:spacing w:before="15"/>
              <w:ind w:left="254"/>
              <w:jc w:val="center"/>
              <w:rPr>
                <w:sz w:val="15"/>
              </w:rPr>
            </w:pPr>
            <w:r>
              <w:rPr>
                <w:w w:val="100"/>
                <w:sz w:val="15"/>
              </w:rPr>
              <w:t>-</w:t>
            </w:r>
          </w:p>
        </w:tc>
        <w:tc>
          <w:tcPr>
            <w:tcW w:w="972" w:type="dxa"/>
            <w:tcBorders>
              <w:top w:val="nil"/>
              <w:bottom w:val="nil"/>
            </w:tcBorders>
          </w:tcPr>
          <w:p>
            <w:pPr>
              <w:pStyle w:val="TableParagraph"/>
              <w:spacing w:before="15"/>
              <w:ind w:right="177"/>
              <w:rPr>
                <w:sz w:val="15"/>
              </w:rPr>
            </w:pPr>
            <w:r>
              <w:rPr>
                <w:sz w:val="15"/>
              </w:rPr>
              <w:t>7.533</w:t>
            </w:r>
          </w:p>
        </w:tc>
      </w:tr>
      <w:tr>
        <w:trPr>
          <w:trHeight w:val="198" w:hRule="exact"/>
        </w:trPr>
        <w:tc>
          <w:tcPr>
            <w:tcW w:w="576" w:type="dxa"/>
            <w:tcBorders>
              <w:top w:val="nil"/>
              <w:bottom w:val="nil"/>
            </w:tcBorders>
          </w:tcPr>
          <w:p>
            <w:pPr>
              <w:pStyle w:val="TableParagraph"/>
              <w:spacing w:before="15"/>
              <w:jc w:val="center"/>
              <w:rPr>
                <w:sz w:val="15"/>
              </w:rPr>
            </w:pPr>
            <w:r>
              <w:rPr>
                <w:sz w:val="15"/>
              </w:rPr>
              <w:t>10300</w:t>
            </w:r>
          </w:p>
        </w:tc>
        <w:tc>
          <w:tcPr>
            <w:tcW w:w="2293" w:type="dxa"/>
            <w:tcBorders>
              <w:top w:val="nil"/>
              <w:bottom w:val="nil"/>
            </w:tcBorders>
          </w:tcPr>
          <w:p>
            <w:pPr>
              <w:pStyle w:val="TableParagraph"/>
              <w:spacing w:before="15"/>
              <w:ind w:left="18"/>
              <w:jc w:val="left"/>
              <w:rPr>
                <w:sz w:val="15"/>
              </w:rPr>
            </w:pPr>
            <w:r>
              <w:rPr>
                <w:sz w:val="15"/>
              </w:rPr>
              <w:t>TANGORRA ROCCO ROBERTO</w:t>
            </w:r>
          </w:p>
        </w:tc>
        <w:tc>
          <w:tcPr>
            <w:tcW w:w="972" w:type="dxa"/>
            <w:tcBorders>
              <w:top w:val="nil"/>
              <w:bottom w:val="nil"/>
            </w:tcBorders>
          </w:tcPr>
          <w:p>
            <w:pPr>
              <w:pStyle w:val="TableParagraph"/>
              <w:spacing w:before="15"/>
              <w:ind w:right="177"/>
              <w:rPr>
                <w:sz w:val="15"/>
              </w:rPr>
            </w:pPr>
            <w:r>
              <w:rPr>
                <w:sz w:val="15"/>
              </w:rPr>
              <w:t>1.789</w:t>
            </w:r>
          </w:p>
        </w:tc>
        <w:tc>
          <w:tcPr>
            <w:tcW w:w="972" w:type="dxa"/>
            <w:tcBorders>
              <w:top w:val="nil"/>
              <w:bottom w:val="nil"/>
            </w:tcBorders>
          </w:tcPr>
          <w:p>
            <w:pPr>
              <w:pStyle w:val="TableParagraph"/>
              <w:spacing w:before="15"/>
              <w:ind w:right="177"/>
              <w:rPr>
                <w:sz w:val="15"/>
              </w:rPr>
            </w:pPr>
            <w:r>
              <w:rPr>
                <w:sz w:val="15"/>
              </w:rPr>
              <w:t>525</w:t>
            </w:r>
          </w:p>
        </w:tc>
        <w:tc>
          <w:tcPr>
            <w:tcW w:w="972" w:type="dxa"/>
            <w:tcBorders>
              <w:top w:val="nil"/>
              <w:bottom w:val="nil"/>
            </w:tcBorders>
          </w:tcPr>
          <w:p>
            <w:pPr>
              <w:pStyle w:val="TableParagraph"/>
              <w:spacing w:before="15"/>
              <w:ind w:right="177"/>
              <w:rPr>
                <w:sz w:val="15"/>
              </w:rPr>
            </w:pPr>
            <w:r>
              <w:rPr>
                <w:sz w:val="15"/>
              </w:rPr>
              <w:t>22</w:t>
            </w:r>
          </w:p>
        </w:tc>
        <w:tc>
          <w:tcPr>
            <w:tcW w:w="972" w:type="dxa"/>
            <w:tcBorders>
              <w:top w:val="nil"/>
              <w:bottom w:val="nil"/>
            </w:tcBorders>
          </w:tcPr>
          <w:p>
            <w:pPr>
              <w:pStyle w:val="TableParagraph"/>
              <w:spacing w:before="15"/>
              <w:ind w:right="177"/>
              <w:rPr>
                <w:sz w:val="15"/>
              </w:rPr>
            </w:pPr>
            <w:r>
              <w:rPr>
                <w:sz w:val="15"/>
              </w:rPr>
              <w:t>2.336</w:t>
            </w:r>
          </w:p>
        </w:tc>
      </w:tr>
      <w:tr>
        <w:trPr>
          <w:trHeight w:val="198" w:hRule="exact"/>
        </w:trPr>
        <w:tc>
          <w:tcPr>
            <w:tcW w:w="576" w:type="dxa"/>
            <w:tcBorders>
              <w:top w:val="nil"/>
              <w:bottom w:val="nil"/>
            </w:tcBorders>
          </w:tcPr>
          <w:p>
            <w:pPr>
              <w:pStyle w:val="TableParagraph"/>
              <w:spacing w:before="15"/>
              <w:jc w:val="center"/>
              <w:rPr>
                <w:sz w:val="15"/>
              </w:rPr>
            </w:pPr>
            <w:r>
              <w:rPr>
                <w:sz w:val="15"/>
              </w:rPr>
              <w:t>10163</w:t>
            </w:r>
          </w:p>
        </w:tc>
        <w:tc>
          <w:tcPr>
            <w:tcW w:w="2293" w:type="dxa"/>
            <w:tcBorders>
              <w:top w:val="nil"/>
              <w:bottom w:val="nil"/>
            </w:tcBorders>
          </w:tcPr>
          <w:p>
            <w:pPr>
              <w:pStyle w:val="TableParagraph"/>
              <w:spacing w:before="15"/>
              <w:ind w:left="18"/>
              <w:jc w:val="left"/>
              <w:rPr>
                <w:sz w:val="15"/>
              </w:rPr>
            </w:pPr>
            <w:r>
              <w:rPr>
                <w:sz w:val="15"/>
              </w:rPr>
              <w:t>TODARO DANIELA</w:t>
            </w:r>
          </w:p>
        </w:tc>
        <w:tc>
          <w:tcPr>
            <w:tcW w:w="972" w:type="dxa"/>
            <w:tcBorders>
              <w:top w:val="nil"/>
              <w:bottom w:val="nil"/>
            </w:tcBorders>
          </w:tcPr>
          <w:p>
            <w:pPr>
              <w:pStyle w:val="TableParagraph"/>
              <w:spacing w:before="15"/>
              <w:ind w:right="177"/>
              <w:rPr>
                <w:sz w:val="15"/>
              </w:rPr>
            </w:pPr>
            <w:r>
              <w:rPr>
                <w:sz w:val="15"/>
              </w:rPr>
              <w:t>2.118</w:t>
            </w:r>
          </w:p>
        </w:tc>
        <w:tc>
          <w:tcPr>
            <w:tcW w:w="972" w:type="dxa"/>
            <w:tcBorders>
              <w:top w:val="nil"/>
              <w:bottom w:val="nil"/>
            </w:tcBorders>
          </w:tcPr>
          <w:p>
            <w:pPr>
              <w:pStyle w:val="TableParagraph"/>
              <w:spacing w:before="15"/>
              <w:ind w:right="177"/>
              <w:rPr>
                <w:sz w:val="15"/>
              </w:rPr>
            </w:pPr>
            <w:r>
              <w:rPr>
                <w:sz w:val="15"/>
              </w:rPr>
              <w:t>622</w:t>
            </w:r>
          </w:p>
        </w:tc>
        <w:tc>
          <w:tcPr>
            <w:tcW w:w="972" w:type="dxa"/>
            <w:tcBorders>
              <w:top w:val="nil"/>
              <w:bottom w:val="nil"/>
            </w:tcBorders>
          </w:tcPr>
          <w:p>
            <w:pPr>
              <w:pStyle w:val="TableParagraph"/>
              <w:spacing w:before="15"/>
              <w:ind w:right="177"/>
              <w:rPr>
                <w:sz w:val="15"/>
              </w:rPr>
            </w:pPr>
            <w:r>
              <w:rPr>
                <w:sz w:val="15"/>
              </w:rPr>
              <w:t>36</w:t>
            </w:r>
          </w:p>
        </w:tc>
        <w:tc>
          <w:tcPr>
            <w:tcW w:w="972" w:type="dxa"/>
            <w:tcBorders>
              <w:top w:val="nil"/>
              <w:bottom w:val="nil"/>
            </w:tcBorders>
          </w:tcPr>
          <w:p>
            <w:pPr>
              <w:pStyle w:val="TableParagraph"/>
              <w:spacing w:before="15"/>
              <w:ind w:right="177"/>
              <w:rPr>
                <w:sz w:val="15"/>
              </w:rPr>
            </w:pPr>
            <w:r>
              <w:rPr>
                <w:sz w:val="15"/>
              </w:rPr>
              <w:t>2.776</w:t>
            </w:r>
          </w:p>
        </w:tc>
      </w:tr>
      <w:tr>
        <w:trPr>
          <w:trHeight w:val="198" w:hRule="exact"/>
        </w:trPr>
        <w:tc>
          <w:tcPr>
            <w:tcW w:w="576" w:type="dxa"/>
            <w:tcBorders>
              <w:top w:val="nil"/>
              <w:bottom w:val="nil"/>
            </w:tcBorders>
          </w:tcPr>
          <w:p>
            <w:pPr>
              <w:pStyle w:val="TableParagraph"/>
              <w:spacing w:before="15"/>
              <w:jc w:val="center"/>
              <w:rPr>
                <w:sz w:val="15"/>
              </w:rPr>
            </w:pPr>
            <w:r>
              <w:rPr>
                <w:sz w:val="15"/>
              </w:rPr>
              <w:t>10070</w:t>
            </w:r>
          </w:p>
        </w:tc>
        <w:tc>
          <w:tcPr>
            <w:tcW w:w="2293" w:type="dxa"/>
            <w:tcBorders>
              <w:top w:val="nil"/>
              <w:bottom w:val="nil"/>
            </w:tcBorders>
          </w:tcPr>
          <w:p>
            <w:pPr>
              <w:pStyle w:val="TableParagraph"/>
              <w:spacing w:before="15"/>
              <w:ind w:left="18"/>
              <w:jc w:val="left"/>
              <w:rPr>
                <w:sz w:val="15"/>
              </w:rPr>
            </w:pPr>
            <w:r>
              <w:rPr>
                <w:sz w:val="15"/>
              </w:rPr>
              <w:t>TORRE PAOLO</w:t>
            </w:r>
          </w:p>
        </w:tc>
        <w:tc>
          <w:tcPr>
            <w:tcW w:w="972" w:type="dxa"/>
            <w:tcBorders>
              <w:top w:val="nil"/>
              <w:bottom w:val="nil"/>
            </w:tcBorders>
          </w:tcPr>
          <w:p>
            <w:pPr>
              <w:pStyle w:val="TableParagraph"/>
              <w:spacing w:before="15"/>
              <w:ind w:right="177"/>
              <w:rPr>
                <w:sz w:val="15"/>
              </w:rPr>
            </w:pPr>
            <w:r>
              <w:rPr>
                <w:sz w:val="15"/>
              </w:rPr>
              <w:t>3.119</w:t>
            </w:r>
          </w:p>
        </w:tc>
        <w:tc>
          <w:tcPr>
            <w:tcW w:w="972" w:type="dxa"/>
            <w:tcBorders>
              <w:top w:val="nil"/>
              <w:bottom w:val="nil"/>
            </w:tcBorders>
          </w:tcPr>
          <w:p>
            <w:pPr>
              <w:pStyle w:val="TableParagraph"/>
              <w:spacing w:before="15"/>
              <w:ind w:right="177"/>
              <w:rPr>
                <w:sz w:val="15"/>
              </w:rPr>
            </w:pPr>
            <w:r>
              <w:rPr>
                <w:sz w:val="15"/>
              </w:rPr>
              <w:t>972</w:t>
            </w:r>
          </w:p>
        </w:tc>
        <w:tc>
          <w:tcPr>
            <w:tcW w:w="972" w:type="dxa"/>
            <w:tcBorders>
              <w:top w:val="nil"/>
              <w:bottom w:val="nil"/>
            </w:tcBorders>
          </w:tcPr>
          <w:p>
            <w:pPr>
              <w:pStyle w:val="TableParagraph"/>
              <w:spacing w:before="15"/>
              <w:ind w:right="177"/>
              <w:rPr>
                <w:sz w:val="15"/>
              </w:rPr>
            </w:pPr>
            <w:r>
              <w:rPr>
                <w:sz w:val="15"/>
              </w:rPr>
              <w:t>35</w:t>
            </w:r>
          </w:p>
        </w:tc>
        <w:tc>
          <w:tcPr>
            <w:tcW w:w="972" w:type="dxa"/>
            <w:tcBorders>
              <w:top w:val="nil"/>
              <w:bottom w:val="nil"/>
            </w:tcBorders>
          </w:tcPr>
          <w:p>
            <w:pPr>
              <w:pStyle w:val="TableParagraph"/>
              <w:spacing w:before="15"/>
              <w:ind w:right="177"/>
              <w:rPr>
                <w:sz w:val="15"/>
              </w:rPr>
            </w:pPr>
            <w:r>
              <w:rPr>
                <w:sz w:val="15"/>
              </w:rPr>
              <w:t>4.126</w:t>
            </w:r>
          </w:p>
        </w:tc>
      </w:tr>
      <w:tr>
        <w:trPr>
          <w:trHeight w:val="198" w:hRule="exact"/>
        </w:trPr>
        <w:tc>
          <w:tcPr>
            <w:tcW w:w="576" w:type="dxa"/>
            <w:tcBorders>
              <w:top w:val="nil"/>
              <w:bottom w:val="nil"/>
            </w:tcBorders>
          </w:tcPr>
          <w:p>
            <w:pPr>
              <w:pStyle w:val="TableParagraph"/>
              <w:spacing w:before="15"/>
              <w:jc w:val="center"/>
              <w:rPr>
                <w:sz w:val="15"/>
              </w:rPr>
            </w:pPr>
            <w:r>
              <w:rPr>
                <w:sz w:val="15"/>
              </w:rPr>
              <w:t>10327</w:t>
            </w:r>
          </w:p>
        </w:tc>
        <w:tc>
          <w:tcPr>
            <w:tcW w:w="2293" w:type="dxa"/>
            <w:tcBorders>
              <w:top w:val="nil"/>
              <w:bottom w:val="nil"/>
            </w:tcBorders>
          </w:tcPr>
          <w:p>
            <w:pPr>
              <w:pStyle w:val="TableParagraph"/>
              <w:spacing w:before="15"/>
              <w:ind w:left="18"/>
              <w:jc w:val="left"/>
              <w:rPr>
                <w:sz w:val="15"/>
              </w:rPr>
            </w:pPr>
            <w:r>
              <w:rPr>
                <w:sz w:val="15"/>
              </w:rPr>
              <w:t>TRUNFIO SEBASTIANO</w:t>
            </w:r>
          </w:p>
        </w:tc>
        <w:tc>
          <w:tcPr>
            <w:tcW w:w="972" w:type="dxa"/>
            <w:tcBorders>
              <w:top w:val="nil"/>
              <w:bottom w:val="nil"/>
            </w:tcBorders>
          </w:tcPr>
          <w:p>
            <w:pPr>
              <w:pStyle w:val="TableParagraph"/>
              <w:spacing w:before="15"/>
              <w:ind w:right="177"/>
              <w:rPr>
                <w:sz w:val="15"/>
              </w:rPr>
            </w:pPr>
            <w:r>
              <w:rPr>
                <w:sz w:val="15"/>
              </w:rPr>
              <w:t>1.411</w:t>
            </w:r>
          </w:p>
        </w:tc>
        <w:tc>
          <w:tcPr>
            <w:tcW w:w="972" w:type="dxa"/>
            <w:tcBorders>
              <w:top w:val="nil"/>
              <w:bottom w:val="nil"/>
            </w:tcBorders>
          </w:tcPr>
          <w:p>
            <w:pPr>
              <w:pStyle w:val="TableParagraph"/>
              <w:spacing w:before="15"/>
              <w:ind w:right="177"/>
              <w:rPr>
                <w:sz w:val="15"/>
              </w:rPr>
            </w:pPr>
            <w:r>
              <w:rPr>
                <w:sz w:val="15"/>
              </w:rPr>
              <w:t>439</w:t>
            </w:r>
          </w:p>
        </w:tc>
        <w:tc>
          <w:tcPr>
            <w:tcW w:w="972" w:type="dxa"/>
            <w:tcBorders>
              <w:top w:val="nil"/>
              <w:bottom w:val="nil"/>
            </w:tcBorders>
          </w:tcPr>
          <w:p>
            <w:pPr>
              <w:pStyle w:val="TableParagraph"/>
              <w:spacing w:before="15"/>
              <w:ind w:right="177"/>
              <w:rPr>
                <w:sz w:val="15"/>
              </w:rPr>
            </w:pPr>
            <w:r>
              <w:rPr>
                <w:sz w:val="15"/>
              </w:rPr>
              <w:t>36</w:t>
            </w:r>
          </w:p>
        </w:tc>
        <w:tc>
          <w:tcPr>
            <w:tcW w:w="972" w:type="dxa"/>
            <w:tcBorders>
              <w:top w:val="nil"/>
              <w:bottom w:val="nil"/>
            </w:tcBorders>
          </w:tcPr>
          <w:p>
            <w:pPr>
              <w:pStyle w:val="TableParagraph"/>
              <w:spacing w:before="15"/>
              <w:ind w:right="177"/>
              <w:rPr>
                <w:sz w:val="15"/>
              </w:rPr>
            </w:pPr>
            <w:r>
              <w:rPr>
                <w:sz w:val="15"/>
              </w:rPr>
              <w:t>1.885</w:t>
            </w:r>
          </w:p>
        </w:tc>
      </w:tr>
      <w:tr>
        <w:trPr>
          <w:trHeight w:val="198" w:hRule="exact"/>
        </w:trPr>
        <w:tc>
          <w:tcPr>
            <w:tcW w:w="576" w:type="dxa"/>
            <w:tcBorders>
              <w:top w:val="nil"/>
              <w:bottom w:val="nil"/>
            </w:tcBorders>
          </w:tcPr>
          <w:p>
            <w:pPr>
              <w:pStyle w:val="TableParagraph"/>
              <w:spacing w:before="15"/>
              <w:jc w:val="center"/>
              <w:rPr>
                <w:sz w:val="15"/>
              </w:rPr>
            </w:pPr>
            <w:r>
              <w:rPr>
                <w:sz w:val="15"/>
              </w:rPr>
              <w:t>12003</w:t>
            </w:r>
          </w:p>
        </w:tc>
        <w:tc>
          <w:tcPr>
            <w:tcW w:w="2293" w:type="dxa"/>
            <w:tcBorders>
              <w:top w:val="nil"/>
              <w:bottom w:val="nil"/>
            </w:tcBorders>
          </w:tcPr>
          <w:p>
            <w:pPr>
              <w:pStyle w:val="TableParagraph"/>
              <w:spacing w:before="15"/>
              <w:ind w:left="18"/>
              <w:jc w:val="left"/>
              <w:rPr>
                <w:sz w:val="15"/>
              </w:rPr>
            </w:pPr>
            <w:r>
              <w:rPr>
                <w:sz w:val="15"/>
              </w:rPr>
              <w:t>TURNI DANIELE</w:t>
            </w:r>
          </w:p>
        </w:tc>
        <w:tc>
          <w:tcPr>
            <w:tcW w:w="972" w:type="dxa"/>
            <w:tcBorders>
              <w:top w:val="nil"/>
              <w:bottom w:val="nil"/>
            </w:tcBorders>
          </w:tcPr>
          <w:p>
            <w:pPr>
              <w:pStyle w:val="TableParagraph"/>
              <w:spacing w:before="15"/>
              <w:ind w:right="177"/>
              <w:rPr>
                <w:sz w:val="15"/>
              </w:rPr>
            </w:pPr>
            <w:r>
              <w:rPr>
                <w:sz w:val="15"/>
              </w:rPr>
              <w:t>1.650</w:t>
            </w:r>
          </w:p>
        </w:tc>
        <w:tc>
          <w:tcPr>
            <w:tcW w:w="972" w:type="dxa"/>
            <w:tcBorders>
              <w:top w:val="nil"/>
              <w:bottom w:val="nil"/>
            </w:tcBorders>
          </w:tcPr>
          <w:p>
            <w:pPr>
              <w:pStyle w:val="TableParagraph"/>
              <w:spacing w:before="15"/>
              <w:ind w:right="177"/>
              <w:rPr>
                <w:sz w:val="15"/>
              </w:rPr>
            </w:pPr>
            <w:r>
              <w:rPr>
                <w:sz w:val="15"/>
              </w:rPr>
              <w:t>477</w:t>
            </w:r>
          </w:p>
        </w:tc>
        <w:tc>
          <w:tcPr>
            <w:tcW w:w="972" w:type="dxa"/>
            <w:tcBorders>
              <w:top w:val="nil"/>
              <w:bottom w:val="nil"/>
            </w:tcBorders>
          </w:tcPr>
          <w:p>
            <w:pPr>
              <w:pStyle w:val="TableParagraph"/>
              <w:spacing w:before="15"/>
              <w:ind w:right="177"/>
              <w:rPr>
                <w:sz w:val="15"/>
              </w:rPr>
            </w:pPr>
            <w:r>
              <w:rPr>
                <w:sz w:val="15"/>
              </w:rPr>
              <w:t>27</w:t>
            </w:r>
          </w:p>
        </w:tc>
        <w:tc>
          <w:tcPr>
            <w:tcW w:w="972" w:type="dxa"/>
            <w:tcBorders>
              <w:top w:val="nil"/>
              <w:bottom w:val="nil"/>
            </w:tcBorders>
          </w:tcPr>
          <w:p>
            <w:pPr>
              <w:pStyle w:val="TableParagraph"/>
              <w:spacing w:before="15"/>
              <w:ind w:right="177"/>
              <w:rPr>
                <w:sz w:val="15"/>
              </w:rPr>
            </w:pPr>
            <w:r>
              <w:rPr>
                <w:sz w:val="15"/>
              </w:rPr>
              <w:t>2.153</w:t>
            </w:r>
          </w:p>
        </w:tc>
      </w:tr>
      <w:tr>
        <w:trPr>
          <w:trHeight w:val="198" w:hRule="exact"/>
        </w:trPr>
        <w:tc>
          <w:tcPr>
            <w:tcW w:w="576" w:type="dxa"/>
            <w:tcBorders>
              <w:top w:val="nil"/>
              <w:bottom w:val="nil"/>
            </w:tcBorders>
          </w:tcPr>
          <w:p>
            <w:pPr>
              <w:pStyle w:val="TableParagraph"/>
              <w:spacing w:before="15"/>
              <w:jc w:val="center"/>
              <w:rPr>
                <w:sz w:val="15"/>
              </w:rPr>
            </w:pPr>
            <w:r>
              <w:rPr>
                <w:sz w:val="15"/>
              </w:rPr>
              <w:t>10334</w:t>
            </w:r>
          </w:p>
        </w:tc>
        <w:tc>
          <w:tcPr>
            <w:tcW w:w="2293" w:type="dxa"/>
            <w:tcBorders>
              <w:top w:val="nil"/>
              <w:bottom w:val="nil"/>
            </w:tcBorders>
          </w:tcPr>
          <w:p>
            <w:pPr>
              <w:pStyle w:val="TableParagraph"/>
              <w:spacing w:before="15"/>
              <w:ind w:left="18"/>
              <w:jc w:val="left"/>
              <w:rPr>
                <w:sz w:val="15"/>
              </w:rPr>
            </w:pPr>
            <w:r>
              <w:rPr>
                <w:sz w:val="15"/>
              </w:rPr>
              <w:t>VACCARELLA DARIO PAOLO</w:t>
            </w:r>
          </w:p>
        </w:tc>
        <w:tc>
          <w:tcPr>
            <w:tcW w:w="972" w:type="dxa"/>
            <w:tcBorders>
              <w:top w:val="nil"/>
              <w:bottom w:val="nil"/>
            </w:tcBorders>
          </w:tcPr>
          <w:p>
            <w:pPr>
              <w:pStyle w:val="TableParagraph"/>
              <w:spacing w:before="15"/>
              <w:ind w:right="177"/>
              <w:rPr>
                <w:sz w:val="15"/>
              </w:rPr>
            </w:pPr>
            <w:r>
              <w:rPr>
                <w:sz w:val="15"/>
              </w:rPr>
              <w:t>1.232</w:t>
            </w:r>
          </w:p>
        </w:tc>
        <w:tc>
          <w:tcPr>
            <w:tcW w:w="972" w:type="dxa"/>
            <w:tcBorders>
              <w:top w:val="nil"/>
              <w:bottom w:val="nil"/>
            </w:tcBorders>
          </w:tcPr>
          <w:p>
            <w:pPr>
              <w:pStyle w:val="TableParagraph"/>
              <w:spacing w:before="15"/>
              <w:ind w:right="177"/>
              <w:rPr>
                <w:sz w:val="15"/>
              </w:rPr>
            </w:pPr>
            <w:r>
              <w:rPr>
                <w:sz w:val="15"/>
              </w:rPr>
              <w:t>411</w:t>
            </w:r>
          </w:p>
        </w:tc>
        <w:tc>
          <w:tcPr>
            <w:tcW w:w="972" w:type="dxa"/>
            <w:tcBorders>
              <w:top w:val="nil"/>
              <w:bottom w:val="nil"/>
            </w:tcBorders>
          </w:tcPr>
          <w:p>
            <w:pPr>
              <w:pStyle w:val="TableParagraph"/>
              <w:spacing w:before="15"/>
              <w:ind w:right="177"/>
              <w:rPr>
                <w:sz w:val="15"/>
              </w:rPr>
            </w:pPr>
            <w:r>
              <w:rPr>
                <w:sz w:val="15"/>
              </w:rPr>
              <w:t>31</w:t>
            </w:r>
          </w:p>
        </w:tc>
        <w:tc>
          <w:tcPr>
            <w:tcW w:w="972" w:type="dxa"/>
            <w:tcBorders>
              <w:top w:val="nil"/>
              <w:bottom w:val="nil"/>
            </w:tcBorders>
          </w:tcPr>
          <w:p>
            <w:pPr>
              <w:pStyle w:val="TableParagraph"/>
              <w:spacing w:before="15"/>
              <w:ind w:right="177"/>
              <w:rPr>
                <w:sz w:val="15"/>
              </w:rPr>
            </w:pPr>
            <w:r>
              <w:rPr>
                <w:sz w:val="15"/>
              </w:rPr>
              <w:t>1.674</w:t>
            </w:r>
          </w:p>
        </w:tc>
      </w:tr>
      <w:tr>
        <w:trPr>
          <w:trHeight w:val="198" w:hRule="exact"/>
        </w:trPr>
        <w:tc>
          <w:tcPr>
            <w:tcW w:w="576" w:type="dxa"/>
            <w:tcBorders>
              <w:top w:val="nil"/>
              <w:bottom w:val="nil"/>
            </w:tcBorders>
          </w:tcPr>
          <w:p>
            <w:pPr>
              <w:pStyle w:val="TableParagraph"/>
              <w:spacing w:before="15"/>
              <w:jc w:val="center"/>
              <w:rPr>
                <w:sz w:val="15"/>
              </w:rPr>
            </w:pPr>
            <w:r>
              <w:rPr>
                <w:sz w:val="15"/>
              </w:rPr>
              <w:t>10116</w:t>
            </w:r>
          </w:p>
        </w:tc>
        <w:tc>
          <w:tcPr>
            <w:tcW w:w="2293" w:type="dxa"/>
            <w:tcBorders>
              <w:top w:val="nil"/>
              <w:bottom w:val="nil"/>
            </w:tcBorders>
          </w:tcPr>
          <w:p>
            <w:pPr>
              <w:pStyle w:val="TableParagraph"/>
              <w:spacing w:before="15"/>
              <w:ind w:left="18"/>
              <w:jc w:val="left"/>
              <w:rPr>
                <w:sz w:val="15"/>
              </w:rPr>
            </w:pPr>
            <w:r>
              <w:rPr>
                <w:sz w:val="15"/>
              </w:rPr>
              <w:t>VISCARDI KATIA</w:t>
            </w:r>
          </w:p>
        </w:tc>
        <w:tc>
          <w:tcPr>
            <w:tcW w:w="972" w:type="dxa"/>
            <w:tcBorders>
              <w:top w:val="nil"/>
              <w:bottom w:val="nil"/>
            </w:tcBorders>
          </w:tcPr>
          <w:p>
            <w:pPr>
              <w:pStyle w:val="TableParagraph"/>
              <w:spacing w:before="15"/>
              <w:ind w:right="177"/>
              <w:rPr>
                <w:sz w:val="15"/>
              </w:rPr>
            </w:pPr>
            <w:r>
              <w:rPr>
                <w:sz w:val="15"/>
              </w:rPr>
              <w:t>2.946</w:t>
            </w:r>
          </w:p>
        </w:tc>
        <w:tc>
          <w:tcPr>
            <w:tcW w:w="972" w:type="dxa"/>
            <w:tcBorders>
              <w:top w:val="nil"/>
              <w:bottom w:val="nil"/>
            </w:tcBorders>
          </w:tcPr>
          <w:p>
            <w:pPr>
              <w:pStyle w:val="TableParagraph"/>
              <w:spacing w:before="15"/>
              <w:ind w:right="177"/>
              <w:rPr>
                <w:sz w:val="15"/>
              </w:rPr>
            </w:pPr>
            <w:r>
              <w:rPr>
                <w:sz w:val="15"/>
              </w:rPr>
              <w:t>919</w:t>
            </w:r>
          </w:p>
        </w:tc>
        <w:tc>
          <w:tcPr>
            <w:tcW w:w="972" w:type="dxa"/>
            <w:tcBorders>
              <w:top w:val="nil"/>
              <w:bottom w:val="nil"/>
            </w:tcBorders>
          </w:tcPr>
          <w:p>
            <w:pPr>
              <w:pStyle w:val="TableParagraph"/>
              <w:spacing w:before="15"/>
              <w:ind w:right="177"/>
              <w:rPr>
                <w:sz w:val="15"/>
              </w:rPr>
            </w:pPr>
            <w:r>
              <w:rPr>
                <w:sz w:val="15"/>
              </w:rPr>
              <w:t>62</w:t>
            </w:r>
          </w:p>
        </w:tc>
        <w:tc>
          <w:tcPr>
            <w:tcW w:w="972" w:type="dxa"/>
            <w:tcBorders>
              <w:top w:val="nil"/>
              <w:bottom w:val="nil"/>
            </w:tcBorders>
          </w:tcPr>
          <w:p>
            <w:pPr>
              <w:pStyle w:val="TableParagraph"/>
              <w:spacing w:before="15"/>
              <w:ind w:right="177"/>
              <w:rPr>
                <w:sz w:val="15"/>
              </w:rPr>
            </w:pPr>
            <w:r>
              <w:rPr>
                <w:sz w:val="15"/>
              </w:rPr>
              <w:t>3.928</w:t>
            </w:r>
          </w:p>
        </w:tc>
      </w:tr>
      <w:tr>
        <w:trPr>
          <w:trHeight w:val="187" w:hRule="exact"/>
        </w:trPr>
        <w:tc>
          <w:tcPr>
            <w:tcW w:w="576" w:type="dxa"/>
            <w:tcBorders>
              <w:top w:val="nil"/>
            </w:tcBorders>
          </w:tcPr>
          <w:p>
            <w:pPr>
              <w:pStyle w:val="TableParagraph"/>
              <w:spacing w:before="15"/>
              <w:jc w:val="center"/>
              <w:rPr>
                <w:sz w:val="15"/>
              </w:rPr>
            </w:pPr>
            <w:r>
              <w:rPr>
                <w:sz w:val="15"/>
              </w:rPr>
              <w:t>10012</w:t>
            </w:r>
          </w:p>
        </w:tc>
        <w:tc>
          <w:tcPr>
            <w:tcW w:w="2293" w:type="dxa"/>
            <w:tcBorders>
              <w:top w:val="nil"/>
            </w:tcBorders>
          </w:tcPr>
          <w:p>
            <w:pPr>
              <w:pStyle w:val="TableParagraph"/>
              <w:spacing w:before="15"/>
              <w:ind w:left="18"/>
              <w:jc w:val="left"/>
              <w:rPr>
                <w:sz w:val="15"/>
              </w:rPr>
            </w:pPr>
            <w:r>
              <w:rPr>
                <w:sz w:val="15"/>
              </w:rPr>
              <w:t>ZANETTE FEDERICO</w:t>
            </w:r>
          </w:p>
        </w:tc>
        <w:tc>
          <w:tcPr>
            <w:tcW w:w="972" w:type="dxa"/>
            <w:tcBorders>
              <w:top w:val="nil"/>
            </w:tcBorders>
          </w:tcPr>
          <w:p>
            <w:pPr>
              <w:pStyle w:val="TableParagraph"/>
              <w:spacing w:before="15"/>
              <w:ind w:right="177"/>
              <w:rPr>
                <w:sz w:val="15"/>
              </w:rPr>
            </w:pPr>
            <w:r>
              <w:rPr>
                <w:sz w:val="15"/>
              </w:rPr>
              <w:t>4.098</w:t>
            </w:r>
          </w:p>
        </w:tc>
        <w:tc>
          <w:tcPr>
            <w:tcW w:w="972" w:type="dxa"/>
            <w:tcBorders>
              <w:top w:val="nil"/>
            </w:tcBorders>
          </w:tcPr>
          <w:p>
            <w:pPr>
              <w:pStyle w:val="TableParagraph"/>
              <w:spacing w:before="15"/>
              <w:ind w:right="177"/>
              <w:rPr>
                <w:sz w:val="15"/>
              </w:rPr>
            </w:pPr>
            <w:r>
              <w:rPr>
                <w:sz w:val="15"/>
              </w:rPr>
              <w:t>1.278</w:t>
            </w:r>
          </w:p>
        </w:tc>
        <w:tc>
          <w:tcPr>
            <w:tcW w:w="972" w:type="dxa"/>
            <w:tcBorders>
              <w:top w:val="nil"/>
            </w:tcBorders>
          </w:tcPr>
          <w:p>
            <w:pPr>
              <w:pStyle w:val="TableParagraph"/>
              <w:spacing w:before="15"/>
              <w:ind w:right="177"/>
              <w:rPr>
                <w:sz w:val="15"/>
              </w:rPr>
            </w:pPr>
            <w:r>
              <w:rPr>
                <w:sz w:val="15"/>
              </w:rPr>
              <w:t>46</w:t>
            </w:r>
          </w:p>
        </w:tc>
        <w:tc>
          <w:tcPr>
            <w:tcW w:w="972" w:type="dxa"/>
            <w:tcBorders>
              <w:top w:val="nil"/>
            </w:tcBorders>
          </w:tcPr>
          <w:p>
            <w:pPr>
              <w:pStyle w:val="TableParagraph"/>
              <w:spacing w:before="15"/>
              <w:ind w:right="177"/>
              <w:rPr>
                <w:sz w:val="15"/>
              </w:rPr>
            </w:pPr>
            <w:r>
              <w:rPr>
                <w:sz w:val="15"/>
              </w:rPr>
              <w:t>5.422</w:t>
            </w:r>
          </w:p>
        </w:tc>
      </w:tr>
      <w:tr>
        <w:trPr>
          <w:trHeight w:val="198" w:hRule="exact"/>
        </w:trPr>
        <w:tc>
          <w:tcPr>
            <w:tcW w:w="2869" w:type="dxa"/>
            <w:gridSpan w:val="2"/>
            <w:shd w:val="clear" w:color="auto" w:fill="BEBEBE"/>
          </w:tcPr>
          <w:p>
            <w:pPr>
              <w:pStyle w:val="TableParagraph"/>
              <w:spacing w:before="21"/>
              <w:ind w:left="18"/>
              <w:jc w:val="left"/>
              <w:rPr>
                <w:b/>
                <w:sz w:val="15"/>
              </w:rPr>
            </w:pPr>
            <w:r>
              <w:rPr>
                <w:b/>
                <w:sz w:val="15"/>
              </w:rPr>
              <w:t>Totale debito per 13esima</w:t>
            </w:r>
          </w:p>
        </w:tc>
        <w:tc>
          <w:tcPr>
            <w:tcW w:w="972" w:type="dxa"/>
            <w:shd w:val="clear" w:color="auto" w:fill="BEBEBE"/>
          </w:tcPr>
          <w:p>
            <w:pPr>
              <w:pStyle w:val="TableParagraph"/>
              <w:spacing w:before="21"/>
              <w:ind w:left="311"/>
              <w:jc w:val="left"/>
              <w:rPr>
                <w:b/>
                <w:sz w:val="15"/>
              </w:rPr>
            </w:pPr>
            <w:r>
              <w:rPr>
                <w:b/>
                <w:sz w:val="15"/>
              </w:rPr>
              <w:t>165.362</w:t>
            </w:r>
          </w:p>
        </w:tc>
        <w:tc>
          <w:tcPr>
            <w:tcW w:w="972" w:type="dxa"/>
            <w:shd w:val="clear" w:color="auto" w:fill="BEBEBE"/>
          </w:tcPr>
          <w:p>
            <w:pPr>
              <w:pStyle w:val="TableParagraph"/>
              <w:spacing w:before="21"/>
              <w:ind w:right="183"/>
              <w:rPr>
                <w:b/>
                <w:sz w:val="15"/>
              </w:rPr>
            </w:pPr>
            <w:r>
              <w:rPr>
                <w:b/>
                <w:sz w:val="15"/>
              </w:rPr>
              <w:t>49.524</w:t>
            </w:r>
          </w:p>
        </w:tc>
        <w:tc>
          <w:tcPr>
            <w:tcW w:w="972" w:type="dxa"/>
            <w:shd w:val="clear" w:color="auto" w:fill="BEBEBE"/>
          </w:tcPr>
          <w:p>
            <w:pPr>
              <w:pStyle w:val="TableParagraph"/>
              <w:spacing w:before="21"/>
              <w:ind w:right="174"/>
              <w:rPr>
                <w:b/>
                <w:sz w:val="15"/>
              </w:rPr>
            </w:pPr>
            <w:r>
              <w:rPr>
                <w:b/>
                <w:sz w:val="15"/>
              </w:rPr>
              <w:t>1.211</w:t>
            </w:r>
          </w:p>
        </w:tc>
        <w:tc>
          <w:tcPr>
            <w:tcW w:w="972" w:type="dxa"/>
            <w:shd w:val="clear" w:color="auto" w:fill="BEBEBE"/>
          </w:tcPr>
          <w:p>
            <w:pPr>
              <w:pStyle w:val="TableParagraph"/>
              <w:spacing w:before="21"/>
              <w:ind w:left="311"/>
              <w:jc w:val="left"/>
              <w:rPr>
                <w:b/>
                <w:sz w:val="15"/>
              </w:rPr>
            </w:pPr>
            <w:r>
              <w:rPr>
                <w:b/>
                <w:sz w:val="15"/>
              </w:rPr>
              <w:t>216.096</w:t>
            </w:r>
          </w:p>
        </w:tc>
      </w:tr>
    </w:tbl>
    <w:p>
      <w:pPr>
        <w:spacing w:after="0"/>
        <w:jc w:val="left"/>
        <w:rPr>
          <w:sz w:val="15"/>
        </w:rPr>
        <w:sectPr>
          <w:pgSz w:w="11910" w:h="16840"/>
          <w:pgMar w:header="707" w:footer="1025" w:top="1740" w:bottom="1220" w:left="0" w:right="0"/>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5"/>
        <w:rPr>
          <w:rFonts w:ascii="Times New Roman"/>
          <w:sz w:val="25"/>
        </w:rPr>
      </w:pPr>
    </w:p>
    <w:p>
      <w:pPr>
        <w:pStyle w:val="Heading2"/>
        <w:spacing w:before="100"/>
      </w:pPr>
      <w:r>
        <w:rPr>
          <w:u w:val="single"/>
        </w:rPr>
        <w:t>Debito per salari e stipendi</w:t>
      </w:r>
    </w:p>
    <w:p>
      <w:pPr>
        <w:pStyle w:val="BodyText"/>
        <w:spacing w:before="10"/>
        <w:rPr>
          <w:b/>
          <w:sz w:val="23"/>
        </w:rPr>
      </w:pPr>
    </w:p>
    <w:p>
      <w:pPr>
        <w:pStyle w:val="BodyText"/>
        <w:spacing w:line="480" w:lineRule="auto" w:before="1"/>
        <w:ind w:left="1418" w:right="1518"/>
      </w:pPr>
      <w:r>
        <w:rPr/>
        <w:t>Il debito per salari e stipendi ammonta ad Euro 40.000 e risulta interamente riferito alla dipendente Todaro Daniela.</w:t>
      </w:r>
    </w:p>
    <w:p>
      <w:pPr>
        <w:pStyle w:val="Heading2"/>
      </w:pPr>
      <w:r>
        <w:rPr>
          <w:u w:val="single"/>
        </w:rPr>
        <w:t>Debito per conto ore</w:t>
      </w:r>
    </w:p>
    <w:p>
      <w:pPr>
        <w:pStyle w:val="BodyText"/>
        <w:spacing w:before="11"/>
        <w:rPr>
          <w:b/>
          <w:sz w:val="23"/>
        </w:rPr>
      </w:pPr>
    </w:p>
    <w:p>
      <w:pPr>
        <w:pStyle w:val="BodyText"/>
        <w:ind w:left="1418"/>
      </w:pPr>
      <w:r>
        <w:rPr/>
        <w:t>Il debito per conto ore ammonta ad Euro 4.142 e risulta così suddiviso:</w:t>
      </w:r>
    </w:p>
    <w:p>
      <w:pPr>
        <w:pStyle w:val="BodyText"/>
        <w:rPr>
          <w:sz w:val="20"/>
        </w:rPr>
      </w:pPr>
    </w:p>
    <w:p>
      <w:pPr>
        <w:pStyle w:val="BodyText"/>
        <w:rPr>
          <w:sz w:val="20"/>
        </w:rPr>
      </w:pPr>
    </w:p>
    <w:p>
      <w:pPr>
        <w:pStyle w:val="BodyText"/>
        <w:spacing w:before="9" w:after="1"/>
        <w:rPr>
          <w:sz w:val="11"/>
        </w:rPr>
      </w:pPr>
    </w:p>
    <w:tbl>
      <w:tblPr>
        <w:tblW w:w="0" w:type="auto"/>
        <w:jc w:val="left"/>
        <w:tblInd w:w="33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75"/>
        <w:gridCol w:w="2820"/>
        <w:gridCol w:w="1305"/>
      </w:tblGrid>
      <w:tr>
        <w:trPr>
          <w:trHeight w:val="315" w:hRule="exact"/>
        </w:trPr>
        <w:tc>
          <w:tcPr>
            <w:tcW w:w="975" w:type="dxa"/>
            <w:tcBorders>
              <w:left w:val="single" w:sz="6" w:space="0" w:color="000000"/>
              <w:bottom w:val="single" w:sz="6" w:space="0" w:color="000000"/>
              <w:right w:val="single" w:sz="6" w:space="0" w:color="000000"/>
            </w:tcBorders>
            <w:shd w:val="clear" w:color="auto" w:fill="BEBEBE"/>
          </w:tcPr>
          <w:p>
            <w:pPr>
              <w:pStyle w:val="TableParagraph"/>
              <w:spacing w:before="76"/>
              <w:ind w:left="106" w:right="85"/>
              <w:jc w:val="center"/>
              <w:rPr>
                <w:b/>
                <w:sz w:val="19"/>
              </w:rPr>
            </w:pPr>
            <w:r>
              <w:rPr>
                <w:b/>
                <w:w w:val="105"/>
                <w:sz w:val="19"/>
              </w:rPr>
              <w:t>Cod dip.</w:t>
            </w:r>
          </w:p>
        </w:tc>
        <w:tc>
          <w:tcPr>
            <w:tcW w:w="2820" w:type="dxa"/>
            <w:tcBorders>
              <w:left w:val="single" w:sz="6" w:space="0" w:color="000000"/>
              <w:bottom w:val="single" w:sz="6" w:space="0" w:color="000000"/>
              <w:right w:val="single" w:sz="6" w:space="0" w:color="000000"/>
            </w:tcBorders>
            <w:shd w:val="clear" w:color="auto" w:fill="BEBEBE"/>
          </w:tcPr>
          <w:p>
            <w:pPr>
              <w:pStyle w:val="TableParagraph"/>
              <w:spacing w:before="76"/>
              <w:ind w:left="29"/>
              <w:jc w:val="left"/>
              <w:rPr>
                <w:b/>
                <w:sz w:val="19"/>
              </w:rPr>
            </w:pPr>
            <w:r>
              <w:rPr>
                <w:b/>
                <w:w w:val="105"/>
                <w:sz w:val="19"/>
              </w:rPr>
              <w:t>Cognome</w:t>
            </w:r>
          </w:p>
        </w:tc>
        <w:tc>
          <w:tcPr>
            <w:tcW w:w="1305" w:type="dxa"/>
            <w:tcBorders>
              <w:left w:val="single" w:sz="6" w:space="0" w:color="000000"/>
              <w:bottom w:val="single" w:sz="6" w:space="0" w:color="000000"/>
              <w:right w:val="single" w:sz="6" w:space="0" w:color="000000"/>
            </w:tcBorders>
            <w:shd w:val="clear" w:color="auto" w:fill="BEBEBE"/>
          </w:tcPr>
          <w:p>
            <w:pPr>
              <w:pStyle w:val="TableParagraph"/>
              <w:spacing w:before="76"/>
              <w:ind w:right="176"/>
              <w:rPr>
                <w:b/>
                <w:sz w:val="19"/>
              </w:rPr>
            </w:pPr>
            <w:r>
              <w:rPr>
                <w:b/>
                <w:sz w:val="19"/>
              </w:rPr>
              <w:t>Imponibile</w:t>
            </w:r>
          </w:p>
        </w:tc>
      </w:tr>
      <w:tr>
        <w:trPr>
          <w:trHeight w:val="346" w:hRule="exact"/>
        </w:trPr>
        <w:tc>
          <w:tcPr>
            <w:tcW w:w="975" w:type="dxa"/>
            <w:tcBorders>
              <w:top w:val="single" w:sz="6" w:space="0" w:color="000000"/>
              <w:left w:val="single" w:sz="6" w:space="0" w:color="000000"/>
              <w:bottom w:val="nil"/>
              <w:right w:val="single" w:sz="6" w:space="0" w:color="000000"/>
            </w:tcBorders>
          </w:tcPr>
          <w:p>
            <w:pPr>
              <w:pStyle w:val="TableParagraph"/>
              <w:spacing w:before="76"/>
              <w:ind w:left="86" w:right="85"/>
              <w:jc w:val="center"/>
              <w:rPr>
                <w:sz w:val="19"/>
              </w:rPr>
            </w:pPr>
            <w:r>
              <w:rPr>
                <w:w w:val="105"/>
                <w:sz w:val="19"/>
              </w:rPr>
              <w:t>10212</w:t>
            </w:r>
          </w:p>
        </w:tc>
        <w:tc>
          <w:tcPr>
            <w:tcW w:w="2820" w:type="dxa"/>
            <w:tcBorders>
              <w:top w:val="single" w:sz="6" w:space="0" w:color="000000"/>
              <w:left w:val="single" w:sz="6" w:space="0" w:color="000000"/>
              <w:bottom w:val="nil"/>
              <w:right w:val="single" w:sz="6" w:space="0" w:color="000000"/>
            </w:tcBorders>
          </w:tcPr>
          <w:p>
            <w:pPr>
              <w:pStyle w:val="TableParagraph"/>
              <w:spacing w:before="76"/>
              <w:ind w:left="29"/>
              <w:jc w:val="left"/>
              <w:rPr>
                <w:sz w:val="19"/>
              </w:rPr>
            </w:pPr>
            <w:r>
              <w:rPr>
                <w:sz w:val="19"/>
              </w:rPr>
              <w:t>CARPINO SABRINA</w:t>
            </w:r>
          </w:p>
        </w:tc>
        <w:tc>
          <w:tcPr>
            <w:tcW w:w="1305" w:type="dxa"/>
            <w:tcBorders>
              <w:top w:val="single" w:sz="6" w:space="0" w:color="000000"/>
              <w:left w:val="single" w:sz="6" w:space="0" w:color="000000"/>
              <w:bottom w:val="nil"/>
              <w:right w:val="single" w:sz="6" w:space="0" w:color="000000"/>
            </w:tcBorders>
          </w:tcPr>
          <w:p>
            <w:pPr>
              <w:pStyle w:val="TableParagraph"/>
              <w:spacing w:before="76"/>
              <w:ind w:right="220"/>
              <w:rPr>
                <w:sz w:val="19"/>
              </w:rPr>
            </w:pPr>
            <w:r>
              <w:rPr>
                <w:sz w:val="19"/>
              </w:rPr>
              <w:t>1.212</w:t>
            </w:r>
          </w:p>
        </w:tc>
      </w:tr>
      <w:tr>
        <w:trPr>
          <w:trHeight w:val="315" w:hRule="exact"/>
        </w:trPr>
        <w:tc>
          <w:tcPr>
            <w:tcW w:w="975" w:type="dxa"/>
            <w:tcBorders>
              <w:top w:val="nil"/>
              <w:left w:val="single" w:sz="6" w:space="0" w:color="000000"/>
              <w:bottom w:val="nil"/>
              <w:right w:val="single" w:sz="6" w:space="0" w:color="000000"/>
            </w:tcBorders>
          </w:tcPr>
          <w:p>
            <w:pPr>
              <w:pStyle w:val="TableParagraph"/>
              <w:spacing w:before="52"/>
              <w:ind w:left="86" w:right="85"/>
              <w:jc w:val="center"/>
              <w:rPr>
                <w:sz w:val="19"/>
              </w:rPr>
            </w:pPr>
            <w:r>
              <w:rPr>
                <w:w w:val="105"/>
                <w:sz w:val="19"/>
              </w:rPr>
              <w:t>10054</w:t>
            </w:r>
          </w:p>
        </w:tc>
        <w:tc>
          <w:tcPr>
            <w:tcW w:w="2820" w:type="dxa"/>
            <w:tcBorders>
              <w:top w:val="nil"/>
              <w:left w:val="single" w:sz="6" w:space="0" w:color="000000"/>
              <w:bottom w:val="nil"/>
              <w:right w:val="single" w:sz="6" w:space="0" w:color="000000"/>
            </w:tcBorders>
          </w:tcPr>
          <w:p>
            <w:pPr>
              <w:pStyle w:val="TableParagraph"/>
              <w:spacing w:before="52"/>
              <w:ind w:left="29"/>
              <w:jc w:val="left"/>
              <w:rPr>
                <w:sz w:val="19"/>
              </w:rPr>
            </w:pPr>
            <w:r>
              <w:rPr>
                <w:w w:val="105"/>
                <w:sz w:val="19"/>
              </w:rPr>
              <w:t>QUIRICO ERIKA CINZIA</w:t>
            </w:r>
          </w:p>
        </w:tc>
        <w:tc>
          <w:tcPr>
            <w:tcW w:w="1305" w:type="dxa"/>
            <w:tcBorders>
              <w:top w:val="nil"/>
              <w:left w:val="single" w:sz="6" w:space="0" w:color="000000"/>
              <w:bottom w:val="nil"/>
              <w:right w:val="single" w:sz="6" w:space="0" w:color="000000"/>
            </w:tcBorders>
          </w:tcPr>
          <w:p>
            <w:pPr>
              <w:pStyle w:val="TableParagraph"/>
              <w:spacing w:before="52"/>
              <w:ind w:right="222"/>
              <w:rPr>
                <w:sz w:val="19"/>
              </w:rPr>
            </w:pPr>
            <w:r>
              <w:rPr>
                <w:sz w:val="19"/>
              </w:rPr>
              <w:t>14</w:t>
            </w:r>
          </w:p>
        </w:tc>
      </w:tr>
      <w:tr>
        <w:trPr>
          <w:trHeight w:val="284" w:hRule="exact"/>
        </w:trPr>
        <w:tc>
          <w:tcPr>
            <w:tcW w:w="975" w:type="dxa"/>
            <w:tcBorders>
              <w:top w:val="nil"/>
              <w:left w:val="single" w:sz="6" w:space="0" w:color="000000"/>
              <w:bottom w:val="single" w:sz="6" w:space="0" w:color="000000"/>
              <w:right w:val="single" w:sz="6" w:space="0" w:color="000000"/>
            </w:tcBorders>
          </w:tcPr>
          <w:p>
            <w:pPr>
              <w:pStyle w:val="TableParagraph"/>
              <w:spacing w:before="52"/>
              <w:ind w:left="86" w:right="85"/>
              <w:jc w:val="center"/>
              <w:rPr>
                <w:sz w:val="19"/>
              </w:rPr>
            </w:pPr>
            <w:r>
              <w:rPr>
                <w:w w:val="105"/>
                <w:sz w:val="19"/>
              </w:rPr>
              <w:t>10017</w:t>
            </w:r>
          </w:p>
        </w:tc>
        <w:tc>
          <w:tcPr>
            <w:tcW w:w="2820" w:type="dxa"/>
            <w:tcBorders>
              <w:top w:val="nil"/>
              <w:left w:val="single" w:sz="6" w:space="0" w:color="000000"/>
              <w:bottom w:val="single" w:sz="6" w:space="0" w:color="000000"/>
              <w:right w:val="single" w:sz="6" w:space="0" w:color="000000"/>
            </w:tcBorders>
          </w:tcPr>
          <w:p>
            <w:pPr>
              <w:pStyle w:val="TableParagraph"/>
              <w:spacing w:before="52"/>
              <w:ind w:left="29"/>
              <w:jc w:val="left"/>
              <w:rPr>
                <w:sz w:val="19"/>
              </w:rPr>
            </w:pPr>
            <w:r>
              <w:rPr>
                <w:w w:val="105"/>
                <w:sz w:val="19"/>
              </w:rPr>
              <w:t>RAITERI PAOLA</w:t>
            </w:r>
          </w:p>
        </w:tc>
        <w:tc>
          <w:tcPr>
            <w:tcW w:w="1305" w:type="dxa"/>
            <w:tcBorders>
              <w:top w:val="nil"/>
              <w:left w:val="single" w:sz="6" w:space="0" w:color="000000"/>
              <w:bottom w:val="single" w:sz="6" w:space="0" w:color="000000"/>
              <w:right w:val="single" w:sz="6" w:space="0" w:color="000000"/>
            </w:tcBorders>
          </w:tcPr>
          <w:p>
            <w:pPr>
              <w:pStyle w:val="TableParagraph"/>
              <w:spacing w:before="52"/>
              <w:ind w:right="220"/>
              <w:rPr>
                <w:sz w:val="19"/>
              </w:rPr>
            </w:pPr>
            <w:r>
              <w:rPr>
                <w:sz w:val="19"/>
              </w:rPr>
              <w:t>2.915</w:t>
            </w:r>
          </w:p>
        </w:tc>
      </w:tr>
      <w:tr>
        <w:trPr>
          <w:trHeight w:val="315" w:hRule="exact"/>
        </w:trPr>
        <w:tc>
          <w:tcPr>
            <w:tcW w:w="3795" w:type="dxa"/>
            <w:gridSpan w:val="2"/>
            <w:tcBorders>
              <w:top w:val="single" w:sz="6" w:space="0" w:color="000000"/>
              <w:left w:val="single" w:sz="6" w:space="0" w:color="000000"/>
              <w:bottom w:val="single" w:sz="6" w:space="0" w:color="000000"/>
              <w:right w:val="nil"/>
            </w:tcBorders>
            <w:shd w:val="clear" w:color="auto" w:fill="BEBEBE"/>
          </w:tcPr>
          <w:p>
            <w:pPr>
              <w:pStyle w:val="TableParagraph"/>
              <w:spacing w:before="76"/>
              <w:ind w:left="29"/>
              <w:jc w:val="left"/>
              <w:rPr>
                <w:b/>
                <w:sz w:val="19"/>
              </w:rPr>
            </w:pPr>
            <w:r>
              <w:rPr>
                <w:b/>
                <w:w w:val="105"/>
                <w:sz w:val="19"/>
              </w:rPr>
              <w:t>Totale debiti per conto ore</w:t>
            </w:r>
          </w:p>
        </w:tc>
        <w:tc>
          <w:tcPr>
            <w:tcW w:w="1305" w:type="dxa"/>
            <w:tcBorders>
              <w:top w:val="single" w:sz="6" w:space="0" w:color="000000"/>
              <w:left w:val="nil"/>
              <w:bottom w:val="single" w:sz="6" w:space="0" w:color="000000"/>
              <w:right w:val="single" w:sz="6" w:space="0" w:color="000000"/>
            </w:tcBorders>
            <w:shd w:val="clear" w:color="auto" w:fill="BEBEBE"/>
          </w:tcPr>
          <w:p>
            <w:pPr>
              <w:pStyle w:val="TableParagraph"/>
              <w:spacing w:before="76"/>
              <w:ind w:right="220"/>
              <w:rPr>
                <w:b/>
                <w:sz w:val="19"/>
              </w:rPr>
            </w:pPr>
            <w:r>
              <w:rPr>
                <w:b/>
                <w:sz w:val="19"/>
              </w:rPr>
              <w:t>4.142</w:t>
            </w:r>
          </w:p>
        </w:tc>
      </w:tr>
    </w:tbl>
    <w:p>
      <w:pPr>
        <w:pStyle w:val="BodyText"/>
        <w:rPr>
          <w:sz w:val="20"/>
        </w:rPr>
      </w:pPr>
    </w:p>
    <w:p>
      <w:pPr>
        <w:pStyle w:val="BodyText"/>
        <w:spacing w:before="3"/>
        <w:rPr>
          <w:sz w:val="23"/>
        </w:rPr>
      </w:pPr>
    </w:p>
    <w:p>
      <w:pPr>
        <w:pStyle w:val="Heading2"/>
        <w:spacing w:before="101"/>
        <w:jc w:val="both"/>
      </w:pPr>
      <w:r>
        <w:rPr>
          <w:u w:val="single"/>
        </w:rPr>
        <w:t>Debito verso associazioni sindacali</w:t>
      </w:r>
    </w:p>
    <w:p>
      <w:pPr>
        <w:pStyle w:val="BodyText"/>
        <w:rPr>
          <w:b/>
        </w:rPr>
      </w:pPr>
    </w:p>
    <w:p>
      <w:pPr>
        <w:pStyle w:val="BodyText"/>
        <w:ind w:left="1418"/>
        <w:jc w:val="both"/>
      </w:pPr>
      <w:r>
        <w:rPr/>
        <w:t>Il debito verso le associazioni sindacali ammonta ad Euro 282 e risulta così suddiviso:</w:t>
      </w:r>
    </w:p>
    <w:p>
      <w:pPr>
        <w:pStyle w:val="BodyText"/>
      </w:pPr>
    </w:p>
    <w:p>
      <w:pPr>
        <w:pStyle w:val="ListParagraph"/>
        <w:numPr>
          <w:ilvl w:val="0"/>
          <w:numId w:val="88"/>
        </w:numPr>
        <w:tabs>
          <w:tab w:pos="2126" w:val="left" w:leader="none"/>
          <w:tab w:pos="2127" w:val="left" w:leader="none"/>
        </w:tabs>
        <w:spacing w:line="240" w:lineRule="auto" w:before="0" w:after="0"/>
        <w:ind w:left="2126" w:right="0" w:hanging="348"/>
        <w:jc w:val="left"/>
        <w:rPr>
          <w:sz w:val="24"/>
        </w:rPr>
      </w:pPr>
      <w:r>
        <w:rPr>
          <w:sz w:val="24"/>
        </w:rPr>
        <w:t>Euro 83 verso la CISL</w:t>
      </w:r>
      <w:r>
        <w:rPr>
          <w:spacing w:val="-9"/>
          <w:sz w:val="24"/>
        </w:rPr>
        <w:t> </w:t>
      </w:r>
      <w:r>
        <w:rPr>
          <w:sz w:val="24"/>
        </w:rPr>
        <w:t>FEMCA;</w:t>
      </w:r>
    </w:p>
    <w:p>
      <w:pPr>
        <w:pStyle w:val="BodyText"/>
        <w:spacing w:before="9"/>
        <w:rPr>
          <w:sz w:val="23"/>
        </w:rPr>
      </w:pPr>
    </w:p>
    <w:p>
      <w:pPr>
        <w:pStyle w:val="ListParagraph"/>
        <w:numPr>
          <w:ilvl w:val="0"/>
          <w:numId w:val="88"/>
        </w:numPr>
        <w:tabs>
          <w:tab w:pos="2126" w:val="left" w:leader="none"/>
          <w:tab w:pos="2127" w:val="left" w:leader="none"/>
        </w:tabs>
        <w:spacing w:line="240" w:lineRule="auto" w:before="0" w:after="0"/>
        <w:ind w:left="2126" w:right="0" w:hanging="348"/>
        <w:jc w:val="left"/>
        <w:rPr>
          <w:sz w:val="24"/>
        </w:rPr>
      </w:pPr>
      <w:r>
        <w:rPr>
          <w:sz w:val="24"/>
        </w:rPr>
        <w:t>Euro 66 verso la Federmanager di</w:t>
      </w:r>
      <w:r>
        <w:rPr>
          <w:spacing w:val="-16"/>
          <w:sz w:val="24"/>
        </w:rPr>
        <w:t> </w:t>
      </w:r>
      <w:r>
        <w:rPr>
          <w:sz w:val="24"/>
        </w:rPr>
        <w:t>Alessandria;</w:t>
      </w:r>
    </w:p>
    <w:p>
      <w:pPr>
        <w:pStyle w:val="BodyText"/>
        <w:spacing w:before="9"/>
        <w:rPr>
          <w:sz w:val="23"/>
        </w:rPr>
      </w:pPr>
    </w:p>
    <w:p>
      <w:pPr>
        <w:pStyle w:val="ListParagraph"/>
        <w:numPr>
          <w:ilvl w:val="0"/>
          <w:numId w:val="88"/>
        </w:numPr>
        <w:tabs>
          <w:tab w:pos="2126" w:val="left" w:leader="none"/>
          <w:tab w:pos="2127" w:val="left" w:leader="none"/>
        </w:tabs>
        <w:spacing w:line="240" w:lineRule="auto" w:before="0" w:after="0"/>
        <w:ind w:left="2126" w:right="0" w:hanging="348"/>
        <w:jc w:val="left"/>
        <w:rPr>
          <w:sz w:val="24"/>
        </w:rPr>
      </w:pPr>
      <w:r>
        <w:rPr>
          <w:sz w:val="24"/>
        </w:rPr>
        <w:t>Euro 183 verso la FILLCTEM</w:t>
      </w:r>
      <w:r>
        <w:rPr>
          <w:spacing w:val="-16"/>
          <w:sz w:val="24"/>
        </w:rPr>
        <w:t> </w:t>
      </w:r>
      <w:r>
        <w:rPr>
          <w:sz w:val="24"/>
        </w:rPr>
        <w:t>CGIL.</w:t>
      </w:r>
    </w:p>
    <w:p>
      <w:pPr>
        <w:pStyle w:val="BodyText"/>
        <w:spacing w:before="9"/>
        <w:rPr>
          <w:sz w:val="23"/>
        </w:rPr>
      </w:pPr>
    </w:p>
    <w:p>
      <w:pPr>
        <w:pStyle w:val="Heading2"/>
        <w:jc w:val="both"/>
      </w:pPr>
      <w:r>
        <w:rPr>
          <w:u w:val="single"/>
        </w:rPr>
        <w:t>Debito per Hypotax</w:t>
      </w:r>
    </w:p>
    <w:p>
      <w:pPr>
        <w:pStyle w:val="BodyText"/>
        <w:spacing w:before="10"/>
        <w:rPr>
          <w:b/>
          <w:sz w:val="23"/>
        </w:rPr>
      </w:pPr>
    </w:p>
    <w:p>
      <w:pPr>
        <w:pStyle w:val="BodyText"/>
        <w:spacing w:line="480" w:lineRule="auto"/>
        <w:ind w:left="1418" w:right="1421"/>
        <w:jc w:val="both"/>
      </w:pPr>
      <w:r>
        <w:rPr/>
        <w:t>Il debito ammonta ad Euro 217.388. In riferimento a questo debito gli scriventi segnalano che la Tax Equalization si fonda sull’assunto secondo cui il dipendente espatriato non deve trarre alcun vantaggio né subire alcuna perdita a seguito della sua assegnazione all’estero. Il dipendente espatriato sarà chiamato a sostenere un carico fiscale esattamente pari a quello che avrebbe sopportato se fosse rimasto in Italia.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38"/>
      </w:pPr>
      <w:r>
        <w:rPr/>
        <w:t>L’obiettivo si raggiunge tramite la pratica di una trattenuta figurativa (Hypotax) operata sulla RAL, calibrata sull’imposizione ipoteticamente dovuta nell’home country. Tale ammontare verrà poi utilizzato dalla Società per finanziare le imposte estere.</w:t>
      </w:r>
    </w:p>
    <w:p>
      <w:pPr>
        <w:pStyle w:val="BodyText"/>
        <w:ind w:left="1418"/>
      </w:pPr>
      <w:r>
        <w:rPr/>
        <w:t>Il debito risulta così suddiviso:</w:t>
      </w:r>
    </w:p>
    <w:p>
      <w:pPr>
        <w:pStyle w:val="BodyText"/>
      </w:pPr>
    </w:p>
    <w:p>
      <w:pPr>
        <w:pStyle w:val="ListParagraph"/>
        <w:numPr>
          <w:ilvl w:val="0"/>
          <w:numId w:val="88"/>
        </w:numPr>
        <w:tabs>
          <w:tab w:pos="2126" w:val="left" w:leader="none"/>
          <w:tab w:pos="2127" w:val="left" w:leader="none"/>
        </w:tabs>
        <w:spacing w:line="460" w:lineRule="auto" w:before="0" w:after="0"/>
        <w:ind w:left="2138" w:right="1448" w:hanging="360"/>
        <w:jc w:val="left"/>
        <w:rPr>
          <w:sz w:val="24"/>
        </w:rPr>
      </w:pPr>
      <w:r>
        <w:rPr>
          <w:sz w:val="24"/>
        </w:rPr>
        <w:t>Euro 65.802 a titolo di Hypotax calcolata con riferimento ai dipendenti Ferrari Gianluca e Di Cecio Michele espatriati in Messico presso la M&amp;G Polimeros</w:t>
      </w:r>
      <w:r>
        <w:rPr>
          <w:spacing w:val="-32"/>
          <w:sz w:val="24"/>
        </w:rPr>
        <w:t> </w:t>
      </w:r>
      <w:r>
        <w:rPr>
          <w:sz w:val="24"/>
        </w:rPr>
        <w:t>Mex;</w:t>
      </w:r>
    </w:p>
    <w:p>
      <w:pPr>
        <w:pStyle w:val="ListParagraph"/>
        <w:numPr>
          <w:ilvl w:val="0"/>
          <w:numId w:val="88"/>
        </w:numPr>
        <w:tabs>
          <w:tab w:pos="2126" w:val="left" w:leader="none"/>
          <w:tab w:pos="2127" w:val="left" w:leader="none"/>
        </w:tabs>
        <w:spacing w:line="460" w:lineRule="auto" w:before="21" w:after="0"/>
        <w:ind w:left="2138" w:right="1448" w:hanging="360"/>
        <w:jc w:val="left"/>
        <w:rPr>
          <w:sz w:val="24"/>
        </w:rPr>
      </w:pPr>
      <w:r>
        <w:rPr>
          <w:sz w:val="24"/>
        </w:rPr>
        <w:t>Euro 24.790 a titolo di Hypotax calcolata con riferimento ai dipendenti Ferrari Gianluca e Di Cecio Michele espatriati in Brasile presso la M&amp;G Polimeros</w:t>
      </w:r>
      <w:r>
        <w:rPr>
          <w:spacing w:val="-31"/>
          <w:sz w:val="24"/>
        </w:rPr>
        <w:t> </w:t>
      </w:r>
      <w:r>
        <w:rPr>
          <w:sz w:val="24"/>
        </w:rPr>
        <w:t>Bra;</w:t>
      </w:r>
    </w:p>
    <w:p>
      <w:pPr>
        <w:pStyle w:val="ListParagraph"/>
        <w:numPr>
          <w:ilvl w:val="0"/>
          <w:numId w:val="88"/>
        </w:numPr>
        <w:tabs>
          <w:tab w:pos="2126" w:val="left" w:leader="none"/>
          <w:tab w:pos="2127" w:val="left" w:leader="none"/>
        </w:tabs>
        <w:spacing w:line="460" w:lineRule="auto" w:before="21" w:after="0"/>
        <w:ind w:left="2138" w:right="1496" w:hanging="360"/>
        <w:jc w:val="left"/>
        <w:rPr>
          <w:sz w:val="24"/>
        </w:rPr>
      </w:pPr>
      <w:r>
        <w:rPr>
          <w:sz w:val="24"/>
        </w:rPr>
        <w:t>Euro 126.796 a titolo di Hypotax calcolata con riferimento ai dipendenti Ferrari Gianluca e Di Cecio Michele espatriati negli Stati Uniti presso la M&amp;G Polymeros</w:t>
      </w:r>
      <w:r>
        <w:rPr>
          <w:spacing w:val="-27"/>
          <w:sz w:val="24"/>
        </w:rPr>
        <w:t> </w:t>
      </w:r>
      <w:r>
        <w:rPr>
          <w:sz w:val="24"/>
        </w:rPr>
        <w:t>USA.</w:t>
      </w:r>
    </w:p>
    <w:p>
      <w:pPr>
        <w:pStyle w:val="BodyText"/>
        <w:spacing w:before="21"/>
        <w:ind w:left="1418"/>
      </w:pPr>
      <w:r>
        <w:rPr>
          <w:u w:val="single"/>
        </w:rPr>
        <w:t>Attività svolta</w:t>
      </w:r>
    </w:p>
    <w:p>
      <w:pPr>
        <w:pStyle w:val="BodyText"/>
        <w:spacing w:before="1"/>
        <w:rPr>
          <w:sz w:val="15"/>
        </w:rPr>
      </w:pPr>
    </w:p>
    <w:p>
      <w:pPr>
        <w:pStyle w:val="BodyText"/>
        <w:spacing w:line="480" w:lineRule="auto" w:before="100"/>
        <w:ind w:left="1418" w:right="1418"/>
        <w:jc w:val="both"/>
      </w:pPr>
      <w:r>
        <w:rPr/>
        <w:t>Gli scriventi hanno visionato il tabulato dei ratei fornito dalla società al 30 settembre 2017, dove sono riepilogati le ferie e i permessi maturati e non goduti e la tredicesima mensilità. Tale tabulato è stato elaborato dal software dedicato alla gestione dei dipendenti Zucchetti.</w:t>
      </w:r>
    </w:p>
    <w:p>
      <w:pPr>
        <w:pStyle w:val="BodyText"/>
        <w:spacing w:line="480" w:lineRule="auto"/>
        <w:ind w:left="1418" w:right="1417"/>
        <w:jc w:val="both"/>
      </w:pPr>
      <w:r>
        <w:rPr/>
        <w:t>Sono stati altresì esaminati i mastrini contabili afferenti alle voci, è stato effettuato un ricalcolo </w:t>
      </w:r>
      <w:r>
        <w:rPr>
          <w:i/>
        </w:rPr>
        <w:t>overall </w:t>
      </w:r>
      <w:r>
        <w:rPr/>
        <w:t>per verificare la corretta valutazione della posta contabile, sono stati analizzati alcuni cedolini a campione per la verifica della corretta corrispondenza tra tabulato e buste paga ed è stato esaminato il prospetto relativo al calcolo Hypotax.</w:t>
      </w:r>
    </w:p>
    <w:p>
      <w:pPr>
        <w:pStyle w:val="BodyText"/>
        <w:ind w:left="1418"/>
        <w:jc w:val="both"/>
      </w:pPr>
      <w:r>
        <w:rPr>
          <w:u w:val="single"/>
        </w:rPr>
        <w:t>Valutazione concordataria</w:t>
      </w:r>
    </w:p>
    <w:p>
      <w:pPr>
        <w:pStyle w:val="BodyText"/>
        <w:spacing w:before="10"/>
        <w:rPr>
          <w:sz w:val="23"/>
        </w:rPr>
      </w:pPr>
    </w:p>
    <w:p>
      <w:pPr>
        <w:pStyle w:val="BodyText"/>
        <w:ind w:left="1418"/>
        <w:jc w:val="both"/>
      </w:pPr>
      <w:r>
        <w:rPr/>
        <w:t>Per quanto riguarda i debiti verso i dipendenti, si segnala che le voci:</w:t>
      </w:r>
    </w:p>
    <w:p>
      <w:pPr>
        <w:pStyle w:val="BodyText"/>
        <w:spacing w:before="10"/>
        <w:rPr>
          <w:sz w:val="23"/>
        </w:rPr>
      </w:pPr>
    </w:p>
    <w:p>
      <w:pPr>
        <w:pStyle w:val="ListParagraph"/>
        <w:numPr>
          <w:ilvl w:val="0"/>
          <w:numId w:val="88"/>
        </w:numPr>
        <w:tabs>
          <w:tab w:pos="2127" w:val="left" w:leader="none"/>
        </w:tabs>
        <w:spacing w:line="470" w:lineRule="auto" w:before="0" w:after="0"/>
        <w:ind w:left="2138" w:right="1416" w:hanging="360"/>
        <w:jc w:val="both"/>
        <w:rPr>
          <w:sz w:val="24"/>
        </w:rPr>
      </w:pPr>
      <w:r>
        <w:rPr>
          <w:sz w:val="24"/>
        </w:rPr>
        <w:t>debiti per ferie residue, debiti per rimborso spese, debiti per salari e stipendi e debiti per conto ore, per complessivi Euro 277.930, sono incluse nel perimetro dell’offerta di Versalis e pertanto sono stati rettificati ed esclusi dall’elenco dei</w:t>
      </w:r>
      <w:r>
        <w:rPr>
          <w:spacing w:val="-15"/>
          <w:sz w:val="24"/>
        </w:rPr>
        <w:t> </w:t>
      </w:r>
      <w:r>
        <w:rPr>
          <w:sz w:val="24"/>
        </w:rPr>
        <w:t>creditori;</w:t>
      </w:r>
    </w:p>
    <w:p>
      <w:pPr>
        <w:spacing w:after="0" w:line="47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88"/>
        </w:numPr>
        <w:tabs>
          <w:tab w:pos="2127" w:val="left" w:leader="none"/>
        </w:tabs>
        <w:spacing w:line="470" w:lineRule="auto" w:before="78" w:after="0"/>
        <w:ind w:left="2138" w:right="1418" w:hanging="360"/>
        <w:jc w:val="both"/>
        <w:rPr>
          <w:sz w:val="24"/>
        </w:rPr>
      </w:pPr>
      <w:r>
        <w:rPr>
          <w:sz w:val="24"/>
        </w:rPr>
        <w:t>debiti per tredicesima, per complessivi Euro 216.096, non sono oggetto dell’offerta, pertanto ai fini del piano concordatario, la Società li ha classificati come debiti privilegiati ex art. 2751 bis n.1</w:t>
      </w:r>
      <w:r>
        <w:rPr>
          <w:spacing w:val="-10"/>
          <w:sz w:val="24"/>
        </w:rPr>
        <w:t> </w:t>
      </w:r>
      <w:r>
        <w:rPr>
          <w:sz w:val="24"/>
        </w:rPr>
        <w:t>c.c..</w:t>
      </w:r>
    </w:p>
    <w:p>
      <w:pPr>
        <w:pStyle w:val="ListParagraph"/>
        <w:numPr>
          <w:ilvl w:val="0"/>
          <w:numId w:val="88"/>
        </w:numPr>
        <w:tabs>
          <w:tab w:pos="2126" w:val="left" w:leader="none"/>
          <w:tab w:pos="2127" w:val="left" w:leader="none"/>
        </w:tabs>
        <w:spacing w:line="240" w:lineRule="auto" w:before="10" w:after="0"/>
        <w:ind w:left="2126" w:right="0" w:hanging="348"/>
        <w:jc w:val="left"/>
        <w:rPr>
          <w:sz w:val="24"/>
        </w:rPr>
      </w:pPr>
      <w:r>
        <w:rPr>
          <w:sz w:val="24"/>
        </w:rPr>
        <w:t>debiti per associazioni sindacali per Euro 282 sono stati classificati in via</w:t>
      </w:r>
      <w:r>
        <w:rPr>
          <w:spacing w:val="-33"/>
          <w:sz w:val="24"/>
        </w:rPr>
        <w:t> </w:t>
      </w:r>
      <w:r>
        <w:rPr>
          <w:sz w:val="24"/>
        </w:rPr>
        <w:t>chirografaria;</w:t>
      </w:r>
    </w:p>
    <w:p>
      <w:pPr>
        <w:pStyle w:val="BodyText"/>
        <w:spacing w:before="9"/>
        <w:rPr>
          <w:sz w:val="23"/>
        </w:rPr>
      </w:pPr>
    </w:p>
    <w:p>
      <w:pPr>
        <w:pStyle w:val="ListParagraph"/>
        <w:numPr>
          <w:ilvl w:val="0"/>
          <w:numId w:val="88"/>
        </w:numPr>
        <w:tabs>
          <w:tab w:pos="2127" w:val="left" w:leader="none"/>
        </w:tabs>
        <w:spacing w:line="460" w:lineRule="auto" w:before="0" w:after="0"/>
        <w:ind w:left="2138" w:right="1422" w:hanging="360"/>
        <w:jc w:val="both"/>
        <w:rPr>
          <w:sz w:val="24"/>
        </w:rPr>
      </w:pPr>
      <w:r>
        <w:rPr>
          <w:sz w:val="24"/>
        </w:rPr>
        <w:t>debiti per fondo Hypotax per Euro 217.388 sono stati classificati in via chirografaria, in quanto è un debito per Hypotax non rimborsato alle società</w:t>
      </w:r>
      <w:r>
        <w:rPr>
          <w:spacing w:val="-27"/>
          <w:sz w:val="24"/>
        </w:rPr>
        <w:t> </w:t>
      </w:r>
      <w:r>
        <w:rPr>
          <w:sz w:val="24"/>
        </w:rPr>
        <w:t>estere.</w:t>
      </w:r>
    </w:p>
    <w:p>
      <w:pPr>
        <w:pStyle w:val="BodyText"/>
        <w:spacing w:before="2"/>
        <w:rPr>
          <w:sz w:val="23"/>
        </w:rPr>
      </w:pPr>
    </w:p>
    <w:p>
      <w:pPr>
        <w:pStyle w:val="Heading2"/>
      </w:pPr>
      <w:r>
        <w:rPr>
          <w:u w:val="single"/>
        </w:rPr>
        <w:t>RATEI E RISCONTI PASSIVI</w:t>
      </w:r>
    </w:p>
    <w:p>
      <w:pPr>
        <w:pStyle w:val="BodyText"/>
        <w:spacing w:before="1"/>
        <w:rPr>
          <w:b/>
          <w:sz w:val="15"/>
        </w:rPr>
      </w:pPr>
    </w:p>
    <w:p>
      <w:pPr>
        <w:pStyle w:val="BodyText"/>
        <w:spacing w:before="100"/>
        <w:ind w:left="1418"/>
      </w:pPr>
      <w:r>
        <w:rPr/>
        <w:t>Al 15 ottobre 2017 risultano iscritti ratei e risconti passivi per Euro 2.081.325, così composti:</w:t>
      </w:r>
    </w:p>
    <w:p>
      <w:pPr>
        <w:pStyle w:val="BodyText"/>
        <w:rPr>
          <w:sz w:val="20"/>
        </w:rPr>
      </w:pPr>
    </w:p>
    <w:p>
      <w:pPr>
        <w:pStyle w:val="BodyText"/>
        <w:spacing w:before="3" w:after="1"/>
        <w:rPr>
          <w:sz w:val="28"/>
        </w:rPr>
      </w:pPr>
    </w:p>
    <w:tbl>
      <w:tblPr>
        <w:tblW w:w="0" w:type="auto"/>
        <w:jc w:val="left"/>
        <w:tblInd w:w="1419"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top w:w="0" w:type="dxa"/>
          <w:left w:w="0" w:type="dxa"/>
          <w:bottom w:w="0" w:type="dxa"/>
          <w:right w:w="0" w:type="dxa"/>
        </w:tblCellMar>
        <w:tblLook w:val="01E0"/>
      </w:tblPr>
      <w:tblGrid>
        <w:gridCol w:w="1011"/>
        <w:gridCol w:w="3400"/>
        <w:gridCol w:w="1785"/>
        <w:gridCol w:w="1365"/>
        <w:gridCol w:w="1497"/>
      </w:tblGrid>
      <w:tr>
        <w:trPr>
          <w:trHeight w:val="826" w:hRule="exact"/>
        </w:trPr>
        <w:tc>
          <w:tcPr>
            <w:tcW w:w="1011" w:type="dxa"/>
            <w:shd w:val="clear" w:color="auto" w:fill="BEBEBE"/>
          </w:tcPr>
          <w:p>
            <w:pPr>
              <w:pStyle w:val="TableParagraph"/>
              <w:spacing w:before="0"/>
              <w:jc w:val="left"/>
              <w:rPr>
                <w:sz w:val="27"/>
              </w:rPr>
            </w:pPr>
          </w:p>
          <w:p>
            <w:pPr>
              <w:pStyle w:val="TableParagraph"/>
              <w:spacing w:before="0"/>
              <w:ind w:left="91"/>
              <w:jc w:val="left"/>
              <w:rPr>
                <w:b/>
                <w:sz w:val="21"/>
              </w:rPr>
            </w:pPr>
            <w:r>
              <w:rPr>
                <w:b/>
                <w:sz w:val="21"/>
              </w:rPr>
              <w:t>CONTO</w:t>
            </w:r>
          </w:p>
        </w:tc>
        <w:tc>
          <w:tcPr>
            <w:tcW w:w="3400" w:type="dxa"/>
            <w:shd w:val="clear" w:color="auto" w:fill="BEBEBE"/>
          </w:tcPr>
          <w:p>
            <w:pPr>
              <w:pStyle w:val="TableParagraph"/>
              <w:spacing w:before="0"/>
              <w:jc w:val="left"/>
              <w:rPr>
                <w:sz w:val="27"/>
              </w:rPr>
            </w:pPr>
          </w:p>
          <w:p>
            <w:pPr>
              <w:pStyle w:val="TableParagraph"/>
              <w:spacing w:before="0"/>
              <w:ind w:left="945"/>
              <w:jc w:val="left"/>
              <w:rPr>
                <w:b/>
                <w:sz w:val="21"/>
              </w:rPr>
            </w:pPr>
            <w:r>
              <w:rPr>
                <w:b/>
                <w:sz w:val="21"/>
              </w:rPr>
              <w:t>DESCRIZIONE</w:t>
            </w:r>
          </w:p>
        </w:tc>
        <w:tc>
          <w:tcPr>
            <w:tcW w:w="1785" w:type="dxa"/>
            <w:shd w:val="clear" w:color="auto" w:fill="BEBEBE"/>
          </w:tcPr>
          <w:p>
            <w:pPr>
              <w:pStyle w:val="TableParagraph"/>
              <w:spacing w:line="278" w:lineRule="auto" w:before="160"/>
              <w:ind w:left="341" w:hanging="224"/>
              <w:jc w:val="left"/>
              <w:rPr>
                <w:b/>
                <w:sz w:val="21"/>
              </w:rPr>
            </w:pPr>
            <w:r>
              <w:rPr>
                <w:b/>
                <w:sz w:val="21"/>
              </w:rPr>
              <w:t>Valori di bilancio al 15.10.2017</w:t>
            </w:r>
          </w:p>
        </w:tc>
        <w:tc>
          <w:tcPr>
            <w:tcW w:w="1365" w:type="dxa"/>
            <w:tcBorders>
              <w:right w:val="single" w:sz="5" w:space="0" w:color="000000"/>
            </w:tcBorders>
            <w:shd w:val="clear" w:color="auto" w:fill="BEBEBE"/>
          </w:tcPr>
          <w:p>
            <w:pPr>
              <w:pStyle w:val="TableParagraph"/>
              <w:spacing w:line="278" w:lineRule="auto" w:before="160"/>
              <w:ind w:left="52" w:firstLine="196"/>
              <w:jc w:val="left"/>
              <w:rPr>
                <w:b/>
                <w:sz w:val="21"/>
              </w:rPr>
            </w:pPr>
            <w:r>
              <w:rPr>
                <w:b/>
                <w:sz w:val="21"/>
              </w:rPr>
              <w:t>Rettifiche concordatarie</w:t>
            </w:r>
          </w:p>
        </w:tc>
        <w:tc>
          <w:tcPr>
            <w:tcW w:w="1497" w:type="dxa"/>
            <w:tcBorders>
              <w:left w:val="single" w:sz="5" w:space="0" w:color="000000"/>
            </w:tcBorders>
            <w:shd w:val="clear" w:color="auto" w:fill="BEBEBE"/>
          </w:tcPr>
          <w:p>
            <w:pPr>
              <w:pStyle w:val="TableParagraph"/>
              <w:spacing w:line="278" w:lineRule="auto" w:before="160"/>
              <w:ind w:left="117" w:right="69" w:hanging="40"/>
              <w:jc w:val="left"/>
              <w:rPr>
                <w:b/>
                <w:sz w:val="21"/>
              </w:rPr>
            </w:pPr>
            <w:r>
              <w:rPr>
                <w:b/>
                <w:sz w:val="21"/>
              </w:rPr>
              <w:t>Valori di piano concordatario</w:t>
            </w:r>
          </w:p>
        </w:tc>
      </w:tr>
      <w:tr>
        <w:trPr>
          <w:trHeight w:val="551" w:hRule="exact"/>
        </w:trPr>
        <w:tc>
          <w:tcPr>
            <w:tcW w:w="1011" w:type="dxa"/>
            <w:tcBorders>
              <w:bottom w:val="single" w:sz="5" w:space="0" w:color="000000"/>
            </w:tcBorders>
          </w:tcPr>
          <w:p>
            <w:pPr>
              <w:pStyle w:val="TableParagraph"/>
              <w:spacing w:before="29"/>
              <w:ind w:left="26"/>
              <w:jc w:val="left"/>
              <w:rPr>
                <w:sz w:val="21"/>
              </w:rPr>
            </w:pPr>
            <w:r>
              <w:rPr>
                <w:sz w:val="21"/>
              </w:rPr>
              <w:t>2340010</w:t>
            </w:r>
          </w:p>
          <w:p>
            <w:pPr>
              <w:pStyle w:val="TableParagraph"/>
              <w:spacing w:before="39"/>
              <w:ind w:left="26"/>
              <w:jc w:val="left"/>
              <w:rPr>
                <w:sz w:val="21"/>
              </w:rPr>
            </w:pPr>
            <w:r>
              <w:rPr>
                <w:sz w:val="21"/>
              </w:rPr>
              <w:t>2340050</w:t>
            </w:r>
          </w:p>
        </w:tc>
        <w:tc>
          <w:tcPr>
            <w:tcW w:w="3400" w:type="dxa"/>
            <w:tcBorders>
              <w:bottom w:val="single" w:sz="5" w:space="0" w:color="000000"/>
            </w:tcBorders>
          </w:tcPr>
          <w:p>
            <w:pPr>
              <w:pStyle w:val="TableParagraph"/>
              <w:spacing w:before="29"/>
              <w:ind w:left="26"/>
              <w:jc w:val="left"/>
              <w:rPr>
                <w:sz w:val="21"/>
              </w:rPr>
            </w:pPr>
            <w:r>
              <w:rPr>
                <w:sz w:val="21"/>
              </w:rPr>
              <w:t>Risconti passivi</w:t>
            </w:r>
          </w:p>
          <w:p>
            <w:pPr>
              <w:pStyle w:val="TableParagraph"/>
              <w:spacing w:before="39"/>
              <w:ind w:left="26"/>
              <w:jc w:val="left"/>
              <w:rPr>
                <w:sz w:val="21"/>
              </w:rPr>
            </w:pPr>
            <w:r>
              <w:rPr>
                <w:sz w:val="21"/>
              </w:rPr>
              <w:t>Ratei finanziari passivi</w:t>
            </w:r>
          </w:p>
        </w:tc>
        <w:tc>
          <w:tcPr>
            <w:tcW w:w="1785" w:type="dxa"/>
            <w:tcBorders>
              <w:bottom w:val="single" w:sz="5" w:space="0" w:color="000000"/>
            </w:tcBorders>
          </w:tcPr>
          <w:p>
            <w:pPr>
              <w:pStyle w:val="TableParagraph"/>
              <w:spacing w:before="29"/>
              <w:ind w:left="774"/>
              <w:jc w:val="left"/>
              <w:rPr>
                <w:sz w:val="21"/>
              </w:rPr>
            </w:pPr>
            <w:r>
              <w:rPr>
                <w:sz w:val="21"/>
              </w:rPr>
              <w:t>(2.069.201)</w:t>
            </w:r>
          </w:p>
          <w:p>
            <w:pPr>
              <w:pStyle w:val="TableParagraph"/>
              <w:spacing w:before="39"/>
              <w:ind w:left="1036"/>
              <w:jc w:val="left"/>
              <w:rPr>
                <w:sz w:val="21"/>
              </w:rPr>
            </w:pPr>
            <w:r>
              <w:rPr>
                <w:sz w:val="21"/>
              </w:rPr>
              <w:t>(12.124)</w:t>
            </w:r>
          </w:p>
        </w:tc>
        <w:tc>
          <w:tcPr>
            <w:tcW w:w="1365" w:type="dxa"/>
            <w:tcBorders>
              <w:bottom w:val="single" w:sz="5" w:space="0" w:color="000000"/>
              <w:right w:val="single" w:sz="5" w:space="0" w:color="000000"/>
            </w:tcBorders>
          </w:tcPr>
          <w:p>
            <w:pPr>
              <w:pStyle w:val="TableParagraph"/>
              <w:spacing w:before="29"/>
              <w:ind w:left="433"/>
              <w:jc w:val="left"/>
              <w:rPr>
                <w:sz w:val="21"/>
              </w:rPr>
            </w:pPr>
            <w:r>
              <w:rPr>
                <w:sz w:val="21"/>
              </w:rPr>
              <w:t>2.069.201</w:t>
            </w:r>
          </w:p>
          <w:p>
            <w:pPr>
              <w:pStyle w:val="TableParagraph"/>
              <w:spacing w:before="39"/>
              <w:ind w:left="695"/>
              <w:jc w:val="left"/>
              <w:rPr>
                <w:sz w:val="21"/>
              </w:rPr>
            </w:pPr>
            <w:r>
              <w:rPr>
                <w:sz w:val="21"/>
              </w:rPr>
              <w:t>12.124</w:t>
            </w:r>
          </w:p>
        </w:tc>
        <w:tc>
          <w:tcPr>
            <w:tcW w:w="1497" w:type="dxa"/>
            <w:tcBorders>
              <w:left w:val="single" w:sz="5" w:space="0" w:color="000000"/>
              <w:bottom w:val="single" w:sz="5" w:space="0" w:color="000000"/>
            </w:tcBorders>
          </w:tcPr>
          <w:p>
            <w:pPr>
              <w:pStyle w:val="TableParagraph"/>
              <w:spacing w:before="29"/>
              <w:ind w:right="181"/>
              <w:rPr>
                <w:sz w:val="21"/>
              </w:rPr>
            </w:pPr>
            <w:r>
              <w:rPr>
                <w:w w:val="100"/>
                <w:sz w:val="21"/>
              </w:rPr>
              <w:t>-</w:t>
            </w:r>
          </w:p>
          <w:p>
            <w:pPr>
              <w:pStyle w:val="TableParagraph"/>
              <w:spacing w:before="39"/>
              <w:ind w:right="181"/>
              <w:rPr>
                <w:sz w:val="21"/>
              </w:rPr>
            </w:pPr>
            <w:r>
              <w:rPr>
                <w:w w:val="100"/>
                <w:sz w:val="21"/>
              </w:rPr>
              <w:t>-</w:t>
            </w:r>
          </w:p>
        </w:tc>
      </w:tr>
      <w:tr>
        <w:trPr>
          <w:trHeight w:val="275" w:hRule="exact"/>
        </w:trPr>
        <w:tc>
          <w:tcPr>
            <w:tcW w:w="4411" w:type="dxa"/>
            <w:gridSpan w:val="2"/>
            <w:tcBorders>
              <w:top w:val="single" w:sz="5" w:space="0" w:color="000000"/>
            </w:tcBorders>
            <w:shd w:val="clear" w:color="auto" w:fill="BEBEBE"/>
          </w:tcPr>
          <w:p>
            <w:pPr>
              <w:pStyle w:val="TableParagraph"/>
              <w:spacing w:before="28"/>
              <w:ind w:left="26"/>
              <w:jc w:val="left"/>
              <w:rPr>
                <w:b/>
                <w:sz w:val="21"/>
              </w:rPr>
            </w:pPr>
            <w:r>
              <w:rPr>
                <w:b/>
                <w:sz w:val="21"/>
              </w:rPr>
              <w:t>TOTALE RATEI E RISCONTI PASSIVI</w:t>
            </w:r>
          </w:p>
        </w:tc>
        <w:tc>
          <w:tcPr>
            <w:tcW w:w="1785" w:type="dxa"/>
            <w:tcBorders>
              <w:top w:val="single" w:sz="5" w:space="0" w:color="000000"/>
            </w:tcBorders>
            <w:shd w:val="clear" w:color="auto" w:fill="BEBEBE"/>
          </w:tcPr>
          <w:p>
            <w:pPr>
              <w:pStyle w:val="TableParagraph"/>
              <w:spacing w:before="28"/>
              <w:ind w:left="774"/>
              <w:jc w:val="left"/>
              <w:rPr>
                <w:b/>
                <w:sz w:val="21"/>
              </w:rPr>
            </w:pPr>
            <w:r>
              <w:rPr>
                <w:b/>
                <w:sz w:val="21"/>
              </w:rPr>
              <w:t>(2.081.325)</w:t>
            </w:r>
          </w:p>
        </w:tc>
        <w:tc>
          <w:tcPr>
            <w:tcW w:w="1365" w:type="dxa"/>
            <w:tcBorders>
              <w:top w:val="single" w:sz="5" w:space="0" w:color="000000"/>
              <w:right w:val="single" w:sz="5" w:space="0" w:color="000000"/>
            </w:tcBorders>
            <w:shd w:val="clear" w:color="auto" w:fill="BEBEBE"/>
          </w:tcPr>
          <w:p>
            <w:pPr>
              <w:pStyle w:val="TableParagraph"/>
              <w:spacing w:before="28"/>
              <w:ind w:left="459"/>
              <w:jc w:val="left"/>
              <w:rPr>
                <w:b/>
                <w:sz w:val="21"/>
              </w:rPr>
            </w:pPr>
            <w:r>
              <w:rPr>
                <w:b/>
                <w:sz w:val="21"/>
              </w:rPr>
              <w:t>2.081.325</w:t>
            </w:r>
          </w:p>
        </w:tc>
        <w:tc>
          <w:tcPr>
            <w:tcW w:w="1497" w:type="dxa"/>
            <w:tcBorders>
              <w:top w:val="single" w:sz="5" w:space="0" w:color="000000"/>
              <w:left w:val="single" w:sz="5" w:space="0" w:color="000000"/>
            </w:tcBorders>
            <w:shd w:val="clear" w:color="auto" w:fill="BEBEBE"/>
          </w:tcPr>
          <w:p>
            <w:pPr>
              <w:pStyle w:val="TableParagraph"/>
              <w:spacing w:before="28"/>
              <w:ind w:right="177"/>
              <w:rPr>
                <w:b/>
                <w:sz w:val="21"/>
              </w:rPr>
            </w:pPr>
            <w:r>
              <w:rPr>
                <w:b/>
                <w:w w:val="100"/>
                <w:sz w:val="21"/>
              </w:rPr>
              <w:t>-</w:t>
            </w:r>
          </w:p>
        </w:tc>
      </w:tr>
    </w:tbl>
    <w:p>
      <w:pPr>
        <w:pStyle w:val="BodyText"/>
        <w:rPr>
          <w:sz w:val="20"/>
        </w:rPr>
      </w:pPr>
    </w:p>
    <w:p>
      <w:pPr>
        <w:pStyle w:val="BodyText"/>
        <w:spacing w:before="10"/>
        <w:rPr>
          <w:sz w:val="19"/>
        </w:rPr>
      </w:pPr>
    </w:p>
    <w:p>
      <w:pPr>
        <w:pStyle w:val="Heading2"/>
        <w:numPr>
          <w:ilvl w:val="0"/>
          <w:numId w:val="87"/>
        </w:numPr>
        <w:tabs>
          <w:tab w:pos="2126" w:val="left" w:leader="none"/>
          <w:tab w:pos="2127" w:val="left" w:leader="none"/>
        </w:tabs>
        <w:spacing w:line="240" w:lineRule="auto" w:before="100" w:after="0"/>
        <w:ind w:left="2126" w:right="0" w:hanging="348"/>
        <w:jc w:val="left"/>
        <w:rPr>
          <w:rFonts w:ascii="Symbol"/>
          <w:sz w:val="18"/>
        </w:rPr>
      </w:pPr>
      <w:r>
        <w:rPr>
          <w:u w:val="single"/>
        </w:rPr>
        <w:t>Risconti</w:t>
      </w:r>
      <w:r>
        <w:rPr>
          <w:spacing w:val="-4"/>
          <w:u w:val="single"/>
        </w:rPr>
        <w:t> </w:t>
      </w:r>
      <w:r>
        <w:rPr>
          <w:u w:val="single"/>
        </w:rPr>
        <w:t>passivi</w:t>
      </w:r>
    </w:p>
    <w:p>
      <w:pPr>
        <w:pStyle w:val="BodyText"/>
        <w:spacing w:before="10"/>
        <w:rPr>
          <w:b/>
          <w:sz w:val="23"/>
        </w:rPr>
      </w:pPr>
    </w:p>
    <w:p>
      <w:pPr>
        <w:pStyle w:val="BodyText"/>
        <w:spacing w:line="480" w:lineRule="auto"/>
        <w:ind w:left="1418" w:right="1421"/>
        <w:jc w:val="both"/>
      </w:pPr>
      <w:r>
        <w:rPr/>
        <w:t>Gli scriventi segnalano che la voce pari ad Euro 2.069.201 si riferisce interamente ai risconti applicati con riferimento ai progetti PROFER, BYOLIFE, PRIT, BIOREFLAY.</w:t>
      </w:r>
    </w:p>
    <w:p>
      <w:pPr>
        <w:pStyle w:val="BodyText"/>
        <w:spacing w:line="480" w:lineRule="auto"/>
        <w:ind w:left="1418" w:right="1418"/>
        <w:jc w:val="both"/>
      </w:pPr>
      <w:r>
        <w:rPr/>
        <w:t>Con riferimento ai progetti Profer e Bioreflay si rimanda rispettivamente alle voci costi ricerca e sviluppo e debiti verso altri.</w:t>
      </w:r>
    </w:p>
    <w:p>
      <w:pPr>
        <w:pStyle w:val="BodyText"/>
        <w:spacing w:line="480" w:lineRule="auto" w:before="1"/>
        <w:ind w:left="1418" w:right="1413"/>
        <w:jc w:val="both"/>
      </w:pPr>
      <w:r>
        <w:rPr/>
        <w:t>Con riferimento ai progetti Prit e Byolife, si segnala che in data 03 giugno 2011 Biochemtex e  IBP hanno sottoscritto un contratto per la realizzazione “</w:t>
      </w:r>
      <w:r>
        <w:rPr>
          <w:i/>
        </w:rPr>
        <w:t>chiavi in mano” </w:t>
      </w:r>
      <w:r>
        <w:rPr/>
        <w:t>dell’impianto di bioetanolo della capacità nominale di 40.000 T/a che utilizza il processo per la produzione di bioetanolo di seconda generazione a partire dalla biomasse, sulla base del quale da un lato Biochemtex si impegnava a realizzare le unità Prit e Byolife quali parti integranti dell’impianto,  </w:t>
      </w:r>
      <w:r>
        <w:rPr>
          <w:spacing w:val="30"/>
        </w:rPr>
        <w:t> </w:t>
      </w:r>
      <w:r>
        <w:rPr/>
        <w:t>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dall’altro lato IBP acquistava il diritto di utilizzarle in comodato d’uso gratuito per 5 anni a far  data dall’emissione del certificato di completamento</w:t>
      </w:r>
      <w:r>
        <w:rPr>
          <w:spacing w:val="-13"/>
        </w:rPr>
        <w:t> </w:t>
      </w:r>
      <w:r>
        <w:rPr/>
        <w:t>meccanico.</w:t>
      </w:r>
    </w:p>
    <w:p>
      <w:pPr>
        <w:pStyle w:val="BodyText"/>
        <w:ind w:left="1418"/>
      </w:pPr>
      <w:r>
        <w:rPr>
          <w:u w:val="single"/>
        </w:rPr>
        <w:t>Attività svolta</w:t>
      </w:r>
    </w:p>
    <w:p>
      <w:pPr>
        <w:pStyle w:val="BodyText"/>
      </w:pPr>
    </w:p>
    <w:p>
      <w:pPr>
        <w:pStyle w:val="BodyText"/>
        <w:spacing w:line="480" w:lineRule="auto"/>
        <w:ind w:left="1418" w:right="1518"/>
      </w:pPr>
      <w:r>
        <w:rPr/>
        <w:t>Ai fini della veridicità dei dati contabili, gli scriventi hanno preso visione dei decreti di  concessione dei contributi, del contratto stipulato con IBP, degli incassi e dei mastrini</w:t>
      </w:r>
      <w:r>
        <w:rPr>
          <w:spacing w:val="-33"/>
        </w:rPr>
        <w:t> </w:t>
      </w:r>
      <w:r>
        <w:rPr/>
        <w:t>contabili.</w:t>
      </w:r>
    </w:p>
    <w:p>
      <w:pPr>
        <w:pStyle w:val="BodyText"/>
        <w:ind w:left="1418"/>
      </w:pPr>
      <w:r>
        <w:rPr>
          <w:u w:val="single"/>
        </w:rPr>
        <w:t>Valorizzazione concordataria</w:t>
      </w:r>
    </w:p>
    <w:p>
      <w:pPr>
        <w:pStyle w:val="BodyText"/>
        <w:spacing w:before="10"/>
        <w:rPr>
          <w:sz w:val="23"/>
        </w:rPr>
      </w:pPr>
    </w:p>
    <w:p>
      <w:pPr>
        <w:pStyle w:val="BodyText"/>
        <w:spacing w:line="480" w:lineRule="auto"/>
        <w:ind w:left="1418" w:right="1518"/>
      </w:pPr>
      <w:r>
        <w:rPr/>
        <w:t>Ai fini del piano concordatario tale voce è stata totalmente rettificata in quanto per sua natura, tenuto anche conto della procedura in essere, non costituisce un debito concordatario.</w:t>
      </w:r>
    </w:p>
    <w:p>
      <w:pPr>
        <w:pStyle w:val="BodyText"/>
        <w:rPr>
          <w:sz w:val="26"/>
        </w:rPr>
      </w:pPr>
    </w:p>
    <w:p>
      <w:pPr>
        <w:pStyle w:val="BodyText"/>
        <w:spacing w:before="10"/>
        <w:rPr>
          <w:sz w:val="21"/>
        </w:rPr>
      </w:pPr>
    </w:p>
    <w:p>
      <w:pPr>
        <w:pStyle w:val="Heading2"/>
        <w:numPr>
          <w:ilvl w:val="0"/>
          <w:numId w:val="87"/>
        </w:numPr>
        <w:tabs>
          <w:tab w:pos="2126" w:val="left" w:leader="none"/>
          <w:tab w:pos="2127" w:val="left" w:leader="none"/>
        </w:tabs>
        <w:spacing w:line="240" w:lineRule="auto" w:before="0" w:after="0"/>
        <w:ind w:left="2126" w:right="0" w:hanging="348"/>
        <w:jc w:val="left"/>
        <w:rPr>
          <w:rFonts w:ascii="Symbol"/>
          <w:sz w:val="18"/>
        </w:rPr>
      </w:pPr>
      <w:r>
        <w:rPr>
          <w:u w:val="single"/>
        </w:rPr>
        <w:t>Ratei</w:t>
      </w:r>
      <w:r>
        <w:rPr>
          <w:spacing w:val="-6"/>
          <w:u w:val="single"/>
        </w:rPr>
        <w:t> </w:t>
      </w:r>
      <w:r>
        <w:rPr>
          <w:u w:val="single"/>
        </w:rPr>
        <w:t>passivi</w:t>
      </w:r>
    </w:p>
    <w:p>
      <w:pPr>
        <w:pStyle w:val="BodyText"/>
        <w:spacing w:before="10"/>
        <w:rPr>
          <w:b/>
          <w:sz w:val="23"/>
        </w:rPr>
      </w:pPr>
    </w:p>
    <w:p>
      <w:pPr>
        <w:pStyle w:val="BodyText"/>
        <w:spacing w:line="480" w:lineRule="auto"/>
        <w:ind w:left="1418" w:right="1518"/>
      </w:pPr>
      <w:r>
        <w:rPr/>
        <w:t>Il debito ammonta ad Euro 12.124 e si riferisce prevalentemente a ratei passivi calcolati su interessi bancari su Banca Intesa.</w:t>
      </w:r>
    </w:p>
    <w:p>
      <w:pPr>
        <w:pStyle w:val="BodyText"/>
        <w:ind w:left="1418"/>
      </w:pPr>
      <w:r>
        <w:rPr>
          <w:u w:val="single"/>
        </w:rPr>
        <w:t>Attività svolta</w:t>
      </w:r>
    </w:p>
    <w:p>
      <w:pPr>
        <w:pStyle w:val="BodyText"/>
      </w:pPr>
    </w:p>
    <w:p>
      <w:pPr>
        <w:pStyle w:val="BodyText"/>
        <w:spacing w:line="480" w:lineRule="auto"/>
        <w:ind w:left="1418" w:right="1729"/>
      </w:pPr>
      <w:r>
        <w:rPr/>
        <w:t>Ai fini della veridicità dei dati contabili, gli scriventi hanno preso visione dei mastrini contabili. </w:t>
      </w:r>
      <w:r>
        <w:rPr>
          <w:u w:val="single"/>
        </w:rPr>
        <w:t>Valorizzazione concordataria</w:t>
      </w:r>
    </w:p>
    <w:p>
      <w:pPr>
        <w:pStyle w:val="BodyText"/>
        <w:spacing w:line="480" w:lineRule="auto"/>
        <w:ind w:left="1418" w:right="1518"/>
      </w:pPr>
      <w:r>
        <w:rPr/>
        <w:t>Ai fini del piano concordatario tale voce è stata totalmente rettificata in quanto per sua natura, tenuto anche conto della procedura in essere, non costituisce un debito concordatario.</w:t>
      </w:r>
    </w:p>
    <w:p>
      <w:pPr>
        <w:pStyle w:val="BodyText"/>
        <w:spacing w:before="4"/>
        <w:rPr>
          <w:sz w:val="21"/>
        </w:rPr>
      </w:pPr>
    </w:p>
    <w:p>
      <w:pPr>
        <w:pStyle w:val="Heading2"/>
      </w:pPr>
      <w:r>
        <w:rPr>
          <w:u w:val="single"/>
        </w:rPr>
        <w:t>FONDI RISCHI CONCORDATARI</w:t>
      </w:r>
    </w:p>
    <w:p>
      <w:pPr>
        <w:pStyle w:val="BodyText"/>
        <w:rPr>
          <w:b/>
          <w:sz w:val="20"/>
        </w:rPr>
      </w:pPr>
    </w:p>
    <w:p>
      <w:pPr>
        <w:pStyle w:val="BodyText"/>
        <w:rPr>
          <w:b/>
          <w:sz w:val="22"/>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812"/>
        <w:gridCol w:w="1006"/>
        <w:gridCol w:w="1006"/>
        <w:gridCol w:w="1112"/>
        <w:gridCol w:w="1074"/>
        <w:gridCol w:w="1045"/>
      </w:tblGrid>
      <w:tr>
        <w:trPr>
          <w:trHeight w:val="609" w:hRule="exact"/>
        </w:trPr>
        <w:tc>
          <w:tcPr>
            <w:tcW w:w="3812" w:type="dxa"/>
            <w:shd w:val="clear" w:color="auto" w:fill="BEBEBE"/>
          </w:tcPr>
          <w:p>
            <w:pPr>
              <w:pStyle w:val="TableParagraph"/>
              <w:spacing w:before="3"/>
              <w:jc w:val="left"/>
              <w:rPr>
                <w:b/>
                <w:sz w:val="20"/>
              </w:rPr>
            </w:pPr>
          </w:p>
          <w:p>
            <w:pPr>
              <w:pStyle w:val="TableParagraph"/>
              <w:spacing w:before="0"/>
              <w:ind w:left="1316" w:right="1315"/>
              <w:jc w:val="center"/>
              <w:rPr>
                <w:b/>
                <w:sz w:val="15"/>
              </w:rPr>
            </w:pPr>
            <w:r>
              <w:rPr>
                <w:b/>
                <w:w w:val="105"/>
                <w:sz w:val="15"/>
              </w:rPr>
              <w:t>DESCRIZIONE</w:t>
            </w:r>
          </w:p>
        </w:tc>
        <w:tc>
          <w:tcPr>
            <w:tcW w:w="1006" w:type="dxa"/>
            <w:shd w:val="clear" w:color="auto" w:fill="BEBEBE"/>
          </w:tcPr>
          <w:p>
            <w:pPr>
              <w:pStyle w:val="TableParagraph"/>
              <w:spacing w:before="3"/>
              <w:jc w:val="left"/>
              <w:rPr>
                <w:b/>
                <w:sz w:val="20"/>
              </w:rPr>
            </w:pPr>
          </w:p>
          <w:p>
            <w:pPr>
              <w:pStyle w:val="TableParagraph"/>
              <w:spacing w:before="0"/>
              <w:ind w:right="43"/>
              <w:rPr>
                <w:b/>
                <w:sz w:val="15"/>
              </w:rPr>
            </w:pPr>
            <w:r>
              <w:rPr>
                <w:b/>
                <w:sz w:val="15"/>
              </w:rPr>
              <w:t>Prededuzione</w:t>
            </w:r>
          </w:p>
        </w:tc>
        <w:tc>
          <w:tcPr>
            <w:tcW w:w="1006" w:type="dxa"/>
            <w:shd w:val="clear" w:color="auto" w:fill="BEBEBE"/>
          </w:tcPr>
          <w:p>
            <w:pPr>
              <w:pStyle w:val="TableParagraph"/>
              <w:spacing w:before="3"/>
              <w:jc w:val="left"/>
              <w:rPr>
                <w:b/>
                <w:sz w:val="20"/>
              </w:rPr>
            </w:pPr>
          </w:p>
          <w:p>
            <w:pPr>
              <w:pStyle w:val="TableParagraph"/>
              <w:spacing w:before="0"/>
              <w:ind w:left="184"/>
              <w:jc w:val="left"/>
              <w:rPr>
                <w:b/>
                <w:sz w:val="15"/>
              </w:rPr>
            </w:pPr>
            <w:r>
              <w:rPr>
                <w:b/>
                <w:w w:val="105"/>
                <w:sz w:val="15"/>
              </w:rPr>
              <w:t>Privilegio</w:t>
            </w:r>
          </w:p>
        </w:tc>
        <w:tc>
          <w:tcPr>
            <w:tcW w:w="1112" w:type="dxa"/>
            <w:shd w:val="clear" w:color="auto" w:fill="BEBEBE"/>
          </w:tcPr>
          <w:p>
            <w:pPr>
              <w:pStyle w:val="TableParagraph"/>
              <w:spacing w:before="3"/>
              <w:jc w:val="left"/>
              <w:rPr>
                <w:b/>
                <w:sz w:val="20"/>
              </w:rPr>
            </w:pPr>
          </w:p>
          <w:p>
            <w:pPr>
              <w:pStyle w:val="TableParagraph"/>
              <w:spacing w:before="0"/>
              <w:ind w:left="106"/>
              <w:jc w:val="left"/>
              <w:rPr>
                <w:b/>
                <w:sz w:val="15"/>
              </w:rPr>
            </w:pPr>
            <w:r>
              <w:rPr>
                <w:b/>
                <w:w w:val="105"/>
                <w:sz w:val="15"/>
              </w:rPr>
              <w:t>Chirografario</w:t>
            </w:r>
          </w:p>
        </w:tc>
        <w:tc>
          <w:tcPr>
            <w:tcW w:w="1074" w:type="dxa"/>
            <w:shd w:val="clear" w:color="auto" w:fill="BEBEBE"/>
          </w:tcPr>
          <w:p>
            <w:pPr>
              <w:pStyle w:val="TableParagraph"/>
              <w:spacing w:line="288" w:lineRule="auto" w:before="122"/>
              <w:ind w:left="174" w:hanging="87"/>
              <w:jc w:val="left"/>
              <w:rPr>
                <w:b/>
                <w:sz w:val="15"/>
              </w:rPr>
            </w:pPr>
            <w:r>
              <w:rPr>
                <w:b/>
                <w:w w:val="105"/>
                <w:sz w:val="15"/>
              </w:rPr>
              <w:t>Chirografario Postergato</w:t>
            </w:r>
          </w:p>
        </w:tc>
        <w:tc>
          <w:tcPr>
            <w:tcW w:w="1045" w:type="dxa"/>
            <w:shd w:val="clear" w:color="auto" w:fill="BEBEBE"/>
          </w:tcPr>
          <w:p>
            <w:pPr>
              <w:pStyle w:val="TableParagraph"/>
              <w:spacing w:line="288" w:lineRule="auto" w:before="25"/>
              <w:ind w:left="5" w:right="10"/>
              <w:jc w:val="center"/>
              <w:rPr>
                <w:b/>
                <w:sz w:val="15"/>
              </w:rPr>
            </w:pPr>
            <w:r>
              <w:rPr>
                <w:b/>
                <w:w w:val="105"/>
                <w:sz w:val="15"/>
              </w:rPr>
              <w:t>Totale valori di piano concordatario</w:t>
            </w:r>
          </w:p>
        </w:tc>
      </w:tr>
      <w:tr>
        <w:trPr>
          <w:trHeight w:val="215" w:hRule="exact"/>
        </w:trPr>
        <w:tc>
          <w:tcPr>
            <w:tcW w:w="3812" w:type="dxa"/>
            <w:tcBorders>
              <w:bottom w:val="nil"/>
            </w:tcBorders>
          </w:tcPr>
          <w:p>
            <w:pPr>
              <w:pStyle w:val="TableParagraph"/>
              <w:spacing w:before="25"/>
              <w:ind w:left="19"/>
              <w:jc w:val="left"/>
              <w:rPr>
                <w:sz w:val="15"/>
              </w:rPr>
            </w:pPr>
            <w:r>
              <w:rPr>
                <w:w w:val="105"/>
                <w:sz w:val="15"/>
              </w:rPr>
              <w:t>Costi di ristrutturazione in prededuzione</w:t>
            </w:r>
          </w:p>
        </w:tc>
        <w:tc>
          <w:tcPr>
            <w:tcW w:w="1006" w:type="dxa"/>
            <w:tcBorders>
              <w:bottom w:val="nil"/>
            </w:tcBorders>
          </w:tcPr>
          <w:p>
            <w:pPr>
              <w:pStyle w:val="TableParagraph"/>
              <w:spacing w:before="25"/>
              <w:ind w:right="22"/>
              <w:rPr>
                <w:sz w:val="15"/>
              </w:rPr>
            </w:pPr>
            <w:r>
              <w:rPr>
                <w:sz w:val="15"/>
              </w:rPr>
              <w:t>(7.648.191)</w:t>
            </w:r>
          </w:p>
        </w:tc>
        <w:tc>
          <w:tcPr>
            <w:tcW w:w="1006" w:type="dxa"/>
            <w:tcBorders>
              <w:bottom w:val="nil"/>
            </w:tcBorders>
          </w:tcPr>
          <w:p>
            <w:pPr>
              <w:pStyle w:val="TableParagraph"/>
              <w:spacing w:before="25"/>
              <w:ind w:right="133"/>
              <w:rPr>
                <w:sz w:val="15"/>
              </w:rPr>
            </w:pPr>
            <w:r>
              <w:rPr>
                <w:w w:val="103"/>
                <w:sz w:val="15"/>
              </w:rPr>
              <w:t>-</w:t>
            </w:r>
          </w:p>
        </w:tc>
        <w:tc>
          <w:tcPr>
            <w:tcW w:w="1112" w:type="dxa"/>
            <w:tcBorders>
              <w:bottom w:val="nil"/>
            </w:tcBorders>
          </w:tcPr>
          <w:p>
            <w:pPr>
              <w:pStyle w:val="TableParagraph"/>
              <w:spacing w:before="25"/>
              <w:ind w:right="133"/>
              <w:rPr>
                <w:sz w:val="15"/>
              </w:rPr>
            </w:pPr>
            <w:r>
              <w:rPr>
                <w:w w:val="103"/>
                <w:sz w:val="15"/>
              </w:rPr>
              <w:t>-</w:t>
            </w:r>
          </w:p>
        </w:tc>
        <w:tc>
          <w:tcPr>
            <w:tcW w:w="1074" w:type="dxa"/>
            <w:tcBorders>
              <w:bottom w:val="nil"/>
            </w:tcBorders>
          </w:tcPr>
          <w:p>
            <w:pPr>
              <w:pStyle w:val="TableParagraph"/>
              <w:spacing w:before="25"/>
              <w:ind w:right="133"/>
              <w:rPr>
                <w:sz w:val="15"/>
              </w:rPr>
            </w:pPr>
            <w:r>
              <w:rPr>
                <w:w w:val="103"/>
                <w:sz w:val="15"/>
              </w:rPr>
              <w:t>-</w:t>
            </w:r>
          </w:p>
        </w:tc>
        <w:tc>
          <w:tcPr>
            <w:tcW w:w="1045" w:type="dxa"/>
            <w:tcBorders>
              <w:bottom w:val="nil"/>
            </w:tcBorders>
          </w:tcPr>
          <w:p>
            <w:pPr>
              <w:pStyle w:val="TableParagraph"/>
              <w:spacing w:before="25"/>
              <w:ind w:right="22"/>
              <w:rPr>
                <w:sz w:val="15"/>
              </w:rPr>
            </w:pPr>
            <w:r>
              <w:rPr>
                <w:sz w:val="15"/>
              </w:rPr>
              <w:t>(7.648.191)</w:t>
            </w:r>
          </w:p>
        </w:tc>
      </w:tr>
      <w:tr>
        <w:trPr>
          <w:trHeight w:val="191" w:hRule="exact"/>
        </w:trPr>
        <w:tc>
          <w:tcPr>
            <w:tcW w:w="3812" w:type="dxa"/>
            <w:tcBorders>
              <w:top w:val="nil"/>
              <w:bottom w:val="single" w:sz="4" w:space="0" w:color="000000"/>
            </w:tcBorders>
          </w:tcPr>
          <w:p>
            <w:pPr>
              <w:pStyle w:val="TableParagraph"/>
              <w:spacing w:before="18"/>
              <w:ind w:left="19"/>
              <w:jc w:val="left"/>
              <w:rPr>
                <w:sz w:val="15"/>
              </w:rPr>
            </w:pPr>
            <w:r>
              <w:rPr>
                <w:w w:val="105"/>
                <w:sz w:val="15"/>
              </w:rPr>
              <w:t>Fondi rischi</w:t>
            </w:r>
          </w:p>
        </w:tc>
        <w:tc>
          <w:tcPr>
            <w:tcW w:w="1006" w:type="dxa"/>
            <w:tcBorders>
              <w:top w:val="nil"/>
              <w:bottom w:val="single" w:sz="4" w:space="0" w:color="000000"/>
            </w:tcBorders>
          </w:tcPr>
          <w:p>
            <w:pPr>
              <w:pStyle w:val="TableParagraph"/>
              <w:spacing w:before="18"/>
              <w:ind w:right="22"/>
              <w:rPr>
                <w:sz w:val="15"/>
              </w:rPr>
            </w:pPr>
            <w:r>
              <w:rPr>
                <w:sz w:val="15"/>
              </w:rPr>
              <w:t>(1.591.479)</w:t>
            </w:r>
          </w:p>
        </w:tc>
        <w:tc>
          <w:tcPr>
            <w:tcW w:w="1006" w:type="dxa"/>
            <w:tcBorders>
              <w:top w:val="nil"/>
              <w:bottom w:val="single" w:sz="4" w:space="0" w:color="000000"/>
            </w:tcBorders>
          </w:tcPr>
          <w:p>
            <w:pPr>
              <w:pStyle w:val="TableParagraph"/>
              <w:spacing w:before="18"/>
              <w:ind w:right="22"/>
              <w:rPr>
                <w:sz w:val="15"/>
              </w:rPr>
            </w:pPr>
            <w:r>
              <w:rPr>
                <w:sz w:val="15"/>
              </w:rPr>
              <w:t>(1.365.088)</w:t>
            </w:r>
          </w:p>
        </w:tc>
        <w:tc>
          <w:tcPr>
            <w:tcW w:w="1112" w:type="dxa"/>
            <w:tcBorders>
              <w:top w:val="nil"/>
              <w:bottom w:val="single" w:sz="4" w:space="0" w:color="000000"/>
            </w:tcBorders>
          </w:tcPr>
          <w:p>
            <w:pPr>
              <w:pStyle w:val="TableParagraph"/>
              <w:spacing w:before="18"/>
              <w:ind w:right="22"/>
              <w:rPr>
                <w:sz w:val="15"/>
              </w:rPr>
            </w:pPr>
            <w:r>
              <w:rPr>
                <w:sz w:val="15"/>
              </w:rPr>
              <w:t>(9.657.358)</w:t>
            </w:r>
          </w:p>
        </w:tc>
        <w:tc>
          <w:tcPr>
            <w:tcW w:w="1074" w:type="dxa"/>
            <w:tcBorders>
              <w:top w:val="nil"/>
              <w:bottom w:val="single" w:sz="4" w:space="0" w:color="000000"/>
            </w:tcBorders>
          </w:tcPr>
          <w:p>
            <w:pPr>
              <w:pStyle w:val="TableParagraph"/>
              <w:spacing w:before="18"/>
              <w:ind w:right="22"/>
              <w:rPr>
                <w:sz w:val="15"/>
              </w:rPr>
            </w:pPr>
            <w:r>
              <w:rPr>
                <w:sz w:val="15"/>
              </w:rPr>
              <w:t>(6.477.189)</w:t>
            </w:r>
          </w:p>
        </w:tc>
        <w:tc>
          <w:tcPr>
            <w:tcW w:w="1045" w:type="dxa"/>
            <w:tcBorders>
              <w:top w:val="nil"/>
              <w:bottom w:val="single" w:sz="4" w:space="0" w:color="000000"/>
            </w:tcBorders>
          </w:tcPr>
          <w:p>
            <w:pPr>
              <w:pStyle w:val="TableParagraph"/>
              <w:spacing w:before="18"/>
              <w:ind w:right="22"/>
              <w:rPr>
                <w:sz w:val="15"/>
              </w:rPr>
            </w:pPr>
            <w:r>
              <w:rPr>
                <w:sz w:val="15"/>
              </w:rPr>
              <w:t>(19.091.114)</w:t>
            </w:r>
          </w:p>
        </w:tc>
      </w:tr>
      <w:tr>
        <w:trPr>
          <w:trHeight w:val="203" w:hRule="exact"/>
        </w:trPr>
        <w:tc>
          <w:tcPr>
            <w:tcW w:w="3812" w:type="dxa"/>
            <w:tcBorders>
              <w:top w:val="single" w:sz="4" w:space="0" w:color="000000"/>
            </w:tcBorders>
            <w:shd w:val="clear" w:color="auto" w:fill="BEBEBE"/>
          </w:tcPr>
          <w:p>
            <w:pPr>
              <w:pStyle w:val="TableParagraph"/>
              <w:spacing w:before="25"/>
              <w:ind w:left="19"/>
              <w:jc w:val="left"/>
              <w:rPr>
                <w:b/>
                <w:sz w:val="15"/>
              </w:rPr>
            </w:pPr>
            <w:r>
              <w:rPr>
                <w:b/>
                <w:w w:val="105"/>
                <w:sz w:val="15"/>
              </w:rPr>
              <w:t>TOTALE FONDI</w:t>
            </w:r>
          </w:p>
        </w:tc>
        <w:tc>
          <w:tcPr>
            <w:tcW w:w="1006" w:type="dxa"/>
            <w:tcBorders>
              <w:top w:val="single" w:sz="4" w:space="0" w:color="000000"/>
            </w:tcBorders>
            <w:shd w:val="clear" w:color="auto" w:fill="BEBEBE"/>
          </w:tcPr>
          <w:p>
            <w:pPr>
              <w:pStyle w:val="TableParagraph"/>
              <w:spacing w:before="25"/>
              <w:ind w:right="22"/>
              <w:rPr>
                <w:b/>
                <w:sz w:val="15"/>
              </w:rPr>
            </w:pPr>
            <w:r>
              <w:rPr>
                <w:b/>
                <w:sz w:val="15"/>
              </w:rPr>
              <w:t>(9.239.670)</w:t>
            </w:r>
          </w:p>
        </w:tc>
        <w:tc>
          <w:tcPr>
            <w:tcW w:w="1006" w:type="dxa"/>
            <w:tcBorders>
              <w:top w:val="single" w:sz="4" w:space="0" w:color="000000"/>
            </w:tcBorders>
            <w:shd w:val="clear" w:color="auto" w:fill="BEBEBE"/>
          </w:tcPr>
          <w:p>
            <w:pPr>
              <w:pStyle w:val="TableParagraph"/>
              <w:spacing w:before="25"/>
              <w:ind w:right="22"/>
              <w:rPr>
                <w:b/>
                <w:sz w:val="15"/>
              </w:rPr>
            </w:pPr>
            <w:r>
              <w:rPr>
                <w:b/>
                <w:w w:val="105"/>
                <w:sz w:val="15"/>
              </w:rPr>
              <w:t>(1.365.088)</w:t>
            </w:r>
          </w:p>
        </w:tc>
        <w:tc>
          <w:tcPr>
            <w:tcW w:w="1112" w:type="dxa"/>
            <w:tcBorders>
              <w:top w:val="single" w:sz="4" w:space="0" w:color="000000"/>
            </w:tcBorders>
            <w:shd w:val="clear" w:color="auto" w:fill="BEBEBE"/>
          </w:tcPr>
          <w:p>
            <w:pPr>
              <w:pStyle w:val="TableParagraph"/>
              <w:spacing w:before="25"/>
              <w:ind w:right="22"/>
              <w:rPr>
                <w:b/>
                <w:sz w:val="15"/>
              </w:rPr>
            </w:pPr>
            <w:r>
              <w:rPr>
                <w:b/>
                <w:sz w:val="15"/>
              </w:rPr>
              <w:t>(9.657.358)</w:t>
            </w:r>
          </w:p>
        </w:tc>
        <w:tc>
          <w:tcPr>
            <w:tcW w:w="1074" w:type="dxa"/>
            <w:tcBorders>
              <w:top w:val="single" w:sz="4" w:space="0" w:color="000000"/>
            </w:tcBorders>
            <w:shd w:val="clear" w:color="auto" w:fill="BEBEBE"/>
          </w:tcPr>
          <w:p>
            <w:pPr>
              <w:pStyle w:val="TableParagraph"/>
              <w:spacing w:before="25"/>
              <w:ind w:right="21"/>
              <w:rPr>
                <w:b/>
                <w:sz w:val="15"/>
              </w:rPr>
            </w:pPr>
            <w:r>
              <w:rPr>
                <w:b/>
                <w:w w:val="105"/>
                <w:sz w:val="15"/>
              </w:rPr>
              <w:t>(6.477.189)</w:t>
            </w:r>
          </w:p>
        </w:tc>
        <w:tc>
          <w:tcPr>
            <w:tcW w:w="1045" w:type="dxa"/>
            <w:tcBorders>
              <w:top w:val="single" w:sz="4" w:space="0" w:color="000000"/>
            </w:tcBorders>
            <w:shd w:val="clear" w:color="auto" w:fill="BEBEBE"/>
          </w:tcPr>
          <w:p>
            <w:pPr>
              <w:pStyle w:val="TableParagraph"/>
              <w:spacing w:before="25"/>
              <w:ind w:right="22"/>
              <w:rPr>
                <w:b/>
                <w:sz w:val="15"/>
              </w:rPr>
            </w:pPr>
            <w:r>
              <w:rPr>
                <w:b/>
                <w:sz w:val="15"/>
              </w:rPr>
              <w:t>(26.739.305)</w:t>
            </w:r>
          </w:p>
        </w:tc>
      </w:tr>
    </w:tbl>
    <w:p>
      <w:pPr>
        <w:spacing w:after="0"/>
        <w:rPr>
          <w:sz w:val="15"/>
        </w:rPr>
        <w:sectPr>
          <w:pgSz w:w="11910" w:h="16840"/>
          <w:pgMar w:header="707" w:footer="1025" w:top="1740" w:bottom="1220" w:left="0" w:right="0"/>
        </w:sectPr>
      </w:pPr>
    </w:p>
    <w:p>
      <w:pPr>
        <w:pStyle w:val="BodyText"/>
        <w:rPr>
          <w:b/>
          <w:sz w:val="20"/>
        </w:rPr>
      </w:pPr>
    </w:p>
    <w:p>
      <w:pPr>
        <w:pStyle w:val="BodyText"/>
        <w:rPr>
          <w:b/>
          <w:sz w:val="20"/>
        </w:rPr>
      </w:pPr>
    </w:p>
    <w:p>
      <w:pPr>
        <w:pStyle w:val="BodyText"/>
        <w:rPr>
          <w:b/>
          <w:sz w:val="20"/>
        </w:rPr>
      </w:pPr>
    </w:p>
    <w:p>
      <w:pPr>
        <w:pStyle w:val="BodyText"/>
        <w:spacing w:before="4"/>
        <w:rPr>
          <w:b/>
          <w:sz w:val="27"/>
        </w:rPr>
      </w:pPr>
    </w:p>
    <w:p>
      <w:pPr>
        <w:pStyle w:val="ListParagraph"/>
        <w:numPr>
          <w:ilvl w:val="0"/>
          <w:numId w:val="87"/>
        </w:numPr>
        <w:tabs>
          <w:tab w:pos="2126" w:val="left" w:leader="none"/>
          <w:tab w:pos="2127" w:val="left" w:leader="none"/>
        </w:tabs>
        <w:spacing w:line="240" w:lineRule="auto" w:before="100" w:after="0"/>
        <w:ind w:left="2126" w:right="0" w:hanging="348"/>
        <w:jc w:val="left"/>
        <w:rPr>
          <w:rFonts w:ascii="Symbol"/>
          <w:b/>
          <w:sz w:val="18"/>
        </w:rPr>
      </w:pPr>
      <w:r>
        <w:rPr>
          <w:b/>
          <w:sz w:val="24"/>
          <w:u w:val="single"/>
        </w:rPr>
        <w:t>Fondi costi ristrutturazione per Euro</w:t>
      </w:r>
      <w:r>
        <w:rPr>
          <w:b/>
          <w:spacing w:val="-17"/>
          <w:sz w:val="24"/>
          <w:u w:val="single"/>
        </w:rPr>
        <w:t> </w:t>
      </w:r>
      <w:r>
        <w:rPr>
          <w:b/>
          <w:sz w:val="24"/>
          <w:u w:val="single"/>
        </w:rPr>
        <w:t>7.648.191</w:t>
      </w:r>
    </w:p>
    <w:p>
      <w:pPr>
        <w:pStyle w:val="BodyText"/>
        <w:spacing w:before="11"/>
        <w:rPr>
          <w:b/>
          <w:sz w:val="23"/>
        </w:rPr>
      </w:pPr>
    </w:p>
    <w:p>
      <w:pPr>
        <w:pStyle w:val="BodyText"/>
        <w:spacing w:line="480" w:lineRule="auto"/>
        <w:ind w:left="1418" w:right="1414"/>
        <w:jc w:val="both"/>
      </w:pPr>
      <w:r>
        <w:rPr/>
        <w:t>In tale voce trovano allocazione i costi di ristrutturazione stanziati in prededuzione quale rettifica concordataria per i compensi spettanti ai professionisti (oltre spese forfettarie, cassa previdenziale e IVA) che hanno assistito la società nella redazione della domanda di concordato, ai sottoscritti professionisti incaricati della redazione della relazione ex art 161 c.3 l.f., ai Commissari Giudiziali  e ai Liquidatori Giudiziali, nonché ai professionisti nominati per la redazione della perizia tecnica di valutazione del Gruppo</w:t>
      </w:r>
      <w:r>
        <w:rPr>
          <w:spacing w:val="-8"/>
        </w:rPr>
        <w:t> </w:t>
      </w:r>
      <w:r>
        <w:rPr/>
        <w:t>Bio.</w:t>
      </w:r>
    </w:p>
    <w:p>
      <w:pPr>
        <w:pStyle w:val="BodyText"/>
        <w:ind w:left="1418"/>
        <w:jc w:val="both"/>
      </w:pPr>
      <w:r>
        <w:rPr/>
        <w:t>Di seguito si riporta un riepilogo dettagliato degli stanziamenti effettuati dalla società:</w:t>
      </w:r>
    </w:p>
    <w:p>
      <w:pPr>
        <w:pStyle w:val="BodyText"/>
        <w:rPr>
          <w:sz w:val="20"/>
        </w:rPr>
      </w:pPr>
    </w:p>
    <w:p>
      <w:pPr>
        <w:pStyle w:val="BodyText"/>
        <w:spacing w:before="10"/>
        <w:rPr>
          <w:sz w:val="21"/>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812"/>
        <w:gridCol w:w="1006"/>
        <w:gridCol w:w="1006"/>
        <w:gridCol w:w="1112"/>
        <w:gridCol w:w="1074"/>
        <w:gridCol w:w="1045"/>
      </w:tblGrid>
      <w:tr>
        <w:trPr>
          <w:trHeight w:val="610" w:hRule="exact"/>
        </w:trPr>
        <w:tc>
          <w:tcPr>
            <w:tcW w:w="3812" w:type="dxa"/>
            <w:shd w:val="clear" w:color="auto" w:fill="BEBEBE"/>
          </w:tcPr>
          <w:p>
            <w:pPr>
              <w:pStyle w:val="TableParagraph"/>
              <w:spacing w:before="3"/>
              <w:jc w:val="left"/>
              <w:rPr>
                <w:sz w:val="20"/>
              </w:rPr>
            </w:pPr>
          </w:p>
          <w:p>
            <w:pPr>
              <w:pStyle w:val="TableParagraph"/>
              <w:spacing w:before="0"/>
              <w:ind w:left="1316" w:right="1315"/>
              <w:jc w:val="center"/>
              <w:rPr>
                <w:b/>
                <w:sz w:val="15"/>
              </w:rPr>
            </w:pPr>
            <w:r>
              <w:rPr>
                <w:b/>
                <w:w w:val="105"/>
                <w:sz w:val="15"/>
              </w:rPr>
              <w:t>DESCRIZIONE</w:t>
            </w:r>
          </w:p>
        </w:tc>
        <w:tc>
          <w:tcPr>
            <w:tcW w:w="1006" w:type="dxa"/>
            <w:shd w:val="clear" w:color="auto" w:fill="BEBEBE"/>
          </w:tcPr>
          <w:p>
            <w:pPr>
              <w:pStyle w:val="TableParagraph"/>
              <w:spacing w:before="3"/>
              <w:jc w:val="left"/>
              <w:rPr>
                <w:sz w:val="20"/>
              </w:rPr>
            </w:pPr>
          </w:p>
          <w:p>
            <w:pPr>
              <w:pStyle w:val="TableParagraph"/>
              <w:spacing w:before="0"/>
              <w:ind w:left="135"/>
              <w:jc w:val="left"/>
              <w:rPr>
                <w:b/>
                <w:sz w:val="15"/>
              </w:rPr>
            </w:pPr>
            <w:r>
              <w:rPr>
                <w:b/>
                <w:w w:val="105"/>
                <w:sz w:val="15"/>
              </w:rPr>
              <w:t>Compenso</w:t>
            </w:r>
          </w:p>
        </w:tc>
        <w:tc>
          <w:tcPr>
            <w:tcW w:w="1006" w:type="dxa"/>
            <w:shd w:val="clear" w:color="auto" w:fill="BEBEBE"/>
          </w:tcPr>
          <w:p>
            <w:pPr>
              <w:pStyle w:val="TableParagraph"/>
              <w:spacing w:line="288" w:lineRule="auto" w:before="122"/>
              <w:ind w:left="174" w:right="182" w:firstLine="125"/>
              <w:jc w:val="left"/>
              <w:rPr>
                <w:b/>
                <w:sz w:val="15"/>
              </w:rPr>
            </w:pPr>
            <w:r>
              <w:rPr>
                <w:b/>
                <w:w w:val="105"/>
                <w:sz w:val="15"/>
              </w:rPr>
              <w:t>Spese </w:t>
            </w:r>
            <w:r>
              <w:rPr>
                <w:b/>
                <w:sz w:val="15"/>
              </w:rPr>
              <w:t>forfettarie</w:t>
            </w:r>
          </w:p>
        </w:tc>
        <w:tc>
          <w:tcPr>
            <w:tcW w:w="1112" w:type="dxa"/>
            <w:shd w:val="clear" w:color="auto" w:fill="BEBEBE"/>
          </w:tcPr>
          <w:p>
            <w:pPr>
              <w:pStyle w:val="TableParagraph"/>
              <w:spacing w:before="3"/>
              <w:jc w:val="left"/>
              <w:rPr>
                <w:sz w:val="20"/>
              </w:rPr>
            </w:pPr>
          </w:p>
          <w:p>
            <w:pPr>
              <w:pStyle w:val="TableParagraph"/>
              <w:spacing w:before="0"/>
              <w:ind w:left="348"/>
              <w:jc w:val="left"/>
              <w:rPr>
                <w:b/>
                <w:sz w:val="15"/>
              </w:rPr>
            </w:pPr>
            <w:r>
              <w:rPr>
                <w:b/>
                <w:w w:val="105"/>
                <w:sz w:val="15"/>
              </w:rPr>
              <w:t>Cassa</w:t>
            </w:r>
          </w:p>
        </w:tc>
        <w:tc>
          <w:tcPr>
            <w:tcW w:w="1074" w:type="dxa"/>
            <w:shd w:val="clear" w:color="auto" w:fill="BEBEBE"/>
          </w:tcPr>
          <w:p>
            <w:pPr>
              <w:pStyle w:val="TableParagraph"/>
              <w:spacing w:before="3"/>
              <w:jc w:val="left"/>
              <w:rPr>
                <w:sz w:val="20"/>
              </w:rPr>
            </w:pPr>
          </w:p>
          <w:p>
            <w:pPr>
              <w:pStyle w:val="TableParagraph"/>
              <w:spacing w:before="0"/>
              <w:ind w:left="400" w:right="413"/>
              <w:jc w:val="center"/>
              <w:rPr>
                <w:b/>
                <w:sz w:val="15"/>
              </w:rPr>
            </w:pPr>
            <w:r>
              <w:rPr>
                <w:b/>
                <w:w w:val="105"/>
                <w:sz w:val="15"/>
              </w:rPr>
              <w:t>Iva</w:t>
            </w:r>
          </w:p>
        </w:tc>
        <w:tc>
          <w:tcPr>
            <w:tcW w:w="1045" w:type="dxa"/>
            <w:shd w:val="clear" w:color="auto" w:fill="BEBEBE"/>
          </w:tcPr>
          <w:p>
            <w:pPr>
              <w:pStyle w:val="TableParagraph"/>
              <w:spacing w:line="288" w:lineRule="auto" w:before="25"/>
              <w:ind w:left="5" w:right="10"/>
              <w:jc w:val="center"/>
              <w:rPr>
                <w:b/>
                <w:sz w:val="15"/>
              </w:rPr>
            </w:pPr>
            <w:r>
              <w:rPr>
                <w:b/>
                <w:w w:val="105"/>
                <w:sz w:val="15"/>
              </w:rPr>
              <w:t>Totale valori di piano concordatario</w:t>
            </w:r>
          </w:p>
        </w:tc>
      </w:tr>
      <w:tr>
        <w:trPr>
          <w:trHeight w:val="215" w:hRule="exact"/>
        </w:trPr>
        <w:tc>
          <w:tcPr>
            <w:tcW w:w="3812" w:type="dxa"/>
            <w:tcBorders>
              <w:bottom w:val="nil"/>
            </w:tcBorders>
          </w:tcPr>
          <w:p>
            <w:pPr>
              <w:pStyle w:val="TableParagraph"/>
              <w:spacing w:before="25"/>
              <w:ind w:left="19"/>
              <w:jc w:val="left"/>
              <w:rPr>
                <w:sz w:val="15"/>
              </w:rPr>
            </w:pPr>
            <w:r>
              <w:rPr>
                <w:w w:val="105"/>
                <w:sz w:val="15"/>
              </w:rPr>
              <w:t>Gianni, Origoni, Grippo, Cappelli &amp; Partners</w:t>
            </w:r>
          </w:p>
        </w:tc>
        <w:tc>
          <w:tcPr>
            <w:tcW w:w="1006" w:type="dxa"/>
            <w:tcBorders>
              <w:bottom w:val="nil"/>
            </w:tcBorders>
          </w:tcPr>
          <w:p>
            <w:pPr>
              <w:pStyle w:val="TableParagraph"/>
              <w:spacing w:before="25"/>
              <w:ind w:right="22"/>
              <w:rPr>
                <w:sz w:val="15"/>
              </w:rPr>
            </w:pPr>
            <w:r>
              <w:rPr>
                <w:sz w:val="15"/>
              </w:rPr>
              <w:t>(255.040)</w:t>
            </w:r>
          </w:p>
        </w:tc>
        <w:tc>
          <w:tcPr>
            <w:tcW w:w="1006" w:type="dxa"/>
            <w:tcBorders>
              <w:bottom w:val="nil"/>
            </w:tcBorders>
          </w:tcPr>
          <w:p>
            <w:pPr>
              <w:pStyle w:val="TableParagraph"/>
              <w:spacing w:before="25"/>
              <w:ind w:right="133"/>
              <w:rPr>
                <w:sz w:val="15"/>
              </w:rPr>
            </w:pPr>
            <w:r>
              <w:rPr>
                <w:w w:val="103"/>
                <w:sz w:val="15"/>
              </w:rPr>
              <w:t>-</w:t>
            </w:r>
          </w:p>
        </w:tc>
        <w:tc>
          <w:tcPr>
            <w:tcW w:w="1112" w:type="dxa"/>
            <w:tcBorders>
              <w:bottom w:val="nil"/>
            </w:tcBorders>
          </w:tcPr>
          <w:p>
            <w:pPr>
              <w:pStyle w:val="TableParagraph"/>
              <w:spacing w:before="25"/>
              <w:ind w:right="21"/>
              <w:rPr>
                <w:sz w:val="15"/>
              </w:rPr>
            </w:pPr>
            <w:r>
              <w:rPr>
                <w:sz w:val="15"/>
              </w:rPr>
              <w:t>(10.202)</w:t>
            </w:r>
          </w:p>
        </w:tc>
        <w:tc>
          <w:tcPr>
            <w:tcW w:w="1074" w:type="dxa"/>
            <w:tcBorders>
              <w:bottom w:val="nil"/>
            </w:tcBorders>
          </w:tcPr>
          <w:p>
            <w:pPr>
              <w:pStyle w:val="TableParagraph"/>
              <w:spacing w:before="25"/>
              <w:ind w:right="23"/>
              <w:rPr>
                <w:sz w:val="15"/>
              </w:rPr>
            </w:pPr>
            <w:r>
              <w:rPr>
                <w:sz w:val="15"/>
              </w:rPr>
              <w:t>(58.353)</w:t>
            </w:r>
          </w:p>
        </w:tc>
        <w:tc>
          <w:tcPr>
            <w:tcW w:w="1045" w:type="dxa"/>
            <w:tcBorders>
              <w:bottom w:val="nil"/>
            </w:tcBorders>
          </w:tcPr>
          <w:p>
            <w:pPr>
              <w:pStyle w:val="TableParagraph"/>
              <w:spacing w:before="25"/>
              <w:ind w:right="22"/>
              <w:rPr>
                <w:sz w:val="15"/>
              </w:rPr>
            </w:pPr>
            <w:r>
              <w:rPr>
                <w:sz w:val="15"/>
              </w:rPr>
              <w:t>(323.595)</w:t>
            </w:r>
          </w:p>
        </w:tc>
      </w:tr>
      <w:tr>
        <w:trPr>
          <w:trHeight w:val="203" w:hRule="exact"/>
        </w:trPr>
        <w:tc>
          <w:tcPr>
            <w:tcW w:w="3812" w:type="dxa"/>
            <w:tcBorders>
              <w:top w:val="nil"/>
              <w:bottom w:val="nil"/>
            </w:tcBorders>
          </w:tcPr>
          <w:p>
            <w:pPr>
              <w:pStyle w:val="TableParagraph"/>
              <w:spacing w:before="19"/>
              <w:ind w:left="19"/>
              <w:jc w:val="left"/>
              <w:rPr>
                <w:sz w:val="15"/>
              </w:rPr>
            </w:pPr>
            <w:r>
              <w:rPr>
                <w:w w:val="105"/>
                <w:sz w:val="15"/>
              </w:rPr>
              <w:t>Mediobanca S.p.A.</w:t>
            </w:r>
          </w:p>
        </w:tc>
        <w:tc>
          <w:tcPr>
            <w:tcW w:w="1006" w:type="dxa"/>
            <w:tcBorders>
              <w:top w:val="nil"/>
              <w:bottom w:val="nil"/>
            </w:tcBorders>
          </w:tcPr>
          <w:p>
            <w:pPr>
              <w:pStyle w:val="TableParagraph"/>
              <w:spacing w:before="19"/>
              <w:ind w:right="22"/>
              <w:rPr>
                <w:sz w:val="15"/>
              </w:rPr>
            </w:pPr>
            <w:r>
              <w:rPr>
                <w:sz w:val="15"/>
              </w:rPr>
              <w:t>(3.210.000)</w:t>
            </w:r>
          </w:p>
        </w:tc>
        <w:tc>
          <w:tcPr>
            <w:tcW w:w="1006" w:type="dxa"/>
            <w:tcBorders>
              <w:top w:val="nil"/>
              <w:bottom w:val="nil"/>
            </w:tcBorders>
          </w:tcPr>
          <w:p>
            <w:pPr>
              <w:pStyle w:val="TableParagraph"/>
              <w:spacing w:before="19"/>
              <w:ind w:right="133"/>
              <w:rPr>
                <w:sz w:val="15"/>
              </w:rPr>
            </w:pPr>
            <w:r>
              <w:rPr>
                <w:w w:val="103"/>
                <w:sz w:val="15"/>
              </w:rPr>
              <w:t>-</w:t>
            </w:r>
          </w:p>
        </w:tc>
        <w:tc>
          <w:tcPr>
            <w:tcW w:w="1112" w:type="dxa"/>
            <w:tcBorders>
              <w:top w:val="nil"/>
              <w:bottom w:val="nil"/>
            </w:tcBorders>
          </w:tcPr>
          <w:p>
            <w:pPr>
              <w:pStyle w:val="TableParagraph"/>
              <w:spacing w:before="19"/>
              <w:ind w:right="133"/>
              <w:rPr>
                <w:sz w:val="15"/>
              </w:rPr>
            </w:pPr>
            <w:r>
              <w:rPr>
                <w:w w:val="103"/>
                <w:sz w:val="15"/>
              </w:rPr>
              <w:t>-</w:t>
            </w:r>
          </w:p>
        </w:tc>
        <w:tc>
          <w:tcPr>
            <w:tcW w:w="1074" w:type="dxa"/>
            <w:tcBorders>
              <w:top w:val="nil"/>
              <w:bottom w:val="nil"/>
            </w:tcBorders>
          </w:tcPr>
          <w:p>
            <w:pPr>
              <w:pStyle w:val="TableParagraph"/>
              <w:spacing w:before="19"/>
              <w:ind w:right="22"/>
              <w:rPr>
                <w:sz w:val="15"/>
              </w:rPr>
            </w:pPr>
            <w:r>
              <w:rPr>
                <w:sz w:val="15"/>
              </w:rPr>
              <w:t>(706.200)</w:t>
            </w:r>
          </w:p>
        </w:tc>
        <w:tc>
          <w:tcPr>
            <w:tcW w:w="1045" w:type="dxa"/>
            <w:tcBorders>
              <w:top w:val="nil"/>
              <w:bottom w:val="nil"/>
            </w:tcBorders>
          </w:tcPr>
          <w:p>
            <w:pPr>
              <w:pStyle w:val="TableParagraph"/>
              <w:spacing w:before="19"/>
              <w:ind w:right="22"/>
              <w:rPr>
                <w:sz w:val="15"/>
              </w:rPr>
            </w:pPr>
            <w:r>
              <w:rPr>
                <w:sz w:val="15"/>
              </w:rPr>
              <w:t>(3.916.200)</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Chiaruttini e Associati</w:t>
            </w:r>
          </w:p>
        </w:tc>
        <w:tc>
          <w:tcPr>
            <w:tcW w:w="1006" w:type="dxa"/>
            <w:tcBorders>
              <w:top w:val="nil"/>
              <w:bottom w:val="nil"/>
            </w:tcBorders>
          </w:tcPr>
          <w:p>
            <w:pPr>
              <w:pStyle w:val="TableParagraph"/>
              <w:spacing w:before="18"/>
              <w:ind w:right="22"/>
              <w:rPr>
                <w:sz w:val="15"/>
              </w:rPr>
            </w:pPr>
            <w:r>
              <w:rPr>
                <w:sz w:val="15"/>
              </w:rPr>
              <w:t>(132.500)</w:t>
            </w:r>
          </w:p>
        </w:tc>
        <w:tc>
          <w:tcPr>
            <w:tcW w:w="1006" w:type="dxa"/>
            <w:tcBorders>
              <w:top w:val="nil"/>
              <w:bottom w:val="nil"/>
            </w:tcBorders>
          </w:tcPr>
          <w:p>
            <w:pPr>
              <w:pStyle w:val="TableParagraph"/>
              <w:spacing w:before="18"/>
              <w:ind w:right="22"/>
              <w:rPr>
                <w:sz w:val="15"/>
              </w:rPr>
            </w:pPr>
            <w:r>
              <w:rPr>
                <w:sz w:val="15"/>
              </w:rPr>
              <w:t>(19.062)</w:t>
            </w:r>
          </w:p>
        </w:tc>
        <w:tc>
          <w:tcPr>
            <w:tcW w:w="1112" w:type="dxa"/>
            <w:tcBorders>
              <w:top w:val="nil"/>
              <w:bottom w:val="nil"/>
            </w:tcBorders>
          </w:tcPr>
          <w:p>
            <w:pPr>
              <w:pStyle w:val="TableParagraph"/>
              <w:spacing w:before="18"/>
              <w:ind w:right="21"/>
              <w:rPr>
                <w:sz w:val="15"/>
              </w:rPr>
            </w:pPr>
            <w:r>
              <w:rPr>
                <w:sz w:val="15"/>
              </w:rPr>
              <w:t>(6.062)</w:t>
            </w:r>
          </w:p>
        </w:tc>
        <w:tc>
          <w:tcPr>
            <w:tcW w:w="1074" w:type="dxa"/>
            <w:tcBorders>
              <w:top w:val="nil"/>
              <w:bottom w:val="nil"/>
            </w:tcBorders>
          </w:tcPr>
          <w:p>
            <w:pPr>
              <w:pStyle w:val="TableParagraph"/>
              <w:spacing w:before="18"/>
              <w:ind w:right="23"/>
              <w:rPr>
                <w:sz w:val="15"/>
              </w:rPr>
            </w:pPr>
            <w:r>
              <w:rPr>
                <w:sz w:val="15"/>
              </w:rPr>
              <w:t>(34.677)</w:t>
            </w:r>
          </w:p>
        </w:tc>
        <w:tc>
          <w:tcPr>
            <w:tcW w:w="1045" w:type="dxa"/>
            <w:tcBorders>
              <w:top w:val="nil"/>
              <w:bottom w:val="nil"/>
            </w:tcBorders>
          </w:tcPr>
          <w:p>
            <w:pPr>
              <w:pStyle w:val="TableParagraph"/>
              <w:spacing w:before="18"/>
              <w:ind w:right="22"/>
              <w:rPr>
                <w:sz w:val="15"/>
              </w:rPr>
            </w:pPr>
            <w:r>
              <w:rPr>
                <w:sz w:val="15"/>
              </w:rPr>
              <w:t>(192.301)</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Dott.ri A. Solidoro e C. Pagliughi</w:t>
            </w:r>
          </w:p>
        </w:tc>
        <w:tc>
          <w:tcPr>
            <w:tcW w:w="1006" w:type="dxa"/>
            <w:tcBorders>
              <w:top w:val="nil"/>
              <w:bottom w:val="nil"/>
            </w:tcBorders>
          </w:tcPr>
          <w:p>
            <w:pPr>
              <w:pStyle w:val="TableParagraph"/>
              <w:spacing w:before="18"/>
              <w:ind w:right="22"/>
              <w:rPr>
                <w:sz w:val="15"/>
              </w:rPr>
            </w:pPr>
            <w:r>
              <w:rPr>
                <w:sz w:val="15"/>
              </w:rPr>
              <w:t>(186.000)</w:t>
            </w:r>
          </w:p>
        </w:tc>
        <w:tc>
          <w:tcPr>
            <w:tcW w:w="1006" w:type="dxa"/>
            <w:tcBorders>
              <w:top w:val="nil"/>
              <w:bottom w:val="nil"/>
            </w:tcBorders>
          </w:tcPr>
          <w:p>
            <w:pPr>
              <w:pStyle w:val="TableParagraph"/>
              <w:spacing w:before="18"/>
              <w:ind w:right="21"/>
              <w:rPr>
                <w:sz w:val="15"/>
              </w:rPr>
            </w:pPr>
            <w:r>
              <w:rPr>
                <w:sz w:val="15"/>
              </w:rPr>
              <w:t>(9.300)</w:t>
            </w:r>
          </w:p>
        </w:tc>
        <w:tc>
          <w:tcPr>
            <w:tcW w:w="1112" w:type="dxa"/>
            <w:tcBorders>
              <w:top w:val="nil"/>
              <w:bottom w:val="nil"/>
            </w:tcBorders>
          </w:tcPr>
          <w:p>
            <w:pPr>
              <w:pStyle w:val="TableParagraph"/>
              <w:spacing w:before="18"/>
              <w:ind w:right="21"/>
              <w:rPr>
                <w:sz w:val="15"/>
              </w:rPr>
            </w:pPr>
            <w:r>
              <w:rPr>
                <w:sz w:val="15"/>
              </w:rPr>
              <w:t>(7.812)</w:t>
            </w:r>
          </w:p>
        </w:tc>
        <w:tc>
          <w:tcPr>
            <w:tcW w:w="1074" w:type="dxa"/>
            <w:tcBorders>
              <w:top w:val="nil"/>
              <w:bottom w:val="nil"/>
            </w:tcBorders>
          </w:tcPr>
          <w:p>
            <w:pPr>
              <w:pStyle w:val="TableParagraph"/>
              <w:spacing w:before="18"/>
              <w:ind w:right="23"/>
              <w:rPr>
                <w:sz w:val="15"/>
              </w:rPr>
            </w:pPr>
            <w:r>
              <w:rPr>
                <w:sz w:val="15"/>
              </w:rPr>
              <w:t>(44.685)</w:t>
            </w:r>
          </w:p>
        </w:tc>
        <w:tc>
          <w:tcPr>
            <w:tcW w:w="1045" w:type="dxa"/>
            <w:tcBorders>
              <w:top w:val="nil"/>
              <w:bottom w:val="nil"/>
            </w:tcBorders>
          </w:tcPr>
          <w:p>
            <w:pPr>
              <w:pStyle w:val="TableParagraph"/>
              <w:spacing w:before="18"/>
              <w:ind w:right="22"/>
              <w:rPr>
                <w:sz w:val="15"/>
              </w:rPr>
            </w:pPr>
            <w:r>
              <w:rPr>
                <w:sz w:val="15"/>
              </w:rPr>
              <w:t>(247.797)</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Deloitte</w:t>
            </w:r>
          </w:p>
        </w:tc>
        <w:tc>
          <w:tcPr>
            <w:tcW w:w="1006" w:type="dxa"/>
            <w:tcBorders>
              <w:top w:val="nil"/>
              <w:bottom w:val="nil"/>
            </w:tcBorders>
          </w:tcPr>
          <w:p>
            <w:pPr>
              <w:pStyle w:val="TableParagraph"/>
              <w:spacing w:before="18"/>
              <w:ind w:right="22"/>
              <w:rPr>
                <w:sz w:val="15"/>
              </w:rPr>
            </w:pPr>
            <w:r>
              <w:rPr>
                <w:sz w:val="15"/>
              </w:rPr>
              <w:t>(200.000)</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23"/>
              <w:rPr>
                <w:sz w:val="15"/>
              </w:rPr>
            </w:pPr>
            <w:r>
              <w:rPr>
                <w:sz w:val="15"/>
              </w:rPr>
              <w:t>(44.000)</w:t>
            </w:r>
          </w:p>
        </w:tc>
        <w:tc>
          <w:tcPr>
            <w:tcW w:w="1045" w:type="dxa"/>
            <w:tcBorders>
              <w:top w:val="nil"/>
              <w:bottom w:val="nil"/>
            </w:tcBorders>
          </w:tcPr>
          <w:p>
            <w:pPr>
              <w:pStyle w:val="TableParagraph"/>
              <w:spacing w:before="18"/>
              <w:ind w:right="22"/>
              <w:rPr>
                <w:sz w:val="15"/>
              </w:rPr>
            </w:pPr>
            <w:r>
              <w:rPr>
                <w:sz w:val="15"/>
              </w:rPr>
              <w:t>(244.000)</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Dr. M. Cattaneo - Ing. G.Braccio</w:t>
            </w:r>
          </w:p>
        </w:tc>
        <w:tc>
          <w:tcPr>
            <w:tcW w:w="1006" w:type="dxa"/>
            <w:tcBorders>
              <w:top w:val="nil"/>
              <w:bottom w:val="nil"/>
            </w:tcBorders>
          </w:tcPr>
          <w:p>
            <w:pPr>
              <w:pStyle w:val="TableParagraph"/>
              <w:spacing w:before="18"/>
              <w:ind w:right="22"/>
              <w:rPr>
                <w:sz w:val="15"/>
              </w:rPr>
            </w:pPr>
            <w:r>
              <w:rPr>
                <w:sz w:val="15"/>
              </w:rPr>
              <w:t>(80.600)</w:t>
            </w:r>
          </w:p>
        </w:tc>
        <w:tc>
          <w:tcPr>
            <w:tcW w:w="1006" w:type="dxa"/>
            <w:tcBorders>
              <w:top w:val="nil"/>
              <w:bottom w:val="nil"/>
            </w:tcBorders>
          </w:tcPr>
          <w:p>
            <w:pPr>
              <w:pStyle w:val="TableParagraph"/>
              <w:spacing w:before="18"/>
              <w:ind w:right="22"/>
              <w:rPr>
                <w:sz w:val="15"/>
              </w:rPr>
            </w:pPr>
            <w:r>
              <w:rPr>
                <w:sz w:val="15"/>
              </w:rPr>
              <w:t>(12.090)</w:t>
            </w:r>
          </w:p>
        </w:tc>
        <w:tc>
          <w:tcPr>
            <w:tcW w:w="1112" w:type="dxa"/>
            <w:tcBorders>
              <w:top w:val="nil"/>
              <w:bottom w:val="nil"/>
            </w:tcBorders>
          </w:tcPr>
          <w:p>
            <w:pPr>
              <w:pStyle w:val="TableParagraph"/>
              <w:spacing w:before="18"/>
              <w:ind w:right="21"/>
              <w:rPr>
                <w:sz w:val="15"/>
              </w:rPr>
            </w:pPr>
            <w:r>
              <w:rPr>
                <w:sz w:val="15"/>
              </w:rPr>
              <w:t>(3.708)</w:t>
            </w:r>
          </w:p>
        </w:tc>
        <w:tc>
          <w:tcPr>
            <w:tcW w:w="1074" w:type="dxa"/>
            <w:tcBorders>
              <w:top w:val="nil"/>
              <w:bottom w:val="nil"/>
            </w:tcBorders>
          </w:tcPr>
          <w:p>
            <w:pPr>
              <w:pStyle w:val="TableParagraph"/>
              <w:spacing w:before="18"/>
              <w:ind w:right="23"/>
              <w:rPr>
                <w:sz w:val="15"/>
              </w:rPr>
            </w:pPr>
            <w:r>
              <w:rPr>
                <w:sz w:val="15"/>
              </w:rPr>
              <w:t>(21.207)</w:t>
            </w:r>
          </w:p>
        </w:tc>
        <w:tc>
          <w:tcPr>
            <w:tcW w:w="1045" w:type="dxa"/>
            <w:tcBorders>
              <w:top w:val="nil"/>
              <w:bottom w:val="nil"/>
            </w:tcBorders>
          </w:tcPr>
          <w:p>
            <w:pPr>
              <w:pStyle w:val="TableParagraph"/>
              <w:spacing w:before="18"/>
              <w:ind w:right="22"/>
              <w:rPr>
                <w:sz w:val="15"/>
              </w:rPr>
            </w:pPr>
            <w:r>
              <w:rPr>
                <w:sz w:val="15"/>
              </w:rPr>
              <w:t>(117.605)</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Commissari Giudiziali</w:t>
            </w:r>
          </w:p>
        </w:tc>
        <w:tc>
          <w:tcPr>
            <w:tcW w:w="1006" w:type="dxa"/>
            <w:tcBorders>
              <w:top w:val="nil"/>
              <w:bottom w:val="nil"/>
            </w:tcBorders>
          </w:tcPr>
          <w:p>
            <w:pPr>
              <w:pStyle w:val="TableParagraph"/>
              <w:spacing w:before="18"/>
              <w:ind w:right="22"/>
              <w:rPr>
                <w:sz w:val="15"/>
              </w:rPr>
            </w:pPr>
            <w:r>
              <w:rPr>
                <w:sz w:val="15"/>
              </w:rPr>
              <w:t>(1.321.481)</w:t>
            </w:r>
          </w:p>
        </w:tc>
        <w:tc>
          <w:tcPr>
            <w:tcW w:w="1006" w:type="dxa"/>
            <w:tcBorders>
              <w:top w:val="nil"/>
              <w:bottom w:val="nil"/>
            </w:tcBorders>
          </w:tcPr>
          <w:p>
            <w:pPr>
              <w:pStyle w:val="TableParagraph"/>
              <w:spacing w:before="18"/>
              <w:ind w:right="22"/>
              <w:rPr>
                <w:sz w:val="15"/>
              </w:rPr>
            </w:pPr>
            <w:r>
              <w:rPr>
                <w:sz w:val="15"/>
              </w:rPr>
              <w:t>(66.074)</w:t>
            </w:r>
          </w:p>
        </w:tc>
        <w:tc>
          <w:tcPr>
            <w:tcW w:w="1112" w:type="dxa"/>
            <w:tcBorders>
              <w:top w:val="nil"/>
              <w:bottom w:val="nil"/>
            </w:tcBorders>
          </w:tcPr>
          <w:p>
            <w:pPr>
              <w:pStyle w:val="TableParagraph"/>
              <w:spacing w:before="18"/>
              <w:ind w:right="21"/>
              <w:rPr>
                <w:sz w:val="15"/>
              </w:rPr>
            </w:pPr>
            <w:r>
              <w:rPr>
                <w:sz w:val="15"/>
              </w:rPr>
              <w:t>(55.502)</w:t>
            </w:r>
          </w:p>
        </w:tc>
        <w:tc>
          <w:tcPr>
            <w:tcW w:w="1074" w:type="dxa"/>
            <w:tcBorders>
              <w:top w:val="nil"/>
              <w:bottom w:val="nil"/>
            </w:tcBorders>
          </w:tcPr>
          <w:p>
            <w:pPr>
              <w:pStyle w:val="TableParagraph"/>
              <w:spacing w:before="18"/>
              <w:ind w:right="22"/>
              <w:rPr>
                <w:sz w:val="15"/>
              </w:rPr>
            </w:pPr>
            <w:r>
              <w:rPr>
                <w:sz w:val="15"/>
              </w:rPr>
              <w:t>(317.473)</w:t>
            </w:r>
          </w:p>
        </w:tc>
        <w:tc>
          <w:tcPr>
            <w:tcW w:w="1045" w:type="dxa"/>
            <w:tcBorders>
              <w:top w:val="nil"/>
              <w:bottom w:val="nil"/>
            </w:tcBorders>
          </w:tcPr>
          <w:p>
            <w:pPr>
              <w:pStyle w:val="TableParagraph"/>
              <w:spacing w:before="18"/>
              <w:ind w:right="22"/>
              <w:rPr>
                <w:sz w:val="15"/>
              </w:rPr>
            </w:pPr>
            <w:r>
              <w:rPr>
                <w:sz w:val="15"/>
              </w:rPr>
              <w:t>(1.760.530)</w:t>
            </w:r>
          </w:p>
        </w:tc>
      </w:tr>
      <w:tr>
        <w:trPr>
          <w:trHeight w:val="191" w:hRule="exact"/>
        </w:trPr>
        <w:tc>
          <w:tcPr>
            <w:tcW w:w="3812" w:type="dxa"/>
            <w:tcBorders>
              <w:top w:val="nil"/>
            </w:tcBorders>
          </w:tcPr>
          <w:p>
            <w:pPr>
              <w:pStyle w:val="TableParagraph"/>
              <w:spacing w:before="19"/>
              <w:ind w:left="19"/>
              <w:jc w:val="left"/>
              <w:rPr>
                <w:sz w:val="15"/>
              </w:rPr>
            </w:pPr>
            <w:r>
              <w:rPr>
                <w:w w:val="105"/>
                <w:sz w:val="15"/>
              </w:rPr>
              <w:t>Liquidatore giudiziale</w:t>
            </w:r>
          </w:p>
        </w:tc>
        <w:tc>
          <w:tcPr>
            <w:tcW w:w="1006" w:type="dxa"/>
            <w:tcBorders>
              <w:top w:val="nil"/>
            </w:tcBorders>
          </w:tcPr>
          <w:p>
            <w:pPr>
              <w:pStyle w:val="TableParagraph"/>
              <w:spacing w:before="19"/>
              <w:ind w:right="22"/>
              <w:rPr>
                <w:sz w:val="15"/>
              </w:rPr>
            </w:pPr>
            <w:r>
              <w:rPr>
                <w:sz w:val="15"/>
              </w:rPr>
              <w:t>(635.143)</w:t>
            </w:r>
          </w:p>
        </w:tc>
        <w:tc>
          <w:tcPr>
            <w:tcW w:w="1006" w:type="dxa"/>
            <w:tcBorders>
              <w:top w:val="nil"/>
            </w:tcBorders>
          </w:tcPr>
          <w:p>
            <w:pPr>
              <w:pStyle w:val="TableParagraph"/>
              <w:spacing w:before="19"/>
              <w:ind w:right="22"/>
              <w:rPr>
                <w:sz w:val="15"/>
              </w:rPr>
            </w:pPr>
            <w:r>
              <w:rPr>
                <w:sz w:val="15"/>
              </w:rPr>
              <w:t>(31.757)</w:t>
            </w:r>
          </w:p>
        </w:tc>
        <w:tc>
          <w:tcPr>
            <w:tcW w:w="1112" w:type="dxa"/>
            <w:tcBorders>
              <w:top w:val="nil"/>
            </w:tcBorders>
          </w:tcPr>
          <w:p>
            <w:pPr>
              <w:pStyle w:val="TableParagraph"/>
              <w:spacing w:before="19"/>
              <w:ind w:right="21"/>
              <w:rPr>
                <w:sz w:val="15"/>
              </w:rPr>
            </w:pPr>
            <w:r>
              <w:rPr>
                <w:sz w:val="15"/>
              </w:rPr>
              <w:t>(26.676)</w:t>
            </w:r>
          </w:p>
        </w:tc>
        <w:tc>
          <w:tcPr>
            <w:tcW w:w="1074" w:type="dxa"/>
            <w:tcBorders>
              <w:top w:val="nil"/>
            </w:tcBorders>
          </w:tcPr>
          <w:p>
            <w:pPr>
              <w:pStyle w:val="TableParagraph"/>
              <w:spacing w:before="19"/>
              <w:ind w:right="22"/>
              <w:rPr>
                <w:sz w:val="15"/>
              </w:rPr>
            </w:pPr>
            <w:r>
              <w:rPr>
                <w:sz w:val="15"/>
              </w:rPr>
              <w:t>(152.587)</w:t>
            </w:r>
          </w:p>
        </w:tc>
        <w:tc>
          <w:tcPr>
            <w:tcW w:w="1045" w:type="dxa"/>
            <w:tcBorders>
              <w:top w:val="nil"/>
            </w:tcBorders>
          </w:tcPr>
          <w:p>
            <w:pPr>
              <w:pStyle w:val="TableParagraph"/>
              <w:spacing w:before="19"/>
              <w:ind w:right="22"/>
              <w:rPr>
                <w:sz w:val="15"/>
              </w:rPr>
            </w:pPr>
            <w:r>
              <w:rPr>
                <w:sz w:val="15"/>
              </w:rPr>
              <w:t>(846.164)</w:t>
            </w:r>
          </w:p>
        </w:tc>
      </w:tr>
      <w:tr>
        <w:trPr>
          <w:trHeight w:val="203" w:hRule="exact"/>
        </w:trPr>
        <w:tc>
          <w:tcPr>
            <w:tcW w:w="3812" w:type="dxa"/>
            <w:shd w:val="clear" w:color="auto" w:fill="BEBEBE"/>
          </w:tcPr>
          <w:p>
            <w:pPr>
              <w:pStyle w:val="TableParagraph"/>
              <w:spacing w:before="25"/>
              <w:ind w:left="19"/>
              <w:jc w:val="left"/>
              <w:rPr>
                <w:b/>
                <w:sz w:val="15"/>
              </w:rPr>
            </w:pPr>
            <w:r>
              <w:rPr>
                <w:b/>
                <w:w w:val="105"/>
                <w:sz w:val="15"/>
              </w:rPr>
              <w:t>TOTALE COSTI DI RISTRUTTURAZIONE</w:t>
            </w:r>
          </w:p>
        </w:tc>
        <w:tc>
          <w:tcPr>
            <w:tcW w:w="1006" w:type="dxa"/>
            <w:shd w:val="clear" w:color="auto" w:fill="BEBEBE"/>
          </w:tcPr>
          <w:p>
            <w:pPr>
              <w:pStyle w:val="TableParagraph"/>
              <w:spacing w:before="25"/>
              <w:ind w:right="22"/>
              <w:rPr>
                <w:b/>
                <w:sz w:val="15"/>
              </w:rPr>
            </w:pPr>
            <w:r>
              <w:rPr>
                <w:b/>
                <w:sz w:val="15"/>
              </w:rPr>
              <w:t>(6.020.765)</w:t>
            </w:r>
          </w:p>
        </w:tc>
        <w:tc>
          <w:tcPr>
            <w:tcW w:w="1006" w:type="dxa"/>
            <w:shd w:val="clear" w:color="auto" w:fill="BEBEBE"/>
          </w:tcPr>
          <w:p>
            <w:pPr>
              <w:pStyle w:val="TableParagraph"/>
              <w:spacing w:before="25"/>
              <w:ind w:right="22"/>
              <w:rPr>
                <w:b/>
                <w:sz w:val="15"/>
              </w:rPr>
            </w:pPr>
            <w:r>
              <w:rPr>
                <w:b/>
                <w:w w:val="105"/>
                <w:sz w:val="15"/>
              </w:rPr>
              <w:t>(138.283)</w:t>
            </w:r>
          </w:p>
        </w:tc>
        <w:tc>
          <w:tcPr>
            <w:tcW w:w="1112" w:type="dxa"/>
            <w:shd w:val="clear" w:color="auto" w:fill="BEBEBE"/>
          </w:tcPr>
          <w:p>
            <w:pPr>
              <w:pStyle w:val="TableParagraph"/>
              <w:spacing w:before="25"/>
              <w:ind w:right="22"/>
              <w:rPr>
                <w:b/>
                <w:sz w:val="15"/>
              </w:rPr>
            </w:pPr>
            <w:r>
              <w:rPr>
                <w:b/>
                <w:sz w:val="15"/>
              </w:rPr>
              <w:t>(109.961)</w:t>
            </w:r>
          </w:p>
        </w:tc>
        <w:tc>
          <w:tcPr>
            <w:tcW w:w="1074" w:type="dxa"/>
            <w:shd w:val="clear" w:color="auto" w:fill="BEBEBE"/>
          </w:tcPr>
          <w:p>
            <w:pPr>
              <w:pStyle w:val="TableParagraph"/>
              <w:spacing w:before="25"/>
              <w:ind w:right="21"/>
              <w:rPr>
                <w:b/>
                <w:sz w:val="15"/>
              </w:rPr>
            </w:pPr>
            <w:r>
              <w:rPr>
                <w:b/>
                <w:w w:val="105"/>
                <w:sz w:val="15"/>
              </w:rPr>
              <w:t>(1.379.182)</w:t>
            </w:r>
          </w:p>
        </w:tc>
        <w:tc>
          <w:tcPr>
            <w:tcW w:w="1045" w:type="dxa"/>
            <w:shd w:val="clear" w:color="auto" w:fill="BEBEBE"/>
          </w:tcPr>
          <w:p>
            <w:pPr>
              <w:pStyle w:val="TableParagraph"/>
              <w:spacing w:before="25"/>
              <w:ind w:right="22"/>
              <w:rPr>
                <w:b/>
                <w:sz w:val="15"/>
              </w:rPr>
            </w:pPr>
            <w:r>
              <w:rPr>
                <w:b/>
                <w:w w:val="105"/>
                <w:sz w:val="15"/>
              </w:rPr>
              <w:t>(7.648.191)</w:t>
            </w:r>
          </w:p>
        </w:tc>
      </w:tr>
    </w:tbl>
    <w:p>
      <w:pPr>
        <w:pStyle w:val="BodyText"/>
        <w:rPr>
          <w:sz w:val="20"/>
        </w:rPr>
      </w:pPr>
    </w:p>
    <w:p>
      <w:pPr>
        <w:pStyle w:val="BodyText"/>
        <w:spacing w:before="3"/>
        <w:rPr>
          <w:sz w:val="22"/>
        </w:rPr>
      </w:pPr>
    </w:p>
    <w:p>
      <w:pPr>
        <w:pStyle w:val="BodyText"/>
        <w:ind w:left="1418"/>
        <w:jc w:val="both"/>
      </w:pPr>
      <w:r>
        <w:rPr>
          <w:u w:val="single"/>
        </w:rPr>
        <w:t>Attività svolta</w:t>
      </w:r>
    </w:p>
    <w:p>
      <w:pPr>
        <w:pStyle w:val="BodyText"/>
        <w:spacing w:before="10"/>
        <w:rPr>
          <w:sz w:val="23"/>
        </w:rPr>
      </w:pPr>
    </w:p>
    <w:p>
      <w:pPr>
        <w:spacing w:line="480" w:lineRule="auto" w:before="1"/>
        <w:ind w:left="1418" w:right="1411" w:firstLine="0"/>
        <w:jc w:val="both"/>
        <w:rPr>
          <w:i/>
          <w:sz w:val="24"/>
        </w:rPr>
      </w:pPr>
      <w:r>
        <w:rPr>
          <w:sz w:val="24"/>
        </w:rPr>
        <w:t>Si segnala che l’importo stanziato per i professionisti è al netto degli acconti eventualmente percepiti. Le componenti sono costituite dai compensi per gli </w:t>
      </w:r>
      <w:r>
        <w:rPr>
          <w:i/>
          <w:sz w:val="24"/>
        </w:rPr>
        <w:t>advisors </w:t>
      </w:r>
      <w:r>
        <w:rPr>
          <w:sz w:val="24"/>
        </w:rPr>
        <w:t>le cui lettere d’incarico gli scriventi hanno visionato, nonché dai compensi del Commissario Giudiziale e del Liquidatore Giudiziale stanziati mediante l’applicazione del DM 30/2012 assumendo come valori di base</w:t>
      </w:r>
      <w:r>
        <w:rPr>
          <w:i/>
          <w:sz w:val="24"/>
        </w:rPr>
        <w:t>: (i) </w:t>
      </w:r>
      <w:r>
        <w:rPr>
          <w:i/>
          <w:sz w:val="24"/>
        </w:rPr>
        <w:t>per i Commissari Giudiziali è stato assunto sia il valore dell’attivo sia quello del passivo; -(ii) per il Liquidatore Giudiziale è stato considerato il valore del passivo e quello dell’attivo che si prevede il medesimo professionista realizzerà nell’Arco di Piano (pertanto, l’attivo relativo agli asset riconducibili al Ramo Biochemtex non sarà</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24" w:firstLine="0"/>
        <w:jc w:val="both"/>
        <w:rPr>
          <w:sz w:val="24"/>
        </w:rPr>
      </w:pPr>
      <w:r>
        <w:rPr>
          <w:i/>
          <w:sz w:val="24"/>
        </w:rPr>
        <w:t>assunto alla base del calcolo del suddetto compenso, in quanto il bene in esame sarà ragionevolmente realizzato in </w:t>
      </w:r>
      <w:r>
        <w:rPr>
          <w:i/>
          <w:sz w:val="24"/>
        </w:rPr>
        <w:t>epoca antecedente alla sua nomina)</w:t>
      </w:r>
      <w:r>
        <w:rPr>
          <w:sz w:val="24"/>
        </w:rPr>
        <w:t>, (cfr piano concordatario dell’Advisor Studio Chiaruttini).</w:t>
      </w:r>
    </w:p>
    <w:p>
      <w:pPr>
        <w:pStyle w:val="BodyText"/>
        <w:ind w:left="1418"/>
        <w:jc w:val="both"/>
      </w:pPr>
      <w:r>
        <w:rPr>
          <w:u w:val="single"/>
        </w:rPr>
        <w:t>Valorizzazione concordataria</w:t>
      </w:r>
    </w:p>
    <w:p>
      <w:pPr>
        <w:pStyle w:val="BodyText"/>
      </w:pPr>
    </w:p>
    <w:p>
      <w:pPr>
        <w:pStyle w:val="BodyText"/>
        <w:spacing w:line="480" w:lineRule="auto"/>
        <w:ind w:left="1418" w:right="1419"/>
        <w:jc w:val="both"/>
      </w:pPr>
      <w:r>
        <w:rPr/>
        <w:t>Ai fini della valorizzazione concordataria è stato prudenzialmente inserito un importo compreso nell’intervallo medio-massimo, al lordo della cassa previdenziale e dell’imposta sul valore  aggiunto. Tali costi sono stati classificati in</w:t>
      </w:r>
      <w:r>
        <w:rPr>
          <w:spacing w:val="-17"/>
        </w:rPr>
        <w:t> </w:t>
      </w:r>
      <w:r>
        <w:rPr/>
        <w:t>prededuzione.</w:t>
      </w:r>
    </w:p>
    <w:p>
      <w:pPr>
        <w:pStyle w:val="Heading2"/>
        <w:numPr>
          <w:ilvl w:val="0"/>
          <w:numId w:val="87"/>
        </w:numPr>
        <w:tabs>
          <w:tab w:pos="2126" w:val="left" w:leader="none"/>
          <w:tab w:pos="2127" w:val="left" w:leader="none"/>
        </w:tabs>
        <w:spacing w:line="240" w:lineRule="auto" w:before="0" w:after="0"/>
        <w:ind w:left="2126" w:right="0" w:hanging="348"/>
        <w:jc w:val="left"/>
        <w:rPr>
          <w:rFonts w:ascii="Symbol"/>
          <w:sz w:val="20"/>
        </w:rPr>
      </w:pPr>
      <w:r>
        <w:rPr>
          <w:u w:val="single"/>
        </w:rPr>
        <w:t>Fondi Rischi per Euro</w:t>
      </w:r>
      <w:r>
        <w:rPr>
          <w:spacing w:val="-9"/>
          <w:u w:val="single"/>
        </w:rPr>
        <w:t> </w:t>
      </w:r>
      <w:r>
        <w:rPr>
          <w:u w:val="single"/>
        </w:rPr>
        <w:t>19.091.114</w:t>
      </w:r>
    </w:p>
    <w:p>
      <w:pPr>
        <w:pStyle w:val="BodyText"/>
        <w:spacing w:before="1"/>
        <w:rPr>
          <w:b/>
          <w:sz w:val="15"/>
        </w:rPr>
      </w:pPr>
    </w:p>
    <w:p>
      <w:pPr>
        <w:pStyle w:val="BodyText"/>
        <w:spacing w:before="100"/>
        <w:ind w:left="1418"/>
      </w:pPr>
      <w:r>
        <w:rPr/>
        <w:t>Nella seguente voce trovano allocazione il fondo rischi concordatari di seguito meglio dettagliati:</w:t>
      </w:r>
    </w:p>
    <w:p>
      <w:pPr>
        <w:pStyle w:val="BodyText"/>
        <w:rPr>
          <w:sz w:val="20"/>
        </w:rPr>
      </w:pPr>
    </w:p>
    <w:p>
      <w:pPr>
        <w:pStyle w:val="BodyText"/>
        <w:spacing w:before="9"/>
        <w:rPr>
          <w:sz w:val="21"/>
        </w:rPr>
      </w:pPr>
    </w:p>
    <w:tbl>
      <w:tblPr>
        <w:tblW w:w="0" w:type="auto"/>
        <w:jc w:val="left"/>
        <w:tblInd w:w="1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812"/>
        <w:gridCol w:w="1006"/>
        <w:gridCol w:w="1006"/>
        <w:gridCol w:w="1112"/>
        <w:gridCol w:w="1074"/>
        <w:gridCol w:w="1045"/>
      </w:tblGrid>
      <w:tr>
        <w:trPr>
          <w:trHeight w:val="610" w:hRule="exact"/>
        </w:trPr>
        <w:tc>
          <w:tcPr>
            <w:tcW w:w="3812" w:type="dxa"/>
            <w:shd w:val="clear" w:color="auto" w:fill="BEBEBE"/>
          </w:tcPr>
          <w:p>
            <w:pPr>
              <w:pStyle w:val="TableParagraph"/>
              <w:spacing w:before="3"/>
              <w:jc w:val="left"/>
              <w:rPr>
                <w:sz w:val="20"/>
              </w:rPr>
            </w:pPr>
          </w:p>
          <w:p>
            <w:pPr>
              <w:pStyle w:val="TableParagraph"/>
              <w:spacing w:before="1"/>
              <w:ind w:left="1316" w:right="1315"/>
              <w:jc w:val="center"/>
              <w:rPr>
                <w:b/>
                <w:sz w:val="15"/>
              </w:rPr>
            </w:pPr>
            <w:r>
              <w:rPr>
                <w:b/>
                <w:w w:val="105"/>
                <w:sz w:val="15"/>
              </w:rPr>
              <w:t>DESCRIZIONE</w:t>
            </w:r>
          </w:p>
        </w:tc>
        <w:tc>
          <w:tcPr>
            <w:tcW w:w="1006" w:type="dxa"/>
            <w:shd w:val="clear" w:color="auto" w:fill="BEBEBE"/>
          </w:tcPr>
          <w:p>
            <w:pPr>
              <w:pStyle w:val="TableParagraph"/>
              <w:spacing w:before="3"/>
              <w:jc w:val="left"/>
              <w:rPr>
                <w:sz w:val="20"/>
              </w:rPr>
            </w:pPr>
          </w:p>
          <w:p>
            <w:pPr>
              <w:pStyle w:val="TableParagraph"/>
              <w:spacing w:before="1"/>
              <w:ind w:right="43"/>
              <w:rPr>
                <w:b/>
                <w:sz w:val="15"/>
              </w:rPr>
            </w:pPr>
            <w:r>
              <w:rPr>
                <w:b/>
                <w:sz w:val="15"/>
              </w:rPr>
              <w:t>Prededuzione</w:t>
            </w:r>
          </w:p>
        </w:tc>
        <w:tc>
          <w:tcPr>
            <w:tcW w:w="1006" w:type="dxa"/>
            <w:shd w:val="clear" w:color="auto" w:fill="BEBEBE"/>
          </w:tcPr>
          <w:p>
            <w:pPr>
              <w:pStyle w:val="TableParagraph"/>
              <w:spacing w:before="3"/>
              <w:jc w:val="left"/>
              <w:rPr>
                <w:sz w:val="20"/>
              </w:rPr>
            </w:pPr>
          </w:p>
          <w:p>
            <w:pPr>
              <w:pStyle w:val="TableParagraph"/>
              <w:spacing w:before="1"/>
              <w:ind w:left="184"/>
              <w:jc w:val="left"/>
              <w:rPr>
                <w:b/>
                <w:sz w:val="15"/>
              </w:rPr>
            </w:pPr>
            <w:r>
              <w:rPr>
                <w:b/>
                <w:w w:val="105"/>
                <w:sz w:val="15"/>
              </w:rPr>
              <w:t>Privilegio</w:t>
            </w:r>
          </w:p>
        </w:tc>
        <w:tc>
          <w:tcPr>
            <w:tcW w:w="1112" w:type="dxa"/>
            <w:shd w:val="clear" w:color="auto" w:fill="BEBEBE"/>
          </w:tcPr>
          <w:p>
            <w:pPr>
              <w:pStyle w:val="TableParagraph"/>
              <w:spacing w:before="3"/>
              <w:jc w:val="left"/>
              <w:rPr>
                <w:sz w:val="20"/>
              </w:rPr>
            </w:pPr>
          </w:p>
          <w:p>
            <w:pPr>
              <w:pStyle w:val="TableParagraph"/>
              <w:spacing w:before="1"/>
              <w:ind w:left="106"/>
              <w:jc w:val="left"/>
              <w:rPr>
                <w:b/>
                <w:sz w:val="15"/>
              </w:rPr>
            </w:pPr>
            <w:r>
              <w:rPr>
                <w:b/>
                <w:w w:val="105"/>
                <w:sz w:val="15"/>
              </w:rPr>
              <w:t>Chirografario</w:t>
            </w:r>
          </w:p>
        </w:tc>
        <w:tc>
          <w:tcPr>
            <w:tcW w:w="1074" w:type="dxa"/>
            <w:shd w:val="clear" w:color="auto" w:fill="BEBEBE"/>
          </w:tcPr>
          <w:p>
            <w:pPr>
              <w:pStyle w:val="TableParagraph"/>
              <w:spacing w:line="290" w:lineRule="auto" w:before="122"/>
              <w:ind w:left="174" w:hanging="87"/>
              <w:jc w:val="left"/>
              <w:rPr>
                <w:b/>
                <w:sz w:val="15"/>
              </w:rPr>
            </w:pPr>
            <w:r>
              <w:rPr>
                <w:b/>
                <w:sz w:val="15"/>
              </w:rPr>
              <w:t>Chirografario </w:t>
            </w:r>
            <w:r>
              <w:rPr>
                <w:b/>
                <w:w w:val="105"/>
                <w:sz w:val="15"/>
              </w:rPr>
              <w:t>Postergato</w:t>
            </w:r>
          </w:p>
        </w:tc>
        <w:tc>
          <w:tcPr>
            <w:tcW w:w="1045" w:type="dxa"/>
            <w:shd w:val="clear" w:color="auto" w:fill="BEBEBE"/>
          </w:tcPr>
          <w:p>
            <w:pPr>
              <w:pStyle w:val="TableParagraph"/>
              <w:spacing w:line="288" w:lineRule="auto" w:before="26"/>
              <w:ind w:left="5" w:right="10"/>
              <w:jc w:val="center"/>
              <w:rPr>
                <w:b/>
                <w:sz w:val="15"/>
              </w:rPr>
            </w:pPr>
            <w:r>
              <w:rPr>
                <w:b/>
                <w:w w:val="105"/>
                <w:sz w:val="15"/>
              </w:rPr>
              <w:t>Totale valori di piano concordatario</w:t>
            </w:r>
          </w:p>
        </w:tc>
      </w:tr>
      <w:tr>
        <w:trPr>
          <w:trHeight w:val="215" w:hRule="exact"/>
        </w:trPr>
        <w:tc>
          <w:tcPr>
            <w:tcW w:w="3812" w:type="dxa"/>
            <w:tcBorders>
              <w:bottom w:val="nil"/>
            </w:tcBorders>
          </w:tcPr>
          <w:p>
            <w:pPr>
              <w:pStyle w:val="TableParagraph"/>
              <w:spacing w:before="25"/>
              <w:ind w:left="19"/>
              <w:jc w:val="left"/>
              <w:rPr>
                <w:sz w:val="15"/>
              </w:rPr>
            </w:pPr>
            <w:r>
              <w:rPr>
                <w:w w:val="105"/>
                <w:sz w:val="15"/>
              </w:rPr>
              <w:t>Fondo per Avviso di accertamento n. TS B060100246/2017</w:t>
            </w:r>
          </w:p>
        </w:tc>
        <w:tc>
          <w:tcPr>
            <w:tcW w:w="1006" w:type="dxa"/>
            <w:tcBorders>
              <w:bottom w:val="nil"/>
            </w:tcBorders>
          </w:tcPr>
          <w:p>
            <w:pPr>
              <w:pStyle w:val="TableParagraph"/>
              <w:spacing w:before="25"/>
              <w:ind w:right="133"/>
              <w:rPr>
                <w:sz w:val="15"/>
              </w:rPr>
            </w:pPr>
            <w:r>
              <w:rPr>
                <w:w w:val="103"/>
                <w:sz w:val="15"/>
              </w:rPr>
              <w:t>-</w:t>
            </w:r>
          </w:p>
        </w:tc>
        <w:tc>
          <w:tcPr>
            <w:tcW w:w="1006" w:type="dxa"/>
            <w:tcBorders>
              <w:bottom w:val="nil"/>
            </w:tcBorders>
          </w:tcPr>
          <w:p>
            <w:pPr>
              <w:pStyle w:val="TableParagraph"/>
              <w:spacing w:before="25"/>
              <w:ind w:right="22"/>
              <w:rPr>
                <w:sz w:val="15"/>
              </w:rPr>
            </w:pPr>
            <w:r>
              <w:rPr>
                <w:sz w:val="15"/>
              </w:rPr>
              <w:t>(285.684)</w:t>
            </w:r>
          </w:p>
        </w:tc>
        <w:tc>
          <w:tcPr>
            <w:tcW w:w="1112" w:type="dxa"/>
            <w:tcBorders>
              <w:bottom w:val="nil"/>
            </w:tcBorders>
          </w:tcPr>
          <w:p>
            <w:pPr>
              <w:pStyle w:val="TableParagraph"/>
              <w:spacing w:before="25"/>
              <w:ind w:right="133"/>
              <w:rPr>
                <w:sz w:val="15"/>
              </w:rPr>
            </w:pPr>
            <w:r>
              <w:rPr>
                <w:w w:val="103"/>
                <w:sz w:val="15"/>
              </w:rPr>
              <w:t>-</w:t>
            </w:r>
          </w:p>
        </w:tc>
        <w:tc>
          <w:tcPr>
            <w:tcW w:w="1074" w:type="dxa"/>
            <w:tcBorders>
              <w:bottom w:val="nil"/>
            </w:tcBorders>
          </w:tcPr>
          <w:p>
            <w:pPr>
              <w:pStyle w:val="TableParagraph"/>
              <w:spacing w:before="25"/>
              <w:ind w:right="133"/>
              <w:rPr>
                <w:sz w:val="15"/>
              </w:rPr>
            </w:pPr>
            <w:r>
              <w:rPr>
                <w:w w:val="103"/>
                <w:sz w:val="15"/>
              </w:rPr>
              <w:t>-</w:t>
            </w:r>
          </w:p>
        </w:tc>
        <w:tc>
          <w:tcPr>
            <w:tcW w:w="1045" w:type="dxa"/>
            <w:tcBorders>
              <w:bottom w:val="nil"/>
            </w:tcBorders>
          </w:tcPr>
          <w:p>
            <w:pPr>
              <w:pStyle w:val="TableParagraph"/>
              <w:spacing w:before="25"/>
              <w:ind w:right="22"/>
              <w:rPr>
                <w:sz w:val="15"/>
              </w:rPr>
            </w:pPr>
            <w:r>
              <w:rPr>
                <w:sz w:val="15"/>
              </w:rPr>
              <w:t>(285.684)</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Fondo I.V.A. ottobre 2017 e fondo imposte 2017</w:t>
            </w:r>
          </w:p>
        </w:tc>
        <w:tc>
          <w:tcPr>
            <w:tcW w:w="1006" w:type="dxa"/>
            <w:tcBorders>
              <w:top w:val="nil"/>
              <w:bottom w:val="nil"/>
            </w:tcBorders>
          </w:tcPr>
          <w:p>
            <w:pPr>
              <w:pStyle w:val="TableParagraph"/>
              <w:spacing w:before="18"/>
              <w:ind w:right="22"/>
              <w:rPr>
                <w:sz w:val="15"/>
              </w:rPr>
            </w:pPr>
            <w:r>
              <w:rPr>
                <w:sz w:val="15"/>
              </w:rPr>
              <w:t>(283.121)</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22"/>
              <w:rPr>
                <w:sz w:val="15"/>
              </w:rPr>
            </w:pPr>
            <w:r>
              <w:rPr>
                <w:sz w:val="15"/>
              </w:rPr>
              <w:t>(6.477.189)</w:t>
            </w:r>
          </w:p>
        </w:tc>
        <w:tc>
          <w:tcPr>
            <w:tcW w:w="1045" w:type="dxa"/>
            <w:tcBorders>
              <w:top w:val="nil"/>
              <w:bottom w:val="nil"/>
            </w:tcBorders>
          </w:tcPr>
          <w:p>
            <w:pPr>
              <w:pStyle w:val="TableParagraph"/>
              <w:spacing w:before="18"/>
              <w:ind w:right="23"/>
              <w:rPr>
                <w:sz w:val="15"/>
              </w:rPr>
            </w:pPr>
            <w:r>
              <w:rPr>
                <w:sz w:val="15"/>
              </w:rPr>
              <w:t>(6.760.310)</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Fondo rischi Miur</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22"/>
              <w:rPr>
                <w:sz w:val="15"/>
              </w:rPr>
            </w:pPr>
            <w:r>
              <w:rPr>
                <w:sz w:val="15"/>
              </w:rPr>
              <w:t>(51.464)</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(51.464)</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Fondo interessi legali sul debito privilegiato</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22"/>
              <w:rPr>
                <w:sz w:val="15"/>
              </w:rPr>
            </w:pPr>
            <w:r>
              <w:rPr>
                <w:sz w:val="15"/>
              </w:rPr>
              <w:t>(27.940)</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(27.940)</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Fondo generico (3% elenco creditori)</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23"/>
              <w:rPr>
                <w:sz w:val="15"/>
              </w:rPr>
            </w:pPr>
            <w:r>
              <w:rPr>
                <w:sz w:val="15"/>
              </w:rPr>
              <w:t>(1.000.000)</w:t>
            </w:r>
          </w:p>
        </w:tc>
        <w:tc>
          <w:tcPr>
            <w:tcW w:w="1112" w:type="dxa"/>
            <w:tcBorders>
              <w:top w:val="nil"/>
              <w:bottom w:val="nil"/>
            </w:tcBorders>
          </w:tcPr>
          <w:p>
            <w:pPr>
              <w:pStyle w:val="TableParagraph"/>
              <w:spacing w:before="18"/>
              <w:ind w:right="22"/>
              <w:rPr>
                <w:sz w:val="15"/>
              </w:rPr>
            </w:pPr>
            <w:r>
              <w:rPr>
                <w:sz w:val="15"/>
              </w:rPr>
              <w:t>(4.295.729)</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3"/>
              <w:rPr>
                <w:sz w:val="15"/>
              </w:rPr>
            </w:pPr>
            <w:r>
              <w:rPr>
                <w:sz w:val="15"/>
              </w:rPr>
              <w:t>(5.295.729)</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Fondo garanzie (Safpet fase 1)</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22"/>
              <w:rPr>
                <w:sz w:val="15"/>
              </w:rPr>
            </w:pPr>
            <w:r>
              <w:rPr>
                <w:sz w:val="15"/>
              </w:rPr>
              <w:t>(279.808)</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(279.808)</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Fondo garanzie (Safpet fase 2)</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22"/>
              <w:rPr>
                <w:sz w:val="15"/>
              </w:rPr>
            </w:pPr>
            <w:r>
              <w:rPr>
                <w:sz w:val="15"/>
              </w:rPr>
              <w:t>(2.492.835)</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3"/>
              <w:rPr>
                <w:sz w:val="15"/>
              </w:rPr>
            </w:pPr>
            <w:r>
              <w:rPr>
                <w:sz w:val="15"/>
              </w:rPr>
              <w:t>(2.492.835)</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F.do rischi incasso crediti</w:t>
            </w:r>
          </w:p>
        </w:tc>
        <w:tc>
          <w:tcPr>
            <w:tcW w:w="1006" w:type="dxa"/>
            <w:tcBorders>
              <w:top w:val="nil"/>
              <w:bottom w:val="nil"/>
            </w:tcBorders>
          </w:tcPr>
          <w:p>
            <w:pPr>
              <w:pStyle w:val="TableParagraph"/>
              <w:spacing w:before="18"/>
              <w:ind w:right="22"/>
              <w:rPr>
                <w:sz w:val="15"/>
              </w:rPr>
            </w:pPr>
            <w:r>
              <w:rPr>
                <w:sz w:val="15"/>
              </w:rPr>
              <w:t>(580.000)</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(580.000)</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F.do rischi penalità risoluzioni contrattuali</w:t>
            </w:r>
          </w:p>
        </w:tc>
        <w:tc>
          <w:tcPr>
            <w:tcW w:w="1006" w:type="dxa"/>
            <w:tcBorders>
              <w:top w:val="nil"/>
              <w:bottom w:val="nil"/>
            </w:tcBorders>
          </w:tcPr>
          <w:p>
            <w:pPr>
              <w:pStyle w:val="TableParagraph"/>
              <w:spacing w:before="18"/>
              <w:ind w:right="22"/>
              <w:rPr>
                <w:sz w:val="15"/>
              </w:rPr>
            </w:pPr>
            <w:r>
              <w:rPr>
                <w:sz w:val="15"/>
              </w:rPr>
              <w:t>(24.145)</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(24.145)</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Contenzioso legali contenzioso Grall Bio LLC</w:t>
            </w:r>
          </w:p>
        </w:tc>
        <w:tc>
          <w:tcPr>
            <w:tcW w:w="1006" w:type="dxa"/>
            <w:tcBorders>
              <w:top w:val="nil"/>
              <w:bottom w:val="nil"/>
            </w:tcBorders>
          </w:tcPr>
          <w:p>
            <w:pPr>
              <w:pStyle w:val="TableParagraph"/>
              <w:spacing w:before="18"/>
              <w:ind w:right="22"/>
              <w:rPr>
                <w:sz w:val="15"/>
              </w:rPr>
            </w:pPr>
            <w:r>
              <w:rPr>
                <w:sz w:val="15"/>
              </w:rPr>
              <w:t>(20.964)</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(20.964)</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Contenzioso legali contenzioso Andriz</w:t>
            </w:r>
          </w:p>
        </w:tc>
        <w:tc>
          <w:tcPr>
            <w:tcW w:w="1006" w:type="dxa"/>
            <w:tcBorders>
              <w:top w:val="nil"/>
              <w:bottom w:val="nil"/>
            </w:tcBorders>
          </w:tcPr>
          <w:p>
            <w:pPr>
              <w:pStyle w:val="TableParagraph"/>
              <w:spacing w:before="18"/>
              <w:ind w:right="22"/>
              <w:rPr>
                <w:sz w:val="15"/>
              </w:rPr>
            </w:pPr>
            <w:r>
              <w:rPr>
                <w:sz w:val="15"/>
              </w:rPr>
              <w:t>(683.249)</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133"/>
              <w:rPr>
                <w:sz w:val="15"/>
              </w:rPr>
            </w:pPr>
            <w:r>
              <w:rPr>
                <w:w w:val="103"/>
                <w:sz w:val="15"/>
              </w:rPr>
              <w:t>-</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(683.249)</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Garanzia Roquette</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22"/>
              <w:rPr>
                <w:sz w:val="15"/>
              </w:rPr>
            </w:pPr>
            <w:r>
              <w:rPr>
                <w:sz w:val="15"/>
              </w:rPr>
              <w:t>(639.431)</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(639.431)</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Garanzia Durr</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22"/>
              <w:rPr>
                <w:sz w:val="15"/>
              </w:rPr>
            </w:pPr>
            <w:r>
              <w:rPr>
                <w:sz w:val="15"/>
              </w:rPr>
              <w:t>(1.759.940)</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3"/>
              <w:rPr>
                <w:sz w:val="15"/>
              </w:rPr>
            </w:pPr>
            <w:r>
              <w:rPr>
                <w:sz w:val="15"/>
              </w:rPr>
              <w:t>(1.759.940)</w:t>
            </w:r>
          </w:p>
        </w:tc>
      </w:tr>
      <w:tr>
        <w:trPr>
          <w:trHeight w:val="203" w:hRule="exact"/>
        </w:trPr>
        <w:tc>
          <w:tcPr>
            <w:tcW w:w="3812" w:type="dxa"/>
            <w:tcBorders>
              <w:top w:val="nil"/>
              <w:bottom w:val="nil"/>
            </w:tcBorders>
          </w:tcPr>
          <w:p>
            <w:pPr>
              <w:pStyle w:val="TableParagraph"/>
              <w:spacing w:before="18"/>
              <w:ind w:left="19"/>
              <w:jc w:val="left"/>
              <w:rPr>
                <w:sz w:val="15"/>
              </w:rPr>
            </w:pPr>
            <w:r>
              <w:rPr>
                <w:w w:val="105"/>
                <w:sz w:val="15"/>
              </w:rPr>
              <w:t>Garanzia C5-6 Italy</w:t>
            </w:r>
          </w:p>
        </w:tc>
        <w:tc>
          <w:tcPr>
            <w:tcW w:w="1006" w:type="dxa"/>
            <w:tcBorders>
              <w:top w:val="nil"/>
              <w:bottom w:val="nil"/>
            </w:tcBorders>
          </w:tcPr>
          <w:p>
            <w:pPr>
              <w:pStyle w:val="TableParagraph"/>
              <w:spacing w:before="18"/>
              <w:ind w:right="133"/>
              <w:rPr>
                <w:sz w:val="15"/>
              </w:rPr>
            </w:pPr>
            <w:r>
              <w:rPr>
                <w:w w:val="103"/>
                <w:sz w:val="15"/>
              </w:rPr>
              <w:t>-</w:t>
            </w:r>
          </w:p>
        </w:tc>
        <w:tc>
          <w:tcPr>
            <w:tcW w:w="1006" w:type="dxa"/>
            <w:tcBorders>
              <w:top w:val="nil"/>
              <w:bottom w:val="nil"/>
            </w:tcBorders>
          </w:tcPr>
          <w:p>
            <w:pPr>
              <w:pStyle w:val="TableParagraph"/>
              <w:spacing w:before="18"/>
              <w:ind w:right="133"/>
              <w:rPr>
                <w:sz w:val="15"/>
              </w:rPr>
            </w:pPr>
            <w:r>
              <w:rPr>
                <w:w w:val="103"/>
                <w:sz w:val="15"/>
              </w:rPr>
              <w:t>-</w:t>
            </w:r>
          </w:p>
        </w:tc>
        <w:tc>
          <w:tcPr>
            <w:tcW w:w="1112" w:type="dxa"/>
            <w:tcBorders>
              <w:top w:val="nil"/>
              <w:bottom w:val="nil"/>
            </w:tcBorders>
          </w:tcPr>
          <w:p>
            <w:pPr>
              <w:pStyle w:val="TableParagraph"/>
              <w:spacing w:before="18"/>
              <w:ind w:right="21"/>
              <w:rPr>
                <w:sz w:val="15"/>
              </w:rPr>
            </w:pPr>
            <w:r>
              <w:rPr>
                <w:sz w:val="15"/>
              </w:rPr>
              <w:t>(58.946)</w:t>
            </w:r>
          </w:p>
        </w:tc>
        <w:tc>
          <w:tcPr>
            <w:tcW w:w="1074" w:type="dxa"/>
            <w:tcBorders>
              <w:top w:val="nil"/>
              <w:bottom w:val="nil"/>
            </w:tcBorders>
          </w:tcPr>
          <w:p>
            <w:pPr>
              <w:pStyle w:val="TableParagraph"/>
              <w:spacing w:before="18"/>
              <w:ind w:right="133"/>
              <w:rPr>
                <w:sz w:val="15"/>
              </w:rPr>
            </w:pPr>
            <w:r>
              <w:rPr>
                <w:w w:val="103"/>
                <w:sz w:val="15"/>
              </w:rPr>
              <w:t>-</w:t>
            </w:r>
          </w:p>
        </w:tc>
        <w:tc>
          <w:tcPr>
            <w:tcW w:w="1045" w:type="dxa"/>
            <w:tcBorders>
              <w:top w:val="nil"/>
              <w:bottom w:val="nil"/>
            </w:tcBorders>
          </w:tcPr>
          <w:p>
            <w:pPr>
              <w:pStyle w:val="TableParagraph"/>
              <w:spacing w:before="18"/>
              <w:ind w:right="22"/>
              <w:rPr>
                <w:sz w:val="15"/>
              </w:rPr>
            </w:pPr>
            <w:r>
              <w:rPr>
                <w:sz w:val="15"/>
              </w:rPr>
              <w:t>(58.946)</w:t>
            </w:r>
          </w:p>
        </w:tc>
      </w:tr>
      <w:tr>
        <w:trPr>
          <w:trHeight w:val="192" w:hRule="exact"/>
        </w:trPr>
        <w:tc>
          <w:tcPr>
            <w:tcW w:w="3812" w:type="dxa"/>
            <w:tcBorders>
              <w:top w:val="nil"/>
            </w:tcBorders>
          </w:tcPr>
          <w:p>
            <w:pPr>
              <w:pStyle w:val="TableParagraph"/>
              <w:spacing w:before="18"/>
              <w:ind w:left="19"/>
              <w:jc w:val="left"/>
              <w:rPr>
                <w:sz w:val="15"/>
              </w:rPr>
            </w:pPr>
            <w:r>
              <w:rPr>
                <w:w w:val="105"/>
                <w:sz w:val="15"/>
              </w:rPr>
              <w:t>Garanzia Hepta</w:t>
            </w:r>
          </w:p>
        </w:tc>
        <w:tc>
          <w:tcPr>
            <w:tcW w:w="1006" w:type="dxa"/>
            <w:tcBorders>
              <w:top w:val="nil"/>
            </w:tcBorders>
          </w:tcPr>
          <w:p>
            <w:pPr>
              <w:pStyle w:val="TableParagraph"/>
              <w:spacing w:before="18"/>
              <w:ind w:right="133"/>
              <w:rPr>
                <w:sz w:val="15"/>
              </w:rPr>
            </w:pPr>
            <w:r>
              <w:rPr>
                <w:w w:val="103"/>
                <w:sz w:val="15"/>
              </w:rPr>
              <w:t>-</w:t>
            </w:r>
          </w:p>
        </w:tc>
        <w:tc>
          <w:tcPr>
            <w:tcW w:w="1006" w:type="dxa"/>
            <w:tcBorders>
              <w:top w:val="nil"/>
            </w:tcBorders>
          </w:tcPr>
          <w:p>
            <w:pPr>
              <w:pStyle w:val="TableParagraph"/>
              <w:spacing w:before="18"/>
              <w:ind w:right="133"/>
              <w:rPr>
                <w:sz w:val="15"/>
              </w:rPr>
            </w:pPr>
            <w:r>
              <w:rPr>
                <w:w w:val="103"/>
                <w:sz w:val="15"/>
              </w:rPr>
              <w:t>-</w:t>
            </w:r>
          </w:p>
        </w:tc>
        <w:tc>
          <w:tcPr>
            <w:tcW w:w="1112" w:type="dxa"/>
            <w:tcBorders>
              <w:top w:val="nil"/>
            </w:tcBorders>
          </w:tcPr>
          <w:p>
            <w:pPr>
              <w:pStyle w:val="TableParagraph"/>
              <w:spacing w:before="18"/>
              <w:ind w:right="22"/>
              <w:rPr>
                <w:sz w:val="15"/>
              </w:rPr>
            </w:pPr>
            <w:r>
              <w:rPr>
                <w:sz w:val="15"/>
              </w:rPr>
              <w:t>(130.669)</w:t>
            </w:r>
          </w:p>
        </w:tc>
        <w:tc>
          <w:tcPr>
            <w:tcW w:w="1074" w:type="dxa"/>
            <w:tcBorders>
              <w:top w:val="nil"/>
            </w:tcBorders>
          </w:tcPr>
          <w:p>
            <w:pPr>
              <w:pStyle w:val="TableParagraph"/>
              <w:spacing w:before="18"/>
              <w:ind w:right="133"/>
              <w:rPr>
                <w:sz w:val="15"/>
              </w:rPr>
            </w:pPr>
            <w:r>
              <w:rPr>
                <w:w w:val="103"/>
                <w:sz w:val="15"/>
              </w:rPr>
              <w:t>-</w:t>
            </w:r>
          </w:p>
        </w:tc>
        <w:tc>
          <w:tcPr>
            <w:tcW w:w="1045" w:type="dxa"/>
            <w:tcBorders>
              <w:top w:val="nil"/>
            </w:tcBorders>
          </w:tcPr>
          <w:p>
            <w:pPr>
              <w:pStyle w:val="TableParagraph"/>
              <w:spacing w:before="18"/>
              <w:ind w:right="22"/>
              <w:rPr>
                <w:sz w:val="15"/>
              </w:rPr>
            </w:pPr>
            <w:r>
              <w:rPr>
                <w:sz w:val="15"/>
              </w:rPr>
              <w:t>(130.669)</w:t>
            </w:r>
          </w:p>
        </w:tc>
      </w:tr>
      <w:tr>
        <w:trPr>
          <w:trHeight w:val="203" w:hRule="exact"/>
        </w:trPr>
        <w:tc>
          <w:tcPr>
            <w:tcW w:w="3812" w:type="dxa"/>
            <w:shd w:val="clear" w:color="auto" w:fill="BEBEBE"/>
          </w:tcPr>
          <w:p>
            <w:pPr>
              <w:pStyle w:val="TableParagraph"/>
              <w:spacing w:before="25"/>
              <w:ind w:left="19"/>
              <w:jc w:val="left"/>
              <w:rPr>
                <w:b/>
                <w:sz w:val="15"/>
              </w:rPr>
            </w:pPr>
            <w:r>
              <w:rPr>
                <w:b/>
                <w:w w:val="105"/>
                <w:sz w:val="15"/>
              </w:rPr>
              <w:t>TOTALE FONDI RISCHI</w:t>
            </w:r>
          </w:p>
        </w:tc>
        <w:tc>
          <w:tcPr>
            <w:tcW w:w="1006" w:type="dxa"/>
            <w:shd w:val="clear" w:color="auto" w:fill="BEBEBE"/>
          </w:tcPr>
          <w:p>
            <w:pPr>
              <w:pStyle w:val="TableParagraph"/>
              <w:spacing w:before="25"/>
              <w:ind w:right="22"/>
              <w:rPr>
                <w:b/>
                <w:sz w:val="15"/>
              </w:rPr>
            </w:pPr>
            <w:r>
              <w:rPr>
                <w:b/>
                <w:sz w:val="15"/>
              </w:rPr>
              <w:t>(1.591.479)</w:t>
            </w:r>
          </w:p>
        </w:tc>
        <w:tc>
          <w:tcPr>
            <w:tcW w:w="1006" w:type="dxa"/>
            <w:shd w:val="clear" w:color="auto" w:fill="BEBEBE"/>
          </w:tcPr>
          <w:p>
            <w:pPr>
              <w:pStyle w:val="TableParagraph"/>
              <w:spacing w:before="25"/>
              <w:ind w:right="22"/>
              <w:rPr>
                <w:b/>
                <w:sz w:val="15"/>
              </w:rPr>
            </w:pPr>
            <w:r>
              <w:rPr>
                <w:b/>
                <w:w w:val="105"/>
                <w:sz w:val="15"/>
              </w:rPr>
              <w:t>(1.365.088)</w:t>
            </w:r>
          </w:p>
        </w:tc>
        <w:tc>
          <w:tcPr>
            <w:tcW w:w="1112" w:type="dxa"/>
            <w:shd w:val="clear" w:color="auto" w:fill="BEBEBE"/>
          </w:tcPr>
          <w:p>
            <w:pPr>
              <w:pStyle w:val="TableParagraph"/>
              <w:spacing w:before="25"/>
              <w:ind w:right="22"/>
              <w:rPr>
                <w:b/>
                <w:sz w:val="15"/>
              </w:rPr>
            </w:pPr>
            <w:r>
              <w:rPr>
                <w:b/>
                <w:sz w:val="15"/>
              </w:rPr>
              <w:t>(9.657.358)</w:t>
            </w:r>
          </w:p>
        </w:tc>
        <w:tc>
          <w:tcPr>
            <w:tcW w:w="1074" w:type="dxa"/>
            <w:shd w:val="clear" w:color="auto" w:fill="BEBEBE"/>
          </w:tcPr>
          <w:p>
            <w:pPr>
              <w:pStyle w:val="TableParagraph"/>
              <w:spacing w:before="25"/>
              <w:ind w:right="22"/>
              <w:rPr>
                <w:b/>
                <w:sz w:val="15"/>
              </w:rPr>
            </w:pPr>
            <w:r>
              <w:rPr>
                <w:b/>
                <w:w w:val="105"/>
                <w:sz w:val="15"/>
              </w:rPr>
              <w:t>(6.477.189)</w:t>
            </w:r>
          </w:p>
        </w:tc>
        <w:tc>
          <w:tcPr>
            <w:tcW w:w="1045" w:type="dxa"/>
            <w:shd w:val="clear" w:color="auto" w:fill="BEBEBE"/>
          </w:tcPr>
          <w:p>
            <w:pPr>
              <w:pStyle w:val="TableParagraph"/>
              <w:spacing w:before="25"/>
              <w:ind w:right="22"/>
              <w:rPr>
                <w:b/>
                <w:sz w:val="15"/>
              </w:rPr>
            </w:pPr>
            <w:r>
              <w:rPr>
                <w:b/>
                <w:sz w:val="15"/>
              </w:rPr>
              <w:t>(19.091.114)</w:t>
            </w:r>
          </w:p>
        </w:tc>
      </w:tr>
    </w:tbl>
    <w:p>
      <w:pPr>
        <w:pStyle w:val="BodyText"/>
        <w:rPr>
          <w:sz w:val="20"/>
        </w:rPr>
      </w:pPr>
    </w:p>
    <w:p>
      <w:pPr>
        <w:pStyle w:val="BodyText"/>
        <w:spacing w:before="1"/>
        <w:rPr>
          <w:sz w:val="22"/>
        </w:rPr>
      </w:pPr>
    </w:p>
    <w:p>
      <w:pPr>
        <w:pStyle w:val="Heading2"/>
        <w:numPr>
          <w:ilvl w:val="0"/>
          <w:numId w:val="87"/>
        </w:numPr>
        <w:tabs>
          <w:tab w:pos="2126" w:val="left" w:leader="none"/>
          <w:tab w:pos="2127" w:val="left" w:leader="none"/>
        </w:tabs>
        <w:spacing w:line="240" w:lineRule="auto" w:before="1" w:after="0"/>
        <w:ind w:left="2126" w:right="0" w:hanging="348"/>
        <w:jc w:val="left"/>
        <w:rPr>
          <w:rFonts w:ascii="Symbol"/>
          <w:sz w:val="18"/>
        </w:rPr>
      </w:pPr>
      <w:r>
        <w:rPr>
          <w:u w:val="single"/>
        </w:rPr>
        <w:t>Fondo per avviso di accertamento per Euro</w:t>
      </w:r>
      <w:r>
        <w:rPr>
          <w:spacing w:val="-15"/>
          <w:u w:val="single"/>
        </w:rPr>
        <w:t> </w:t>
      </w:r>
      <w:r>
        <w:rPr>
          <w:u w:val="single"/>
        </w:rPr>
        <w:t>285.684</w:t>
      </w:r>
    </w:p>
    <w:p>
      <w:pPr>
        <w:pStyle w:val="BodyText"/>
        <w:rPr>
          <w:b/>
        </w:rPr>
      </w:pPr>
    </w:p>
    <w:p>
      <w:pPr>
        <w:pStyle w:val="BodyText"/>
        <w:spacing w:line="480" w:lineRule="auto"/>
        <w:ind w:left="1418" w:right="1415"/>
        <w:jc w:val="both"/>
      </w:pPr>
      <w:r>
        <w:rPr/>
        <w:t>In tale fondo sono stati rilevati gli importi relativi ad un avviso di accertamento ricevuto dalla ricorrente in data 19.12.2017, numero di protocollo TSB0601002462017, per l’anno di imposta 2012, relativo a IVA per un importo di Euro 283.684, maggiorato di interessi e sanzioni, per arrivare ad un ammontare complessivo di Euro 623.719. Si riporta la risposta di circolarizzazione, datata 23 marzo 2018, dello Studio Legale Tributario (EY) incaricato dalla ricorrente di portare  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spacing w:line="480" w:lineRule="auto" w:before="100"/>
        <w:ind w:left="1418" w:right="1414" w:firstLine="0"/>
        <w:jc w:val="left"/>
        <w:rPr>
          <w:sz w:val="24"/>
        </w:rPr>
      </w:pPr>
      <w:r>
        <w:rPr>
          <w:sz w:val="24"/>
        </w:rPr>
        <w:t>termine l’accertamento con adesione con l’Agenzia delle Entrate: “</w:t>
      </w:r>
      <w:r>
        <w:rPr>
          <w:i/>
          <w:sz w:val="24"/>
        </w:rPr>
        <w:t>In data 19 dicembre 2017 </w:t>
      </w:r>
      <w:r>
        <w:rPr>
          <w:i/>
          <w:sz w:val="24"/>
        </w:rPr>
        <w:t>l’Agenzia delle Entrate – Direzione Regionale Piemonte ha notificato a Biochemtex l’avviso di accertamento n. TSB060100246, concernente l’anno 2012. La Società, ritenendo di aver effettuato nell’anno di imposta 2011 esportazioni superiori al 10% del volume di affari (e pertanto, ritenendo di avere la qualifica di esportatore abituale), ha effettuato importazioni senza il pagamento dell’IVA nel corso del 2012. Secondo la DR, dall’analisi della dichiarazione IVA per l’anno 2011, è emerso che Biochemtex non aveva effettuato operazioni (che costituiscono il cosiddetto plafond), superiori al 10% del volume d’affari ragion per cui essa non aveva lo status di esportatore abituale ed aveva indebitamene effettuato acquisti senza applicazione dell’IVA per l’anno di  imposta 2012. Con il citato provvedimento, pertanto, l’Ufficio contesta l’indebito utilizzo del plafond IVA in assenza dei presupposti di legge, accertando una maggiore imposta pari ad Euro 283.684,00 (oltre interessi pari ad Euro 54.342,97) ed irrogando una sanzione di pari importo, per un ammontare complessivo di Euro 623.719,72. Tale avviso è fondato ma al fine di ottenere una riduzione delle sanzioni e discutere con l’Ufficio  circa la possibilità di compensare l’imposta dovuta, la Società in data 1° febbraio 2018 ha presentato apposita istanza di accertamento con adesione. Ad oggi i termini per il raggiungimento dell’accordo sono ancora in corso.” </w:t>
      </w:r>
      <w:r>
        <w:rPr>
          <w:sz w:val="24"/>
        </w:rPr>
        <w:t>Gli scriventi hanno preso inoltre visione della memoria per accertamento con adesione redatta in data 19 marzo 2018 da EY ove viene richiesto la compensazione dell’imposta dovuta con credito IVA della società e si propone il pagamento delle sanzioni ridotte a</w:t>
      </w:r>
      <w:r>
        <w:rPr>
          <w:spacing w:val="-31"/>
          <w:sz w:val="24"/>
        </w:rPr>
        <w:t> </w:t>
      </w:r>
      <w:r>
        <w:rPr>
          <w:sz w:val="24"/>
        </w:rPr>
        <w:t>1/3.</w:t>
      </w:r>
    </w:p>
    <w:p>
      <w:pPr>
        <w:pStyle w:val="BodyText"/>
        <w:ind w:left="1418"/>
      </w:pPr>
      <w:r>
        <w:rPr>
          <w:u w:val="single"/>
        </w:rPr>
        <w:t>Attività svolta</w:t>
      </w:r>
    </w:p>
    <w:p>
      <w:pPr>
        <w:pStyle w:val="BodyText"/>
        <w:spacing w:before="1"/>
        <w:rPr>
          <w:sz w:val="15"/>
        </w:rPr>
      </w:pPr>
    </w:p>
    <w:p>
      <w:pPr>
        <w:pStyle w:val="BodyText"/>
        <w:spacing w:line="480" w:lineRule="auto" w:before="101"/>
        <w:ind w:left="1418" w:right="1415"/>
        <w:jc w:val="both"/>
      </w:pPr>
      <w:r>
        <w:rPr/>
        <w:t>Gli scriventi hanno preso visione dei carichi pendenti della società, dell’avviso di accertamento IVA 2012, della memoria di accertamento con adesione e della risposta del fiscalista SLT EY che si occupa della pratica.</w:t>
      </w:r>
    </w:p>
    <w:p>
      <w:pPr>
        <w:pStyle w:val="BodyText"/>
        <w:ind w:left="1418"/>
        <w:jc w:val="both"/>
      </w:pPr>
      <w:r>
        <w:rPr>
          <w:u w:val="single"/>
        </w:rPr>
        <w:t>Valorizzazione concordataria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Ai fini del piano concordatario la Società ha stanziato nel fondo complessivi Euro  285.684 a titolo di imposta in via privilegiata ex art. 2752 c.2 cc. Si precisa che l’importo dovuto a titolo di sanzione ed interesse è stato stanziato nei debiti tributari per Euro 142.787 ipotizzando implicitamente l’adesione dell’accertamento. Gli scriventi considerano pertanto il fondo capiente.</w:t>
      </w:r>
    </w:p>
    <w:p>
      <w:pPr>
        <w:pStyle w:val="Heading2"/>
        <w:numPr>
          <w:ilvl w:val="0"/>
          <w:numId w:val="89"/>
        </w:numPr>
        <w:tabs>
          <w:tab w:pos="2061" w:val="left" w:leader="none"/>
          <w:tab w:pos="2062" w:val="left" w:leader="none"/>
        </w:tabs>
        <w:spacing w:line="240" w:lineRule="auto" w:before="0" w:after="0"/>
        <w:ind w:left="2062" w:right="0" w:hanging="360"/>
        <w:jc w:val="left"/>
      </w:pPr>
      <w:r>
        <w:rPr>
          <w:u w:val="single"/>
        </w:rPr>
        <w:t>Fondo imposte 2017 per Euro</w:t>
      </w:r>
      <w:r>
        <w:rPr>
          <w:spacing w:val="-13"/>
          <w:u w:val="single"/>
        </w:rPr>
        <w:t> </w:t>
      </w:r>
      <w:r>
        <w:rPr>
          <w:u w:val="single"/>
        </w:rPr>
        <w:t>6.760.310</w:t>
      </w:r>
    </w:p>
    <w:p>
      <w:pPr>
        <w:pStyle w:val="BodyText"/>
        <w:spacing w:before="1"/>
        <w:rPr>
          <w:b/>
          <w:sz w:val="15"/>
        </w:rPr>
      </w:pPr>
    </w:p>
    <w:p>
      <w:pPr>
        <w:pStyle w:val="BodyText"/>
        <w:spacing w:line="480" w:lineRule="auto" w:before="101"/>
        <w:ind w:left="1418" w:right="1518"/>
      </w:pPr>
      <w:r>
        <w:rPr/>
        <w:t>In tale fondo sono stanziate le imposte IRES e IRAP previste per il periodo 2017 e l’IVA a  debito (IRAP per Euro 283.121, IRES per Euro 6.348.436, IVA per Euro</w:t>
      </w:r>
      <w:r>
        <w:rPr>
          <w:spacing w:val="-24"/>
        </w:rPr>
        <w:t> </w:t>
      </w:r>
      <w:r>
        <w:rPr/>
        <w:t>128.753).</w:t>
      </w:r>
    </w:p>
    <w:p>
      <w:pPr>
        <w:pStyle w:val="BodyText"/>
        <w:spacing w:line="480" w:lineRule="auto"/>
        <w:ind w:left="1418" w:right="1518"/>
      </w:pPr>
      <w:r>
        <w:rPr/>
        <w:t>Di seguito si riporta il calcolo del reddito imponibile alle date del 15 ottobre 2017 e 31 dicembre 2017 con le imposte dovute a titolo di IRES.</w:t>
      </w:r>
    </w:p>
    <w:p>
      <w:pPr>
        <w:pStyle w:val="BodyText"/>
        <w:spacing w:before="9"/>
        <w:rPr>
          <w:sz w:val="21"/>
        </w:rPr>
      </w:pPr>
    </w:p>
    <w:tbl>
      <w:tblPr>
        <w:tblW w:w="0" w:type="auto"/>
        <w:jc w:val="left"/>
        <w:tblInd w:w="3087"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top w:w="0" w:type="dxa"/>
          <w:left w:w="0" w:type="dxa"/>
          <w:bottom w:w="0" w:type="dxa"/>
          <w:right w:w="0" w:type="dxa"/>
        </w:tblCellMar>
        <w:tblLook w:val="01E0"/>
      </w:tblPr>
      <w:tblGrid>
        <w:gridCol w:w="2637"/>
        <w:gridCol w:w="1542"/>
        <w:gridCol w:w="1542"/>
      </w:tblGrid>
      <w:tr>
        <w:trPr>
          <w:trHeight w:val="743" w:hRule="exact"/>
        </w:trPr>
        <w:tc>
          <w:tcPr>
            <w:tcW w:w="2637" w:type="dxa"/>
            <w:shd w:val="clear" w:color="auto" w:fill="BEBEBE"/>
          </w:tcPr>
          <w:p>
            <w:pPr>
              <w:pStyle w:val="TableParagraph"/>
              <w:spacing w:before="3"/>
              <w:jc w:val="left"/>
              <w:rPr>
                <w:sz w:val="24"/>
              </w:rPr>
            </w:pPr>
          </w:p>
          <w:p>
            <w:pPr>
              <w:pStyle w:val="TableParagraph"/>
              <w:spacing w:before="0"/>
              <w:ind w:left="957" w:right="961"/>
              <w:jc w:val="center"/>
              <w:rPr>
                <w:b/>
                <w:sz w:val="19"/>
              </w:rPr>
            </w:pPr>
            <w:r>
              <w:rPr>
                <w:b/>
                <w:sz w:val="19"/>
              </w:rPr>
              <w:t>Imposte</w:t>
            </w:r>
          </w:p>
        </w:tc>
        <w:tc>
          <w:tcPr>
            <w:tcW w:w="1542" w:type="dxa"/>
            <w:shd w:val="clear" w:color="auto" w:fill="BEBEBE"/>
          </w:tcPr>
          <w:p>
            <w:pPr>
              <w:pStyle w:val="TableParagraph"/>
              <w:spacing w:line="278" w:lineRule="auto" w:before="25"/>
              <w:ind w:left="376" w:right="358" w:hanging="36"/>
              <w:jc w:val="both"/>
              <w:rPr>
                <w:b/>
                <w:sz w:val="19"/>
              </w:rPr>
            </w:pPr>
            <w:r>
              <w:rPr>
                <w:b/>
                <w:w w:val="95"/>
                <w:sz w:val="19"/>
              </w:rPr>
              <w:t>Situazione </w:t>
            </w:r>
            <w:r>
              <w:rPr>
                <w:b/>
                <w:sz w:val="19"/>
              </w:rPr>
              <w:t>contabile 15.10.2017</w:t>
            </w:r>
          </w:p>
        </w:tc>
        <w:tc>
          <w:tcPr>
            <w:tcW w:w="1542" w:type="dxa"/>
            <w:shd w:val="clear" w:color="auto" w:fill="BEBEBE"/>
          </w:tcPr>
          <w:p>
            <w:pPr>
              <w:pStyle w:val="TableParagraph"/>
              <w:spacing w:line="278" w:lineRule="auto" w:before="25"/>
              <w:ind w:left="376" w:right="358" w:hanging="36"/>
              <w:jc w:val="both"/>
              <w:rPr>
                <w:b/>
                <w:sz w:val="19"/>
              </w:rPr>
            </w:pPr>
            <w:r>
              <w:rPr>
                <w:b/>
                <w:w w:val="95"/>
                <w:sz w:val="19"/>
              </w:rPr>
              <w:t>Situazione </w:t>
            </w:r>
            <w:r>
              <w:rPr>
                <w:b/>
                <w:sz w:val="19"/>
              </w:rPr>
              <w:t>contabile 31.12.2017</w:t>
            </w:r>
          </w:p>
        </w:tc>
      </w:tr>
      <w:tr>
        <w:trPr>
          <w:trHeight w:val="262" w:hRule="exact"/>
        </w:trPr>
        <w:tc>
          <w:tcPr>
            <w:tcW w:w="2637" w:type="dxa"/>
            <w:tcBorders>
              <w:bottom w:val="nil"/>
            </w:tcBorders>
          </w:tcPr>
          <w:p>
            <w:pPr>
              <w:pStyle w:val="TableParagraph"/>
              <w:spacing w:before="25"/>
              <w:ind w:left="23"/>
              <w:jc w:val="left"/>
              <w:rPr>
                <w:sz w:val="19"/>
              </w:rPr>
            </w:pPr>
            <w:r>
              <w:rPr>
                <w:sz w:val="19"/>
              </w:rPr>
              <w:t>Risultato d'esercizio ante imposte</w:t>
            </w:r>
          </w:p>
        </w:tc>
        <w:tc>
          <w:tcPr>
            <w:tcW w:w="1542" w:type="dxa"/>
            <w:tcBorders>
              <w:bottom w:val="nil"/>
            </w:tcBorders>
          </w:tcPr>
          <w:p>
            <w:pPr>
              <w:pStyle w:val="TableParagraph"/>
              <w:spacing w:before="25"/>
              <w:ind w:right="29"/>
              <w:rPr>
                <w:sz w:val="19"/>
              </w:rPr>
            </w:pPr>
            <w:r>
              <w:rPr>
                <w:w w:val="95"/>
                <w:sz w:val="19"/>
              </w:rPr>
              <w:t>(169.140.452)</w:t>
            </w:r>
          </w:p>
        </w:tc>
        <w:tc>
          <w:tcPr>
            <w:tcW w:w="1542" w:type="dxa"/>
            <w:tcBorders>
              <w:bottom w:val="nil"/>
            </w:tcBorders>
          </w:tcPr>
          <w:p>
            <w:pPr>
              <w:pStyle w:val="TableParagraph"/>
              <w:spacing w:before="25"/>
              <w:ind w:right="29"/>
              <w:rPr>
                <w:sz w:val="19"/>
              </w:rPr>
            </w:pPr>
            <w:r>
              <w:rPr>
                <w:w w:val="95"/>
                <w:sz w:val="19"/>
              </w:rPr>
              <w:t>(170.259.174)</w:t>
            </w:r>
          </w:p>
        </w:tc>
      </w:tr>
      <w:tr>
        <w:trPr>
          <w:trHeight w:val="248" w:hRule="exact"/>
        </w:trPr>
        <w:tc>
          <w:tcPr>
            <w:tcW w:w="2637" w:type="dxa"/>
            <w:tcBorders>
              <w:top w:val="nil"/>
              <w:bottom w:val="nil"/>
            </w:tcBorders>
          </w:tcPr>
          <w:p>
            <w:pPr>
              <w:pStyle w:val="TableParagraph"/>
              <w:spacing w:before="16"/>
              <w:ind w:left="23"/>
              <w:jc w:val="left"/>
              <w:rPr>
                <w:sz w:val="19"/>
              </w:rPr>
            </w:pPr>
            <w:r>
              <w:rPr>
                <w:sz w:val="19"/>
              </w:rPr>
              <w:t>Totale variazioni in aumento</w:t>
            </w:r>
          </w:p>
        </w:tc>
        <w:tc>
          <w:tcPr>
            <w:tcW w:w="1542" w:type="dxa"/>
            <w:tcBorders>
              <w:top w:val="nil"/>
              <w:bottom w:val="nil"/>
            </w:tcBorders>
          </w:tcPr>
          <w:p>
            <w:pPr>
              <w:pStyle w:val="TableParagraph"/>
              <w:spacing w:before="16"/>
              <w:ind w:right="30"/>
              <w:rPr>
                <w:sz w:val="19"/>
              </w:rPr>
            </w:pPr>
            <w:r>
              <w:rPr>
                <w:sz w:val="19"/>
              </w:rPr>
              <w:t>199.356.809</w:t>
            </w:r>
          </w:p>
        </w:tc>
        <w:tc>
          <w:tcPr>
            <w:tcW w:w="1542" w:type="dxa"/>
            <w:tcBorders>
              <w:top w:val="nil"/>
              <w:bottom w:val="nil"/>
            </w:tcBorders>
          </w:tcPr>
          <w:p>
            <w:pPr>
              <w:pStyle w:val="TableParagraph"/>
              <w:spacing w:before="16"/>
              <w:ind w:right="30"/>
              <w:rPr>
                <w:sz w:val="19"/>
              </w:rPr>
            </w:pPr>
            <w:r>
              <w:rPr>
                <w:sz w:val="19"/>
              </w:rPr>
              <w:t>202.006.852</w:t>
            </w:r>
          </w:p>
        </w:tc>
      </w:tr>
      <w:tr>
        <w:trPr>
          <w:trHeight w:val="233" w:hRule="exact"/>
        </w:trPr>
        <w:tc>
          <w:tcPr>
            <w:tcW w:w="2637" w:type="dxa"/>
            <w:tcBorders>
              <w:top w:val="nil"/>
            </w:tcBorders>
          </w:tcPr>
          <w:p>
            <w:pPr>
              <w:pStyle w:val="TableParagraph"/>
              <w:spacing w:before="16"/>
              <w:ind w:left="23"/>
              <w:jc w:val="left"/>
              <w:rPr>
                <w:sz w:val="19"/>
              </w:rPr>
            </w:pPr>
            <w:r>
              <w:rPr>
                <w:sz w:val="19"/>
              </w:rPr>
              <w:t>Totale variazioni in diminuzione</w:t>
            </w:r>
          </w:p>
        </w:tc>
        <w:tc>
          <w:tcPr>
            <w:tcW w:w="1542" w:type="dxa"/>
            <w:tcBorders>
              <w:top w:val="nil"/>
            </w:tcBorders>
          </w:tcPr>
          <w:p>
            <w:pPr>
              <w:pStyle w:val="TableParagraph"/>
              <w:spacing w:before="16"/>
              <w:ind w:right="28"/>
              <w:rPr>
                <w:sz w:val="19"/>
              </w:rPr>
            </w:pPr>
            <w:r>
              <w:rPr>
                <w:w w:val="95"/>
                <w:sz w:val="19"/>
              </w:rPr>
              <w:t>(4.631.265)</w:t>
            </w:r>
          </w:p>
        </w:tc>
        <w:tc>
          <w:tcPr>
            <w:tcW w:w="1542" w:type="dxa"/>
            <w:tcBorders>
              <w:top w:val="nil"/>
            </w:tcBorders>
          </w:tcPr>
          <w:p>
            <w:pPr>
              <w:pStyle w:val="TableParagraph"/>
              <w:spacing w:before="16"/>
              <w:ind w:right="28"/>
              <w:rPr>
                <w:sz w:val="19"/>
              </w:rPr>
            </w:pPr>
            <w:r>
              <w:rPr>
                <w:w w:val="95"/>
                <w:sz w:val="19"/>
              </w:rPr>
              <w:t>(5.295.863)</w:t>
            </w:r>
          </w:p>
        </w:tc>
      </w:tr>
      <w:tr>
        <w:trPr>
          <w:trHeight w:val="248" w:hRule="exact"/>
        </w:trPr>
        <w:tc>
          <w:tcPr>
            <w:tcW w:w="2637" w:type="dxa"/>
            <w:shd w:val="clear" w:color="auto" w:fill="D9D9D9"/>
          </w:tcPr>
          <w:p>
            <w:pPr>
              <w:pStyle w:val="TableParagraph"/>
              <w:spacing w:before="25"/>
              <w:ind w:left="23"/>
              <w:jc w:val="left"/>
              <w:rPr>
                <w:b/>
                <w:sz w:val="19"/>
              </w:rPr>
            </w:pPr>
            <w:r>
              <w:rPr>
                <w:b/>
                <w:sz w:val="19"/>
              </w:rPr>
              <w:t>Imponibile</w:t>
            </w:r>
          </w:p>
        </w:tc>
        <w:tc>
          <w:tcPr>
            <w:tcW w:w="1542" w:type="dxa"/>
            <w:shd w:val="clear" w:color="auto" w:fill="D9D9D9"/>
          </w:tcPr>
          <w:p>
            <w:pPr>
              <w:pStyle w:val="TableParagraph"/>
              <w:spacing w:before="25"/>
              <w:ind w:right="30"/>
              <w:rPr>
                <w:b/>
                <w:sz w:val="19"/>
              </w:rPr>
            </w:pPr>
            <w:r>
              <w:rPr>
                <w:b/>
                <w:sz w:val="19"/>
              </w:rPr>
              <w:t>25.585.092</w:t>
            </w:r>
          </w:p>
        </w:tc>
        <w:tc>
          <w:tcPr>
            <w:tcW w:w="1542" w:type="dxa"/>
            <w:shd w:val="clear" w:color="auto" w:fill="D9D9D9"/>
          </w:tcPr>
          <w:p>
            <w:pPr>
              <w:pStyle w:val="TableParagraph"/>
              <w:spacing w:before="25"/>
              <w:ind w:right="29"/>
              <w:rPr>
                <w:b/>
                <w:sz w:val="19"/>
              </w:rPr>
            </w:pPr>
            <w:r>
              <w:rPr>
                <w:b/>
                <w:sz w:val="19"/>
              </w:rPr>
              <w:t>26.451.815</w:t>
            </w:r>
          </w:p>
        </w:tc>
      </w:tr>
      <w:tr>
        <w:trPr>
          <w:trHeight w:val="248" w:hRule="exact"/>
        </w:trPr>
        <w:tc>
          <w:tcPr>
            <w:tcW w:w="2637" w:type="dxa"/>
            <w:tcBorders>
              <w:bottom w:val="single" w:sz="5" w:space="0" w:color="000000"/>
            </w:tcBorders>
            <w:shd w:val="clear" w:color="auto" w:fill="BEBEBE"/>
          </w:tcPr>
          <w:p>
            <w:pPr>
              <w:pStyle w:val="TableParagraph"/>
              <w:spacing w:before="25"/>
              <w:ind w:left="23"/>
              <w:jc w:val="left"/>
              <w:rPr>
                <w:b/>
                <w:sz w:val="19"/>
              </w:rPr>
            </w:pPr>
            <w:r>
              <w:rPr>
                <w:b/>
                <w:sz w:val="19"/>
              </w:rPr>
              <w:t>IRES Corrente 24%</w:t>
            </w:r>
          </w:p>
        </w:tc>
        <w:tc>
          <w:tcPr>
            <w:tcW w:w="1542" w:type="dxa"/>
            <w:tcBorders>
              <w:bottom w:val="single" w:sz="5" w:space="0" w:color="000000"/>
            </w:tcBorders>
            <w:shd w:val="clear" w:color="auto" w:fill="BEBEBE"/>
          </w:tcPr>
          <w:p>
            <w:pPr>
              <w:pStyle w:val="TableParagraph"/>
              <w:spacing w:before="25"/>
              <w:ind w:right="29"/>
              <w:rPr>
                <w:b/>
                <w:sz w:val="19"/>
              </w:rPr>
            </w:pPr>
            <w:r>
              <w:rPr>
                <w:b/>
                <w:sz w:val="19"/>
              </w:rPr>
              <w:t>6.140.422</w:t>
            </w:r>
          </w:p>
        </w:tc>
        <w:tc>
          <w:tcPr>
            <w:tcW w:w="1542" w:type="dxa"/>
            <w:tcBorders>
              <w:bottom w:val="single" w:sz="5" w:space="0" w:color="000000"/>
            </w:tcBorders>
            <w:shd w:val="clear" w:color="auto" w:fill="BEBEBE"/>
          </w:tcPr>
          <w:p>
            <w:pPr>
              <w:pStyle w:val="TableParagraph"/>
              <w:spacing w:before="25"/>
              <w:ind w:right="29"/>
              <w:rPr>
                <w:b/>
                <w:sz w:val="19"/>
              </w:rPr>
            </w:pPr>
            <w:r>
              <w:rPr>
                <w:b/>
                <w:sz w:val="19"/>
              </w:rPr>
              <w:t>6.348.436</w:t>
            </w:r>
          </w:p>
        </w:tc>
      </w:tr>
    </w:tbl>
    <w:p>
      <w:pPr>
        <w:pStyle w:val="BodyText"/>
        <w:rPr>
          <w:sz w:val="20"/>
        </w:rPr>
      </w:pPr>
    </w:p>
    <w:p>
      <w:pPr>
        <w:pStyle w:val="BodyText"/>
        <w:spacing w:before="1"/>
        <w:rPr>
          <w:sz w:val="17"/>
        </w:rPr>
      </w:pPr>
    </w:p>
    <w:p>
      <w:pPr>
        <w:pStyle w:val="BodyText"/>
        <w:spacing w:before="100"/>
        <w:ind w:left="1418"/>
        <w:jc w:val="both"/>
      </w:pPr>
      <w:r>
        <w:rPr>
          <w:u w:val="single"/>
        </w:rPr>
        <w:t>Attività svolta</w:t>
      </w:r>
    </w:p>
    <w:p>
      <w:pPr>
        <w:pStyle w:val="BodyText"/>
        <w:spacing w:before="10"/>
        <w:rPr>
          <w:sz w:val="23"/>
        </w:rPr>
      </w:pPr>
    </w:p>
    <w:p>
      <w:pPr>
        <w:pStyle w:val="BodyText"/>
        <w:spacing w:line="480" w:lineRule="auto"/>
        <w:ind w:left="1418" w:right="1412"/>
        <w:jc w:val="both"/>
      </w:pPr>
      <w:r>
        <w:rPr/>
        <w:t>Gli scriventi hanno preso visione della stima del calcolo delle imposte effettuato dal dott. Straccamore che alla data del 31 dicembre 2017 parte da una perdita contabile ante imposte di Euro (170.259.174) e riporta variazioni in aumento pari ad Euro 202.006.852 di cui le componenti principali sono la svalutazione delle partecipazioni pe Euro 151.417.978, </w:t>
      </w:r>
      <w:r>
        <w:rPr>
          <w:spacing w:val="2"/>
        </w:rPr>
        <w:t>la </w:t>
      </w:r>
      <w:r>
        <w:rPr/>
        <w:t>plusvalenza da cessione ramo per Euro 20.931.655, l’accantonamento per fondi rischi per Euro 19.691.666, gli interessi indeducibili per Euro 5.610.381 e variazioni in diminuzione per Euro (5.295.863).</w:t>
      </w:r>
    </w:p>
    <w:p>
      <w:pPr>
        <w:pStyle w:val="BodyText"/>
        <w:ind w:left="1418"/>
        <w:jc w:val="both"/>
      </w:pPr>
      <w:r>
        <w:rPr>
          <w:u w:val="single"/>
        </w:rPr>
        <w:t>Valorizzazione concordataria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1"/>
        <w:jc w:val="both"/>
      </w:pPr>
      <w:r>
        <w:rPr/>
        <w:t>Ai fini del piano concordatario il fondo è considerato di natura prededucibile per IRAP pari a Euro 283.121 e di natura postergata per IRES e IVA pari Euro 6.477.189, in quanto tale debito tributario verrà trasferito alle consolidanti fiscali del gruppo rispettivamente M&amp;G S.p.A. e M&amp;G Finanziaria S.p.A.</w:t>
      </w:r>
    </w:p>
    <w:p>
      <w:pPr>
        <w:pStyle w:val="Heading2"/>
        <w:numPr>
          <w:ilvl w:val="1"/>
          <w:numId w:val="89"/>
        </w:numPr>
        <w:tabs>
          <w:tab w:pos="2126" w:val="left" w:leader="none"/>
          <w:tab w:pos="2127" w:val="left" w:leader="none"/>
        </w:tabs>
        <w:spacing w:line="240" w:lineRule="auto" w:before="0" w:after="0"/>
        <w:ind w:left="2126" w:right="0" w:hanging="348"/>
        <w:jc w:val="left"/>
      </w:pPr>
      <w:r>
        <w:rPr>
          <w:u w:val="single"/>
        </w:rPr>
        <w:t>Fondo rischi MIUR per Euro</w:t>
      </w:r>
      <w:r>
        <w:rPr>
          <w:spacing w:val="-18"/>
          <w:u w:val="single"/>
        </w:rPr>
        <w:t> </w:t>
      </w:r>
      <w:r>
        <w:rPr>
          <w:u w:val="single"/>
        </w:rPr>
        <w:t>51.464</w:t>
      </w:r>
    </w:p>
    <w:p>
      <w:pPr>
        <w:pStyle w:val="BodyText"/>
        <w:spacing w:before="1"/>
        <w:rPr>
          <w:b/>
          <w:sz w:val="15"/>
        </w:rPr>
      </w:pPr>
    </w:p>
    <w:p>
      <w:pPr>
        <w:spacing w:line="480" w:lineRule="auto" w:before="101"/>
        <w:ind w:left="1418" w:right="1410" w:firstLine="0"/>
        <w:jc w:val="both"/>
        <w:rPr>
          <w:sz w:val="24"/>
        </w:rPr>
      </w:pPr>
      <w:r>
        <w:rPr>
          <w:sz w:val="24"/>
        </w:rPr>
        <w:t>In tale fondo sono stati stanziati Euro 51.464 relativi alla potenziale restituzione di un contributo ottenuto dal MIUR a finanziamento di un progetto denominato “</w:t>
      </w:r>
      <w:r>
        <w:rPr>
          <w:i/>
          <w:sz w:val="24"/>
        </w:rPr>
        <w:t>Produzione di biochemicals a partire </w:t>
      </w:r>
      <w:r>
        <w:rPr>
          <w:i/>
          <w:sz w:val="24"/>
        </w:rPr>
        <w:t>da biomasse vegetali non appartenenti alla catena alimentare</w:t>
      </w:r>
      <w:r>
        <w:rPr>
          <w:sz w:val="24"/>
        </w:rPr>
        <w:t>”. Il finanziamento/contributo complessivo è pari ad Euro 273.000 circa, di cui già erogato 51.464, il progetto si è concluso nel 2017 e l’erogazione del saldo è in corso di valutazione da parte del MIUR.</w:t>
      </w:r>
    </w:p>
    <w:p>
      <w:pPr>
        <w:pStyle w:val="BodyText"/>
        <w:ind w:left="1418"/>
        <w:jc w:val="both"/>
      </w:pPr>
      <w:r>
        <w:rPr>
          <w:u w:val="single"/>
        </w:rPr>
        <w:t>Attività svolta</w:t>
      </w:r>
    </w:p>
    <w:p>
      <w:pPr>
        <w:pStyle w:val="BodyText"/>
        <w:spacing w:before="1"/>
        <w:rPr>
          <w:sz w:val="15"/>
        </w:rPr>
      </w:pPr>
    </w:p>
    <w:p>
      <w:pPr>
        <w:pStyle w:val="BodyText"/>
        <w:spacing w:line="480" w:lineRule="auto" w:before="100"/>
        <w:ind w:left="1418" w:right="1420"/>
        <w:jc w:val="both"/>
      </w:pPr>
      <w:r>
        <w:rPr/>
        <w:t>Gli scriventi hanno preso visione del Decreto di concessione del contributo da parte del MIUR del tabulato riepilogativo della Ricorrente che elenca tutti i contributi in corso per il finanziamento di vari progetti, con relativo stato di</w:t>
      </w:r>
      <w:r>
        <w:rPr>
          <w:spacing w:val="-17"/>
        </w:rPr>
        <w:t> </w:t>
      </w:r>
      <w:r>
        <w:rPr/>
        <w:t>avanzamento.</w:t>
      </w:r>
    </w:p>
    <w:p>
      <w:pPr>
        <w:pStyle w:val="BodyText"/>
        <w:ind w:left="1418"/>
        <w:jc w:val="both"/>
      </w:pPr>
      <w:r>
        <w:rPr>
          <w:u w:val="single"/>
        </w:rPr>
        <w:t>Valorizzazione concordataria</w:t>
      </w:r>
    </w:p>
    <w:p>
      <w:pPr>
        <w:pStyle w:val="BodyText"/>
      </w:pPr>
    </w:p>
    <w:p>
      <w:pPr>
        <w:pStyle w:val="BodyText"/>
        <w:spacing w:line="480" w:lineRule="auto"/>
        <w:ind w:left="1418" w:right="1418"/>
        <w:jc w:val="both"/>
      </w:pPr>
      <w:r>
        <w:rPr/>
        <w:t>La ricorrente ha ritenuto prudenzialmente di prevedere la restituzione della quota di contributo già ricevuta dal MIUR, stanziando il fondo in oggetto. Ai fini del piano concordatario l’importo è stato considerato di natura</w:t>
      </w:r>
      <w:r>
        <w:rPr>
          <w:spacing w:val="-18"/>
        </w:rPr>
        <w:t> </w:t>
      </w:r>
      <w:r>
        <w:rPr/>
        <w:t>privilegiata.</w:t>
      </w:r>
    </w:p>
    <w:p>
      <w:pPr>
        <w:pStyle w:val="Heading2"/>
        <w:numPr>
          <w:ilvl w:val="1"/>
          <w:numId w:val="89"/>
        </w:numPr>
        <w:tabs>
          <w:tab w:pos="2126" w:val="left" w:leader="none"/>
          <w:tab w:pos="2127" w:val="left" w:leader="none"/>
        </w:tabs>
        <w:spacing w:line="240" w:lineRule="auto" w:before="0" w:after="0"/>
        <w:ind w:left="2126" w:right="0" w:hanging="348"/>
        <w:jc w:val="left"/>
      </w:pPr>
      <w:r>
        <w:rPr>
          <w:u w:val="single"/>
        </w:rPr>
        <w:t>Fondo interessi legali sul debito privilegiato per Euro</w:t>
      </w:r>
      <w:r>
        <w:rPr>
          <w:spacing w:val="-27"/>
          <w:u w:val="single"/>
        </w:rPr>
        <w:t> </w:t>
      </w:r>
      <w:r>
        <w:rPr>
          <w:u w:val="single"/>
        </w:rPr>
        <w:t>27.940</w:t>
      </w:r>
    </w:p>
    <w:p>
      <w:pPr>
        <w:pStyle w:val="BodyText"/>
        <w:rPr>
          <w:b/>
        </w:rPr>
      </w:pPr>
    </w:p>
    <w:p>
      <w:pPr>
        <w:pStyle w:val="BodyText"/>
        <w:spacing w:line="480" w:lineRule="auto"/>
        <w:ind w:left="1418" w:right="1419"/>
        <w:jc w:val="both"/>
      </w:pPr>
      <w:r>
        <w:rPr/>
        <w:t>In tale fondo sono stati stanziati gli interessi legali sul debito privilegiato, calcolati dal 16 ottobre 2017 al 31 dicembre 2020 al tasso di interesse legale in vigore dal 1° gennaio 2018.</w:t>
      </w:r>
    </w:p>
    <w:p>
      <w:pPr>
        <w:pStyle w:val="BodyText"/>
        <w:ind w:left="1418"/>
        <w:jc w:val="both"/>
      </w:pPr>
      <w:r>
        <w:rPr>
          <w:u w:val="single"/>
        </w:rPr>
        <w:t>Attività svolta</w:t>
      </w:r>
    </w:p>
    <w:p>
      <w:pPr>
        <w:pStyle w:val="BodyText"/>
        <w:spacing w:before="11"/>
        <w:rPr>
          <w:sz w:val="23"/>
        </w:rPr>
      </w:pPr>
    </w:p>
    <w:p>
      <w:pPr>
        <w:pStyle w:val="BodyText"/>
        <w:ind w:left="1418"/>
        <w:jc w:val="both"/>
      </w:pPr>
      <w:r>
        <w:rPr/>
        <w:t>Gli scriventi hanno preso visione del calcolo degli interessi effettuato dalla società.</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jc w:val="both"/>
      </w:pPr>
      <w:r>
        <w:rPr>
          <w:u w:val="single"/>
        </w:rPr>
        <w:t>Valorizzazione concordataria</w:t>
      </w:r>
    </w:p>
    <w:p>
      <w:pPr>
        <w:pStyle w:val="BodyText"/>
        <w:spacing w:before="11"/>
        <w:rPr>
          <w:sz w:val="23"/>
        </w:rPr>
      </w:pPr>
    </w:p>
    <w:p>
      <w:pPr>
        <w:pStyle w:val="BodyText"/>
        <w:spacing w:line="480" w:lineRule="auto"/>
        <w:ind w:left="1418" w:right="1412"/>
        <w:jc w:val="both"/>
      </w:pPr>
      <w:r>
        <w:rPr/>
        <w:t>Ai fini del piano concordatario la società ha stanziato complessivi Euro 27.940 a titolo di interessi in via privilegiata.</w:t>
      </w:r>
    </w:p>
    <w:p>
      <w:pPr>
        <w:pStyle w:val="Heading2"/>
        <w:numPr>
          <w:ilvl w:val="0"/>
          <w:numId w:val="89"/>
        </w:numPr>
        <w:tabs>
          <w:tab w:pos="2061" w:val="left" w:leader="none"/>
          <w:tab w:pos="2062" w:val="left" w:leader="none"/>
        </w:tabs>
        <w:spacing w:line="240" w:lineRule="auto" w:before="0" w:after="0"/>
        <w:ind w:left="2062" w:right="0" w:hanging="360"/>
        <w:jc w:val="left"/>
      </w:pPr>
      <w:r>
        <w:rPr>
          <w:u w:val="single"/>
        </w:rPr>
        <w:t>Fondo generico per Euro</w:t>
      </w:r>
      <w:r>
        <w:rPr>
          <w:spacing w:val="-11"/>
          <w:u w:val="single"/>
        </w:rPr>
        <w:t> </w:t>
      </w:r>
      <w:r>
        <w:rPr>
          <w:u w:val="single"/>
        </w:rPr>
        <w:t>5.295.729</w:t>
      </w:r>
    </w:p>
    <w:p>
      <w:pPr>
        <w:pStyle w:val="BodyText"/>
        <w:rPr>
          <w:b/>
        </w:rPr>
      </w:pPr>
    </w:p>
    <w:p>
      <w:pPr>
        <w:pStyle w:val="BodyText"/>
        <w:spacing w:line="480" w:lineRule="auto"/>
        <w:ind w:left="1418" w:right="1414"/>
        <w:jc w:val="both"/>
      </w:pPr>
      <w:r>
        <w:rPr/>
        <w:t>In questo fondo sono stati stanziati prudenzialmente e forfettariamente Euro 5.295.729, di cui Euro 4.295.729 in via chirografaria ed Euro 1.000.000 in via privilegiata, calcolati nella misura del 3% dei debiti chirografari e privilegiati concordatari.</w:t>
      </w:r>
    </w:p>
    <w:p>
      <w:pPr>
        <w:pStyle w:val="Heading2"/>
        <w:numPr>
          <w:ilvl w:val="0"/>
          <w:numId w:val="89"/>
        </w:numPr>
        <w:tabs>
          <w:tab w:pos="2061" w:val="left" w:leader="none"/>
          <w:tab w:pos="2062" w:val="left" w:leader="none"/>
        </w:tabs>
        <w:spacing w:line="240" w:lineRule="auto" w:before="0" w:after="0"/>
        <w:ind w:left="2062" w:right="0" w:hanging="360"/>
        <w:jc w:val="left"/>
      </w:pPr>
      <w:r>
        <w:rPr>
          <w:u w:val="single"/>
        </w:rPr>
        <w:t>Fondo commessa Sapfet per Euro</w:t>
      </w:r>
      <w:r>
        <w:rPr>
          <w:spacing w:val="-18"/>
          <w:u w:val="single"/>
        </w:rPr>
        <w:t> </w:t>
      </w:r>
      <w:r>
        <w:rPr>
          <w:u w:val="single"/>
        </w:rPr>
        <w:t>2.772.643</w:t>
      </w:r>
    </w:p>
    <w:p>
      <w:pPr>
        <w:pStyle w:val="BodyText"/>
        <w:rPr>
          <w:b/>
        </w:rPr>
      </w:pPr>
    </w:p>
    <w:p>
      <w:pPr>
        <w:pStyle w:val="BodyText"/>
        <w:ind w:left="1418"/>
        <w:jc w:val="both"/>
      </w:pPr>
      <w:r>
        <w:rPr/>
        <w:t>Il fondo accoglie due stanziamenti relativi alla commessa attiva Sapfet:</w:t>
      </w:r>
    </w:p>
    <w:p>
      <w:pPr>
        <w:pStyle w:val="BodyText"/>
        <w:spacing w:before="11"/>
        <w:rPr>
          <w:sz w:val="23"/>
        </w:rPr>
      </w:pPr>
    </w:p>
    <w:p>
      <w:pPr>
        <w:pStyle w:val="ListParagraph"/>
        <w:numPr>
          <w:ilvl w:val="0"/>
          <w:numId w:val="62"/>
        </w:numPr>
        <w:tabs>
          <w:tab w:pos="1607" w:val="left" w:leader="none"/>
        </w:tabs>
        <w:spacing w:line="480" w:lineRule="auto" w:before="0" w:after="0"/>
        <w:ind w:left="1418" w:right="1414" w:firstLine="0"/>
        <w:jc w:val="both"/>
        <w:rPr>
          <w:sz w:val="24"/>
        </w:rPr>
      </w:pPr>
      <w:r>
        <w:rPr>
          <w:sz w:val="24"/>
          <w:u w:val="single"/>
        </w:rPr>
        <w:t>Euro 279.808 (commessa Sapfet fase 1) </w:t>
      </w:r>
      <w:r>
        <w:rPr>
          <w:sz w:val="24"/>
        </w:rPr>
        <w:t>a titolo di rischio per potenziale escussione delle fidejussioni rilasciate da Unicredit, per conto dalla Ricorrente, a garanzia del buon esito del servizio reso al committente della commessa Sapfet 1. La commessa di valore complessivo di $3,3 milioni è stata completamente eseguita, rimangono in essere le due fidejussioni scadenti alla data del 24 marzo 2019, di importo pari a $ 167.700+$ 162.300, convertite in Euro</w:t>
      </w:r>
      <w:r>
        <w:rPr>
          <w:spacing w:val="-23"/>
          <w:sz w:val="24"/>
        </w:rPr>
        <w:t> </w:t>
      </w:r>
      <w:r>
        <w:rPr>
          <w:sz w:val="24"/>
        </w:rPr>
        <w:t>279.808;</w:t>
      </w:r>
    </w:p>
    <w:p>
      <w:pPr>
        <w:pStyle w:val="ListParagraph"/>
        <w:numPr>
          <w:ilvl w:val="0"/>
          <w:numId w:val="62"/>
        </w:numPr>
        <w:tabs>
          <w:tab w:pos="1643" w:val="left" w:leader="none"/>
        </w:tabs>
        <w:spacing w:line="480" w:lineRule="auto" w:before="0" w:after="0"/>
        <w:ind w:left="1418" w:right="1412" w:firstLine="0"/>
        <w:jc w:val="both"/>
        <w:rPr>
          <w:sz w:val="24"/>
        </w:rPr>
      </w:pPr>
      <w:r>
        <w:rPr>
          <w:sz w:val="24"/>
          <w:u w:val="single"/>
        </w:rPr>
        <w:t>Euro 2.492.835 </w:t>
      </w:r>
      <w:r>
        <w:rPr>
          <w:sz w:val="24"/>
        </w:rPr>
        <w:t>(commessa Sapfet2) a titolo di rischio per potenziale escussione delle fidejussioni rilasciate da Unicredit, per conto dalla ricorrente, a garanzia degli acconti versati su commessa dal committente. La commessa Sapfet fase 2 (Pet (Chemtex Shanghai - PTA (CTCI)) di valore complessivo di $9,8 mio è stata terminata/interrotta a seguito del ricorso al concordato, sono stati versati dal committente acconti per lavori già eseguiti per $2.851.800. Entrambi gli acconti sono interamente coperti da fidejussioni e scadono il 10 giugno 2018 e 10 agosto 2018, il valore in Euro è pari a 2.492.835. Il fondo è stato stanziato di pari</w:t>
      </w:r>
      <w:r>
        <w:rPr>
          <w:spacing w:val="-22"/>
          <w:sz w:val="24"/>
        </w:rPr>
        <w:t> </w:t>
      </w:r>
      <w:r>
        <w:rPr>
          <w:sz w:val="24"/>
        </w:rPr>
        <w:t>importo.</w:t>
      </w:r>
    </w:p>
    <w:p>
      <w:pPr>
        <w:pStyle w:val="BodyText"/>
        <w:ind w:left="1418"/>
        <w:jc w:val="both"/>
      </w:pPr>
      <w:r>
        <w:rPr>
          <w:u w:val="single"/>
        </w:rPr>
        <w:t>Attività svolta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4"/>
        <w:jc w:val="both"/>
      </w:pPr>
      <w:r>
        <w:rPr/>
        <w:t>Gli scriventi hanno preso visione dei “</w:t>
      </w:r>
      <w:r>
        <w:rPr>
          <w:i/>
        </w:rPr>
        <w:t>deliverables” </w:t>
      </w:r>
      <w:r>
        <w:rPr/>
        <w:t>inerenti alla mappatura dei contratti attivi e passivi, resi disponibili dalla società, redatti dalla società di consulenza Deloitte alla quale è stato conferito incarico specifico. Gli scriventi hanno altresì preso visione della risposta dello studio legale GOP che:</w:t>
      </w:r>
    </w:p>
    <w:p>
      <w:pPr>
        <w:pStyle w:val="ListParagraph"/>
        <w:numPr>
          <w:ilvl w:val="1"/>
          <w:numId w:val="62"/>
        </w:numPr>
        <w:tabs>
          <w:tab w:pos="2126" w:val="left" w:leader="none"/>
          <w:tab w:pos="2127" w:val="left" w:leader="none"/>
        </w:tabs>
        <w:spacing w:line="470" w:lineRule="auto" w:before="0" w:after="0"/>
        <w:ind w:left="2138" w:right="1416" w:hanging="360"/>
        <w:jc w:val="left"/>
        <w:rPr>
          <w:i/>
          <w:sz w:val="24"/>
        </w:rPr>
      </w:pPr>
      <w:r>
        <w:rPr>
          <w:sz w:val="24"/>
        </w:rPr>
        <w:t>con riferimento al contratto “Contratto Safpet Basic engineering per impianto PET” specifica che: “</w:t>
      </w:r>
      <w:r>
        <w:rPr>
          <w:i/>
          <w:sz w:val="24"/>
        </w:rPr>
        <w:t>Sulla base di quanto comunicato dalla Società, tutte le obbligazioni in capo a </w:t>
      </w:r>
      <w:r>
        <w:rPr>
          <w:i/>
          <w:sz w:val="24"/>
        </w:rPr>
        <w:t>Biochemtex sono state correttamente adempiute, non vi sono in corso contestazioni sollevate dalla controparte</w:t>
      </w:r>
      <w:r>
        <w:rPr>
          <w:i/>
          <w:spacing w:val="-12"/>
          <w:sz w:val="24"/>
        </w:rPr>
        <w:t> </w:t>
      </w:r>
      <w:r>
        <w:rPr>
          <w:i/>
          <w:sz w:val="24"/>
        </w:rPr>
        <w:t>nei</w:t>
      </w:r>
      <w:r>
        <w:rPr>
          <w:i/>
          <w:spacing w:val="-11"/>
          <w:sz w:val="24"/>
        </w:rPr>
        <w:t> </w:t>
      </w:r>
      <w:r>
        <w:rPr>
          <w:i/>
          <w:sz w:val="24"/>
        </w:rPr>
        <w:t>confronti</w:t>
      </w:r>
      <w:r>
        <w:rPr>
          <w:i/>
          <w:spacing w:val="-11"/>
          <w:sz w:val="24"/>
        </w:rPr>
        <w:t> </w:t>
      </w:r>
      <w:r>
        <w:rPr>
          <w:i/>
          <w:sz w:val="24"/>
        </w:rPr>
        <w:t>di</w:t>
      </w:r>
      <w:r>
        <w:rPr>
          <w:i/>
          <w:spacing w:val="-11"/>
          <w:sz w:val="24"/>
        </w:rPr>
        <w:t> </w:t>
      </w:r>
      <w:r>
        <w:rPr>
          <w:i/>
          <w:sz w:val="24"/>
        </w:rPr>
        <w:t>Biochemtex</w:t>
      </w:r>
      <w:r>
        <w:rPr>
          <w:i/>
          <w:spacing w:val="-11"/>
          <w:sz w:val="24"/>
        </w:rPr>
        <w:t> </w:t>
      </w:r>
      <w:r>
        <w:rPr>
          <w:i/>
          <w:sz w:val="24"/>
        </w:rPr>
        <w:t>e</w:t>
      </w:r>
      <w:r>
        <w:rPr>
          <w:i/>
          <w:spacing w:val="-10"/>
          <w:sz w:val="24"/>
        </w:rPr>
        <w:t> </w:t>
      </w:r>
      <w:r>
        <w:rPr>
          <w:b/>
          <w:i/>
          <w:sz w:val="25"/>
        </w:rPr>
        <w:t>il</w:t>
      </w:r>
      <w:r>
        <w:rPr>
          <w:b/>
          <w:i/>
          <w:spacing w:val="-14"/>
          <w:sz w:val="25"/>
        </w:rPr>
        <w:t> </w:t>
      </w:r>
      <w:r>
        <w:rPr>
          <w:b/>
          <w:i/>
          <w:sz w:val="25"/>
        </w:rPr>
        <w:t>progetto</w:t>
      </w:r>
      <w:r>
        <w:rPr>
          <w:b/>
          <w:i/>
          <w:spacing w:val="-14"/>
          <w:sz w:val="25"/>
        </w:rPr>
        <w:t> </w:t>
      </w:r>
      <w:r>
        <w:rPr>
          <w:b/>
          <w:i/>
          <w:sz w:val="25"/>
        </w:rPr>
        <w:t>è</w:t>
      </w:r>
      <w:r>
        <w:rPr>
          <w:b/>
          <w:i/>
          <w:spacing w:val="-14"/>
          <w:sz w:val="25"/>
        </w:rPr>
        <w:t> </w:t>
      </w:r>
      <w:r>
        <w:rPr>
          <w:b/>
          <w:i/>
          <w:sz w:val="25"/>
        </w:rPr>
        <w:t>chiuso</w:t>
      </w:r>
      <w:r>
        <w:rPr>
          <w:i/>
          <w:sz w:val="24"/>
        </w:rPr>
        <w:t>.”;</w:t>
      </w:r>
    </w:p>
    <w:p>
      <w:pPr>
        <w:pStyle w:val="ListParagraph"/>
        <w:numPr>
          <w:ilvl w:val="1"/>
          <w:numId w:val="62"/>
        </w:numPr>
        <w:tabs>
          <w:tab w:pos="2127" w:val="left" w:leader="none"/>
        </w:tabs>
        <w:spacing w:line="468" w:lineRule="auto" w:before="0" w:after="0"/>
        <w:ind w:left="2138" w:right="1413" w:hanging="360"/>
        <w:jc w:val="both"/>
        <w:rPr>
          <w:b/>
          <w:i/>
          <w:sz w:val="25"/>
        </w:rPr>
      </w:pPr>
      <w:r>
        <w:rPr>
          <w:sz w:val="24"/>
        </w:rPr>
        <w:t>con riferimento al contratto “Contratto Safpet Basic engineering per impianto PTA” </w:t>
      </w:r>
      <w:r>
        <w:rPr>
          <w:rFonts w:ascii="Times New Roman" w:hAnsi="Times New Roman"/>
          <w:sz w:val="24"/>
        </w:rPr>
        <w:t>specifica che: “</w:t>
      </w:r>
      <w:r>
        <w:rPr>
          <w:i/>
          <w:sz w:val="24"/>
        </w:rPr>
        <w:t>Sulla base di quanto comunicato dalla Società, tutte le obbligazioni in capo a </w:t>
      </w:r>
      <w:r>
        <w:rPr>
          <w:i/>
          <w:sz w:val="24"/>
        </w:rPr>
        <w:t>Biochemtex sono state correttamente adempiute, non vi sono in corso contestazioni sollevate dalla controparte</w:t>
      </w:r>
      <w:r>
        <w:rPr>
          <w:i/>
          <w:spacing w:val="-12"/>
          <w:sz w:val="24"/>
        </w:rPr>
        <w:t> </w:t>
      </w:r>
      <w:r>
        <w:rPr>
          <w:i/>
          <w:sz w:val="24"/>
        </w:rPr>
        <w:t>nei</w:t>
      </w:r>
      <w:r>
        <w:rPr>
          <w:i/>
          <w:spacing w:val="-11"/>
          <w:sz w:val="24"/>
        </w:rPr>
        <w:t> </w:t>
      </w:r>
      <w:r>
        <w:rPr>
          <w:i/>
          <w:sz w:val="24"/>
        </w:rPr>
        <w:t>confronti</w:t>
      </w:r>
      <w:r>
        <w:rPr>
          <w:i/>
          <w:spacing w:val="-11"/>
          <w:sz w:val="24"/>
        </w:rPr>
        <w:t> </w:t>
      </w:r>
      <w:r>
        <w:rPr>
          <w:i/>
          <w:sz w:val="24"/>
        </w:rPr>
        <w:t>di</w:t>
      </w:r>
      <w:r>
        <w:rPr>
          <w:i/>
          <w:spacing w:val="-11"/>
          <w:sz w:val="24"/>
        </w:rPr>
        <w:t> </w:t>
      </w:r>
      <w:r>
        <w:rPr>
          <w:i/>
          <w:sz w:val="24"/>
        </w:rPr>
        <w:t>Biochemtex</w:t>
      </w:r>
      <w:r>
        <w:rPr>
          <w:i/>
          <w:spacing w:val="-11"/>
          <w:sz w:val="24"/>
        </w:rPr>
        <w:t> </w:t>
      </w:r>
      <w:r>
        <w:rPr>
          <w:i/>
          <w:sz w:val="24"/>
        </w:rPr>
        <w:t>e</w:t>
      </w:r>
      <w:r>
        <w:rPr>
          <w:i/>
          <w:spacing w:val="-11"/>
          <w:sz w:val="24"/>
        </w:rPr>
        <w:t> </w:t>
      </w:r>
      <w:r>
        <w:rPr>
          <w:i/>
          <w:sz w:val="24"/>
        </w:rPr>
        <w:t>il</w:t>
      </w:r>
      <w:r>
        <w:rPr>
          <w:i/>
          <w:spacing w:val="-11"/>
          <w:sz w:val="24"/>
        </w:rPr>
        <w:t> </w:t>
      </w:r>
      <w:r>
        <w:rPr>
          <w:b/>
          <w:i/>
          <w:sz w:val="25"/>
          <w:u w:val="single"/>
        </w:rPr>
        <w:t>progetto</w:t>
      </w:r>
      <w:r>
        <w:rPr>
          <w:b/>
          <w:i/>
          <w:spacing w:val="-14"/>
          <w:sz w:val="25"/>
          <w:u w:val="single"/>
        </w:rPr>
        <w:t> </w:t>
      </w:r>
      <w:r>
        <w:rPr>
          <w:b/>
          <w:i/>
          <w:sz w:val="25"/>
          <w:u w:val="single"/>
        </w:rPr>
        <w:t>è</w:t>
      </w:r>
      <w:r>
        <w:rPr>
          <w:b/>
          <w:i/>
          <w:spacing w:val="-14"/>
          <w:sz w:val="25"/>
          <w:u w:val="single"/>
        </w:rPr>
        <w:t> </w:t>
      </w:r>
      <w:r>
        <w:rPr>
          <w:b/>
          <w:i/>
          <w:sz w:val="25"/>
          <w:u w:val="single"/>
        </w:rPr>
        <w:t>chiuso”;</w:t>
      </w:r>
    </w:p>
    <w:p>
      <w:pPr>
        <w:pStyle w:val="ListParagraph"/>
        <w:numPr>
          <w:ilvl w:val="1"/>
          <w:numId w:val="62"/>
        </w:numPr>
        <w:tabs>
          <w:tab w:pos="2127" w:val="left" w:leader="none"/>
        </w:tabs>
        <w:spacing w:line="477" w:lineRule="auto" w:before="2" w:after="0"/>
        <w:ind w:left="2138" w:right="1412" w:hanging="360"/>
        <w:jc w:val="both"/>
        <w:rPr>
          <w:sz w:val="24"/>
        </w:rPr>
      </w:pPr>
      <w:r>
        <w:rPr>
          <w:sz w:val="24"/>
        </w:rPr>
        <w:t>con riferimento al contratto “Agreement for Detail Design for SafPet, Tatarstan PET” specifica che “</w:t>
      </w:r>
      <w:r>
        <w:rPr>
          <w:i/>
          <w:sz w:val="24"/>
        </w:rPr>
        <w:t>Sulla base di quanto comunicato dalla Società, risulta che in data 1.12.2017 Safpet </w:t>
      </w:r>
      <w:r>
        <w:rPr>
          <w:i/>
          <w:sz w:val="24"/>
        </w:rPr>
        <w:t>abbia chiesto l’annullamento del contratto e la restituzione di quanto corrisposto (down payment pari a US$ 1.470.000). Stando a quanto riferito dalla Società, Safpet non avrebbe formulato alcun’altra richiesta di risarcimento e/o contestazione, limitandosi alla predetta richiesta di restituzione </w:t>
      </w:r>
      <w:r>
        <w:rPr>
          <w:i/>
          <w:spacing w:val="2"/>
          <w:sz w:val="24"/>
        </w:rPr>
        <w:t>del </w:t>
      </w:r>
      <w:r>
        <w:rPr>
          <w:i/>
          <w:sz w:val="24"/>
        </w:rPr>
        <w:t>down payment e scioglimento del contratto. In proposito, si rileva che l’advisor finanziario nel Piano concordatario ha previsto prudenzialmente la copertura dell’eventuale rischio di escussione della letter of credit a garanzia del down payment, mediante l’appostazione di un apposito</w:t>
      </w:r>
      <w:r>
        <w:rPr>
          <w:i/>
          <w:spacing w:val="-23"/>
          <w:sz w:val="24"/>
        </w:rPr>
        <w:t> </w:t>
      </w:r>
      <w:r>
        <w:rPr>
          <w:i/>
          <w:sz w:val="24"/>
        </w:rPr>
        <w:t>fondo</w:t>
      </w:r>
      <w:r>
        <w:rPr>
          <w:sz w:val="24"/>
        </w:rPr>
        <w:t>”;</w:t>
      </w:r>
    </w:p>
    <w:p>
      <w:pPr>
        <w:pStyle w:val="ListParagraph"/>
        <w:numPr>
          <w:ilvl w:val="1"/>
          <w:numId w:val="62"/>
        </w:numPr>
        <w:tabs>
          <w:tab w:pos="2127" w:val="left" w:leader="none"/>
        </w:tabs>
        <w:spacing w:line="470" w:lineRule="auto" w:before="2" w:after="0"/>
        <w:ind w:left="2138" w:right="1413" w:hanging="360"/>
        <w:jc w:val="both"/>
        <w:rPr>
          <w:i/>
          <w:sz w:val="24"/>
        </w:rPr>
      </w:pPr>
      <w:r>
        <w:rPr>
          <w:sz w:val="24"/>
        </w:rPr>
        <w:t>con riferimento al contratto “Agreement for Detail Design for SafPet, Tatarstan PTA Project between SafPet LLC and Biochemtex S.p.A.” specifica che “</w:t>
      </w:r>
      <w:r>
        <w:rPr>
          <w:i/>
          <w:sz w:val="24"/>
        </w:rPr>
        <w:t>Sulla base di quanto </w:t>
      </w:r>
      <w:r>
        <w:rPr>
          <w:i/>
          <w:sz w:val="24"/>
        </w:rPr>
        <w:t>comunicato  dalla  Società,  Biochemtex  ha  subappaltato  alcune  attività  ad  altre  società;  in   seguito</w:t>
      </w:r>
    </w:p>
    <w:p>
      <w:pPr>
        <w:spacing w:after="0" w:line="47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2138" w:right="1410" w:firstLine="0"/>
        <w:jc w:val="both"/>
        <w:rPr>
          <w:i/>
          <w:sz w:val="24"/>
        </w:rPr>
      </w:pPr>
      <w:r>
        <w:rPr>
          <w:i/>
          <w:sz w:val="24"/>
        </w:rPr>
        <w:t>Biochemtex ha sospeso i pagamenti e le società subappaltatrici hanno sospeso la consegna del materiale </w:t>
      </w:r>
      <w:r>
        <w:rPr>
          <w:i/>
          <w:sz w:val="24"/>
        </w:rPr>
        <w:t>Stando a quanto riferito dalla Società, Safpet non avrebbe formulato alcun altra richiesta di risarcimento e/o contestazione, limitandosi alla predetta richiesta di restituzione del down payment e scioglimento del contratto.In proposito, si rileva che l’advisor finanziario nel Piano concordatario ha previsto prudenzialmente la copertura dell’eventuale rischio di escussione della letter of credit a garanzia del down payment, mediante l’appostazione di un apposito fondo”.</w:t>
      </w:r>
    </w:p>
    <w:p>
      <w:pPr>
        <w:pStyle w:val="BodyText"/>
        <w:ind w:left="1418"/>
      </w:pPr>
      <w:r>
        <w:rPr>
          <w:u w:val="single"/>
        </w:rPr>
        <w:t>Valorizzazione concordataria</w:t>
      </w:r>
    </w:p>
    <w:p>
      <w:pPr>
        <w:pStyle w:val="BodyText"/>
        <w:spacing w:before="1"/>
        <w:rPr>
          <w:sz w:val="15"/>
        </w:rPr>
      </w:pPr>
    </w:p>
    <w:p>
      <w:pPr>
        <w:pStyle w:val="BodyText"/>
        <w:spacing w:before="100"/>
        <w:ind w:left="1418"/>
        <w:jc w:val="both"/>
      </w:pPr>
      <w:r>
        <w:rPr/>
        <w:t>Ai fini del piano concordatario, i fondi sono stati considerati di natura chirografaria.</w:t>
      </w:r>
    </w:p>
    <w:p>
      <w:pPr>
        <w:pStyle w:val="BodyText"/>
        <w:spacing w:before="10"/>
        <w:rPr>
          <w:sz w:val="23"/>
        </w:rPr>
      </w:pPr>
    </w:p>
    <w:p>
      <w:pPr>
        <w:pStyle w:val="Heading2"/>
        <w:numPr>
          <w:ilvl w:val="0"/>
          <w:numId w:val="90"/>
        </w:numPr>
        <w:tabs>
          <w:tab w:pos="2126" w:val="left" w:leader="none"/>
          <w:tab w:pos="2127" w:val="left" w:leader="none"/>
        </w:tabs>
        <w:spacing w:line="240" w:lineRule="auto" w:before="1" w:after="0"/>
        <w:ind w:left="2126" w:right="0" w:hanging="348"/>
        <w:jc w:val="left"/>
      </w:pPr>
      <w:r>
        <w:rPr>
          <w:u w:val="single"/>
        </w:rPr>
        <w:t>Fondo rischi incasso Crediti per Euro</w:t>
      </w:r>
      <w:r>
        <w:rPr>
          <w:spacing w:val="-17"/>
          <w:u w:val="single"/>
        </w:rPr>
        <w:t> </w:t>
      </w:r>
      <w:r>
        <w:rPr>
          <w:u w:val="single"/>
        </w:rPr>
        <w:t>580.000</w:t>
      </w:r>
    </w:p>
    <w:p>
      <w:pPr>
        <w:pStyle w:val="BodyText"/>
        <w:rPr>
          <w:b/>
        </w:rPr>
      </w:pPr>
    </w:p>
    <w:p>
      <w:pPr>
        <w:pStyle w:val="BodyText"/>
        <w:spacing w:line="480" w:lineRule="auto"/>
        <w:ind w:left="1418" w:right="1421"/>
        <w:jc w:val="both"/>
      </w:pPr>
      <w:r>
        <w:rPr/>
        <w:t>Il fondo è stato stanziato per recepire il rischio di escussione delle garanzie/fidejussioni rilasciate da Banca Intesa per complessivi Euro 2,9 milioni per conto della Ricorrente e per garantire il cliente Energochemica. Si rimanda al paragrafo dei crediti verso clienti per una più ampia trattazione del credito verso Energochemica e del relativo rapporto contrattuale.</w:t>
      </w:r>
    </w:p>
    <w:p>
      <w:pPr>
        <w:pStyle w:val="BodyText"/>
        <w:spacing w:line="480" w:lineRule="auto"/>
        <w:ind w:left="1418" w:right="1422"/>
        <w:jc w:val="both"/>
      </w:pPr>
      <w:r>
        <w:rPr/>
        <w:t>Il fondo è stato calcolato applicando una percentuale del 20% all’importo delle garanzie pari a complessivi Euro 2,9 milioni, ipotizzando che Intesa si rivalga in via chirografaria per il recupero delle garanzie nel caso in cui venissero potenzialmente escusse dal cliente.</w:t>
      </w:r>
    </w:p>
    <w:p>
      <w:pPr>
        <w:pStyle w:val="BodyText"/>
        <w:spacing w:line="480" w:lineRule="auto"/>
        <w:ind w:left="1418" w:right="1420"/>
        <w:jc w:val="both"/>
      </w:pPr>
      <w:r>
        <w:rPr/>
        <w:t>Si segnala, tuttavia, che la commessa Energochemica, come meglio precisato nel paragrafo dei crediti verso clienti, è oggetto di trasferimento a Versalis.</w:t>
      </w:r>
    </w:p>
    <w:p>
      <w:pPr>
        <w:pStyle w:val="BodyText"/>
        <w:ind w:left="1418"/>
        <w:jc w:val="both"/>
      </w:pPr>
      <w:r>
        <w:rPr>
          <w:u w:val="single"/>
        </w:rPr>
        <w:t>Attività svolta</w:t>
      </w:r>
    </w:p>
    <w:p>
      <w:pPr>
        <w:pStyle w:val="BodyText"/>
        <w:spacing w:before="10"/>
        <w:rPr>
          <w:sz w:val="23"/>
        </w:rPr>
      </w:pPr>
    </w:p>
    <w:p>
      <w:pPr>
        <w:pStyle w:val="BodyText"/>
        <w:spacing w:line="480" w:lineRule="auto"/>
        <w:ind w:left="1418" w:right="1414"/>
        <w:jc w:val="both"/>
      </w:pPr>
      <w:r>
        <w:rPr/>
        <w:t>Gli scriventi hanno preso visione della risposta alla circolarizzazione di Banca Intesa, analizzata dalla Società con il supporto di Deloitte, e del riepilogo delle garanzie contrattuali mappate dalla Società e riportate nei </w:t>
      </w:r>
      <w:r>
        <w:rPr>
          <w:i/>
        </w:rPr>
        <w:t>Deliverables </w:t>
      </w:r>
      <w:r>
        <w:rPr/>
        <w:t>Deloitte.</w:t>
      </w:r>
    </w:p>
    <w:p>
      <w:pPr>
        <w:pStyle w:val="BodyText"/>
        <w:ind w:left="1418"/>
        <w:jc w:val="both"/>
      </w:pPr>
      <w:r>
        <w:rPr>
          <w:u w:val="single"/>
        </w:rPr>
        <w:t>Valorizzazione concordataria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pPr>
      <w:r>
        <w:rPr/>
        <w:t>Il fondo è stato considerato di natura prededucibile.</w:t>
      </w:r>
    </w:p>
    <w:p>
      <w:pPr>
        <w:pStyle w:val="BodyText"/>
        <w:rPr>
          <w:sz w:val="26"/>
        </w:rPr>
      </w:pPr>
    </w:p>
    <w:p>
      <w:pPr>
        <w:pStyle w:val="BodyText"/>
        <w:rPr>
          <w:sz w:val="26"/>
        </w:rPr>
      </w:pPr>
    </w:p>
    <w:p>
      <w:pPr>
        <w:pStyle w:val="Heading2"/>
        <w:numPr>
          <w:ilvl w:val="0"/>
          <w:numId w:val="91"/>
        </w:numPr>
        <w:tabs>
          <w:tab w:pos="2061" w:val="left" w:leader="none"/>
          <w:tab w:pos="2062" w:val="left" w:leader="none"/>
        </w:tabs>
        <w:spacing w:line="240" w:lineRule="auto" w:before="225" w:after="0"/>
        <w:ind w:left="2062" w:right="0" w:hanging="360"/>
        <w:jc w:val="left"/>
      </w:pPr>
      <w:r>
        <w:rPr>
          <w:u w:val="single"/>
        </w:rPr>
        <w:t>Fondo rischi penalità risoluzioni contrattuali per Euro</w:t>
      </w:r>
      <w:r>
        <w:rPr>
          <w:spacing w:val="-21"/>
          <w:u w:val="single"/>
        </w:rPr>
        <w:t> </w:t>
      </w:r>
      <w:r>
        <w:rPr>
          <w:u w:val="single"/>
        </w:rPr>
        <w:t>24.145</w:t>
      </w:r>
    </w:p>
    <w:p>
      <w:pPr>
        <w:pStyle w:val="BodyText"/>
        <w:rPr>
          <w:b/>
        </w:rPr>
      </w:pPr>
    </w:p>
    <w:p>
      <w:pPr>
        <w:pStyle w:val="BodyText"/>
        <w:spacing w:line="480" w:lineRule="auto"/>
        <w:ind w:left="1418" w:right="1518"/>
      </w:pPr>
      <w:r>
        <w:rPr/>
        <w:t>Il fondo è stato stanziato per recepire il rischio scaturente dalla risoluzione contrattuale di alcuni contratti di noleggio stipulati con Vodafone e Arval.</w:t>
      </w:r>
    </w:p>
    <w:p>
      <w:pPr>
        <w:pStyle w:val="BodyText"/>
        <w:ind w:left="1418"/>
      </w:pPr>
      <w:r>
        <w:rPr>
          <w:u w:val="single"/>
        </w:rPr>
        <w:t>Attività svolta</w:t>
      </w:r>
    </w:p>
    <w:p>
      <w:pPr>
        <w:pStyle w:val="BodyText"/>
        <w:spacing w:before="10"/>
        <w:rPr>
          <w:sz w:val="23"/>
        </w:rPr>
      </w:pPr>
    </w:p>
    <w:p>
      <w:pPr>
        <w:pStyle w:val="BodyText"/>
        <w:spacing w:line="480" w:lineRule="auto" w:after="44"/>
        <w:ind w:left="1418" w:right="1518"/>
      </w:pPr>
      <w:r>
        <w:rPr/>
        <w:t>Gli scriventi hanno preso visione dei contratti in oggetto e delle clausole di risoluzione, oltre che dei conteggi elaborati dalla ricorrente, di seguito esposti:</w:t>
      </w:r>
    </w:p>
    <w:tbl>
      <w:tblPr>
        <w:tblW w:w="0" w:type="auto"/>
        <w:jc w:val="left"/>
        <w:tblInd w:w="3230"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31"/>
        <w:gridCol w:w="1316"/>
      </w:tblGrid>
      <w:tr>
        <w:trPr>
          <w:trHeight w:val="274" w:hRule="exact"/>
        </w:trPr>
        <w:tc>
          <w:tcPr>
            <w:tcW w:w="4131" w:type="dxa"/>
          </w:tcPr>
          <w:p>
            <w:pPr>
              <w:pStyle w:val="TableParagraph"/>
              <w:spacing w:before="4"/>
              <w:ind w:left="21"/>
              <w:jc w:val="left"/>
              <w:rPr>
                <w:b/>
                <w:sz w:val="22"/>
              </w:rPr>
            </w:pPr>
            <w:r>
              <w:rPr>
                <w:b/>
                <w:w w:val="105"/>
                <w:sz w:val="22"/>
                <w:u w:val="single"/>
              </w:rPr>
              <w:t>Auto</w:t>
            </w:r>
          </w:p>
        </w:tc>
        <w:tc>
          <w:tcPr>
            <w:tcW w:w="1316" w:type="dxa"/>
          </w:tcPr>
          <w:p>
            <w:pPr/>
          </w:p>
        </w:tc>
      </w:tr>
      <w:tr>
        <w:trPr>
          <w:trHeight w:val="258" w:hRule="exact"/>
        </w:trPr>
        <w:tc>
          <w:tcPr>
            <w:tcW w:w="4131" w:type="dxa"/>
          </w:tcPr>
          <w:p>
            <w:pPr>
              <w:pStyle w:val="TableParagraph"/>
              <w:tabs>
                <w:tab w:pos="366" w:val="left" w:leader="none"/>
              </w:tabs>
              <w:spacing w:before="25"/>
              <w:ind w:left="21"/>
              <w:jc w:val="left"/>
              <w:rPr>
                <w:sz w:val="19"/>
              </w:rPr>
            </w:pPr>
            <w:r>
              <w:rPr>
                <w:w w:val="105"/>
                <w:sz w:val="19"/>
              </w:rPr>
              <w:t>1.</w:t>
              <w:tab/>
              <w:t>ARVAL </w:t>
            </w:r>
            <w:r>
              <w:rPr>
                <w:spacing w:val="3"/>
                <w:w w:val="105"/>
                <w:sz w:val="19"/>
              </w:rPr>
              <w:t>(Auto </w:t>
            </w:r>
            <w:r>
              <w:rPr>
                <w:spacing w:val="-3"/>
                <w:w w:val="105"/>
                <w:sz w:val="19"/>
              </w:rPr>
              <w:t>Targa</w:t>
            </w:r>
            <w:r>
              <w:rPr>
                <w:spacing w:val="-25"/>
                <w:w w:val="105"/>
                <w:sz w:val="19"/>
              </w:rPr>
              <w:t> </w:t>
            </w:r>
            <w:r>
              <w:rPr>
                <w:w w:val="105"/>
                <w:sz w:val="19"/>
              </w:rPr>
              <w:t>FK133FE)</w:t>
            </w:r>
          </w:p>
        </w:tc>
        <w:tc>
          <w:tcPr>
            <w:tcW w:w="1316" w:type="dxa"/>
          </w:tcPr>
          <w:p>
            <w:pPr>
              <w:pStyle w:val="TableParagraph"/>
              <w:spacing w:before="25"/>
              <w:ind w:right="20"/>
              <w:rPr>
                <w:sz w:val="19"/>
              </w:rPr>
            </w:pPr>
            <w:r>
              <w:rPr>
                <w:sz w:val="19"/>
              </w:rPr>
              <w:t>6.225,23</w:t>
            </w:r>
          </w:p>
        </w:tc>
      </w:tr>
      <w:tr>
        <w:trPr>
          <w:trHeight w:val="257" w:hRule="exact"/>
        </w:trPr>
        <w:tc>
          <w:tcPr>
            <w:tcW w:w="4131" w:type="dxa"/>
          </w:tcPr>
          <w:p>
            <w:pPr>
              <w:pStyle w:val="TableParagraph"/>
              <w:tabs>
                <w:tab w:pos="366" w:val="left" w:leader="none"/>
              </w:tabs>
              <w:spacing w:before="22"/>
              <w:ind w:left="21"/>
              <w:jc w:val="left"/>
              <w:rPr>
                <w:sz w:val="19"/>
              </w:rPr>
            </w:pPr>
            <w:r>
              <w:rPr>
                <w:w w:val="105"/>
                <w:sz w:val="19"/>
              </w:rPr>
              <w:t>2.</w:t>
              <w:tab/>
              <w:t>ALD</w:t>
            </w:r>
            <w:r>
              <w:rPr>
                <w:spacing w:val="-18"/>
                <w:w w:val="105"/>
                <w:sz w:val="19"/>
              </w:rPr>
              <w:t> </w:t>
            </w:r>
            <w:r>
              <w:rPr>
                <w:spacing w:val="3"/>
                <w:w w:val="105"/>
                <w:sz w:val="19"/>
              </w:rPr>
              <w:t>Automotive</w:t>
            </w:r>
            <w:r>
              <w:rPr>
                <w:spacing w:val="-22"/>
                <w:w w:val="105"/>
                <w:sz w:val="19"/>
              </w:rPr>
              <w:t> </w:t>
            </w:r>
            <w:r>
              <w:rPr>
                <w:spacing w:val="3"/>
                <w:w w:val="105"/>
                <w:sz w:val="19"/>
              </w:rPr>
              <w:t>(Auto</w:t>
            </w:r>
            <w:r>
              <w:rPr>
                <w:spacing w:val="-13"/>
                <w:w w:val="105"/>
                <w:sz w:val="19"/>
              </w:rPr>
              <w:t> </w:t>
            </w:r>
            <w:r>
              <w:rPr>
                <w:spacing w:val="-3"/>
                <w:w w:val="105"/>
                <w:sz w:val="19"/>
              </w:rPr>
              <w:t>Targa</w:t>
            </w:r>
            <w:r>
              <w:rPr>
                <w:spacing w:val="-21"/>
                <w:w w:val="105"/>
                <w:sz w:val="19"/>
              </w:rPr>
              <w:t> </w:t>
            </w:r>
            <w:r>
              <w:rPr>
                <w:spacing w:val="-3"/>
                <w:w w:val="105"/>
                <w:sz w:val="19"/>
              </w:rPr>
              <w:t>FA238FT)</w:t>
            </w:r>
          </w:p>
        </w:tc>
        <w:tc>
          <w:tcPr>
            <w:tcW w:w="1316" w:type="dxa"/>
          </w:tcPr>
          <w:p>
            <w:pPr>
              <w:pStyle w:val="TableParagraph"/>
              <w:spacing w:before="22"/>
              <w:ind w:right="19"/>
              <w:rPr>
                <w:sz w:val="19"/>
              </w:rPr>
            </w:pPr>
            <w:r>
              <w:rPr>
                <w:sz w:val="19"/>
              </w:rPr>
              <w:t>493,52</w:t>
            </w:r>
          </w:p>
        </w:tc>
      </w:tr>
      <w:tr>
        <w:trPr>
          <w:trHeight w:val="294" w:hRule="exact"/>
        </w:trPr>
        <w:tc>
          <w:tcPr>
            <w:tcW w:w="4131" w:type="dxa"/>
          </w:tcPr>
          <w:p>
            <w:pPr>
              <w:pStyle w:val="TableParagraph"/>
              <w:spacing w:before="24"/>
              <w:ind w:left="21"/>
              <w:jc w:val="left"/>
              <w:rPr>
                <w:b/>
                <w:sz w:val="22"/>
              </w:rPr>
            </w:pPr>
            <w:r>
              <w:rPr>
                <w:b/>
                <w:w w:val="105"/>
                <w:sz w:val="22"/>
                <w:u w:val="single"/>
              </w:rPr>
              <w:t>Vodafone</w:t>
            </w:r>
          </w:p>
        </w:tc>
        <w:tc>
          <w:tcPr>
            <w:tcW w:w="1316" w:type="dxa"/>
          </w:tcPr>
          <w:p>
            <w:pPr/>
          </w:p>
        </w:tc>
      </w:tr>
      <w:tr>
        <w:trPr>
          <w:trHeight w:val="241" w:hRule="exact"/>
        </w:trPr>
        <w:tc>
          <w:tcPr>
            <w:tcW w:w="4131" w:type="dxa"/>
          </w:tcPr>
          <w:p>
            <w:pPr>
              <w:pStyle w:val="TableParagraph"/>
              <w:tabs>
                <w:tab w:pos="366" w:val="left" w:leader="none"/>
              </w:tabs>
              <w:spacing w:before="25"/>
              <w:ind w:left="21"/>
              <w:jc w:val="left"/>
              <w:rPr>
                <w:sz w:val="19"/>
              </w:rPr>
            </w:pPr>
            <w:r>
              <w:rPr>
                <w:w w:val="105"/>
                <w:sz w:val="19"/>
              </w:rPr>
              <w:t>1.</w:t>
              <w:tab/>
            </w:r>
            <w:r>
              <w:rPr>
                <w:spacing w:val="-5"/>
                <w:w w:val="105"/>
                <w:sz w:val="19"/>
              </w:rPr>
              <w:t>Recesso </w:t>
            </w:r>
            <w:r>
              <w:rPr>
                <w:w w:val="105"/>
                <w:sz w:val="19"/>
              </w:rPr>
              <w:t>per</w:t>
            </w:r>
            <w:r>
              <w:rPr>
                <w:spacing w:val="-31"/>
                <w:w w:val="105"/>
                <w:sz w:val="19"/>
              </w:rPr>
              <w:t> </w:t>
            </w:r>
            <w:r>
              <w:rPr>
                <w:spacing w:val="-2"/>
                <w:w w:val="105"/>
                <w:sz w:val="19"/>
              </w:rPr>
              <w:t>canoni</w:t>
            </w:r>
          </w:p>
        </w:tc>
        <w:tc>
          <w:tcPr>
            <w:tcW w:w="1316" w:type="dxa"/>
          </w:tcPr>
          <w:p>
            <w:pPr>
              <w:pStyle w:val="TableParagraph"/>
              <w:spacing w:before="25"/>
              <w:ind w:right="20"/>
              <w:rPr>
                <w:sz w:val="19"/>
              </w:rPr>
            </w:pPr>
            <w:r>
              <w:rPr>
                <w:sz w:val="19"/>
              </w:rPr>
              <w:t>13.126,59</w:t>
            </w:r>
          </w:p>
        </w:tc>
      </w:tr>
    </w:tbl>
    <w:p>
      <w:pPr>
        <w:tabs>
          <w:tab w:pos="3597" w:val="left" w:leader="none"/>
          <w:tab w:pos="8023" w:val="left" w:leader="none"/>
        </w:tabs>
        <w:spacing w:before="40"/>
        <w:ind w:left="3207" w:right="0" w:firstLine="0"/>
        <w:jc w:val="left"/>
        <w:rPr>
          <w:sz w:val="19"/>
        </w:rPr>
      </w:pPr>
      <w:r>
        <w:rPr>
          <w:spacing w:val="-5"/>
          <w:w w:val="103"/>
          <w:sz w:val="19"/>
          <w:u w:val="single"/>
        </w:rPr>
        <w:t> </w:t>
      </w:r>
      <w:r>
        <w:rPr>
          <w:w w:val="105"/>
          <w:sz w:val="19"/>
          <w:u w:val="single"/>
        </w:rPr>
        <w:t>2.</w:t>
        <w:tab/>
        <w:t>Penale</w:t>
      </w:r>
      <w:r>
        <w:rPr>
          <w:spacing w:val="-22"/>
          <w:w w:val="105"/>
          <w:sz w:val="19"/>
          <w:u w:val="single"/>
        </w:rPr>
        <w:t> </w:t>
      </w:r>
      <w:r>
        <w:rPr>
          <w:w w:val="105"/>
          <w:sz w:val="19"/>
          <w:u w:val="single"/>
        </w:rPr>
        <w:t>per</w:t>
      </w:r>
      <w:r>
        <w:rPr>
          <w:spacing w:val="-21"/>
          <w:w w:val="105"/>
          <w:sz w:val="19"/>
          <w:u w:val="single"/>
        </w:rPr>
        <w:t> </w:t>
      </w:r>
      <w:r>
        <w:rPr>
          <w:w w:val="105"/>
          <w:sz w:val="19"/>
          <w:u w:val="single"/>
        </w:rPr>
        <w:t>restit.SIM</w:t>
        <w:tab/>
        <w:t>4.300,00</w:t>
      </w:r>
    </w:p>
    <w:p>
      <w:pPr>
        <w:tabs>
          <w:tab w:pos="7813" w:val="left" w:leader="none"/>
        </w:tabs>
        <w:spacing w:before="45"/>
        <w:ind w:left="3207" w:right="0" w:firstLine="0"/>
        <w:jc w:val="left"/>
        <w:rPr>
          <w:b/>
          <w:sz w:val="22"/>
        </w:rPr>
      </w:pPr>
      <w:r>
        <w:rPr>
          <w:b/>
          <w:w w:val="102"/>
          <w:sz w:val="22"/>
          <w:u w:val="single"/>
        </w:rPr>
        <w:t> </w:t>
      </w:r>
      <w:r>
        <w:rPr>
          <w:b/>
          <w:sz w:val="22"/>
          <w:u w:val="single"/>
        </w:rPr>
        <w:tab/>
      </w:r>
      <w:r>
        <w:rPr>
          <w:b/>
          <w:w w:val="105"/>
          <w:sz w:val="22"/>
          <w:u w:val="single"/>
        </w:rPr>
        <w:t>24.145,34</w:t>
      </w:r>
    </w:p>
    <w:p>
      <w:pPr>
        <w:pStyle w:val="BodyText"/>
        <w:spacing w:before="10"/>
        <w:rPr>
          <w:b/>
          <w:sz w:val="16"/>
        </w:rPr>
      </w:pPr>
    </w:p>
    <w:p>
      <w:pPr>
        <w:pStyle w:val="BodyText"/>
        <w:spacing w:before="100"/>
        <w:ind w:left="1418"/>
        <w:jc w:val="both"/>
      </w:pPr>
      <w:r>
        <w:rPr>
          <w:u w:val="single"/>
        </w:rPr>
        <w:t>Valorizzazione concordataria</w:t>
      </w:r>
    </w:p>
    <w:p>
      <w:pPr>
        <w:pStyle w:val="BodyText"/>
        <w:spacing w:before="11"/>
        <w:rPr>
          <w:sz w:val="23"/>
        </w:rPr>
      </w:pPr>
    </w:p>
    <w:p>
      <w:pPr>
        <w:pStyle w:val="BodyText"/>
        <w:ind w:left="1418"/>
        <w:jc w:val="both"/>
      </w:pPr>
      <w:r>
        <w:rPr/>
        <w:t>Il fondo è considerato di natura prededucibile.</w:t>
      </w:r>
    </w:p>
    <w:p>
      <w:pPr>
        <w:pStyle w:val="BodyText"/>
        <w:spacing w:before="11"/>
        <w:rPr>
          <w:sz w:val="23"/>
        </w:rPr>
      </w:pPr>
    </w:p>
    <w:p>
      <w:pPr>
        <w:pStyle w:val="Heading2"/>
        <w:numPr>
          <w:ilvl w:val="1"/>
          <w:numId w:val="91"/>
        </w:numPr>
        <w:tabs>
          <w:tab w:pos="2126" w:val="left" w:leader="none"/>
          <w:tab w:pos="2127" w:val="left" w:leader="none"/>
        </w:tabs>
        <w:spacing w:line="240" w:lineRule="auto" w:before="0" w:after="0"/>
        <w:ind w:left="2126" w:right="0" w:hanging="348"/>
        <w:jc w:val="left"/>
      </w:pPr>
      <w:r>
        <w:rPr/>
        <w:t>Fondo spese legali e contenzioso Graal Bio per Euro</w:t>
      </w:r>
      <w:r>
        <w:rPr>
          <w:spacing w:val="-18"/>
        </w:rPr>
        <w:t> </w:t>
      </w:r>
      <w:r>
        <w:rPr/>
        <w:t>20.964</w:t>
      </w:r>
    </w:p>
    <w:p>
      <w:pPr>
        <w:pStyle w:val="BodyText"/>
        <w:spacing w:before="11"/>
        <w:rPr>
          <w:b/>
          <w:sz w:val="23"/>
        </w:rPr>
      </w:pPr>
    </w:p>
    <w:p>
      <w:pPr>
        <w:spacing w:line="480" w:lineRule="auto" w:before="0"/>
        <w:ind w:left="1418" w:right="1413" w:firstLine="0"/>
        <w:jc w:val="both"/>
        <w:rPr>
          <w:sz w:val="24"/>
        </w:rPr>
      </w:pPr>
      <w:r>
        <w:rPr>
          <w:sz w:val="24"/>
        </w:rPr>
        <w:t>Come già segnalato dalla relazione periodica n. 3 del 11 dicembre 2017, al paragrafo 6.2.3., la società Graal Bio aveva promosso nei confronti della Beta Renewables e Biochemtex, un contenzioso per “</w:t>
      </w:r>
      <w:r>
        <w:rPr>
          <w:i/>
          <w:sz w:val="24"/>
        </w:rPr>
        <w:t>la pretesa rappresentazione ingannevole, il preteso inadempimento contrattuale e la pretesa </w:t>
      </w:r>
      <w:r>
        <w:rPr>
          <w:i/>
          <w:sz w:val="24"/>
        </w:rPr>
        <w:t>colpa grave</w:t>
      </w:r>
      <w:r>
        <w:rPr>
          <w:sz w:val="24"/>
        </w:rPr>
        <w:t>”.</w:t>
      </w:r>
    </w:p>
    <w:p>
      <w:pPr>
        <w:pStyle w:val="BodyText"/>
        <w:spacing w:line="480" w:lineRule="auto"/>
        <w:ind w:left="1418" w:right="1415"/>
        <w:jc w:val="both"/>
      </w:pPr>
      <w:r>
        <w:rPr/>
        <w:t>Si segnala che, in data 20 aprile 2018, lo Studio Legale GOP, ha trasmesso agli scriventi il testo dell’accordo transattivo “</w:t>
      </w:r>
      <w:r>
        <w:rPr>
          <w:i/>
        </w:rPr>
        <w:t>Master Settlement Agreement</w:t>
      </w:r>
      <w:r>
        <w:rPr/>
        <w:t>” stipulato fra le parti nonché con le compagnie assicurative come già ampiamente commentato dagli scriventi più</w:t>
      </w:r>
      <w:r>
        <w:rPr>
          <w:spacing w:val="-30"/>
        </w:rPr>
        <w:t> </w:t>
      </w:r>
      <w:r>
        <w:rPr/>
        <w:t>sopra.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9"/>
        <w:jc w:val="both"/>
      </w:pPr>
      <w:r>
        <w:rPr/>
        <w:t>Tutto ciò premesso, la Ricorrente ha stanziato un fondo per spese legali in via prededucibile per complessivi Euro 20.964, così come quantificato dallo studio Quinn Emanuel e specificato nei calcoli dell’Advisor studio Chiaruttini.</w:t>
      </w:r>
    </w:p>
    <w:p>
      <w:pPr>
        <w:pStyle w:val="BodyText"/>
        <w:ind w:left="1418"/>
        <w:jc w:val="both"/>
      </w:pPr>
      <w:r>
        <w:rPr>
          <w:u w:val="single"/>
        </w:rPr>
        <w:t>Attività svolta</w:t>
      </w:r>
    </w:p>
    <w:p>
      <w:pPr>
        <w:pStyle w:val="BodyText"/>
      </w:pPr>
    </w:p>
    <w:p>
      <w:pPr>
        <w:pStyle w:val="BodyText"/>
        <w:spacing w:line="480" w:lineRule="auto"/>
        <w:ind w:left="1418" w:right="1421"/>
        <w:jc w:val="both"/>
      </w:pPr>
      <w:r>
        <w:rPr/>
        <w:t>La Società ha provveduto ad inviare lettera di circolarizzazione a entrambi gli studi. Gli scriventi hanno preso visione dei contratti in oggetto e dei pareri legali.</w:t>
      </w:r>
    </w:p>
    <w:p>
      <w:pPr>
        <w:pStyle w:val="BodyText"/>
        <w:ind w:left="1418"/>
        <w:jc w:val="both"/>
      </w:pPr>
      <w:r>
        <w:rPr>
          <w:u w:val="single"/>
        </w:rPr>
        <w:t>Valorizzazione concordataria</w:t>
      </w:r>
    </w:p>
    <w:p>
      <w:pPr>
        <w:pStyle w:val="BodyText"/>
        <w:spacing w:before="1"/>
        <w:rPr>
          <w:sz w:val="15"/>
        </w:rPr>
      </w:pPr>
    </w:p>
    <w:p>
      <w:pPr>
        <w:pStyle w:val="BodyText"/>
        <w:spacing w:line="480" w:lineRule="auto" w:before="100"/>
        <w:ind w:left="1418" w:right="1413"/>
        <w:jc w:val="both"/>
      </w:pPr>
      <w:r>
        <w:rPr/>
        <w:t>Tutto ciò premesso, la Ricorrente ha stanziato un fondo per spese legali in via prededucibile per complessivi Euro 20.964.</w:t>
      </w:r>
    </w:p>
    <w:p>
      <w:pPr>
        <w:pStyle w:val="Heading2"/>
        <w:numPr>
          <w:ilvl w:val="1"/>
          <w:numId w:val="91"/>
        </w:numPr>
        <w:tabs>
          <w:tab w:pos="2126" w:val="left" w:leader="none"/>
          <w:tab w:pos="2127" w:val="left" w:leader="none"/>
        </w:tabs>
        <w:spacing w:line="240" w:lineRule="auto" w:before="0" w:after="0"/>
        <w:ind w:left="2126" w:right="0" w:hanging="348"/>
        <w:jc w:val="left"/>
      </w:pPr>
      <w:r>
        <w:rPr>
          <w:u w:val="single"/>
        </w:rPr>
        <w:t>Fondo rischi Andriz per Euro</w:t>
      </w:r>
      <w:r>
        <w:rPr>
          <w:spacing w:val="-14"/>
          <w:u w:val="single"/>
        </w:rPr>
        <w:t> </w:t>
      </w:r>
      <w:r>
        <w:rPr>
          <w:u w:val="single"/>
        </w:rPr>
        <w:t>683.249</w:t>
      </w:r>
    </w:p>
    <w:p>
      <w:pPr>
        <w:pStyle w:val="BodyText"/>
        <w:rPr>
          <w:b/>
        </w:rPr>
      </w:pPr>
    </w:p>
    <w:p>
      <w:pPr>
        <w:pStyle w:val="BodyText"/>
        <w:spacing w:line="480" w:lineRule="auto"/>
        <w:ind w:left="1418" w:right="1412"/>
        <w:jc w:val="both"/>
      </w:pPr>
      <w:r>
        <w:rPr/>
        <w:t>La Società ha provveduto a stanziare Euro 683.249 in via prededucibile a titolo di spese legali, così come quantificate dallo studio Hogan Lovells, e calcolate nel piano dall’Advisor Studio Chiaruttini.</w:t>
      </w:r>
    </w:p>
    <w:p>
      <w:pPr>
        <w:spacing w:line="480" w:lineRule="auto" w:before="0"/>
        <w:ind w:left="1418" w:right="1411" w:firstLine="0"/>
        <w:jc w:val="both"/>
        <w:rPr>
          <w:i/>
          <w:sz w:val="24"/>
        </w:rPr>
      </w:pPr>
      <w:r>
        <w:rPr>
          <w:sz w:val="24"/>
        </w:rPr>
        <w:t>Si riporta la relazione del Advisor legale Studio GOP relativamente al contenzioso in esame: </w:t>
      </w:r>
      <w:r>
        <w:rPr>
          <w:spacing w:val="2"/>
          <w:sz w:val="24"/>
        </w:rPr>
        <w:t>“</w:t>
      </w:r>
      <w:r>
        <w:rPr>
          <w:i/>
          <w:spacing w:val="2"/>
          <w:sz w:val="24"/>
        </w:rPr>
        <w:t>Il </w:t>
      </w:r>
      <w:r>
        <w:rPr>
          <w:i/>
          <w:sz w:val="24"/>
        </w:rPr>
        <w:t>contenzioso promosso nell’anno 2015 da Andritz Inc. (“Andritz”) nei confronti di M&amp;G Finanzia, Beta Renewables e Biochemtex (di seguito, M&amp;G Finanzia, Beta Renewables e Biochemtex, se congiuntamente, le “Società Italiane”), nonché di Chemtex Italia S.r.l., di Chemtex International Inc., di Carolina Cellulosic  Biofuels Llc e di Beta Renewables Usa Inc., avanti il United States District Court For The Northern District of Georgia Atlanta Division, riguarda l’asserita violazione da parte delle Società Italiane di (i) un accordo di riservatezza sottoscritto con Andritz in data 8 aprile 2008, preliminare rispetto alla fornitura da parte di Andritz di macchinari da utilizzare nel processo di pre-trattamento nell’impianto pilota e (ii) di (presunti) segreti industriali della stessa Andritz relativi al processo di pre-trattamento, caratterizzato da due</w:t>
      </w:r>
      <w:r>
        <w:rPr>
          <w:i/>
          <w:spacing w:val="-40"/>
          <w:sz w:val="24"/>
        </w:rPr>
        <w:t> </w:t>
      </w:r>
      <w:r>
        <w:rPr>
          <w:i/>
          <w:sz w:val="24"/>
        </w:rPr>
        <w:t>fasi.</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3" w:firstLine="0"/>
        <w:jc w:val="both"/>
        <w:rPr>
          <w:i/>
          <w:sz w:val="24"/>
        </w:rPr>
      </w:pPr>
      <w:r>
        <w:rPr>
          <w:i/>
          <w:sz w:val="24"/>
        </w:rPr>
        <w:t>Successivamente al deposito della domanda di concordato in bianco il contenzioso con Andritz, attualmente nella </w:t>
      </w:r>
      <w:r>
        <w:rPr>
          <w:i/>
          <w:sz w:val="24"/>
        </w:rPr>
        <w:t>fase di discovery americana, è stato sospeso in accoglimento di diverse istanze congiunta delle Parti. Da ultimo, la sospensione è stata accordata sino all’11 maggio 2018 e la prima udienza successiva alla sospensione volontaria del procedimento in parola è fissata per il 29 maggio 2018.</w:t>
      </w:r>
    </w:p>
    <w:p>
      <w:pPr>
        <w:spacing w:line="480" w:lineRule="auto" w:before="0"/>
        <w:ind w:left="1418" w:right="1411" w:firstLine="0"/>
        <w:jc w:val="both"/>
        <w:rPr>
          <w:i/>
          <w:sz w:val="24"/>
        </w:rPr>
      </w:pPr>
      <w:r>
        <w:rPr>
          <w:i/>
          <w:sz w:val="24"/>
        </w:rPr>
        <w:t>Tra le parti sono intercorsi diversi tentativi di soluzione bonaria della vertenza, che, come si è visto, non hanno </w:t>
      </w:r>
      <w:r>
        <w:rPr>
          <w:i/>
          <w:sz w:val="24"/>
        </w:rPr>
        <w:t>condotto all’esito sperato. Al riguardo, appare opportuno evidenziare che:</w:t>
      </w:r>
    </w:p>
    <w:p>
      <w:pPr>
        <w:pStyle w:val="ListParagraph"/>
        <w:numPr>
          <w:ilvl w:val="0"/>
          <w:numId w:val="92"/>
        </w:numPr>
        <w:tabs>
          <w:tab w:pos="1904" w:val="left" w:leader="none"/>
        </w:tabs>
        <w:spacing w:line="480" w:lineRule="auto" w:before="0" w:after="0"/>
        <w:ind w:left="1418" w:right="1411" w:firstLine="0"/>
        <w:jc w:val="both"/>
        <w:rPr>
          <w:i/>
          <w:sz w:val="24"/>
        </w:rPr>
      </w:pPr>
      <w:r>
        <w:rPr>
          <w:i/>
          <w:sz w:val="24"/>
        </w:rPr>
        <w:t>il 24 gennaio 2018, si è tenuta una call tra i legali italiani di Andritz ed i consulenti legali italiani di </w:t>
      </w:r>
      <w:r>
        <w:rPr>
          <w:i/>
          <w:sz w:val="24"/>
        </w:rPr>
        <w:t>M&amp;G Finanzia, Beta Renewables e Biochemtex in data 24 gennaio 2018, nell’ambito della quale è stata rappresentata l’opportunità di trovare una soluzione transattiva della vertenza anche mediante eventuali accordi commerciali, che dovranno, com’è ovvio, essere compatibili con il processo di ristrutturazione in corso e con la presenza potenziali futuri offerenti per le Società oggetto del perimetro del processo di</w:t>
      </w:r>
      <w:r>
        <w:rPr>
          <w:i/>
          <w:spacing w:val="-28"/>
          <w:sz w:val="24"/>
        </w:rPr>
        <w:t> </w:t>
      </w:r>
      <w:r>
        <w:rPr>
          <w:i/>
          <w:sz w:val="24"/>
        </w:rPr>
        <w:t>M&amp;A;</w:t>
      </w:r>
    </w:p>
    <w:p>
      <w:pPr>
        <w:pStyle w:val="ListParagraph"/>
        <w:numPr>
          <w:ilvl w:val="0"/>
          <w:numId w:val="92"/>
        </w:numPr>
        <w:tabs>
          <w:tab w:pos="1868" w:val="left" w:leader="none"/>
        </w:tabs>
        <w:spacing w:line="480" w:lineRule="auto" w:before="0" w:after="0"/>
        <w:ind w:left="1418" w:right="1425" w:firstLine="0"/>
        <w:jc w:val="both"/>
        <w:rPr>
          <w:i/>
          <w:sz w:val="24"/>
        </w:rPr>
      </w:pPr>
      <w:r>
        <w:rPr>
          <w:i/>
          <w:sz w:val="24"/>
        </w:rPr>
        <w:t>il 30 gennaio 2018, è stata inviata una comunicazione, riservata tra legali, avente ad oggetto il potenziale </w:t>
      </w:r>
      <w:r>
        <w:rPr>
          <w:i/>
          <w:sz w:val="24"/>
        </w:rPr>
        <w:t>contenuto di accordi</w:t>
      </w:r>
      <w:r>
        <w:rPr>
          <w:i/>
          <w:spacing w:val="-17"/>
          <w:sz w:val="24"/>
        </w:rPr>
        <w:t> </w:t>
      </w:r>
      <w:r>
        <w:rPr>
          <w:i/>
          <w:sz w:val="24"/>
        </w:rPr>
        <w:t>commerciali.</w:t>
      </w:r>
    </w:p>
    <w:p>
      <w:pPr>
        <w:spacing w:line="480" w:lineRule="auto" w:before="0"/>
        <w:ind w:left="1418" w:right="1412" w:firstLine="0"/>
        <w:jc w:val="both"/>
        <w:rPr>
          <w:i/>
          <w:sz w:val="24"/>
        </w:rPr>
      </w:pPr>
      <w:r>
        <w:rPr>
          <w:i/>
          <w:sz w:val="24"/>
        </w:rPr>
        <w:t>È poi seguita una riunione con il management di Andritz, tenutasi in Austria in data 1 febbraio 2018, cui </w:t>
      </w:r>
      <w:r>
        <w:rPr>
          <w:i/>
          <w:sz w:val="24"/>
        </w:rPr>
        <w:t>hanno partecipato, oltre ai legali italiani ed a due componenti del Consiglio di Amministrazione di Andritz, i legali italiani di Biochemtex, Beta e M&amp;G Finanzia, nonché gli Amministratori Delegati di Biochemtex,  collegati telefonicamente, e di</w:t>
      </w:r>
      <w:r>
        <w:rPr>
          <w:i/>
          <w:spacing w:val="-10"/>
          <w:sz w:val="24"/>
        </w:rPr>
        <w:t> </w:t>
      </w:r>
      <w:r>
        <w:rPr>
          <w:i/>
          <w:sz w:val="24"/>
        </w:rPr>
        <w:t>Beta.</w:t>
      </w:r>
    </w:p>
    <w:p>
      <w:pPr>
        <w:spacing w:line="480" w:lineRule="auto" w:before="0"/>
        <w:ind w:left="1418" w:right="1415" w:firstLine="0"/>
        <w:jc w:val="both"/>
        <w:rPr>
          <w:i/>
          <w:sz w:val="24"/>
        </w:rPr>
      </w:pPr>
      <w:r>
        <w:rPr>
          <w:i/>
          <w:sz w:val="24"/>
        </w:rPr>
        <w:t>All’esito della riunione uno degli amministratori di Andritz ha chiarito che quest’ultima non è interessata, allo </w:t>
      </w:r>
      <w:r>
        <w:rPr>
          <w:i/>
          <w:sz w:val="24"/>
        </w:rPr>
        <w:t>stato, ad alcun accordo commerciale con le Società del Gruppo.</w:t>
      </w:r>
    </w:p>
    <w:p>
      <w:pPr>
        <w:spacing w:line="480" w:lineRule="auto" w:before="0"/>
        <w:ind w:left="1418" w:right="1417" w:firstLine="0"/>
        <w:jc w:val="both"/>
        <w:rPr>
          <w:i/>
          <w:sz w:val="24"/>
        </w:rPr>
      </w:pPr>
      <w:r>
        <w:rPr>
          <w:i/>
          <w:sz w:val="24"/>
        </w:rPr>
        <w:t>In data 15 febbraio 2018, è stata programmata una visita presso l’impianto di Crescentino, come convenuto </w:t>
      </w:r>
      <w:r>
        <w:rPr>
          <w:i/>
          <w:sz w:val="24"/>
        </w:rPr>
        <w:t>nell’ambito della richiesta di sospensione del procedimento americano, alla quale hanno partecipato i legali americani e consulenti tecnici di Andritz, unitamente ai legali americani ed italiani di M&amp;G Finanzia, Biochemtex e Beta, con alcuni esponenti delle</w:t>
      </w:r>
      <w:r>
        <w:rPr>
          <w:i/>
          <w:spacing w:val="-15"/>
          <w:sz w:val="24"/>
        </w:rPr>
        <w:t> </w:t>
      </w:r>
      <w:r>
        <w:rPr>
          <w:i/>
          <w:sz w:val="24"/>
        </w:rPr>
        <w:t>Società.</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1" w:firstLine="0"/>
        <w:jc w:val="both"/>
        <w:rPr>
          <w:i/>
          <w:sz w:val="24"/>
        </w:rPr>
      </w:pPr>
      <w:r>
        <w:rPr>
          <w:i/>
          <w:sz w:val="24"/>
        </w:rPr>
        <w:t>Successivamente all’ottenimento della proroga del termine per il deposito del piano e della proposta della Società in </w:t>
      </w:r>
      <w:r>
        <w:rPr>
          <w:i/>
          <w:sz w:val="24"/>
        </w:rPr>
        <w:t>accoglimento dell’istanza della Società in data 22 febbraio 2018, i legali americani di Andritz hanno chiesto la fissazione di una nuova conferenza telefonica per discutere, anche insieme ai legali italiani delle parti, un ulteriore tentativo di transazione tra le parti.</w:t>
      </w:r>
    </w:p>
    <w:p>
      <w:pPr>
        <w:spacing w:line="480" w:lineRule="auto" w:before="0"/>
        <w:ind w:left="1418" w:right="1412" w:firstLine="0"/>
        <w:jc w:val="both"/>
        <w:rPr>
          <w:i/>
          <w:sz w:val="24"/>
        </w:rPr>
      </w:pPr>
      <w:r>
        <w:rPr>
          <w:i/>
          <w:sz w:val="24"/>
        </w:rPr>
        <w:t>La menzionata conferenza telefonica si è tenuta in data 12 aprile 2018, alla presenza dei legali italiani e di quelli </w:t>
      </w:r>
      <w:r>
        <w:rPr>
          <w:i/>
          <w:sz w:val="24"/>
        </w:rPr>
        <w:t>americani delle parti. Durante tale conferenza telefonica è stato fornito ai legali di Andritz un aggiornamento sulla procedura in corso e sul trattamento che i pretesi crediti risarcitori di Andritz dovrebbero ricevere nell’ambito del piano, alla luce dei pareri resi dal legale americano della Società in merito ai rischi derivanti dal contenzioso in parola e dai consulenti legali italiani (già prodotti, unitamente ad una traduzione di cortesia, sub docc. […]),  anche i fini della relativa allegazione alla memoria di deposito di Piano e Proposta di Concordato Preventivo che viene depositata con la</w:t>
      </w:r>
      <w:r>
        <w:rPr>
          <w:i/>
          <w:spacing w:val="-13"/>
          <w:sz w:val="24"/>
        </w:rPr>
        <w:t> </w:t>
      </w:r>
      <w:r>
        <w:rPr>
          <w:i/>
          <w:sz w:val="24"/>
        </w:rPr>
        <w:t>presente.</w:t>
      </w:r>
    </w:p>
    <w:p>
      <w:pPr>
        <w:spacing w:line="480" w:lineRule="auto" w:before="0"/>
        <w:ind w:left="1418" w:right="1415" w:firstLine="0"/>
        <w:jc w:val="both"/>
        <w:rPr>
          <w:sz w:val="24"/>
        </w:rPr>
      </w:pPr>
      <w:r>
        <w:rPr>
          <w:i/>
          <w:sz w:val="24"/>
        </w:rPr>
        <w:t>In ragione dell’esito negativo dei contatti intercorsi tra le parti per addivenire a una composizione bonaria della </w:t>
      </w:r>
      <w:r>
        <w:rPr>
          <w:i/>
          <w:sz w:val="24"/>
        </w:rPr>
        <w:t>vertenza, appare ragionevole ritenere che successivamente alla menzionata udienza del 29 maggio 2018 il procedimento americano di discovery riprenderà il suo naturale corso e, in particolare, verranno assunte le prove testimoniali e verranno esperite le consulenze tecniche previste dal procedimento americano.</w:t>
      </w:r>
      <w:r>
        <w:rPr>
          <w:sz w:val="24"/>
        </w:rPr>
        <w:t>”</w:t>
      </w:r>
    </w:p>
    <w:p>
      <w:pPr>
        <w:pStyle w:val="BodyText"/>
        <w:ind w:left="1418"/>
        <w:jc w:val="both"/>
      </w:pPr>
      <w:r>
        <w:rPr>
          <w:u w:val="single"/>
        </w:rPr>
        <w:t>Attività svolta</w:t>
      </w:r>
    </w:p>
    <w:p>
      <w:pPr>
        <w:pStyle w:val="BodyText"/>
      </w:pPr>
    </w:p>
    <w:p>
      <w:pPr>
        <w:pStyle w:val="BodyText"/>
        <w:spacing w:line="480" w:lineRule="auto"/>
        <w:ind w:left="1418" w:right="3168"/>
      </w:pPr>
      <w:r>
        <w:rPr/>
        <w:t>Gli scriventi hanno preso visione dei contratti in oggetto e del parere dei legali. </w:t>
      </w:r>
      <w:r>
        <w:rPr>
          <w:u w:val="single"/>
        </w:rPr>
        <w:t>Valorizzazione concordataria</w:t>
      </w:r>
    </w:p>
    <w:p>
      <w:pPr>
        <w:pStyle w:val="BodyText"/>
        <w:spacing w:line="480" w:lineRule="auto"/>
        <w:ind w:left="1418" w:right="1518"/>
      </w:pPr>
      <w:r>
        <w:rPr/>
        <w:t>Alla luce di quanto premesso, la Società ha provveduto a stanziare Euro 683.249 in via prededucibile.</w:t>
      </w:r>
    </w:p>
    <w:p>
      <w:pPr>
        <w:pStyle w:val="Heading2"/>
        <w:numPr>
          <w:ilvl w:val="1"/>
          <w:numId w:val="92"/>
        </w:numPr>
        <w:tabs>
          <w:tab w:pos="2126" w:val="left" w:leader="none"/>
          <w:tab w:pos="2127" w:val="left" w:leader="none"/>
        </w:tabs>
        <w:spacing w:line="240" w:lineRule="auto" w:before="0" w:after="0"/>
        <w:ind w:left="2138" w:right="0" w:hanging="360"/>
        <w:jc w:val="left"/>
        <w:rPr>
          <w:rFonts w:ascii="Symbol"/>
          <w:sz w:val="18"/>
        </w:rPr>
      </w:pPr>
      <w:r>
        <w:rPr>
          <w:u w:val="single"/>
        </w:rPr>
        <w:t>Fondo garanzia per Euro</w:t>
      </w:r>
      <w:r>
        <w:rPr>
          <w:spacing w:val="-13"/>
          <w:u w:val="single"/>
        </w:rPr>
        <w:t> </w:t>
      </w:r>
      <w:r>
        <w:rPr>
          <w:u w:val="single"/>
        </w:rPr>
        <w:t>2.588.986</w:t>
      </w:r>
    </w:p>
    <w:p>
      <w:pPr>
        <w:pStyle w:val="BodyText"/>
        <w:rPr>
          <w:b/>
        </w:rPr>
      </w:pPr>
    </w:p>
    <w:p>
      <w:pPr>
        <w:pStyle w:val="BodyText"/>
        <w:spacing w:line="480" w:lineRule="auto"/>
        <w:ind w:left="1418" w:right="1413"/>
      </w:pPr>
      <w:r>
        <w:rPr/>
        <w:t>La Ricorrente ha stanziato fondi inerenti al rischio di escussione di garanzie/fidejussioni rilasciate dalla stessa nell’ambito di alcuni rapporti contrattuali, più nello specifico:</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1"/>
          <w:numId w:val="92"/>
        </w:numPr>
        <w:tabs>
          <w:tab w:pos="2127" w:val="left" w:leader="none"/>
        </w:tabs>
        <w:spacing w:line="465" w:lineRule="auto" w:before="100" w:after="0"/>
        <w:ind w:left="2138" w:right="1420" w:hanging="360"/>
        <w:jc w:val="both"/>
        <w:rPr>
          <w:rFonts w:ascii="Symbol" w:hAnsi="Symbol"/>
          <w:sz w:val="24"/>
        </w:rPr>
      </w:pPr>
      <w:r>
        <w:rPr>
          <w:sz w:val="24"/>
        </w:rPr>
        <w:t>garanzia Roquette di Euro 639.431: si riferisce alla fideiussione di Euro 900.000, rilasciata da Biochemtex a favore di Roquette, fornitore di IBP, indicato nell’elenco dei creditori  del concordato di IBP per Euro</w:t>
      </w:r>
      <w:r>
        <w:rPr>
          <w:spacing w:val="-12"/>
          <w:sz w:val="24"/>
        </w:rPr>
        <w:t> </w:t>
      </w:r>
      <w:r>
        <w:rPr>
          <w:sz w:val="24"/>
        </w:rPr>
        <w:t>639.431;</w:t>
      </w:r>
    </w:p>
    <w:p>
      <w:pPr>
        <w:pStyle w:val="BodyText"/>
        <w:spacing w:line="480" w:lineRule="auto" w:before="16"/>
        <w:ind w:left="2138" w:right="1419"/>
        <w:jc w:val="both"/>
      </w:pPr>
      <w:r>
        <w:rPr/>
        <w:t>Nei fondi rischi è stato considerato il rischio massimo di escussione della garanzia calcolato sul valore del debito residuo;</w:t>
      </w:r>
    </w:p>
    <w:p>
      <w:pPr>
        <w:pStyle w:val="ListParagraph"/>
        <w:numPr>
          <w:ilvl w:val="1"/>
          <w:numId w:val="92"/>
        </w:numPr>
        <w:tabs>
          <w:tab w:pos="2127" w:val="left" w:leader="none"/>
        </w:tabs>
        <w:spacing w:line="472" w:lineRule="auto" w:before="0" w:after="0"/>
        <w:ind w:left="2138" w:right="1419" w:hanging="360"/>
        <w:jc w:val="both"/>
        <w:rPr>
          <w:rFonts w:ascii="Symbol" w:hAnsi="Symbol"/>
          <w:sz w:val="24"/>
        </w:rPr>
      </w:pPr>
      <w:r>
        <w:rPr>
          <w:sz w:val="24"/>
        </w:rPr>
        <w:t>garanzia Durr di Euro 1.759.940: si riferisce alla fideiussione pari a dollari 3.500.000 rilasciata in data 15 dicembre 2015 da Biochemtex a Durr in favore di M&amp;G Finanziaria  al fine di garantire i rischi legati alla fornitura di cui al contratto n. MG034.0010, stipulato tra il fornitore Durr e la società M&amp;G Finanziaria in data 4 aprile 2014 e modificato in data 12 agosto</w:t>
      </w:r>
      <w:r>
        <w:rPr>
          <w:spacing w:val="-4"/>
          <w:sz w:val="24"/>
        </w:rPr>
        <w:t> </w:t>
      </w:r>
      <w:r>
        <w:rPr>
          <w:sz w:val="24"/>
        </w:rPr>
        <w:t>2015.</w:t>
      </w:r>
    </w:p>
    <w:p>
      <w:pPr>
        <w:spacing w:line="480" w:lineRule="auto" w:before="8"/>
        <w:ind w:left="2138" w:right="1415" w:firstLine="0"/>
        <w:jc w:val="both"/>
        <w:rPr>
          <w:i/>
          <w:sz w:val="24"/>
        </w:rPr>
      </w:pPr>
      <w:r>
        <w:rPr>
          <w:sz w:val="24"/>
        </w:rPr>
        <w:t>Nonostante la garanzia risulti scaduta in data 31.07.2017, in data 21 dicembre 2017 l’avvocato Martin Hartl, legale del fornitore Durr, ha chiesto di essere inserito nell’elenco dei fornitori di Biochemtex, precisando quanto segue: “</w:t>
      </w:r>
      <w:r>
        <w:rPr>
          <w:i/>
          <w:sz w:val="24"/>
        </w:rPr>
        <w:t>prevedendo la fideiussione la data del 31 </w:t>
      </w:r>
      <w:r>
        <w:rPr>
          <w:i/>
          <w:sz w:val="24"/>
        </w:rPr>
        <w:t>luglio 2017 come termine della propria efficacia…senza specificare null’altra a riguardo, è pacifico che la Biochemtex S.p.A. è rimasta ad oggi obbligata a pagare alla creditrice DURR Systems GmbH la parte del debito principale che era scaduta fino a quella data…il debito principale garantito dalla fideiussione e le relative rate di pagamento sono quelle riferite nella fideiussione stessa, per un totale di USD 4.285.778,00, di cui la debitrice principale M&amp;G Finanziaria S.p.A. ha pagato soltanto USD</w:t>
      </w:r>
    </w:p>
    <w:p>
      <w:pPr>
        <w:spacing w:before="0"/>
        <w:ind w:left="2138" w:right="0" w:firstLine="0"/>
        <w:jc w:val="both"/>
        <w:rPr>
          <w:i/>
          <w:sz w:val="24"/>
        </w:rPr>
      </w:pPr>
      <w:r>
        <w:rPr>
          <w:i/>
          <w:sz w:val="24"/>
        </w:rPr>
        <w:t>2.150.000. Le rate scadute al 31 luglio 2017 e tuttora insolute” </w:t>
      </w:r>
      <w:r>
        <w:rPr>
          <w:sz w:val="24"/>
        </w:rPr>
        <w:t>ammontano a dollari   2.135.778</w:t>
      </w:r>
      <w:r>
        <w:rPr>
          <w:i/>
          <w:sz w:val="24"/>
        </w:rPr>
        <w:t>.</w:t>
      </w:r>
    </w:p>
    <w:p>
      <w:pPr>
        <w:pStyle w:val="BodyText"/>
        <w:spacing w:before="10"/>
        <w:rPr>
          <w:i/>
          <w:sz w:val="23"/>
        </w:rPr>
      </w:pPr>
    </w:p>
    <w:p>
      <w:pPr>
        <w:pStyle w:val="BodyText"/>
        <w:spacing w:line="480" w:lineRule="auto" w:before="1"/>
        <w:ind w:left="2138" w:right="1416"/>
        <w:jc w:val="both"/>
      </w:pPr>
      <w:r>
        <w:rPr/>
        <w:t>Nel fondo rischi la società ha pertanto prudenzialmente stanziato Euro 1.759.940 pari ai pagamenti non effettuati dalla M&amp;G Finanziaria e richiesti dal fornitore alla garante, nonostante la richiesta da parte della controparte sia stata effettuata dopo la scadenza  della</w:t>
      </w:r>
      <w:r>
        <w:rPr>
          <w:spacing w:val="-5"/>
        </w:rPr>
        <w:t> </w:t>
      </w:r>
      <w:r>
        <w:rPr/>
        <w:t>garanzia;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1"/>
          <w:numId w:val="92"/>
        </w:numPr>
        <w:tabs>
          <w:tab w:pos="2127" w:val="left" w:leader="none"/>
        </w:tabs>
        <w:spacing w:line="453" w:lineRule="auto" w:before="100" w:after="0"/>
        <w:ind w:left="2138" w:right="1415" w:hanging="360"/>
        <w:jc w:val="both"/>
        <w:rPr>
          <w:rFonts w:ascii="Symbol"/>
          <w:sz w:val="24"/>
        </w:rPr>
      </w:pPr>
      <w:r>
        <w:rPr>
          <w:sz w:val="24"/>
        </w:rPr>
        <w:t>garanzia C5-6 Italy di Euro 58.946: la Biochemtex ha rilasciato una ideiussione sino a concorrenza</w:t>
      </w:r>
      <w:r>
        <w:rPr>
          <w:spacing w:val="32"/>
          <w:sz w:val="24"/>
        </w:rPr>
        <w:t> </w:t>
      </w:r>
      <w:r>
        <w:rPr>
          <w:sz w:val="24"/>
        </w:rPr>
        <w:t>di</w:t>
      </w:r>
      <w:r>
        <w:rPr>
          <w:spacing w:val="32"/>
          <w:sz w:val="24"/>
        </w:rPr>
        <w:t> </w:t>
      </w:r>
      <w:r>
        <w:rPr>
          <w:sz w:val="24"/>
        </w:rPr>
        <w:t>253.000</w:t>
      </w:r>
      <w:r>
        <w:rPr>
          <w:spacing w:val="30"/>
          <w:sz w:val="24"/>
        </w:rPr>
        <w:t> </w:t>
      </w:r>
      <w:r>
        <w:rPr>
          <w:sz w:val="24"/>
        </w:rPr>
        <w:t>Euro</w:t>
      </w:r>
      <w:r>
        <w:rPr>
          <w:spacing w:val="32"/>
          <w:sz w:val="24"/>
        </w:rPr>
        <w:t> </w:t>
      </w:r>
      <w:r>
        <w:rPr>
          <w:sz w:val="24"/>
        </w:rPr>
        <w:t>a</w:t>
      </w:r>
      <w:r>
        <w:rPr>
          <w:spacing w:val="32"/>
          <w:sz w:val="24"/>
        </w:rPr>
        <w:t> </w:t>
      </w:r>
      <w:r>
        <w:rPr>
          <w:sz w:val="24"/>
        </w:rPr>
        <w:t>favore</w:t>
      </w:r>
      <w:r>
        <w:rPr>
          <w:spacing w:val="32"/>
          <w:sz w:val="24"/>
        </w:rPr>
        <w:t> </w:t>
      </w:r>
      <w:r>
        <w:rPr>
          <w:sz w:val="24"/>
        </w:rPr>
        <w:t>della</w:t>
      </w:r>
      <w:r>
        <w:rPr>
          <w:spacing w:val="32"/>
          <w:sz w:val="24"/>
        </w:rPr>
        <w:t> </w:t>
      </w:r>
      <w:r>
        <w:rPr>
          <w:sz w:val="24"/>
        </w:rPr>
        <w:t>correlata</w:t>
      </w:r>
      <w:r>
        <w:rPr>
          <w:spacing w:val="32"/>
          <w:sz w:val="24"/>
        </w:rPr>
        <w:t> </w:t>
      </w:r>
      <w:r>
        <w:rPr>
          <w:sz w:val="24"/>
        </w:rPr>
        <w:t>C5-6</w:t>
      </w:r>
      <w:r>
        <w:rPr>
          <w:spacing w:val="32"/>
          <w:sz w:val="24"/>
        </w:rPr>
        <w:t> </w:t>
      </w:r>
      <w:r>
        <w:rPr>
          <w:sz w:val="24"/>
        </w:rPr>
        <w:t>Italy</w:t>
      </w:r>
      <w:r>
        <w:rPr>
          <w:spacing w:val="32"/>
          <w:sz w:val="24"/>
        </w:rPr>
        <w:t> </w:t>
      </w:r>
      <w:r>
        <w:rPr>
          <w:sz w:val="24"/>
        </w:rPr>
        <w:t>e</w:t>
      </w:r>
      <w:r>
        <w:rPr>
          <w:spacing w:val="30"/>
          <w:sz w:val="24"/>
        </w:rPr>
        <w:t> </w:t>
      </w:r>
      <w:r>
        <w:rPr>
          <w:sz w:val="24"/>
        </w:rPr>
        <w:t>verso</w:t>
      </w:r>
      <w:r>
        <w:rPr>
          <w:spacing w:val="32"/>
          <w:sz w:val="24"/>
        </w:rPr>
        <w:t> </w:t>
      </w:r>
      <w:r>
        <w:rPr>
          <w:sz w:val="24"/>
        </w:rPr>
        <w:t>la</w:t>
      </w:r>
      <w:r>
        <w:rPr>
          <w:spacing w:val="32"/>
          <w:sz w:val="24"/>
        </w:rPr>
        <w:t> </w:t>
      </w:r>
      <w:r>
        <w:rPr>
          <w:sz w:val="24"/>
        </w:rPr>
        <w:t>BCC</w:t>
      </w:r>
      <w:r>
        <w:rPr>
          <w:spacing w:val="32"/>
          <w:sz w:val="24"/>
        </w:rPr>
        <w:t> </w:t>
      </w:r>
      <w:r>
        <w:rPr>
          <w:sz w:val="24"/>
        </w:rPr>
        <w:t>Lease</w:t>
      </w:r>
    </w:p>
    <w:p>
      <w:pPr>
        <w:pStyle w:val="BodyText"/>
        <w:spacing w:line="480" w:lineRule="auto" w:before="29"/>
        <w:ind w:left="2138" w:right="1420"/>
        <w:jc w:val="both"/>
      </w:pPr>
      <w:r>
        <w:rPr/>
        <w:t>S.p.A. per l’adempimento delle operazioni sorte a carico del debitore (BCC Lease S.p.A.) in relazione al contratto di leasing per uno spettrometro di massa;</w:t>
      </w:r>
    </w:p>
    <w:p>
      <w:pPr>
        <w:pStyle w:val="BodyText"/>
        <w:spacing w:line="480" w:lineRule="auto"/>
        <w:ind w:left="2138" w:right="1417"/>
        <w:jc w:val="both"/>
      </w:pPr>
      <w:r>
        <w:rPr/>
        <w:t>La garanzia scade in data 31.12.2018, pertanto, nel fondo rischi la Società ha stanziato Euro 58.946 pari ai pagamenti non effettuati dalla C5-6 Italy e richiesti dalla società di leasing alla garante. Si è preso visione del contratto di fidejussione siglato dalle  controparti;</w:t>
      </w:r>
    </w:p>
    <w:p>
      <w:pPr>
        <w:pStyle w:val="ListParagraph"/>
        <w:numPr>
          <w:ilvl w:val="1"/>
          <w:numId w:val="92"/>
        </w:numPr>
        <w:tabs>
          <w:tab w:pos="2127" w:val="left" w:leader="none"/>
        </w:tabs>
        <w:spacing w:line="470" w:lineRule="auto" w:before="0" w:after="0"/>
        <w:ind w:left="2138" w:right="1412" w:hanging="360"/>
        <w:jc w:val="both"/>
        <w:rPr>
          <w:rFonts w:ascii="Symbol" w:hAnsi="Symbol"/>
          <w:sz w:val="24"/>
        </w:rPr>
      </w:pPr>
      <w:r>
        <w:rPr>
          <w:sz w:val="24"/>
        </w:rPr>
        <w:t>garanzia Hepta di Euro 130.669: si riferisce alle garanzie per fideiussioni rilasciate da Biochemtex in favore di Hepta per i contratti di leasing su macchinari da quest’ultima sottoscritti con Alba Leasing e Mediocredito italiano, già meglio descritti nella relazione di IBP deposita in data 22 febbraio</w:t>
      </w:r>
      <w:r>
        <w:rPr>
          <w:spacing w:val="-9"/>
          <w:sz w:val="24"/>
        </w:rPr>
        <w:t> </w:t>
      </w:r>
      <w:r>
        <w:rPr>
          <w:sz w:val="24"/>
        </w:rPr>
        <w:t>2018.</w:t>
      </w:r>
    </w:p>
    <w:p>
      <w:pPr>
        <w:pStyle w:val="BodyText"/>
        <w:spacing w:before="11"/>
        <w:ind w:left="1418"/>
        <w:jc w:val="both"/>
      </w:pPr>
      <w:r>
        <w:rPr>
          <w:u w:val="single"/>
        </w:rPr>
        <w:t>Attività svolta</w:t>
      </w:r>
    </w:p>
    <w:p>
      <w:pPr>
        <w:pStyle w:val="BodyText"/>
        <w:spacing w:before="11"/>
        <w:rPr>
          <w:sz w:val="23"/>
        </w:rPr>
      </w:pPr>
    </w:p>
    <w:p>
      <w:pPr>
        <w:pStyle w:val="BodyText"/>
        <w:spacing w:line="480" w:lineRule="auto"/>
        <w:ind w:left="1418" w:right="1411"/>
        <w:jc w:val="both"/>
      </w:pPr>
      <w:r>
        <w:rPr/>
        <w:t>Gli scriventi hanno preso visione del “</w:t>
      </w:r>
      <w:r>
        <w:rPr>
          <w:i/>
        </w:rPr>
        <w:t>deliverables” </w:t>
      </w:r>
      <w:r>
        <w:rPr/>
        <w:t>sui contratti attivi e passivi, reso disponibile dalla Ricorrente, predisposto dalla società di consulenza Deloitte alla quale è stato conferito incarico specifico di riepilogo e mappatura dei principali rapporti contrattuali perlopiù di natura commerciale sottoscritti da Biochemtex e ancora in essere, indicando le relative clausole, oltre che della mappatura delle garanzie concesse e ricevute dalla Società dalla stessa effettuata e riportata nei </w:t>
      </w:r>
      <w:r>
        <w:rPr>
          <w:i/>
        </w:rPr>
        <w:t>Deliverables </w:t>
      </w:r>
      <w:r>
        <w:rPr/>
        <w:t>di Deloitte. Gli scriventi hanno altresì preso visione dei contratti originali e delle garanzie prestate e richiesto informazioni alla Società circa la probabilità del rischio di escussione delle garanzie stesse e le relative motivazioni del rischio potenziale di escussione.</w:t>
      </w:r>
    </w:p>
    <w:p>
      <w:pPr>
        <w:pStyle w:val="BodyText"/>
        <w:ind w:left="1418"/>
        <w:jc w:val="both"/>
      </w:pPr>
      <w:r>
        <w:rPr>
          <w:u w:val="single"/>
        </w:rPr>
        <w:t>Valorizzazione concordataria</w:t>
      </w:r>
    </w:p>
    <w:p>
      <w:pPr>
        <w:pStyle w:val="BodyText"/>
        <w:spacing w:before="11"/>
        <w:rPr>
          <w:sz w:val="23"/>
        </w:rPr>
      </w:pPr>
    </w:p>
    <w:p>
      <w:pPr>
        <w:pStyle w:val="BodyText"/>
        <w:ind w:left="1418"/>
        <w:jc w:val="both"/>
      </w:pPr>
      <w:r>
        <w:rPr/>
        <w:t>I fondi sono stati considerati di natura chirografaria.</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11"/>
        <w:rPr>
          <w:sz w:val="26"/>
        </w:rPr>
      </w:pPr>
    </w:p>
    <w:p>
      <w:pPr>
        <w:spacing w:before="99"/>
        <w:ind w:left="3697" w:right="3695" w:firstLine="0"/>
        <w:jc w:val="center"/>
        <w:rPr>
          <w:sz w:val="14"/>
        </w:rPr>
      </w:pPr>
      <w:r>
        <w:rPr>
          <w:sz w:val="14"/>
        </w:rPr>
        <w:t>***</w:t>
      </w:r>
    </w:p>
    <w:p>
      <w:pPr>
        <w:pStyle w:val="BodyText"/>
        <w:rPr>
          <w:sz w:val="16"/>
        </w:rPr>
      </w:pPr>
    </w:p>
    <w:p>
      <w:pPr>
        <w:pStyle w:val="BodyText"/>
        <w:spacing w:before="4"/>
        <w:rPr>
          <w:sz w:val="18"/>
        </w:rPr>
      </w:pPr>
    </w:p>
    <w:p>
      <w:pPr>
        <w:pStyle w:val="BodyText"/>
        <w:spacing w:line="480" w:lineRule="auto"/>
        <w:ind w:left="1418" w:right="1412"/>
        <w:jc w:val="both"/>
      </w:pPr>
      <w:r>
        <w:rPr/>
        <w:t>Alla luce di quanto sopra indicato, si segnala che la società ha precisato che gli importi prudenzialmente accantonati nei fondi rischi, saranno liberati a beneficio dei creditori chirografari qualora tali rischi non si dovessero verificare.</w:t>
      </w:r>
    </w:p>
    <w:p>
      <w:pPr>
        <w:pStyle w:val="BodyText"/>
        <w:spacing w:before="3"/>
        <w:rPr>
          <w:sz w:val="21"/>
        </w:rPr>
      </w:pPr>
    </w:p>
    <w:p>
      <w:pPr>
        <w:pStyle w:val="Heading2"/>
        <w:jc w:val="both"/>
      </w:pPr>
      <w:r>
        <w:rPr>
          <w:u w:val="single"/>
        </w:rPr>
        <w:t>ULTERIORI RISCHI</w:t>
      </w:r>
    </w:p>
    <w:p>
      <w:pPr>
        <w:pStyle w:val="BodyText"/>
        <w:spacing w:before="10"/>
        <w:rPr>
          <w:b/>
          <w:sz w:val="23"/>
        </w:rPr>
      </w:pPr>
    </w:p>
    <w:p>
      <w:pPr>
        <w:pStyle w:val="BodyText"/>
        <w:spacing w:line="480" w:lineRule="auto"/>
        <w:ind w:left="1418" w:right="1414"/>
        <w:jc w:val="both"/>
      </w:pPr>
      <w:r>
        <w:rPr/>
        <w:t>Per quanto concerne gli eventuali ulteriori rischi, gli scriventi da un lato hanno circolarizzato gli studi legali con cui la società ha intrattenuto o intrattiene tuttora rapporti al fine di conoscere ed evidenziare eventuali passività potenziali derivanti da contenziosi, penalità od ogni altra circostanza che possa determinare l’insorgere di passività potenziali di carattere probabile; dall’altro lato hanno chiesto agli Advisor legali e finanziari una mappatura di tutte le garanzie ricevute e prestate dalla ricorrente per debiti propri o debiti altrui.</w:t>
      </w:r>
    </w:p>
    <w:p>
      <w:pPr>
        <w:pStyle w:val="Heading2"/>
        <w:numPr>
          <w:ilvl w:val="0"/>
          <w:numId w:val="93"/>
        </w:numPr>
        <w:tabs>
          <w:tab w:pos="2126" w:val="left" w:leader="none"/>
          <w:tab w:pos="2127" w:val="left" w:leader="none"/>
        </w:tabs>
        <w:spacing w:line="240" w:lineRule="auto" w:before="0" w:after="0"/>
        <w:ind w:left="2138" w:right="0" w:hanging="360"/>
        <w:jc w:val="left"/>
        <w:rPr>
          <w:rFonts w:ascii="Symbol" w:hAnsi="Symbol"/>
          <w:sz w:val="18"/>
        </w:rPr>
      </w:pPr>
      <w:r>
        <w:rPr>
          <w:u w:val="single"/>
        </w:rPr>
        <w:t>Eventuali passività</w:t>
      </w:r>
      <w:r>
        <w:rPr>
          <w:spacing w:val="-14"/>
          <w:u w:val="single"/>
        </w:rPr>
        <w:t> </w:t>
      </w:r>
      <w:r>
        <w:rPr>
          <w:u w:val="single"/>
        </w:rPr>
        <w:t>potenziali</w:t>
      </w:r>
    </w:p>
    <w:p>
      <w:pPr>
        <w:pStyle w:val="BodyText"/>
        <w:rPr>
          <w:b/>
        </w:rPr>
      </w:pPr>
    </w:p>
    <w:p>
      <w:pPr>
        <w:pStyle w:val="BodyText"/>
        <w:ind w:left="1418"/>
        <w:jc w:val="both"/>
      </w:pPr>
      <w:r>
        <w:rPr/>
        <w:t>Per quanto concerne i legali, gli scriventi professionisti hanno richiesto di precisare quanto segue:</w:t>
      </w:r>
    </w:p>
    <w:p>
      <w:pPr>
        <w:pStyle w:val="BodyText"/>
        <w:spacing w:before="11"/>
        <w:rPr>
          <w:sz w:val="23"/>
        </w:rPr>
      </w:pPr>
    </w:p>
    <w:p>
      <w:pPr>
        <w:pStyle w:val="ListParagraph"/>
        <w:numPr>
          <w:ilvl w:val="0"/>
          <w:numId w:val="94"/>
        </w:numPr>
        <w:tabs>
          <w:tab w:pos="2126" w:val="left" w:leader="none"/>
          <w:tab w:pos="2127" w:val="left" w:leader="none"/>
        </w:tabs>
        <w:spacing w:line="460" w:lineRule="auto" w:before="0" w:after="0"/>
        <w:ind w:left="2138" w:right="1423" w:hanging="360"/>
        <w:jc w:val="left"/>
        <w:rPr>
          <w:sz w:val="24"/>
        </w:rPr>
      </w:pPr>
      <w:r>
        <w:rPr>
          <w:sz w:val="24"/>
        </w:rPr>
        <w:t>quali cause in corso o da iniziare di qualsiasi natura sono pendenti pro e/o contro la società, indicandone l’eventuale</w:t>
      </w:r>
      <w:r>
        <w:rPr>
          <w:spacing w:val="-8"/>
          <w:sz w:val="24"/>
        </w:rPr>
        <w:t> </w:t>
      </w:r>
      <w:r>
        <w:rPr>
          <w:sz w:val="24"/>
        </w:rPr>
        <w:t>esito;</w:t>
      </w:r>
    </w:p>
    <w:p>
      <w:pPr>
        <w:pStyle w:val="ListParagraph"/>
        <w:numPr>
          <w:ilvl w:val="0"/>
          <w:numId w:val="94"/>
        </w:numPr>
        <w:tabs>
          <w:tab w:pos="2126" w:val="left" w:leader="none"/>
          <w:tab w:pos="2127" w:val="left" w:leader="none"/>
        </w:tabs>
        <w:spacing w:line="240" w:lineRule="auto" w:before="21" w:after="0"/>
        <w:ind w:left="2126" w:right="0" w:hanging="348"/>
        <w:jc w:val="left"/>
        <w:rPr>
          <w:sz w:val="24"/>
        </w:rPr>
      </w:pPr>
      <w:r>
        <w:rPr>
          <w:sz w:val="24"/>
        </w:rPr>
        <w:t>lista del contenzioso a mani del legale indicandone lo status e le eventuali</w:t>
      </w:r>
      <w:r>
        <w:rPr>
          <w:spacing w:val="-35"/>
          <w:sz w:val="24"/>
        </w:rPr>
        <w:t> </w:t>
      </w:r>
      <w:r>
        <w:rPr>
          <w:sz w:val="24"/>
        </w:rPr>
        <w:t>perdite</w:t>
      </w:r>
    </w:p>
    <w:p>
      <w:pPr>
        <w:pStyle w:val="BodyText"/>
        <w:spacing w:before="9"/>
        <w:rPr>
          <w:sz w:val="23"/>
        </w:rPr>
      </w:pPr>
    </w:p>
    <w:p>
      <w:pPr>
        <w:pStyle w:val="ListParagraph"/>
        <w:numPr>
          <w:ilvl w:val="0"/>
          <w:numId w:val="94"/>
        </w:numPr>
        <w:tabs>
          <w:tab w:pos="2126" w:val="left" w:leader="none"/>
          <w:tab w:pos="2127" w:val="left" w:leader="none"/>
        </w:tabs>
        <w:spacing w:line="240" w:lineRule="auto" w:before="0" w:after="0"/>
        <w:ind w:left="2126" w:right="0" w:hanging="348"/>
        <w:jc w:val="left"/>
        <w:rPr>
          <w:sz w:val="24"/>
        </w:rPr>
      </w:pPr>
      <w:r>
        <w:rPr>
          <w:sz w:val="24"/>
        </w:rPr>
        <w:t>l’ammontare dei compensi loro</w:t>
      </w:r>
      <w:r>
        <w:rPr>
          <w:spacing w:val="-5"/>
          <w:sz w:val="24"/>
        </w:rPr>
        <w:t> </w:t>
      </w:r>
      <w:r>
        <w:rPr>
          <w:sz w:val="24"/>
        </w:rPr>
        <w:t>spettanti.</w:t>
      </w:r>
    </w:p>
    <w:p>
      <w:pPr>
        <w:pStyle w:val="BodyText"/>
        <w:spacing w:before="10"/>
        <w:rPr>
          <w:sz w:val="23"/>
        </w:rPr>
      </w:pPr>
    </w:p>
    <w:p>
      <w:pPr>
        <w:pStyle w:val="BodyText"/>
        <w:spacing w:line="480" w:lineRule="auto"/>
        <w:ind w:left="1418" w:right="1415"/>
        <w:jc w:val="both"/>
      </w:pPr>
      <w:r>
        <w:rPr/>
        <w:t>Gli studi legali circolarizzati sono lo studio Leone Bifulco, che ha assistito la società fino alla data di deposito della domanda di concordato, e lo Studio GOP per i contenziosi pendenti con Graal Bio e Andritz, per le negoziazioni in essere con i soci di minoranza TPG e Novozymes, per eventuali ulteriori contenziosi pendenti, nonché per eventuali rischi connessi alle commesse. Per quanto concerne eventuali ulteriori contenziosi pendenti, si precisa che i legali con lettera del   17</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4"/>
        <w:jc w:val="both"/>
      </w:pPr>
      <w:r>
        <w:rPr/>
        <w:t>gennaio 2018 hanno confermato di seguire la società a far data dal 15 ottobre 2017 e  in particolare hanno segnalato di essere venuti a conoscenza della sussistenza di contenziosi esteri seguiti da legali esteri in USA, UK e Brasile. Tali legali esteri, Hogan Lovells, Quinn Emanuel e Mathos Filo, sono stati circolarizzati in data 08 marzo 2018. Lo studio Hogan Lovells, che segue il contenzioso Andritz, ha risposto precisando il proprio credito e le fatture nei confronti di Biochemtex e Chemtex International e in data 28 marzo 2018 ha rilasciato parere in merito al contezioso Andritz, commentato dallo studio legale GOP in data 11 aprile 2018, interamente riportato nel precedente paragrafo fondi</w:t>
      </w:r>
      <w:r>
        <w:rPr>
          <w:spacing w:val="-27"/>
        </w:rPr>
        <w:t> </w:t>
      </w:r>
      <w:r>
        <w:rPr/>
        <w:t>rischi.</w:t>
      </w:r>
    </w:p>
    <w:p>
      <w:pPr>
        <w:pStyle w:val="BodyText"/>
        <w:spacing w:line="480" w:lineRule="auto"/>
        <w:ind w:left="1418" w:right="1418"/>
        <w:jc w:val="both"/>
      </w:pPr>
      <w:r>
        <w:rPr/>
        <w:t>Gli altri due studi legali esteri, che seguono il contenzioso Graal Bio in UK e Brasile, sono lo studio legale Quinn Emanuel, in relazione al quale gli scriventi hanno preso visione del mandato  e della precisazione di credito, e lo studio legale Matthos Filho, in relazione al quale gli scriventi hanno ricevuto solamente i</w:t>
      </w:r>
      <w:r>
        <w:rPr>
          <w:spacing w:val="-13"/>
        </w:rPr>
        <w:t> </w:t>
      </w:r>
      <w:r>
        <w:rPr/>
        <w:t>mandati.</w:t>
      </w:r>
    </w:p>
    <w:p>
      <w:pPr>
        <w:pStyle w:val="BodyText"/>
        <w:spacing w:line="480" w:lineRule="auto"/>
        <w:ind w:left="1418" w:right="1415"/>
        <w:jc w:val="both"/>
      </w:pPr>
      <w:r>
        <w:rPr/>
        <w:t>Per quanto riguarda lo Studio legale Bifulco, si segnala che lo stesso in data 13 marzo 2018 ha risposto alla circolarizzazione precisando di non assistere più la Società dal 17 ottobre 2017 e di essere a conoscenza dei contenziosi pendenti Graal Bio e Andritz, senza precisare null’altro.</w:t>
      </w:r>
    </w:p>
    <w:p>
      <w:pPr>
        <w:pStyle w:val="BodyText"/>
        <w:spacing w:line="480" w:lineRule="auto"/>
        <w:ind w:left="1418" w:right="1421"/>
        <w:jc w:val="both"/>
      </w:pPr>
      <w:r>
        <w:rPr/>
        <w:t>Per maggiori informazioni in merito alla transazione conclusa con Graal Bio e con riferimento al contenzioso Andritz si rimanda al precedente paragrafo fondi rischi.</w:t>
      </w:r>
    </w:p>
    <w:p>
      <w:pPr>
        <w:pStyle w:val="Heading2"/>
        <w:jc w:val="both"/>
      </w:pPr>
      <w:r>
        <w:rPr>
          <w:u w:val="single"/>
        </w:rPr>
        <w:t>Mappatura delle garanzie</w:t>
      </w:r>
    </w:p>
    <w:p>
      <w:pPr>
        <w:pStyle w:val="BodyText"/>
        <w:spacing w:before="1"/>
        <w:rPr>
          <w:b/>
          <w:sz w:val="15"/>
        </w:rPr>
      </w:pPr>
    </w:p>
    <w:p>
      <w:pPr>
        <w:pStyle w:val="BodyText"/>
        <w:spacing w:line="480" w:lineRule="auto" w:before="100"/>
        <w:ind w:left="1418" w:right="1412"/>
        <w:jc w:val="both"/>
      </w:pPr>
      <w:r>
        <w:rPr/>
        <w:t>In data 16 marzo 2018 la Società ha conferito a Deloitte S.p.A. in particolare alla divisione “Forensic” nella persona del partner incaricato dott.ssa Oriana Roncarolo, incarico avente ad oggetto il supporto professionale per l’effettuazione di attività tecniche perlopiù di natura ricostruttiva documentale e contabile, funzionali esclusivamente agli adempimenti della procedura concorsuale per le società del c.d. “Polo Bio”.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Gli scriventi hanno preso visione dei </w:t>
      </w:r>
      <w:r>
        <w:rPr>
          <w:i/>
        </w:rPr>
        <w:t>deliverables </w:t>
      </w:r>
      <w:r>
        <w:rPr/>
        <w:t>di Deloitte ed hanno indagato le principali voci relative alle garanzie ancora in essere al 15.10.2017.</w:t>
      </w:r>
    </w:p>
    <w:p>
      <w:pPr>
        <w:pStyle w:val="BodyText"/>
        <w:ind w:left="1418"/>
      </w:pPr>
      <w:r>
        <w:rPr/>
        <w:t>Si illustra il riepilogo riportato nei </w:t>
      </w:r>
      <w:r>
        <w:rPr>
          <w:i/>
        </w:rPr>
        <w:t>Deliverables </w:t>
      </w:r>
      <w:r>
        <w:rPr/>
        <w:t>di Deloitte con riguardo a tale aspetto:</w:t>
      </w:r>
    </w:p>
    <w:p>
      <w:pPr>
        <w:pStyle w:val="BodyText"/>
        <w:spacing w:before="8"/>
        <w:rPr>
          <w:sz w:val="15"/>
        </w:rPr>
      </w:pPr>
    </w:p>
    <w:p>
      <w:pPr>
        <w:spacing w:before="104"/>
        <w:ind w:left="1452" w:right="0" w:firstLine="0"/>
        <w:jc w:val="left"/>
        <w:rPr>
          <w:rFonts w:ascii="Verdana"/>
          <w:i/>
          <w:sz w:val="11"/>
        </w:rPr>
      </w:pPr>
      <w:r>
        <w:rPr>
          <w:rFonts w:ascii="Verdana"/>
          <w:i/>
          <w:w w:val="105"/>
          <w:sz w:val="11"/>
        </w:rPr>
        <w:t>Importi in Euro/000</w:t>
      </w:r>
    </w:p>
    <w:p>
      <w:pPr>
        <w:pStyle w:val="BodyText"/>
        <w:spacing w:before="3"/>
        <w:rPr>
          <w:rFonts w:ascii="Verdana"/>
          <w:i/>
          <w:sz w:val="12"/>
        </w:rPr>
      </w:pPr>
    </w:p>
    <w:p>
      <w:pPr>
        <w:spacing w:before="0"/>
        <w:ind w:left="1462" w:right="0" w:firstLine="0"/>
        <w:jc w:val="left"/>
        <w:rPr>
          <w:rFonts w:ascii="Verdana" w:hAnsi="Verdana"/>
          <w:b/>
          <w:sz w:val="11"/>
        </w:rPr>
      </w:pPr>
      <w:r>
        <w:rPr>
          <w:rFonts w:ascii="Verdana" w:hAnsi="Verdana"/>
          <w:b/>
          <w:w w:val="105"/>
          <w:sz w:val="11"/>
        </w:rPr>
        <w:t>Recap garanzie da Bilanci e dettaglio fornitoci dalla Società</w:t>
      </w:r>
    </w:p>
    <w:p>
      <w:pPr>
        <w:pStyle w:val="BodyText"/>
        <w:spacing w:before="3"/>
        <w:rPr>
          <w:rFonts w:ascii="Verdana"/>
          <w:b/>
          <w:sz w:val="11"/>
        </w:rPr>
      </w:pPr>
    </w:p>
    <w:tbl>
      <w:tblPr>
        <w:tblCellSpacing w:w="14" w:type="dxa"/>
        <w:tblW w:w="0" w:type="auto"/>
        <w:jc w:val="left"/>
        <w:tblInd w:w="1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81"/>
        <w:gridCol w:w="1287"/>
        <w:gridCol w:w="2192"/>
        <w:gridCol w:w="980"/>
        <w:gridCol w:w="975"/>
        <w:gridCol w:w="975"/>
        <w:gridCol w:w="961"/>
      </w:tblGrid>
      <w:tr>
        <w:trPr>
          <w:trHeight w:val="312" w:hRule="exact"/>
        </w:trPr>
        <w:tc>
          <w:tcPr>
            <w:tcW w:w="1681" w:type="dxa"/>
            <w:tcBorders>
              <w:left w:val="nil"/>
              <w:bottom w:val="single" w:sz="4" w:space="0" w:color="000000"/>
              <w:right w:val="nil"/>
            </w:tcBorders>
            <w:shd w:val="clear" w:color="auto" w:fill="85BB24"/>
          </w:tcPr>
          <w:p>
            <w:pPr>
              <w:pStyle w:val="TableParagraph"/>
              <w:spacing w:before="3"/>
              <w:ind w:left="28"/>
              <w:jc w:val="left"/>
              <w:rPr>
                <w:rFonts w:ascii="Verdana"/>
                <w:b/>
                <w:sz w:val="11"/>
              </w:rPr>
            </w:pPr>
            <w:r>
              <w:rPr>
                <w:rFonts w:ascii="Verdana"/>
                <w:b/>
                <w:color w:val="FFFFFF"/>
                <w:w w:val="105"/>
                <w:sz w:val="11"/>
              </w:rPr>
              <w:t>Garante</w:t>
            </w:r>
          </w:p>
        </w:tc>
        <w:tc>
          <w:tcPr>
            <w:tcW w:w="1287" w:type="dxa"/>
            <w:tcBorders>
              <w:left w:val="nil"/>
              <w:bottom w:val="single" w:sz="4" w:space="0" w:color="000000"/>
              <w:right w:val="nil"/>
            </w:tcBorders>
            <w:shd w:val="clear" w:color="auto" w:fill="85BB24"/>
          </w:tcPr>
          <w:p>
            <w:pPr>
              <w:pStyle w:val="TableParagraph"/>
              <w:spacing w:before="3"/>
              <w:ind w:left="37"/>
              <w:jc w:val="left"/>
              <w:rPr>
                <w:rFonts w:ascii="Verdana"/>
                <w:b/>
                <w:sz w:val="11"/>
              </w:rPr>
            </w:pPr>
            <w:r>
              <w:rPr>
                <w:rFonts w:ascii="Verdana"/>
                <w:b/>
                <w:color w:val="FFFFFF"/>
                <w:w w:val="105"/>
                <w:sz w:val="11"/>
              </w:rPr>
              <w:t>Destinatario</w:t>
            </w:r>
          </w:p>
        </w:tc>
        <w:tc>
          <w:tcPr>
            <w:tcW w:w="2192" w:type="dxa"/>
            <w:tcBorders>
              <w:left w:val="nil"/>
              <w:bottom w:val="single" w:sz="4" w:space="0" w:color="000000"/>
              <w:right w:val="nil"/>
            </w:tcBorders>
            <w:shd w:val="clear" w:color="auto" w:fill="85BB24"/>
          </w:tcPr>
          <w:p>
            <w:pPr>
              <w:pStyle w:val="TableParagraph"/>
              <w:spacing w:before="3"/>
              <w:ind w:left="37"/>
              <w:jc w:val="left"/>
              <w:rPr>
                <w:rFonts w:ascii="Verdana"/>
                <w:b/>
                <w:sz w:val="11"/>
              </w:rPr>
            </w:pPr>
            <w:r>
              <w:rPr>
                <w:rFonts w:ascii="Verdana"/>
                <w:b/>
                <w:color w:val="FFFFFF"/>
                <w:w w:val="105"/>
                <w:sz w:val="11"/>
              </w:rPr>
              <w:t>Beneficiario</w:t>
            </w:r>
          </w:p>
        </w:tc>
        <w:tc>
          <w:tcPr>
            <w:tcW w:w="980" w:type="dxa"/>
            <w:tcBorders>
              <w:left w:val="nil"/>
              <w:bottom w:val="single" w:sz="4" w:space="0" w:color="000000"/>
              <w:right w:val="nil"/>
            </w:tcBorders>
            <w:shd w:val="clear" w:color="auto" w:fill="85BB24"/>
          </w:tcPr>
          <w:p>
            <w:pPr>
              <w:pStyle w:val="TableParagraph"/>
              <w:spacing w:before="3"/>
              <w:ind w:left="75"/>
              <w:jc w:val="left"/>
              <w:rPr>
                <w:rFonts w:ascii="Verdana"/>
                <w:b/>
                <w:sz w:val="11"/>
              </w:rPr>
            </w:pPr>
            <w:r>
              <w:rPr>
                <w:rFonts w:ascii="Verdana"/>
                <w:b/>
                <w:color w:val="FFFFFF"/>
                <w:w w:val="105"/>
                <w:sz w:val="11"/>
              </w:rPr>
              <w:t>15/10/2017</w:t>
            </w:r>
          </w:p>
        </w:tc>
        <w:tc>
          <w:tcPr>
            <w:tcW w:w="975" w:type="dxa"/>
            <w:tcBorders>
              <w:left w:val="nil"/>
              <w:bottom w:val="single" w:sz="4" w:space="0" w:color="000000"/>
              <w:right w:val="nil"/>
            </w:tcBorders>
            <w:shd w:val="clear" w:color="auto" w:fill="85BB24"/>
          </w:tcPr>
          <w:p>
            <w:pPr>
              <w:pStyle w:val="TableParagraph"/>
              <w:spacing w:before="3"/>
              <w:ind w:left="75"/>
              <w:jc w:val="left"/>
              <w:rPr>
                <w:rFonts w:ascii="Verdana"/>
                <w:b/>
                <w:sz w:val="11"/>
              </w:rPr>
            </w:pPr>
            <w:r>
              <w:rPr>
                <w:rFonts w:ascii="Verdana"/>
                <w:b/>
                <w:color w:val="FFFFFF"/>
                <w:w w:val="105"/>
                <w:sz w:val="11"/>
              </w:rPr>
              <w:t>31/12/2016</w:t>
            </w:r>
          </w:p>
        </w:tc>
        <w:tc>
          <w:tcPr>
            <w:tcW w:w="975" w:type="dxa"/>
            <w:tcBorders>
              <w:left w:val="nil"/>
              <w:bottom w:val="single" w:sz="4" w:space="0" w:color="000000"/>
              <w:right w:val="nil"/>
            </w:tcBorders>
            <w:shd w:val="clear" w:color="auto" w:fill="85BB24"/>
          </w:tcPr>
          <w:p>
            <w:pPr>
              <w:pStyle w:val="TableParagraph"/>
              <w:spacing w:before="3"/>
              <w:ind w:left="75"/>
              <w:jc w:val="left"/>
              <w:rPr>
                <w:rFonts w:ascii="Verdana"/>
                <w:b/>
                <w:sz w:val="11"/>
              </w:rPr>
            </w:pPr>
            <w:r>
              <w:rPr>
                <w:rFonts w:ascii="Verdana"/>
                <w:b/>
                <w:color w:val="FFFFFF"/>
                <w:w w:val="105"/>
                <w:sz w:val="11"/>
              </w:rPr>
              <w:t>31/12/2015</w:t>
            </w:r>
          </w:p>
        </w:tc>
        <w:tc>
          <w:tcPr>
            <w:tcW w:w="961" w:type="dxa"/>
            <w:tcBorders>
              <w:left w:val="nil"/>
              <w:bottom w:val="single" w:sz="4" w:space="0" w:color="000000"/>
              <w:right w:val="nil"/>
            </w:tcBorders>
            <w:shd w:val="clear" w:color="auto" w:fill="85BB24"/>
          </w:tcPr>
          <w:p>
            <w:pPr>
              <w:pStyle w:val="TableParagraph"/>
              <w:spacing w:before="3"/>
              <w:ind w:left="75"/>
              <w:jc w:val="left"/>
              <w:rPr>
                <w:rFonts w:ascii="Verdana"/>
                <w:b/>
                <w:sz w:val="11"/>
              </w:rPr>
            </w:pPr>
            <w:r>
              <w:rPr>
                <w:rFonts w:ascii="Verdana"/>
                <w:b/>
                <w:color w:val="FFFFFF"/>
                <w:w w:val="105"/>
                <w:sz w:val="11"/>
              </w:rPr>
              <w:t>31/12/2014</w:t>
            </w:r>
          </w:p>
        </w:tc>
      </w:tr>
    </w:tbl>
    <w:p>
      <w:pPr>
        <w:tabs>
          <w:tab w:pos="3156" w:val="left" w:leader="none"/>
          <w:tab w:pos="7189" w:val="left" w:leader="none"/>
          <w:tab w:pos="8164" w:val="left" w:leader="none"/>
          <w:tab w:pos="9414" w:val="left" w:leader="none"/>
          <w:tab w:pos="10389" w:val="left" w:leader="none"/>
        </w:tabs>
        <w:spacing w:before="40" w:after="14"/>
        <w:ind w:left="1452" w:right="0" w:firstLine="0"/>
        <w:jc w:val="left"/>
        <w:rPr>
          <w:rFonts w:ascii="Verdana"/>
          <w:b/>
          <w:sz w:val="11"/>
        </w:rPr>
      </w:pPr>
      <w:r>
        <w:rPr>
          <w:rFonts w:ascii="Verdana"/>
          <w:w w:val="105"/>
          <w:sz w:val="11"/>
        </w:rPr>
        <w:t>Biochemtex</w:t>
        <w:tab/>
        <w:t>Italian Bio</w:t>
      </w:r>
      <w:r>
        <w:rPr>
          <w:rFonts w:ascii="Verdana"/>
          <w:spacing w:val="3"/>
          <w:w w:val="105"/>
          <w:sz w:val="11"/>
        </w:rPr>
        <w:t> </w:t>
      </w:r>
      <w:r>
        <w:rPr>
          <w:rFonts w:ascii="Verdana"/>
          <w:w w:val="105"/>
          <w:sz w:val="11"/>
        </w:rPr>
        <w:t>Products  </w:t>
      </w:r>
      <w:r>
        <w:rPr>
          <w:rFonts w:ascii="Verdana"/>
          <w:spacing w:val="20"/>
          <w:w w:val="105"/>
          <w:sz w:val="11"/>
        </w:rPr>
        <w:t> </w:t>
      </w:r>
      <w:r>
        <w:rPr>
          <w:rFonts w:ascii="Verdana"/>
          <w:w w:val="105"/>
          <w:sz w:val="11"/>
        </w:rPr>
        <w:t>IFIS</w:t>
        <w:tab/>
        <w:t>3.000</w:t>
        <w:tab/>
        <w:t>3.000</w:t>
        <w:tab/>
      </w:r>
      <w:r>
        <w:rPr>
          <w:rFonts w:ascii="Verdana"/>
          <w:b/>
          <w:w w:val="105"/>
          <w:sz w:val="11"/>
        </w:rPr>
        <w:t>-</w:t>
        <w:tab/>
        <w:t>-</w:t>
      </w:r>
    </w:p>
    <w:p>
      <w:pPr>
        <w:pStyle w:val="BodyText"/>
        <w:spacing w:line="20" w:lineRule="exact"/>
        <w:ind w:left="6612"/>
        <w:rPr>
          <w:rFonts w:ascii="Verdana"/>
          <w:sz w:val="2"/>
        </w:rPr>
      </w:pPr>
      <w:r>
        <w:rPr>
          <w:rFonts w:ascii="Verdana"/>
          <w:sz w:val="2"/>
        </w:rPr>
        <w:pict>
          <v:group style="width:193.65pt;height:.5pt;mso-position-horizontal-relative:char;mso-position-vertical-relative:line" coordorigin="0,0" coordsize="3873,10">
            <v:shape style="position:absolute;left:0;top:0;width:947;height:9" type="#_x0000_t75" stroked="false">
              <v:imagedata r:id="rId15" o:title=""/>
            </v:shape>
            <v:shape style="position:absolute;left:975;top:0;width:947;height:9" type="#_x0000_t75" stroked="false">
              <v:imagedata r:id="rId16" o:title=""/>
            </v:shape>
            <v:shape style="position:absolute;left:1950;top:0;width:947;height:9" type="#_x0000_t75" stroked="false">
              <v:imagedata r:id="rId17" o:title=""/>
            </v:shape>
            <v:shape style="position:absolute;left:2925;top:0;width:947;height:9" type="#_x0000_t75" stroked="false">
              <v:imagedata r:id="rId18" o:title=""/>
            </v:shape>
          </v:group>
        </w:pict>
      </w:r>
      <w:r>
        <w:rPr>
          <w:rFonts w:ascii="Verdana"/>
          <w:sz w:val="2"/>
        </w:rPr>
      </w:r>
    </w:p>
    <w:p>
      <w:pPr>
        <w:tabs>
          <w:tab w:pos="3156" w:val="left" w:leader="none"/>
          <w:tab w:pos="7303" w:val="left" w:leader="none"/>
          <w:tab w:pos="8458" w:val="left" w:leader="none"/>
          <w:tab w:pos="9414" w:val="left" w:leader="none"/>
          <w:tab w:pos="10389" w:val="left" w:leader="none"/>
        </w:tabs>
        <w:spacing w:line="120" w:lineRule="exact" w:before="0"/>
        <w:ind w:left="1452" w:right="0" w:firstLine="0"/>
        <w:jc w:val="left"/>
        <w:rPr>
          <w:rFonts w:ascii="Verdana"/>
          <w:b/>
          <w:sz w:val="11"/>
        </w:rPr>
      </w:pPr>
      <w:r>
        <w:rPr>
          <w:rFonts w:ascii="Verdana"/>
          <w:w w:val="105"/>
          <w:sz w:val="11"/>
        </w:rPr>
        <w:t>Biochemtex</w:t>
        <w:tab/>
        <w:t>Italian Bio</w:t>
      </w:r>
      <w:r>
        <w:rPr>
          <w:rFonts w:ascii="Verdana"/>
          <w:spacing w:val="4"/>
          <w:w w:val="105"/>
          <w:sz w:val="11"/>
        </w:rPr>
        <w:t> </w:t>
      </w:r>
      <w:r>
        <w:rPr>
          <w:rFonts w:ascii="Verdana"/>
          <w:w w:val="105"/>
          <w:sz w:val="11"/>
        </w:rPr>
        <w:t>Products  </w:t>
      </w:r>
      <w:r>
        <w:rPr>
          <w:rFonts w:ascii="Verdana"/>
          <w:spacing w:val="21"/>
          <w:w w:val="105"/>
          <w:sz w:val="11"/>
        </w:rPr>
        <w:t> </w:t>
      </w:r>
      <w:r>
        <w:rPr>
          <w:rFonts w:ascii="Verdana"/>
          <w:spacing w:val="2"/>
          <w:w w:val="105"/>
          <w:sz w:val="11"/>
        </w:rPr>
        <w:t>Roquette</w:t>
        <w:tab/>
      </w:r>
      <w:r>
        <w:rPr>
          <w:rFonts w:ascii="Verdana"/>
          <w:w w:val="105"/>
          <w:sz w:val="11"/>
        </w:rPr>
        <w:t>900</w:t>
        <w:tab/>
        <w:t>-</w:t>
        <w:tab/>
      </w:r>
      <w:r>
        <w:rPr>
          <w:rFonts w:ascii="Verdana"/>
          <w:b/>
          <w:w w:val="105"/>
          <w:sz w:val="11"/>
        </w:rPr>
        <w:t>-</w:t>
        <w:tab/>
        <w:t>-</w:t>
      </w:r>
    </w:p>
    <w:p>
      <w:pPr>
        <w:tabs>
          <w:tab w:pos="3156" w:val="left" w:leader="none"/>
          <w:tab w:pos="4444" w:val="left" w:leader="none"/>
          <w:tab w:pos="7483" w:val="left" w:leader="none"/>
          <w:tab w:pos="8164" w:val="left" w:leader="none"/>
          <w:tab w:pos="9477" w:val="right" w:leader="none"/>
        </w:tabs>
        <w:spacing w:line="148" w:lineRule="exact" w:before="0"/>
        <w:ind w:left="1452" w:right="0" w:firstLine="0"/>
        <w:jc w:val="left"/>
        <w:rPr>
          <w:rFonts w:ascii="Verdana"/>
          <w:sz w:val="11"/>
        </w:rPr>
      </w:pPr>
      <w:r>
        <w:rPr/>
        <w:pict>
          <v:group style="position:absolute;margin-left:71.209999pt;margin-top:.084468pt;width:453.05pt;height:.5pt;mso-position-horizontal-relative:page;mso-position-vertical-relative:paragraph;z-index:-845872" coordorigin="1424,2" coordsize="9061,10">
            <v:shape style="position:absolute;left:1424;top:2;width:1676;height:9" type="#_x0000_t75" stroked="false">
              <v:imagedata r:id="rId19" o:title=""/>
            </v:shape>
            <v:shape style="position:absolute;left:3128;top:2;width:1259;height:9" type="#_x0000_t75" stroked="false">
              <v:imagedata r:id="rId20" o:title=""/>
            </v:shape>
            <v:shape style="position:absolute;left:4416;top:2;width:2159;height:9" type="#_x0000_t75" stroked="false">
              <v:imagedata r:id="rId21" o:title=""/>
            </v:shape>
            <v:shape style="position:absolute;left:6612;top:2;width:947;height:9" type="#_x0000_t75" stroked="false">
              <v:imagedata r:id="rId22" o:title=""/>
            </v:shape>
            <v:shape style="position:absolute;left:7588;top:2;width:947;height:9" type="#_x0000_t75" stroked="false">
              <v:imagedata r:id="rId23" o:title=""/>
            </v:shape>
            <v:shape style="position:absolute;left:8563;top:2;width:947;height:9" type="#_x0000_t75" stroked="false">
              <v:imagedata r:id="rId24" o:title=""/>
            </v:shape>
            <v:shape style="position:absolute;left:9538;top:2;width:947;height:9" type="#_x0000_t75" stroked="false">
              <v:imagedata r:id="rId25" o:title=""/>
            </v:shape>
            <w10:wrap type="none"/>
          </v:group>
        </w:pict>
      </w:r>
      <w:r>
        <w:rPr>
          <w:rFonts w:ascii="Verdana"/>
          <w:w w:val="105"/>
          <w:sz w:val="11"/>
        </w:rPr>
        <w:t>Biochemtex</w:t>
        <w:tab/>
        <w:t>M&amp;G</w:t>
      </w:r>
      <w:r>
        <w:rPr>
          <w:rFonts w:ascii="Verdana"/>
          <w:spacing w:val="-6"/>
          <w:w w:val="105"/>
          <w:sz w:val="11"/>
        </w:rPr>
        <w:t> </w:t>
      </w:r>
      <w:r>
        <w:rPr>
          <w:rFonts w:ascii="Verdana"/>
          <w:w w:val="105"/>
          <w:sz w:val="11"/>
        </w:rPr>
        <w:t>Finanziaria</w:t>
        <w:tab/>
        <w:t>Durr</w:t>
        <w:tab/>
      </w:r>
      <w:r>
        <w:rPr>
          <w:rFonts w:ascii="Verdana"/>
          <w:w w:val="105"/>
          <w:position w:val="2"/>
          <w:sz w:val="11"/>
        </w:rPr>
        <w:t>-</w:t>
        <w:tab/>
        <w:t>2.168</w:t>
        <w:tab/>
        <w:t>3.477</w:t>
      </w:r>
    </w:p>
    <w:p>
      <w:pPr>
        <w:tabs>
          <w:tab w:pos="3156" w:val="left" w:leader="none"/>
          <w:tab w:pos="4444" w:val="left" w:leader="none"/>
          <w:tab w:pos="7379" w:val="left" w:leader="none"/>
          <w:tab w:pos="7483" w:val="left" w:leader="none"/>
          <w:tab w:pos="8458" w:val="left" w:leader="none"/>
          <w:tab w:pos="9064" w:val="left" w:leader="none"/>
          <w:tab w:pos="9433" w:val="left" w:leader="none"/>
          <w:tab w:pos="10408" w:val="left" w:leader="none"/>
          <w:tab w:pos="10451" w:val="right" w:leader="none"/>
        </w:tabs>
        <w:spacing w:line="254" w:lineRule="auto" w:before="27"/>
        <w:ind w:left="1452" w:right="1443" w:firstLine="0"/>
        <w:jc w:val="left"/>
        <w:rPr>
          <w:rFonts w:ascii="Verdana"/>
          <w:sz w:val="11"/>
        </w:rPr>
      </w:pPr>
      <w:r>
        <w:rPr/>
        <w:pict>
          <v:group style="position:absolute;margin-left:71.209999pt;margin-top:.732875pt;width:453.05pt;height:.5pt;mso-position-horizontal-relative:page;mso-position-vertical-relative:paragraph;z-index:1888" coordorigin="1424,15" coordsize="9061,10">
            <v:shape style="position:absolute;left:1424;top:15;width:1676;height:10" type="#_x0000_t75" stroked="false">
              <v:imagedata r:id="rId26" o:title=""/>
            </v:shape>
            <v:shape style="position:absolute;left:3128;top:15;width:1259;height:10" type="#_x0000_t75" stroked="false">
              <v:imagedata r:id="rId27" o:title=""/>
            </v:shape>
            <v:shape style="position:absolute;left:4416;top:15;width:2159;height:10" type="#_x0000_t75" stroked="false">
              <v:imagedata r:id="rId28" o:title=""/>
            </v:shape>
            <v:shape style="position:absolute;left:6612;top:15;width:947;height:10" type="#_x0000_t75" stroked="false">
              <v:imagedata r:id="rId29" o:title=""/>
            </v:shape>
            <v:shape style="position:absolute;left:7588;top:15;width:947;height:10" type="#_x0000_t75" stroked="false">
              <v:imagedata r:id="rId30" o:title=""/>
            </v:shape>
            <v:shape style="position:absolute;left:8563;top:15;width:947;height:10" type="#_x0000_t75" stroked="false">
              <v:imagedata r:id="rId31" o:title=""/>
            </v:shape>
            <v:shape style="position:absolute;left:9538;top:15;width:947;height:10" type="#_x0000_t75" stroked="false">
              <v:imagedata r:id="rId32" o:title=""/>
            </v:shape>
            <w10:wrap type="none"/>
          </v:group>
        </w:pict>
      </w:r>
      <w:r>
        <w:rPr/>
        <w:pict>
          <v:group style="position:absolute;margin-left:71.209999pt;margin-top:7.836035pt;width:453.05pt;height:.5pt;mso-position-horizontal-relative:page;mso-position-vertical-relative:paragraph;z-index:-845824" coordorigin="1424,157" coordsize="9061,10">
            <v:shape style="position:absolute;left:1424;top:157;width:1676;height:9" type="#_x0000_t75" stroked="false">
              <v:imagedata r:id="rId33" o:title=""/>
            </v:shape>
            <v:shape style="position:absolute;left:3128;top:157;width:1259;height:9" type="#_x0000_t75" stroked="false">
              <v:imagedata r:id="rId34" o:title=""/>
            </v:shape>
            <v:shape style="position:absolute;left:4416;top:157;width:2159;height:9" type="#_x0000_t75" stroked="false">
              <v:imagedata r:id="rId35" o:title=""/>
            </v:shape>
            <v:shape style="position:absolute;left:6612;top:157;width:947;height:9" type="#_x0000_t75" stroked="false">
              <v:imagedata r:id="rId36" o:title=""/>
            </v:shape>
            <v:shape style="position:absolute;left:7588;top:157;width:947;height:9" type="#_x0000_t75" stroked="false">
              <v:imagedata r:id="rId37" o:title=""/>
            </v:shape>
            <v:shape style="position:absolute;left:8563;top:157;width:947;height:9" type="#_x0000_t75" stroked="false">
              <v:imagedata r:id="rId38" o:title=""/>
            </v:shape>
            <v:shape style="position:absolute;left:9538;top:157;width:947;height:9" type="#_x0000_t75" stroked="false">
              <v:imagedata r:id="rId39" o:title=""/>
            </v:shape>
            <w10:wrap type="none"/>
          </v:group>
        </w:pict>
      </w:r>
      <w:r>
        <w:rPr/>
        <w:pict>
          <v:group style="position:absolute;margin-left:71.209999pt;margin-top:14.923515pt;width:453.3pt;height:2.4pt;mso-position-horizontal-relative:page;mso-position-vertical-relative:paragraph;z-index:-845800" coordorigin="1424,298" coordsize="9066,48">
            <v:shape style="position:absolute;left:1424;top:298;width:1676;height:9" type="#_x0000_t75" stroked="false">
              <v:imagedata r:id="rId40" o:title=""/>
            </v:shape>
            <v:shape style="position:absolute;left:3128;top:298;width:1259;height:9" type="#_x0000_t75" stroked="false">
              <v:imagedata r:id="rId41" o:title=""/>
            </v:shape>
            <v:shape style="position:absolute;left:4416;top:298;width:2159;height:9" type="#_x0000_t75" stroked="false">
              <v:imagedata r:id="rId42" o:title=""/>
            </v:shape>
            <v:shape style="position:absolute;left:6612;top:298;width:947;height:9" type="#_x0000_t75" stroked="false">
              <v:imagedata r:id="rId43" o:title=""/>
            </v:shape>
            <v:shape style="position:absolute;left:7588;top:298;width:947;height:9" type="#_x0000_t75" stroked="false">
              <v:imagedata r:id="rId44" o:title=""/>
            </v:shape>
            <v:shape style="position:absolute;left:8563;top:298;width:947;height:9" type="#_x0000_t75" stroked="false">
              <v:imagedata r:id="rId45" o:title=""/>
            </v:shape>
            <v:line style="position:absolute" from="6617,341" to="7554,341" stroked="true" strokeweight=".470408pt" strokecolor="#000000">
              <v:stroke dashstyle="solid"/>
            </v:line>
            <v:line style="position:absolute" from="6612,341" to="7559,341" stroked="true" strokeweight=".486082pt" strokecolor="#000000">
              <v:stroke dashstyle="solid"/>
            </v:line>
            <v:line style="position:absolute" from="7592,341" to="8530,341" stroked="true" strokeweight=".470408pt" strokecolor="#000000">
              <v:stroke dashstyle="solid"/>
            </v:line>
            <v:line style="position:absolute" from="7588,341" to="8534,341" stroked="true" strokeweight=".486082pt" strokecolor="#000000">
              <v:stroke dashstyle="solid"/>
            </v:line>
            <v:line style="position:absolute" from="8567,341" to="9505,341" stroked="true" strokeweight=".470408pt" strokecolor="#000000">
              <v:stroke dashstyle="solid"/>
            </v:line>
            <v:line style="position:absolute" from="8563,341" to="9509,341" stroked="true" strokeweight=".486082pt" strokecolor="#000000">
              <v:stroke dashstyle="solid"/>
            </v:line>
            <v:shape style="position:absolute;left:9538;top:298;width:947;height:9" type="#_x0000_t75" stroked="false">
              <v:imagedata r:id="rId46" o:title=""/>
            </v:shape>
            <v:line style="position:absolute" from="9542,341" to="10480,341" stroked="true" strokeweight=".470408pt" strokecolor="#000000">
              <v:stroke dashstyle="solid"/>
            </v:line>
            <v:line style="position:absolute" from="9538,341" to="10484,341" stroked="true" strokeweight=".486082pt" strokecolor="#000000">
              <v:stroke dashstyle="solid"/>
            </v:line>
            <w10:wrap type="none"/>
          </v:group>
        </w:pict>
      </w:r>
      <w:r>
        <w:rPr>
          <w:rFonts w:ascii="Verdana"/>
          <w:w w:val="105"/>
          <w:sz w:val="11"/>
        </w:rPr>
        <w:t>Biochemtex</w:t>
        <w:tab/>
        <w:t>C5-6 Italy</w:t>
        <w:tab/>
        <w:t>BCC </w:t>
      </w:r>
      <w:r>
        <w:rPr>
          <w:rFonts w:ascii="Verdana"/>
          <w:spacing w:val="4"/>
          <w:w w:val="105"/>
          <w:sz w:val="11"/>
        </w:rPr>
        <w:t>Lease</w:t>
        <w:tab/>
      </w:r>
      <w:r>
        <w:rPr>
          <w:rFonts w:ascii="Verdana"/>
          <w:w w:val="105"/>
          <w:sz w:val="11"/>
        </w:rPr>
        <w:t>59</w:t>
        <w:tab/>
        <w:t>-</w:t>
        <w:tab/>
        <w:tab/>
        <w:t>-</w:t>
        <w:tab/>
        <w:t>- Biochemtex</w:t>
        <w:tab/>
        <w:t>M&amp;G</w:t>
      </w:r>
      <w:r>
        <w:rPr>
          <w:rFonts w:ascii="Verdana"/>
          <w:spacing w:val="-6"/>
          <w:w w:val="105"/>
          <w:sz w:val="11"/>
        </w:rPr>
        <w:t> </w:t>
      </w:r>
      <w:r>
        <w:rPr>
          <w:rFonts w:ascii="Verdana"/>
          <w:w w:val="105"/>
          <w:sz w:val="11"/>
        </w:rPr>
        <w:t>Finanziaria</w:t>
        <w:tab/>
        <w:t>Sch</w:t>
      </w:r>
      <w:r>
        <w:rPr>
          <w:rFonts w:ascii="Verdana"/>
          <w:spacing w:val="-7"/>
          <w:w w:val="105"/>
          <w:sz w:val="11"/>
        </w:rPr>
        <w:t> </w:t>
      </w:r>
      <w:r>
        <w:rPr>
          <w:rFonts w:ascii="Verdana"/>
          <w:spacing w:val="2"/>
          <w:w w:val="105"/>
          <w:sz w:val="11"/>
        </w:rPr>
        <w:t>Partners/Testamentary</w:t>
        <w:tab/>
        <w:tab/>
      </w:r>
      <w:r>
        <w:rPr>
          <w:rFonts w:ascii="Verdana"/>
          <w:w w:val="105"/>
          <w:sz w:val="11"/>
        </w:rPr>
        <w:t>-</w:t>
        <w:tab/>
        <w:t>-</w:t>
        <w:tab/>
        <w:t>32.148</w:t>
        <w:tab/>
        <w:tab/>
      </w:r>
      <w:r>
        <w:rPr>
          <w:rFonts w:ascii="Verdana"/>
          <w:spacing w:val="-57"/>
          <w:w w:val="105"/>
          <w:sz w:val="11"/>
        </w:rPr>
        <w:t>28.828</w:t>
      </w:r>
    </w:p>
    <w:p>
      <w:pPr>
        <w:tabs>
          <w:tab w:pos="6612" w:val="left" w:leader="none"/>
          <w:tab w:pos="7142" w:val="left" w:leader="none"/>
          <w:tab w:pos="8117" w:val="left" w:leader="none"/>
          <w:tab w:pos="9007" w:val="left" w:leader="none"/>
          <w:tab w:pos="9982" w:val="left" w:leader="none"/>
        </w:tabs>
        <w:spacing w:before="37"/>
        <w:ind w:left="1462" w:right="0" w:firstLine="0"/>
        <w:jc w:val="left"/>
        <w:rPr>
          <w:rFonts w:ascii="Verdana"/>
          <w:b/>
          <w:sz w:val="11"/>
        </w:rPr>
      </w:pPr>
      <w:r>
        <w:rPr>
          <w:rFonts w:ascii="Verdana"/>
          <w:b/>
          <w:spacing w:val="-3"/>
          <w:w w:val="105"/>
          <w:sz w:val="11"/>
        </w:rPr>
        <w:t>Totale</w:t>
      </w:r>
      <w:r>
        <w:rPr>
          <w:rFonts w:ascii="Verdana"/>
          <w:b/>
          <w:spacing w:val="-7"/>
          <w:w w:val="105"/>
          <w:sz w:val="11"/>
        </w:rPr>
        <w:t> </w:t>
      </w:r>
      <w:r>
        <w:rPr>
          <w:rFonts w:ascii="Verdana"/>
          <w:b/>
          <w:w w:val="105"/>
          <w:sz w:val="11"/>
        </w:rPr>
        <w:t>Garanzie</w:t>
      </w:r>
      <w:r>
        <w:rPr>
          <w:rFonts w:ascii="Verdana"/>
          <w:b/>
          <w:spacing w:val="-7"/>
          <w:w w:val="105"/>
          <w:sz w:val="11"/>
        </w:rPr>
        <w:t> </w:t>
      </w:r>
      <w:r>
        <w:rPr>
          <w:rFonts w:ascii="Verdana"/>
          <w:b/>
          <w:spacing w:val="-3"/>
          <w:w w:val="105"/>
          <w:sz w:val="11"/>
        </w:rPr>
        <w:t>prestate</w:t>
        <w:tab/>
      </w:r>
      <w:r>
        <w:rPr>
          <w:rFonts w:ascii="Verdana"/>
          <w:b/>
          <w:spacing w:val="-3"/>
          <w:w w:val="105"/>
          <w:sz w:val="11"/>
          <w:u w:val="single"/>
        </w:rPr>
        <w:t> </w:t>
        <w:tab/>
      </w:r>
      <w:r>
        <w:rPr>
          <w:rFonts w:ascii="Verdana"/>
          <w:b/>
          <w:w w:val="105"/>
          <w:sz w:val="11"/>
          <w:u w:val="single"/>
        </w:rPr>
        <w:t>3.959</w:t>
        <w:tab/>
        <w:t>5.168</w:t>
        <w:tab/>
        <w:t>35.626</w:t>
        <w:tab/>
        <w:t>28.828</w:t>
      </w:r>
      <w:r>
        <w:rPr>
          <w:rFonts w:ascii="Verdana"/>
          <w:b/>
          <w:spacing w:val="4"/>
          <w:sz w:val="11"/>
          <w:u w:val="single"/>
        </w:rPr>
        <w:t> </w:t>
      </w:r>
    </w:p>
    <w:p>
      <w:pPr>
        <w:pStyle w:val="BodyText"/>
        <w:spacing w:before="5"/>
        <w:rPr>
          <w:rFonts w:ascii="Verdana"/>
          <w:b/>
          <w:sz w:val="23"/>
        </w:rPr>
      </w:pPr>
    </w:p>
    <w:p>
      <w:pPr>
        <w:pStyle w:val="BodyText"/>
        <w:spacing w:line="480" w:lineRule="auto"/>
        <w:ind w:left="1418" w:right="1518"/>
      </w:pPr>
      <w:r>
        <w:rPr>
          <w:u w:val="single"/>
        </w:rPr>
        <w:t>Si rileva che le garanzie prestate da Biochemtex a favore di terzi o società del gruppo sono le seguenti:</w:t>
      </w:r>
    </w:p>
    <w:p>
      <w:pPr>
        <w:pStyle w:val="ListParagraph"/>
        <w:numPr>
          <w:ilvl w:val="0"/>
          <w:numId w:val="93"/>
        </w:numPr>
        <w:tabs>
          <w:tab w:pos="2127" w:val="left" w:leader="none"/>
        </w:tabs>
        <w:spacing w:line="465" w:lineRule="auto" w:before="0" w:after="0"/>
        <w:ind w:left="2138" w:right="1412" w:hanging="360"/>
        <w:jc w:val="both"/>
        <w:rPr>
          <w:rFonts w:ascii="Symbol" w:hAnsi="Symbol"/>
          <w:sz w:val="24"/>
        </w:rPr>
      </w:pPr>
      <w:r>
        <w:rPr>
          <w:sz w:val="24"/>
        </w:rPr>
        <w:t>fideiussione sino a concorrenza di 3 milioni rilasciata da Biochemtex a favore di IBP  verso la Banca IFIS. Si ricorda che il suddetto debito è stato iscritto nei debiti verso banche, pertanto, si rimanda al relativo paragrafo per maggiori</w:t>
      </w:r>
      <w:r>
        <w:rPr>
          <w:spacing w:val="-35"/>
          <w:sz w:val="24"/>
        </w:rPr>
        <w:t> </w:t>
      </w:r>
      <w:r>
        <w:rPr>
          <w:sz w:val="24"/>
        </w:rPr>
        <w:t>dettagli;</w:t>
      </w:r>
    </w:p>
    <w:p>
      <w:pPr>
        <w:pStyle w:val="ListParagraph"/>
        <w:numPr>
          <w:ilvl w:val="0"/>
          <w:numId w:val="93"/>
        </w:numPr>
        <w:tabs>
          <w:tab w:pos="2127" w:val="left" w:leader="none"/>
        </w:tabs>
        <w:spacing w:line="470" w:lineRule="auto" w:before="16" w:after="0"/>
        <w:ind w:left="2138" w:right="1411" w:hanging="360"/>
        <w:jc w:val="both"/>
        <w:rPr>
          <w:rFonts w:ascii="Symbol" w:hAnsi="Symbol"/>
          <w:sz w:val="24"/>
        </w:rPr>
      </w:pPr>
      <w:r>
        <w:rPr>
          <w:sz w:val="24"/>
        </w:rPr>
        <w:t>fideiussione di Euro 900.000 rilasciata a favore di Roquette, fornitore di IBP, indicato nell’elenco dei creditori del concordato di IBP per Euro 639.431. Si ricorda che nei fondi rischi è stato stanziato un importo in via prededucibile per l’ammontare attuale del debito garantito;</w:t>
      </w:r>
    </w:p>
    <w:p>
      <w:pPr>
        <w:pStyle w:val="ListParagraph"/>
        <w:numPr>
          <w:ilvl w:val="0"/>
          <w:numId w:val="93"/>
        </w:numPr>
        <w:tabs>
          <w:tab w:pos="2127" w:val="left" w:leader="none"/>
        </w:tabs>
        <w:spacing w:line="470" w:lineRule="auto" w:before="9" w:after="0"/>
        <w:ind w:left="2138" w:right="1414" w:hanging="360"/>
        <w:jc w:val="both"/>
        <w:rPr>
          <w:rFonts w:ascii="Symbol" w:hAnsi="Symbol"/>
          <w:sz w:val="24"/>
        </w:rPr>
      </w:pPr>
      <w:r>
        <w:rPr>
          <w:sz w:val="24"/>
        </w:rPr>
        <w:t>fideiussione rilasciata a Durr nell’interesse di M&amp;G Finanzia. Si ricorda che nei fondi  rischi la Società ha stanziato Euro 1.759.940, pari ai pagamenti non effettuati dalla M&amp;G e richiesti dal fornitore DURR alla garante. Si è preso visione del contratto di garanzia siglato dalle controparti in data 12 agosto</w:t>
      </w:r>
      <w:r>
        <w:rPr>
          <w:spacing w:val="-18"/>
          <w:sz w:val="24"/>
        </w:rPr>
        <w:t> </w:t>
      </w:r>
      <w:r>
        <w:rPr>
          <w:sz w:val="24"/>
        </w:rPr>
        <w:t>2015;</w:t>
      </w:r>
    </w:p>
    <w:p>
      <w:pPr>
        <w:pStyle w:val="ListParagraph"/>
        <w:numPr>
          <w:ilvl w:val="0"/>
          <w:numId w:val="93"/>
        </w:numPr>
        <w:tabs>
          <w:tab w:pos="2127" w:val="left" w:leader="none"/>
        </w:tabs>
        <w:spacing w:line="465" w:lineRule="auto" w:before="9" w:after="0"/>
        <w:ind w:left="2138" w:right="1413" w:hanging="360"/>
        <w:jc w:val="both"/>
        <w:rPr>
          <w:rFonts w:ascii="Symbol" w:hAnsi="Symbol"/>
          <w:sz w:val="24"/>
        </w:rPr>
      </w:pPr>
      <w:r>
        <w:rPr>
          <w:sz w:val="24"/>
        </w:rPr>
        <w:t>fideiussione sino a concorrenza di 253.000 Euro, rilasciata da Biochemtex a favore della BCC Lease S.p.A. nell’interesse della correlata C5-6 Italy. Si ricorda che nel fondo rischi la Società</w:t>
      </w:r>
      <w:r>
        <w:rPr>
          <w:spacing w:val="49"/>
          <w:sz w:val="24"/>
        </w:rPr>
        <w:t> </w:t>
      </w:r>
      <w:r>
        <w:rPr>
          <w:sz w:val="24"/>
        </w:rPr>
        <w:t>ha</w:t>
      </w:r>
      <w:r>
        <w:rPr>
          <w:spacing w:val="49"/>
          <w:sz w:val="24"/>
        </w:rPr>
        <w:t> </w:t>
      </w:r>
      <w:r>
        <w:rPr>
          <w:sz w:val="24"/>
        </w:rPr>
        <w:t>stanziato</w:t>
      </w:r>
      <w:r>
        <w:rPr>
          <w:spacing w:val="48"/>
          <w:sz w:val="24"/>
        </w:rPr>
        <w:t> </w:t>
      </w:r>
      <w:r>
        <w:rPr>
          <w:sz w:val="24"/>
        </w:rPr>
        <w:t>Euro</w:t>
      </w:r>
      <w:r>
        <w:rPr>
          <w:spacing w:val="49"/>
          <w:sz w:val="24"/>
        </w:rPr>
        <w:t> </w:t>
      </w:r>
      <w:r>
        <w:rPr>
          <w:sz w:val="24"/>
        </w:rPr>
        <w:t>58.946,</w:t>
      </w:r>
      <w:r>
        <w:rPr>
          <w:spacing w:val="49"/>
          <w:sz w:val="24"/>
        </w:rPr>
        <w:t> </w:t>
      </w:r>
      <w:r>
        <w:rPr>
          <w:sz w:val="24"/>
        </w:rPr>
        <w:t>pari</w:t>
      </w:r>
      <w:r>
        <w:rPr>
          <w:spacing w:val="48"/>
          <w:sz w:val="24"/>
        </w:rPr>
        <w:t> </w:t>
      </w:r>
      <w:r>
        <w:rPr>
          <w:sz w:val="24"/>
        </w:rPr>
        <w:t>ai</w:t>
      </w:r>
      <w:r>
        <w:rPr>
          <w:spacing w:val="49"/>
          <w:sz w:val="24"/>
        </w:rPr>
        <w:t> </w:t>
      </w:r>
      <w:r>
        <w:rPr>
          <w:sz w:val="24"/>
        </w:rPr>
        <w:t>pagamenti</w:t>
      </w:r>
      <w:r>
        <w:rPr>
          <w:spacing w:val="49"/>
          <w:sz w:val="24"/>
        </w:rPr>
        <w:t> </w:t>
      </w:r>
      <w:r>
        <w:rPr>
          <w:sz w:val="24"/>
        </w:rPr>
        <w:t>non</w:t>
      </w:r>
      <w:r>
        <w:rPr>
          <w:spacing w:val="49"/>
          <w:sz w:val="24"/>
        </w:rPr>
        <w:t> </w:t>
      </w:r>
      <w:r>
        <w:rPr>
          <w:sz w:val="24"/>
        </w:rPr>
        <w:t>effettuati</w:t>
      </w:r>
      <w:r>
        <w:rPr>
          <w:spacing w:val="48"/>
          <w:sz w:val="24"/>
        </w:rPr>
        <w:t> </w:t>
      </w:r>
      <w:r>
        <w:rPr>
          <w:sz w:val="24"/>
        </w:rPr>
        <w:t>dalla</w:t>
      </w:r>
      <w:r>
        <w:rPr>
          <w:spacing w:val="52"/>
          <w:sz w:val="24"/>
        </w:rPr>
        <w:t> </w:t>
      </w:r>
      <w:r>
        <w:rPr>
          <w:sz w:val="24"/>
        </w:rPr>
        <w:t>C5-6</w:t>
      </w:r>
      <w:r>
        <w:rPr>
          <w:spacing w:val="49"/>
          <w:sz w:val="24"/>
        </w:rPr>
        <w:t> </w:t>
      </w:r>
      <w:r>
        <w:rPr>
          <w:sz w:val="24"/>
        </w:rPr>
        <w:t>Italy</w:t>
      </w:r>
      <w:r>
        <w:rPr>
          <w:spacing w:val="50"/>
          <w:sz w:val="24"/>
        </w:rPr>
        <w:t> </w:t>
      </w:r>
      <w:r>
        <w:rPr>
          <w:sz w:val="24"/>
        </w:rPr>
        <w:t>e</w:t>
      </w:r>
    </w:p>
    <w:p>
      <w:pPr>
        <w:spacing w:after="0" w:line="465" w:lineRule="auto"/>
        <w:jc w:val="both"/>
        <w:rPr>
          <w:rFonts w:ascii="Symbol" w:hAnsi="Symbol"/>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138" w:right="1413"/>
      </w:pPr>
      <w:r>
        <w:rPr/>
        <w:t>richiesti dalla società di leasing alla garante. Si è preso visione del contratto di fidejussione siglato dalle controparti.</w:t>
      </w:r>
    </w:p>
    <w:p>
      <w:pPr>
        <w:pStyle w:val="BodyText"/>
        <w:spacing w:line="480" w:lineRule="auto" w:after="6"/>
        <w:ind w:left="1418" w:right="1518"/>
      </w:pPr>
      <w:r>
        <w:rPr/>
        <w:t>Per quanto concerne le garanzie ricevute da Biochemtex, si segnala che risultano le seguenti fideiussioni/garanzie rilasciate dalle altre società del gruppo:</w:t>
      </w:r>
    </w:p>
    <w:tbl>
      <w:tblPr>
        <w:tblW w:w="0" w:type="auto"/>
        <w:jc w:val="left"/>
        <w:tblInd w:w="149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445"/>
        <w:gridCol w:w="1873"/>
        <w:gridCol w:w="3189"/>
        <w:gridCol w:w="1405"/>
      </w:tblGrid>
      <w:tr>
        <w:trPr>
          <w:trHeight w:val="234" w:hRule="exact"/>
        </w:trPr>
        <w:tc>
          <w:tcPr>
            <w:tcW w:w="2445" w:type="dxa"/>
            <w:tcBorders>
              <w:top w:val="single" w:sz="5" w:space="0" w:color="000000"/>
              <w:bottom w:val="double" w:sz="9" w:space="0" w:color="000000"/>
              <w:right w:val="single" w:sz="17" w:space="0" w:color="FFFFFF"/>
            </w:tcBorders>
            <w:shd w:val="clear" w:color="auto" w:fill="85BB24"/>
          </w:tcPr>
          <w:p>
            <w:pPr>
              <w:pStyle w:val="TableParagraph"/>
              <w:spacing w:before="4"/>
              <w:ind w:left="41"/>
              <w:jc w:val="left"/>
              <w:rPr>
                <w:rFonts w:ascii="Verdana"/>
                <w:b/>
                <w:sz w:val="16"/>
              </w:rPr>
            </w:pPr>
            <w:r>
              <w:rPr>
                <w:rFonts w:ascii="Verdana"/>
                <w:b/>
                <w:color w:val="FFFFFF"/>
                <w:w w:val="105"/>
                <w:sz w:val="16"/>
              </w:rPr>
              <w:t>Garante</w:t>
            </w:r>
          </w:p>
        </w:tc>
        <w:tc>
          <w:tcPr>
            <w:tcW w:w="1873" w:type="dxa"/>
            <w:tcBorders>
              <w:top w:val="single" w:sz="5" w:space="0" w:color="000000"/>
              <w:left w:val="single" w:sz="17" w:space="0" w:color="FFFFFF"/>
              <w:bottom w:val="double" w:sz="9" w:space="0" w:color="000000"/>
              <w:right w:val="single" w:sz="17" w:space="0" w:color="FFFFFF"/>
            </w:tcBorders>
            <w:shd w:val="clear" w:color="auto" w:fill="85BB24"/>
          </w:tcPr>
          <w:p>
            <w:pPr>
              <w:pStyle w:val="TableParagraph"/>
              <w:spacing w:before="4"/>
              <w:ind w:left="55"/>
              <w:jc w:val="left"/>
              <w:rPr>
                <w:rFonts w:ascii="Verdana"/>
                <w:b/>
                <w:sz w:val="16"/>
              </w:rPr>
            </w:pPr>
            <w:r>
              <w:rPr>
                <w:rFonts w:ascii="Verdana"/>
                <w:b/>
                <w:color w:val="FFFFFF"/>
                <w:w w:val="105"/>
                <w:sz w:val="16"/>
              </w:rPr>
              <w:t>Destinatario</w:t>
            </w:r>
          </w:p>
        </w:tc>
        <w:tc>
          <w:tcPr>
            <w:tcW w:w="3189" w:type="dxa"/>
            <w:tcBorders>
              <w:top w:val="single" w:sz="5" w:space="0" w:color="000000"/>
              <w:left w:val="single" w:sz="17" w:space="0" w:color="FFFFFF"/>
              <w:bottom w:val="double" w:sz="9" w:space="0" w:color="000000"/>
              <w:right w:val="single" w:sz="22" w:space="0" w:color="FFFFFF"/>
            </w:tcBorders>
            <w:shd w:val="clear" w:color="auto" w:fill="85BB24"/>
          </w:tcPr>
          <w:p>
            <w:pPr>
              <w:pStyle w:val="TableParagraph"/>
              <w:spacing w:before="4"/>
              <w:ind w:left="55"/>
              <w:jc w:val="left"/>
              <w:rPr>
                <w:rFonts w:ascii="Verdana"/>
                <w:b/>
                <w:sz w:val="16"/>
              </w:rPr>
            </w:pPr>
            <w:r>
              <w:rPr>
                <w:rFonts w:ascii="Verdana"/>
                <w:b/>
                <w:color w:val="FFFFFF"/>
                <w:w w:val="105"/>
                <w:sz w:val="16"/>
              </w:rPr>
              <w:t>Beneficiario</w:t>
            </w:r>
          </w:p>
        </w:tc>
        <w:tc>
          <w:tcPr>
            <w:tcW w:w="1405" w:type="dxa"/>
            <w:tcBorders>
              <w:top w:val="single" w:sz="5" w:space="0" w:color="000000"/>
              <w:left w:val="single" w:sz="22" w:space="0" w:color="FFFFFF"/>
              <w:bottom w:val="single" w:sz="5" w:space="0" w:color="000000"/>
            </w:tcBorders>
            <w:shd w:val="clear" w:color="auto" w:fill="85BB24"/>
          </w:tcPr>
          <w:p>
            <w:pPr>
              <w:pStyle w:val="TableParagraph"/>
              <w:spacing w:before="4"/>
              <w:ind w:right="62"/>
              <w:rPr>
                <w:rFonts w:ascii="Verdana"/>
                <w:b/>
                <w:sz w:val="16"/>
              </w:rPr>
            </w:pPr>
            <w:r>
              <w:rPr>
                <w:rFonts w:ascii="Verdana"/>
                <w:b/>
                <w:color w:val="FFFFFF"/>
                <w:sz w:val="16"/>
              </w:rPr>
              <w:t>15/10/2017</w:t>
            </w:r>
          </w:p>
        </w:tc>
      </w:tr>
      <w:tr>
        <w:trPr>
          <w:trHeight w:val="234" w:hRule="exact"/>
        </w:trPr>
        <w:tc>
          <w:tcPr>
            <w:tcW w:w="2445" w:type="dxa"/>
            <w:tcBorders>
              <w:top w:val="double" w:sz="9" w:space="0" w:color="000000"/>
              <w:bottom w:val="single" w:sz="5" w:space="0" w:color="000000"/>
            </w:tcBorders>
          </w:tcPr>
          <w:p>
            <w:pPr>
              <w:pStyle w:val="TableParagraph"/>
              <w:spacing w:before="4"/>
              <w:ind w:left="41"/>
              <w:jc w:val="left"/>
              <w:rPr>
                <w:rFonts w:ascii="Verdana"/>
                <w:b/>
                <w:sz w:val="16"/>
              </w:rPr>
            </w:pPr>
            <w:r>
              <w:rPr>
                <w:rFonts w:ascii="Verdana"/>
                <w:b/>
                <w:w w:val="105"/>
                <w:sz w:val="16"/>
              </w:rPr>
              <w:t>M&amp;G Finanziaria</w:t>
            </w:r>
          </w:p>
        </w:tc>
        <w:tc>
          <w:tcPr>
            <w:tcW w:w="1873" w:type="dxa"/>
            <w:tcBorders>
              <w:top w:val="double" w:sz="9" w:space="0" w:color="000000"/>
              <w:bottom w:val="single" w:sz="5" w:space="0" w:color="000000"/>
            </w:tcBorders>
          </w:tcPr>
          <w:p>
            <w:pPr>
              <w:pStyle w:val="TableParagraph"/>
              <w:spacing w:before="4"/>
              <w:ind w:left="75"/>
              <w:jc w:val="left"/>
              <w:rPr>
                <w:rFonts w:ascii="Verdana"/>
                <w:b/>
                <w:sz w:val="16"/>
              </w:rPr>
            </w:pPr>
            <w:r>
              <w:rPr>
                <w:rFonts w:ascii="Verdana"/>
                <w:b/>
                <w:w w:val="105"/>
                <w:sz w:val="16"/>
              </w:rPr>
              <w:t>Biochemtex</w:t>
            </w:r>
          </w:p>
        </w:tc>
        <w:tc>
          <w:tcPr>
            <w:tcW w:w="3189" w:type="dxa"/>
            <w:tcBorders>
              <w:top w:val="double" w:sz="9" w:space="0" w:color="000000"/>
              <w:bottom w:val="single" w:sz="5" w:space="0" w:color="000000"/>
            </w:tcBorders>
          </w:tcPr>
          <w:p>
            <w:pPr>
              <w:pStyle w:val="TableParagraph"/>
              <w:spacing w:before="4"/>
              <w:ind w:left="76"/>
              <w:jc w:val="left"/>
              <w:rPr>
                <w:rFonts w:ascii="Verdana"/>
                <w:b/>
                <w:sz w:val="16"/>
              </w:rPr>
            </w:pPr>
            <w:r>
              <w:rPr>
                <w:rFonts w:ascii="Verdana"/>
                <w:b/>
                <w:w w:val="105"/>
                <w:sz w:val="16"/>
              </w:rPr>
              <w:t>Banche (a)</w:t>
            </w:r>
          </w:p>
        </w:tc>
        <w:tc>
          <w:tcPr>
            <w:tcW w:w="1405" w:type="dxa"/>
            <w:tcBorders>
              <w:top w:val="single" w:sz="5" w:space="0" w:color="000000"/>
              <w:bottom w:val="single" w:sz="5" w:space="0" w:color="000000"/>
            </w:tcBorders>
          </w:tcPr>
          <w:p>
            <w:pPr>
              <w:pStyle w:val="TableParagraph"/>
              <w:spacing w:before="31"/>
              <w:ind w:right="61"/>
              <w:rPr>
                <w:rFonts w:ascii="Verdana"/>
                <w:b/>
                <w:sz w:val="16"/>
              </w:rPr>
            </w:pPr>
            <w:r>
              <w:rPr>
                <w:rFonts w:ascii="Verdana"/>
                <w:b/>
                <w:sz w:val="16"/>
              </w:rPr>
              <w:t>119.573</w:t>
            </w:r>
          </w:p>
        </w:tc>
      </w:tr>
      <w:tr>
        <w:trPr>
          <w:trHeight w:val="209" w:hRule="exact"/>
        </w:trPr>
        <w:tc>
          <w:tcPr>
            <w:tcW w:w="2445" w:type="dxa"/>
            <w:tcBorders>
              <w:top w:val="single" w:sz="5" w:space="0" w:color="000000"/>
            </w:tcBorders>
          </w:tcPr>
          <w:p>
            <w:pPr>
              <w:pStyle w:val="TableParagraph"/>
              <w:spacing w:before="4"/>
              <w:ind w:left="27"/>
              <w:jc w:val="left"/>
              <w:rPr>
                <w:rFonts w:ascii="Verdana"/>
                <w:sz w:val="16"/>
              </w:rPr>
            </w:pPr>
            <w:r>
              <w:rPr>
                <w:rFonts w:ascii="Verdana"/>
                <w:w w:val="105"/>
                <w:sz w:val="16"/>
              </w:rPr>
              <w:t>M&amp;G Finanziaria</w:t>
            </w:r>
          </w:p>
        </w:tc>
        <w:tc>
          <w:tcPr>
            <w:tcW w:w="1873" w:type="dxa"/>
            <w:tcBorders>
              <w:top w:val="single" w:sz="5" w:space="0" w:color="000000"/>
            </w:tcBorders>
          </w:tcPr>
          <w:p>
            <w:pPr>
              <w:pStyle w:val="TableParagraph"/>
              <w:spacing w:before="4"/>
              <w:ind w:left="61"/>
              <w:jc w:val="left"/>
              <w:rPr>
                <w:rFonts w:ascii="Verdana"/>
                <w:sz w:val="16"/>
              </w:rPr>
            </w:pPr>
            <w:r>
              <w:rPr>
                <w:rFonts w:ascii="Verdana"/>
                <w:w w:val="105"/>
                <w:sz w:val="16"/>
              </w:rPr>
              <w:t>Biochemtex</w:t>
            </w:r>
          </w:p>
        </w:tc>
        <w:tc>
          <w:tcPr>
            <w:tcW w:w="3189" w:type="dxa"/>
            <w:tcBorders>
              <w:top w:val="single" w:sz="5" w:space="0" w:color="000000"/>
            </w:tcBorders>
          </w:tcPr>
          <w:p>
            <w:pPr>
              <w:pStyle w:val="TableParagraph"/>
              <w:spacing w:before="4"/>
              <w:ind w:left="62"/>
              <w:jc w:val="left"/>
              <w:rPr>
                <w:rFonts w:ascii="Verdana"/>
                <w:sz w:val="16"/>
              </w:rPr>
            </w:pPr>
            <w:r>
              <w:rPr>
                <w:rFonts w:ascii="Verdana"/>
                <w:w w:val="105"/>
                <w:sz w:val="16"/>
              </w:rPr>
              <w:t>Unicredit</w:t>
            </w:r>
          </w:p>
        </w:tc>
        <w:tc>
          <w:tcPr>
            <w:tcW w:w="1405" w:type="dxa"/>
            <w:tcBorders>
              <w:top w:val="single" w:sz="5" w:space="0" w:color="000000"/>
            </w:tcBorders>
          </w:tcPr>
          <w:p>
            <w:pPr>
              <w:pStyle w:val="TableParagraph"/>
              <w:spacing w:before="4"/>
              <w:ind w:right="46"/>
              <w:rPr>
                <w:rFonts w:ascii="Verdana"/>
                <w:sz w:val="16"/>
              </w:rPr>
            </w:pPr>
            <w:r>
              <w:rPr>
                <w:rFonts w:ascii="Verdana"/>
                <w:w w:val="105"/>
                <w:sz w:val="16"/>
              </w:rPr>
              <w:t>85.267</w:t>
            </w:r>
          </w:p>
        </w:tc>
      </w:tr>
      <w:tr>
        <w:trPr>
          <w:trHeight w:val="206" w:hRule="exact"/>
        </w:trPr>
        <w:tc>
          <w:tcPr>
            <w:tcW w:w="2445" w:type="dxa"/>
          </w:tcPr>
          <w:p>
            <w:pPr>
              <w:pStyle w:val="TableParagraph"/>
              <w:spacing w:before="8"/>
              <w:ind w:left="27"/>
              <w:jc w:val="left"/>
              <w:rPr>
                <w:rFonts w:ascii="Verdana"/>
                <w:sz w:val="16"/>
              </w:rPr>
            </w:pPr>
            <w:r>
              <w:rPr>
                <w:rFonts w:ascii="Verdana"/>
                <w:w w:val="105"/>
                <w:sz w:val="16"/>
              </w:rPr>
              <w:t>M&amp;G Finanziaria</w:t>
            </w:r>
          </w:p>
        </w:tc>
        <w:tc>
          <w:tcPr>
            <w:tcW w:w="1873" w:type="dxa"/>
          </w:tcPr>
          <w:p>
            <w:pPr>
              <w:pStyle w:val="TableParagraph"/>
              <w:spacing w:before="8"/>
              <w:ind w:left="61"/>
              <w:jc w:val="left"/>
              <w:rPr>
                <w:rFonts w:ascii="Verdana"/>
                <w:sz w:val="16"/>
              </w:rPr>
            </w:pPr>
            <w:r>
              <w:rPr>
                <w:rFonts w:ascii="Verdana"/>
                <w:w w:val="105"/>
                <w:sz w:val="16"/>
              </w:rPr>
              <w:t>Biochemtex</w:t>
            </w:r>
          </w:p>
        </w:tc>
        <w:tc>
          <w:tcPr>
            <w:tcW w:w="3189" w:type="dxa"/>
          </w:tcPr>
          <w:p>
            <w:pPr>
              <w:pStyle w:val="TableParagraph"/>
              <w:spacing w:before="8"/>
              <w:ind w:left="62"/>
              <w:jc w:val="left"/>
              <w:rPr>
                <w:rFonts w:ascii="Verdana"/>
                <w:sz w:val="16"/>
              </w:rPr>
            </w:pPr>
            <w:r>
              <w:rPr>
                <w:rFonts w:ascii="Verdana"/>
                <w:w w:val="105"/>
                <w:sz w:val="16"/>
              </w:rPr>
              <w:t>Unicredit</w:t>
            </w:r>
          </w:p>
        </w:tc>
        <w:tc>
          <w:tcPr>
            <w:tcW w:w="1405" w:type="dxa"/>
          </w:tcPr>
          <w:p>
            <w:pPr>
              <w:pStyle w:val="TableParagraph"/>
              <w:spacing w:before="8"/>
              <w:ind w:right="45"/>
              <w:rPr>
                <w:rFonts w:ascii="Verdana"/>
                <w:sz w:val="16"/>
              </w:rPr>
            </w:pPr>
            <w:r>
              <w:rPr>
                <w:rFonts w:ascii="Verdana"/>
                <w:sz w:val="16"/>
              </w:rPr>
              <w:t>5.181</w:t>
            </w:r>
          </w:p>
        </w:tc>
      </w:tr>
      <w:tr>
        <w:trPr>
          <w:trHeight w:val="206" w:hRule="exact"/>
        </w:trPr>
        <w:tc>
          <w:tcPr>
            <w:tcW w:w="2445" w:type="dxa"/>
          </w:tcPr>
          <w:p>
            <w:pPr>
              <w:pStyle w:val="TableParagraph"/>
              <w:spacing w:before="7"/>
              <w:ind w:left="27"/>
              <w:jc w:val="left"/>
              <w:rPr>
                <w:rFonts w:ascii="Verdana"/>
                <w:sz w:val="16"/>
              </w:rPr>
            </w:pPr>
            <w:r>
              <w:rPr>
                <w:rFonts w:ascii="Verdana"/>
                <w:w w:val="105"/>
                <w:sz w:val="16"/>
              </w:rPr>
              <w:t>M&amp;G Finanziaria</w:t>
            </w:r>
          </w:p>
        </w:tc>
        <w:tc>
          <w:tcPr>
            <w:tcW w:w="1873" w:type="dxa"/>
          </w:tcPr>
          <w:p>
            <w:pPr>
              <w:pStyle w:val="TableParagraph"/>
              <w:spacing w:before="7"/>
              <w:ind w:left="61"/>
              <w:jc w:val="left"/>
              <w:rPr>
                <w:rFonts w:ascii="Verdana"/>
                <w:sz w:val="16"/>
              </w:rPr>
            </w:pPr>
            <w:r>
              <w:rPr>
                <w:rFonts w:ascii="Verdana"/>
                <w:w w:val="105"/>
                <w:sz w:val="16"/>
              </w:rPr>
              <w:t>Biochemtex</w:t>
            </w:r>
          </w:p>
        </w:tc>
        <w:tc>
          <w:tcPr>
            <w:tcW w:w="3189" w:type="dxa"/>
          </w:tcPr>
          <w:p>
            <w:pPr>
              <w:pStyle w:val="TableParagraph"/>
              <w:spacing w:before="7"/>
              <w:ind w:left="62"/>
              <w:jc w:val="left"/>
              <w:rPr>
                <w:rFonts w:ascii="Verdana"/>
                <w:sz w:val="16"/>
              </w:rPr>
            </w:pPr>
            <w:r>
              <w:rPr>
                <w:rFonts w:ascii="Verdana"/>
                <w:w w:val="105"/>
                <w:sz w:val="16"/>
              </w:rPr>
              <w:t>Unicredit Factoring</w:t>
            </w:r>
          </w:p>
        </w:tc>
        <w:tc>
          <w:tcPr>
            <w:tcW w:w="1405" w:type="dxa"/>
          </w:tcPr>
          <w:p>
            <w:pPr>
              <w:pStyle w:val="TableParagraph"/>
              <w:spacing w:before="7"/>
              <w:ind w:right="45"/>
              <w:rPr>
                <w:rFonts w:ascii="Verdana"/>
                <w:sz w:val="16"/>
              </w:rPr>
            </w:pPr>
            <w:r>
              <w:rPr>
                <w:rFonts w:ascii="Verdana"/>
                <w:sz w:val="16"/>
              </w:rPr>
              <w:t>5.000</w:t>
            </w:r>
          </w:p>
        </w:tc>
      </w:tr>
      <w:tr>
        <w:trPr>
          <w:trHeight w:val="206" w:hRule="exact"/>
        </w:trPr>
        <w:tc>
          <w:tcPr>
            <w:tcW w:w="2445" w:type="dxa"/>
          </w:tcPr>
          <w:p>
            <w:pPr>
              <w:pStyle w:val="TableParagraph"/>
              <w:spacing w:before="8"/>
              <w:ind w:left="27"/>
              <w:jc w:val="left"/>
              <w:rPr>
                <w:rFonts w:ascii="Verdana"/>
                <w:sz w:val="16"/>
              </w:rPr>
            </w:pPr>
            <w:r>
              <w:rPr>
                <w:rFonts w:ascii="Verdana"/>
                <w:w w:val="105"/>
                <w:sz w:val="16"/>
              </w:rPr>
              <w:t>M&amp;G Finanziaria</w:t>
            </w:r>
          </w:p>
        </w:tc>
        <w:tc>
          <w:tcPr>
            <w:tcW w:w="1873" w:type="dxa"/>
          </w:tcPr>
          <w:p>
            <w:pPr>
              <w:pStyle w:val="TableParagraph"/>
              <w:spacing w:before="8"/>
              <w:ind w:left="61"/>
              <w:jc w:val="left"/>
              <w:rPr>
                <w:rFonts w:ascii="Verdana"/>
                <w:sz w:val="16"/>
              </w:rPr>
            </w:pPr>
            <w:r>
              <w:rPr>
                <w:rFonts w:ascii="Verdana"/>
                <w:w w:val="105"/>
                <w:sz w:val="16"/>
              </w:rPr>
              <w:t>Biochemtex</w:t>
            </w:r>
          </w:p>
        </w:tc>
        <w:tc>
          <w:tcPr>
            <w:tcW w:w="3189" w:type="dxa"/>
          </w:tcPr>
          <w:p>
            <w:pPr>
              <w:pStyle w:val="TableParagraph"/>
              <w:spacing w:before="8"/>
              <w:ind w:left="62"/>
              <w:jc w:val="left"/>
              <w:rPr>
                <w:rFonts w:ascii="Verdana"/>
                <w:sz w:val="16"/>
              </w:rPr>
            </w:pPr>
            <w:r>
              <w:rPr>
                <w:rFonts w:ascii="Verdana"/>
                <w:w w:val="105"/>
                <w:sz w:val="16"/>
              </w:rPr>
              <w:t>Carime</w:t>
            </w:r>
          </w:p>
        </w:tc>
        <w:tc>
          <w:tcPr>
            <w:tcW w:w="1405" w:type="dxa"/>
          </w:tcPr>
          <w:p>
            <w:pPr>
              <w:pStyle w:val="TableParagraph"/>
              <w:spacing w:before="8"/>
              <w:ind w:right="45"/>
              <w:rPr>
                <w:rFonts w:ascii="Verdana"/>
                <w:sz w:val="16"/>
              </w:rPr>
            </w:pPr>
            <w:r>
              <w:rPr>
                <w:rFonts w:ascii="Verdana"/>
                <w:sz w:val="16"/>
              </w:rPr>
              <w:t>1.125</w:t>
            </w:r>
          </w:p>
        </w:tc>
      </w:tr>
      <w:tr>
        <w:trPr>
          <w:trHeight w:val="206" w:hRule="exact"/>
        </w:trPr>
        <w:tc>
          <w:tcPr>
            <w:tcW w:w="2445" w:type="dxa"/>
          </w:tcPr>
          <w:p>
            <w:pPr>
              <w:pStyle w:val="TableParagraph"/>
              <w:spacing w:before="8"/>
              <w:ind w:left="27"/>
              <w:jc w:val="left"/>
              <w:rPr>
                <w:rFonts w:ascii="Verdana"/>
                <w:sz w:val="16"/>
              </w:rPr>
            </w:pPr>
            <w:r>
              <w:rPr>
                <w:rFonts w:ascii="Verdana"/>
                <w:w w:val="105"/>
                <w:sz w:val="16"/>
              </w:rPr>
              <w:t>M&amp;G Finanziaria</w:t>
            </w:r>
          </w:p>
        </w:tc>
        <w:tc>
          <w:tcPr>
            <w:tcW w:w="1873" w:type="dxa"/>
          </w:tcPr>
          <w:p>
            <w:pPr>
              <w:pStyle w:val="TableParagraph"/>
              <w:spacing w:before="8"/>
              <w:ind w:left="61"/>
              <w:jc w:val="left"/>
              <w:rPr>
                <w:rFonts w:ascii="Verdana"/>
                <w:sz w:val="16"/>
              </w:rPr>
            </w:pPr>
            <w:r>
              <w:rPr>
                <w:rFonts w:ascii="Verdana"/>
                <w:w w:val="105"/>
                <w:sz w:val="16"/>
              </w:rPr>
              <w:t>Biochemtex</w:t>
            </w:r>
          </w:p>
        </w:tc>
        <w:tc>
          <w:tcPr>
            <w:tcW w:w="3189" w:type="dxa"/>
          </w:tcPr>
          <w:p>
            <w:pPr>
              <w:pStyle w:val="TableParagraph"/>
              <w:spacing w:before="8"/>
              <w:ind w:left="62"/>
              <w:jc w:val="left"/>
              <w:rPr>
                <w:rFonts w:ascii="Verdana"/>
                <w:sz w:val="16"/>
              </w:rPr>
            </w:pPr>
            <w:r>
              <w:rPr>
                <w:rFonts w:ascii="Verdana"/>
                <w:w w:val="105"/>
                <w:sz w:val="16"/>
              </w:rPr>
              <w:t>Intesa</w:t>
            </w:r>
          </w:p>
        </w:tc>
        <w:tc>
          <w:tcPr>
            <w:tcW w:w="1405" w:type="dxa"/>
          </w:tcPr>
          <w:p>
            <w:pPr>
              <w:pStyle w:val="TableParagraph"/>
              <w:spacing w:before="8"/>
              <w:ind w:right="46"/>
              <w:rPr>
                <w:rFonts w:ascii="Verdana"/>
                <w:sz w:val="16"/>
              </w:rPr>
            </w:pPr>
            <w:r>
              <w:rPr>
                <w:rFonts w:ascii="Verdana"/>
                <w:w w:val="105"/>
                <w:sz w:val="16"/>
              </w:rPr>
              <w:t>15.000</w:t>
            </w:r>
          </w:p>
        </w:tc>
      </w:tr>
      <w:tr>
        <w:trPr>
          <w:trHeight w:val="203" w:hRule="exact"/>
        </w:trPr>
        <w:tc>
          <w:tcPr>
            <w:tcW w:w="2445" w:type="dxa"/>
            <w:tcBorders>
              <w:bottom w:val="single" w:sz="6" w:space="0" w:color="000000"/>
            </w:tcBorders>
          </w:tcPr>
          <w:p>
            <w:pPr>
              <w:pStyle w:val="TableParagraph"/>
              <w:spacing w:before="7"/>
              <w:ind w:left="27"/>
              <w:jc w:val="left"/>
              <w:rPr>
                <w:rFonts w:ascii="Verdana"/>
                <w:sz w:val="16"/>
              </w:rPr>
            </w:pPr>
            <w:r>
              <w:rPr>
                <w:rFonts w:ascii="Verdana"/>
                <w:w w:val="105"/>
                <w:sz w:val="16"/>
              </w:rPr>
              <w:t>M&amp;G Finanziaria</w:t>
            </w:r>
          </w:p>
        </w:tc>
        <w:tc>
          <w:tcPr>
            <w:tcW w:w="1873" w:type="dxa"/>
            <w:tcBorders>
              <w:bottom w:val="single" w:sz="6" w:space="0" w:color="000000"/>
            </w:tcBorders>
          </w:tcPr>
          <w:p>
            <w:pPr>
              <w:pStyle w:val="TableParagraph"/>
              <w:spacing w:before="7"/>
              <w:ind w:left="61"/>
              <w:jc w:val="left"/>
              <w:rPr>
                <w:rFonts w:ascii="Verdana"/>
                <w:sz w:val="16"/>
              </w:rPr>
            </w:pPr>
            <w:r>
              <w:rPr>
                <w:rFonts w:ascii="Verdana"/>
                <w:w w:val="105"/>
                <w:sz w:val="16"/>
              </w:rPr>
              <w:t>Biochemtex</w:t>
            </w:r>
          </w:p>
        </w:tc>
        <w:tc>
          <w:tcPr>
            <w:tcW w:w="3189" w:type="dxa"/>
            <w:tcBorders>
              <w:bottom w:val="single" w:sz="6" w:space="0" w:color="000000"/>
            </w:tcBorders>
          </w:tcPr>
          <w:p>
            <w:pPr>
              <w:pStyle w:val="TableParagraph"/>
              <w:spacing w:before="7"/>
              <w:ind w:left="62"/>
              <w:jc w:val="left"/>
              <w:rPr>
                <w:rFonts w:ascii="Verdana"/>
                <w:sz w:val="16"/>
              </w:rPr>
            </w:pPr>
            <w:r>
              <w:rPr>
                <w:rFonts w:ascii="Verdana"/>
                <w:w w:val="105"/>
                <w:sz w:val="16"/>
              </w:rPr>
              <w:t>Intesa</w:t>
            </w:r>
          </w:p>
        </w:tc>
        <w:tc>
          <w:tcPr>
            <w:tcW w:w="1405" w:type="dxa"/>
            <w:tcBorders>
              <w:bottom w:val="single" w:sz="6" w:space="0" w:color="000000"/>
            </w:tcBorders>
          </w:tcPr>
          <w:p>
            <w:pPr>
              <w:pStyle w:val="TableParagraph"/>
              <w:spacing w:before="7"/>
              <w:ind w:right="45"/>
              <w:rPr>
                <w:rFonts w:ascii="Verdana"/>
                <w:sz w:val="16"/>
              </w:rPr>
            </w:pPr>
            <w:r>
              <w:rPr>
                <w:rFonts w:ascii="Verdana"/>
                <w:sz w:val="16"/>
              </w:rPr>
              <w:t>8.000</w:t>
            </w:r>
          </w:p>
        </w:tc>
      </w:tr>
      <w:tr>
        <w:trPr>
          <w:trHeight w:val="206" w:hRule="exact"/>
        </w:trPr>
        <w:tc>
          <w:tcPr>
            <w:tcW w:w="2445" w:type="dxa"/>
            <w:tcBorders>
              <w:top w:val="single" w:sz="6" w:space="0" w:color="000000"/>
              <w:bottom w:val="single" w:sz="5" w:space="0" w:color="000000"/>
            </w:tcBorders>
          </w:tcPr>
          <w:p>
            <w:pPr>
              <w:pStyle w:val="TableParagraph"/>
              <w:spacing w:before="4"/>
              <w:ind w:left="41"/>
              <w:jc w:val="left"/>
              <w:rPr>
                <w:rFonts w:ascii="Verdana"/>
                <w:b/>
                <w:sz w:val="16"/>
              </w:rPr>
            </w:pPr>
            <w:r>
              <w:rPr>
                <w:rFonts w:ascii="Verdana"/>
                <w:b/>
                <w:w w:val="105"/>
                <w:sz w:val="16"/>
              </w:rPr>
              <w:t>Mossi &amp; Ghisolfi</w:t>
            </w:r>
          </w:p>
        </w:tc>
        <w:tc>
          <w:tcPr>
            <w:tcW w:w="1873" w:type="dxa"/>
            <w:tcBorders>
              <w:top w:val="single" w:sz="6" w:space="0" w:color="000000"/>
              <w:bottom w:val="single" w:sz="5" w:space="0" w:color="000000"/>
            </w:tcBorders>
          </w:tcPr>
          <w:p>
            <w:pPr>
              <w:pStyle w:val="TableParagraph"/>
              <w:spacing w:before="4"/>
              <w:ind w:left="75"/>
              <w:jc w:val="left"/>
              <w:rPr>
                <w:rFonts w:ascii="Verdana"/>
                <w:b/>
                <w:sz w:val="16"/>
              </w:rPr>
            </w:pPr>
            <w:r>
              <w:rPr>
                <w:rFonts w:ascii="Verdana"/>
                <w:b/>
                <w:w w:val="105"/>
                <w:sz w:val="16"/>
              </w:rPr>
              <w:t>Biochemtex</w:t>
            </w:r>
          </w:p>
        </w:tc>
        <w:tc>
          <w:tcPr>
            <w:tcW w:w="3189" w:type="dxa"/>
            <w:tcBorders>
              <w:top w:val="single" w:sz="6" w:space="0" w:color="000000"/>
              <w:bottom w:val="single" w:sz="5" w:space="0" w:color="000000"/>
            </w:tcBorders>
          </w:tcPr>
          <w:p>
            <w:pPr>
              <w:pStyle w:val="TableParagraph"/>
              <w:spacing w:before="4"/>
              <w:ind w:left="76"/>
              <w:jc w:val="left"/>
              <w:rPr>
                <w:rFonts w:ascii="Verdana"/>
                <w:b/>
                <w:sz w:val="16"/>
              </w:rPr>
            </w:pPr>
            <w:r>
              <w:rPr>
                <w:rFonts w:ascii="Verdana"/>
                <w:b/>
                <w:w w:val="105"/>
                <w:sz w:val="16"/>
              </w:rPr>
              <w:t>Credito Valtellinese (c')</w:t>
            </w:r>
          </w:p>
        </w:tc>
        <w:tc>
          <w:tcPr>
            <w:tcW w:w="1405" w:type="dxa"/>
            <w:tcBorders>
              <w:top w:val="single" w:sz="6" w:space="0" w:color="000000"/>
              <w:bottom w:val="single" w:sz="5" w:space="0" w:color="000000"/>
            </w:tcBorders>
          </w:tcPr>
          <w:p>
            <w:pPr>
              <w:pStyle w:val="TableParagraph"/>
              <w:spacing w:before="4"/>
              <w:ind w:right="60"/>
              <w:rPr>
                <w:rFonts w:ascii="Verdana"/>
                <w:b/>
                <w:sz w:val="16"/>
              </w:rPr>
            </w:pPr>
            <w:r>
              <w:rPr>
                <w:rFonts w:ascii="Verdana"/>
                <w:b/>
                <w:w w:val="105"/>
                <w:sz w:val="16"/>
              </w:rPr>
              <w:t>3.000</w:t>
            </w:r>
          </w:p>
        </w:tc>
      </w:tr>
      <w:tr>
        <w:trPr>
          <w:trHeight w:val="206" w:hRule="exact"/>
        </w:trPr>
        <w:tc>
          <w:tcPr>
            <w:tcW w:w="2445" w:type="dxa"/>
            <w:tcBorders>
              <w:top w:val="single" w:sz="5" w:space="0" w:color="000000"/>
              <w:bottom w:val="single" w:sz="5" w:space="0" w:color="000000"/>
            </w:tcBorders>
          </w:tcPr>
          <w:p>
            <w:pPr>
              <w:pStyle w:val="TableParagraph"/>
              <w:spacing w:before="4"/>
              <w:ind w:left="41"/>
              <w:jc w:val="left"/>
              <w:rPr>
                <w:rFonts w:ascii="Verdana"/>
                <w:b/>
                <w:sz w:val="16"/>
              </w:rPr>
            </w:pPr>
            <w:r>
              <w:rPr>
                <w:rFonts w:ascii="Verdana"/>
                <w:b/>
                <w:w w:val="105"/>
                <w:sz w:val="16"/>
              </w:rPr>
              <w:t>M&amp;G Finanziaria</w:t>
            </w:r>
          </w:p>
        </w:tc>
        <w:tc>
          <w:tcPr>
            <w:tcW w:w="1873" w:type="dxa"/>
            <w:tcBorders>
              <w:top w:val="single" w:sz="5" w:space="0" w:color="000000"/>
              <w:bottom w:val="single" w:sz="5" w:space="0" w:color="000000"/>
            </w:tcBorders>
          </w:tcPr>
          <w:p>
            <w:pPr>
              <w:pStyle w:val="TableParagraph"/>
              <w:spacing w:before="4"/>
              <w:ind w:left="75"/>
              <w:jc w:val="left"/>
              <w:rPr>
                <w:rFonts w:ascii="Verdana"/>
                <w:b/>
                <w:sz w:val="16"/>
              </w:rPr>
            </w:pPr>
            <w:r>
              <w:rPr>
                <w:rFonts w:ascii="Verdana"/>
                <w:b/>
                <w:w w:val="105"/>
                <w:sz w:val="16"/>
              </w:rPr>
              <w:t>Biochemtex</w:t>
            </w:r>
          </w:p>
        </w:tc>
        <w:tc>
          <w:tcPr>
            <w:tcW w:w="3189" w:type="dxa"/>
            <w:tcBorders>
              <w:top w:val="single" w:sz="5" w:space="0" w:color="000000"/>
              <w:bottom w:val="single" w:sz="5" w:space="0" w:color="000000"/>
            </w:tcBorders>
          </w:tcPr>
          <w:p>
            <w:pPr>
              <w:pStyle w:val="TableParagraph"/>
              <w:spacing w:before="4"/>
              <w:ind w:left="76"/>
              <w:jc w:val="left"/>
              <w:rPr>
                <w:rFonts w:ascii="Verdana"/>
                <w:b/>
                <w:sz w:val="16"/>
              </w:rPr>
            </w:pPr>
            <w:r>
              <w:rPr>
                <w:rFonts w:ascii="Verdana"/>
                <w:b/>
                <w:w w:val="105"/>
                <w:sz w:val="16"/>
              </w:rPr>
              <w:t>Banche a copertura fin. BEI (d)</w:t>
            </w:r>
          </w:p>
        </w:tc>
        <w:tc>
          <w:tcPr>
            <w:tcW w:w="1405" w:type="dxa"/>
            <w:tcBorders>
              <w:top w:val="single" w:sz="5" w:space="0" w:color="000000"/>
              <w:bottom w:val="single" w:sz="5" w:space="0" w:color="000000"/>
            </w:tcBorders>
          </w:tcPr>
          <w:p>
            <w:pPr>
              <w:pStyle w:val="TableParagraph"/>
              <w:spacing w:before="4"/>
              <w:ind w:right="61"/>
              <w:rPr>
                <w:rFonts w:ascii="Verdana"/>
                <w:b/>
                <w:sz w:val="16"/>
              </w:rPr>
            </w:pPr>
            <w:r>
              <w:rPr>
                <w:rFonts w:ascii="Verdana"/>
                <w:b/>
                <w:sz w:val="16"/>
              </w:rPr>
              <w:t>73.358</w:t>
            </w:r>
          </w:p>
        </w:tc>
      </w:tr>
      <w:tr>
        <w:trPr>
          <w:trHeight w:val="209" w:hRule="exact"/>
        </w:trPr>
        <w:tc>
          <w:tcPr>
            <w:tcW w:w="2445" w:type="dxa"/>
            <w:tcBorders>
              <w:top w:val="single" w:sz="5" w:space="0" w:color="000000"/>
            </w:tcBorders>
          </w:tcPr>
          <w:p>
            <w:pPr>
              <w:pStyle w:val="TableParagraph"/>
              <w:spacing w:before="4"/>
              <w:ind w:left="27"/>
              <w:jc w:val="left"/>
              <w:rPr>
                <w:rFonts w:ascii="Verdana"/>
                <w:sz w:val="16"/>
              </w:rPr>
            </w:pPr>
            <w:r>
              <w:rPr>
                <w:rFonts w:ascii="Verdana"/>
                <w:w w:val="105"/>
                <w:sz w:val="16"/>
              </w:rPr>
              <w:t>M&amp;G Finanziaria</w:t>
            </w:r>
          </w:p>
        </w:tc>
        <w:tc>
          <w:tcPr>
            <w:tcW w:w="1873" w:type="dxa"/>
            <w:tcBorders>
              <w:top w:val="single" w:sz="5" w:space="0" w:color="000000"/>
            </w:tcBorders>
          </w:tcPr>
          <w:p>
            <w:pPr>
              <w:pStyle w:val="TableParagraph"/>
              <w:spacing w:before="4"/>
              <w:ind w:left="61"/>
              <w:jc w:val="left"/>
              <w:rPr>
                <w:rFonts w:ascii="Verdana"/>
                <w:sz w:val="16"/>
              </w:rPr>
            </w:pPr>
            <w:r>
              <w:rPr>
                <w:rFonts w:ascii="Verdana"/>
                <w:w w:val="105"/>
                <w:sz w:val="16"/>
              </w:rPr>
              <w:t>Biochemtex</w:t>
            </w:r>
          </w:p>
        </w:tc>
        <w:tc>
          <w:tcPr>
            <w:tcW w:w="3189" w:type="dxa"/>
            <w:tcBorders>
              <w:top w:val="single" w:sz="5" w:space="0" w:color="000000"/>
            </w:tcBorders>
          </w:tcPr>
          <w:p>
            <w:pPr>
              <w:pStyle w:val="TableParagraph"/>
              <w:spacing w:before="4"/>
              <w:ind w:left="62"/>
              <w:jc w:val="left"/>
              <w:rPr>
                <w:rFonts w:ascii="Verdana"/>
                <w:sz w:val="16"/>
              </w:rPr>
            </w:pPr>
            <w:r>
              <w:rPr>
                <w:rFonts w:ascii="Verdana"/>
                <w:w w:val="105"/>
                <w:sz w:val="16"/>
              </w:rPr>
              <w:t>BNL</w:t>
            </w:r>
          </w:p>
        </w:tc>
        <w:tc>
          <w:tcPr>
            <w:tcW w:w="1405" w:type="dxa"/>
            <w:tcBorders>
              <w:top w:val="single" w:sz="5" w:space="0" w:color="000000"/>
            </w:tcBorders>
          </w:tcPr>
          <w:p>
            <w:pPr>
              <w:pStyle w:val="TableParagraph"/>
              <w:spacing w:before="4"/>
              <w:ind w:right="46"/>
              <w:rPr>
                <w:rFonts w:ascii="Verdana"/>
                <w:sz w:val="16"/>
              </w:rPr>
            </w:pPr>
            <w:r>
              <w:rPr>
                <w:rFonts w:ascii="Verdana"/>
                <w:w w:val="105"/>
                <w:sz w:val="16"/>
              </w:rPr>
              <w:t>12.513</w:t>
            </w:r>
          </w:p>
        </w:tc>
      </w:tr>
      <w:tr>
        <w:trPr>
          <w:trHeight w:val="206" w:hRule="exact"/>
        </w:trPr>
        <w:tc>
          <w:tcPr>
            <w:tcW w:w="2445" w:type="dxa"/>
          </w:tcPr>
          <w:p>
            <w:pPr>
              <w:pStyle w:val="TableParagraph"/>
              <w:spacing w:before="8"/>
              <w:ind w:left="27"/>
              <w:jc w:val="left"/>
              <w:rPr>
                <w:rFonts w:ascii="Verdana"/>
                <w:sz w:val="16"/>
              </w:rPr>
            </w:pPr>
            <w:r>
              <w:rPr>
                <w:rFonts w:ascii="Verdana"/>
                <w:w w:val="105"/>
                <w:sz w:val="16"/>
              </w:rPr>
              <w:t>M&amp;G Finanziaria</w:t>
            </w:r>
          </w:p>
        </w:tc>
        <w:tc>
          <w:tcPr>
            <w:tcW w:w="1873" w:type="dxa"/>
          </w:tcPr>
          <w:p>
            <w:pPr>
              <w:pStyle w:val="TableParagraph"/>
              <w:spacing w:before="8"/>
              <w:ind w:left="61"/>
              <w:jc w:val="left"/>
              <w:rPr>
                <w:rFonts w:ascii="Verdana"/>
                <w:sz w:val="16"/>
              </w:rPr>
            </w:pPr>
            <w:r>
              <w:rPr>
                <w:rFonts w:ascii="Verdana"/>
                <w:w w:val="105"/>
                <w:sz w:val="16"/>
              </w:rPr>
              <w:t>Biochemtex</w:t>
            </w:r>
          </w:p>
        </w:tc>
        <w:tc>
          <w:tcPr>
            <w:tcW w:w="3189" w:type="dxa"/>
          </w:tcPr>
          <w:p>
            <w:pPr>
              <w:pStyle w:val="TableParagraph"/>
              <w:spacing w:before="8"/>
              <w:ind w:left="62"/>
              <w:jc w:val="left"/>
              <w:rPr>
                <w:rFonts w:ascii="Verdana"/>
                <w:sz w:val="16"/>
              </w:rPr>
            </w:pPr>
            <w:r>
              <w:rPr>
                <w:rFonts w:ascii="Verdana"/>
                <w:w w:val="105"/>
                <w:sz w:val="16"/>
              </w:rPr>
              <w:t>BPM</w:t>
            </w:r>
          </w:p>
        </w:tc>
        <w:tc>
          <w:tcPr>
            <w:tcW w:w="1405" w:type="dxa"/>
          </w:tcPr>
          <w:p>
            <w:pPr>
              <w:pStyle w:val="TableParagraph"/>
              <w:spacing w:before="8"/>
              <w:ind w:right="46"/>
              <w:rPr>
                <w:rFonts w:ascii="Verdana"/>
                <w:sz w:val="16"/>
              </w:rPr>
            </w:pPr>
            <w:r>
              <w:rPr>
                <w:rFonts w:ascii="Verdana"/>
                <w:w w:val="105"/>
                <w:sz w:val="16"/>
              </w:rPr>
              <w:t>14.362</w:t>
            </w:r>
          </w:p>
        </w:tc>
      </w:tr>
      <w:tr>
        <w:trPr>
          <w:trHeight w:val="206" w:hRule="exact"/>
        </w:trPr>
        <w:tc>
          <w:tcPr>
            <w:tcW w:w="2445" w:type="dxa"/>
          </w:tcPr>
          <w:p>
            <w:pPr>
              <w:pStyle w:val="TableParagraph"/>
              <w:spacing w:before="7"/>
              <w:ind w:left="27"/>
              <w:jc w:val="left"/>
              <w:rPr>
                <w:rFonts w:ascii="Verdana"/>
                <w:sz w:val="16"/>
              </w:rPr>
            </w:pPr>
            <w:r>
              <w:rPr>
                <w:rFonts w:ascii="Verdana"/>
                <w:w w:val="105"/>
                <w:sz w:val="16"/>
              </w:rPr>
              <w:t>M&amp;G Finanziaria</w:t>
            </w:r>
          </w:p>
        </w:tc>
        <w:tc>
          <w:tcPr>
            <w:tcW w:w="1873" w:type="dxa"/>
          </w:tcPr>
          <w:p>
            <w:pPr>
              <w:pStyle w:val="TableParagraph"/>
              <w:spacing w:before="7"/>
              <w:ind w:left="61"/>
              <w:jc w:val="left"/>
              <w:rPr>
                <w:rFonts w:ascii="Verdana"/>
                <w:sz w:val="16"/>
              </w:rPr>
            </w:pPr>
            <w:r>
              <w:rPr>
                <w:rFonts w:ascii="Verdana"/>
                <w:w w:val="105"/>
                <w:sz w:val="16"/>
              </w:rPr>
              <w:t>Biochemtex</w:t>
            </w:r>
          </w:p>
        </w:tc>
        <w:tc>
          <w:tcPr>
            <w:tcW w:w="3189" w:type="dxa"/>
          </w:tcPr>
          <w:p>
            <w:pPr>
              <w:pStyle w:val="TableParagraph"/>
              <w:spacing w:before="7"/>
              <w:ind w:left="62"/>
              <w:jc w:val="left"/>
              <w:rPr>
                <w:rFonts w:ascii="Verdana"/>
                <w:sz w:val="16"/>
              </w:rPr>
            </w:pPr>
            <w:r>
              <w:rPr>
                <w:rFonts w:ascii="Verdana"/>
                <w:w w:val="105"/>
                <w:sz w:val="16"/>
              </w:rPr>
              <w:t>Intesa</w:t>
            </w:r>
          </w:p>
        </w:tc>
        <w:tc>
          <w:tcPr>
            <w:tcW w:w="1405" w:type="dxa"/>
          </w:tcPr>
          <w:p>
            <w:pPr>
              <w:pStyle w:val="TableParagraph"/>
              <w:spacing w:before="7"/>
              <w:ind w:right="46"/>
              <w:rPr>
                <w:rFonts w:ascii="Verdana"/>
                <w:sz w:val="16"/>
              </w:rPr>
            </w:pPr>
            <w:r>
              <w:rPr>
                <w:rFonts w:ascii="Verdana"/>
                <w:w w:val="105"/>
                <w:sz w:val="16"/>
              </w:rPr>
              <w:t>22.979</w:t>
            </w:r>
          </w:p>
        </w:tc>
      </w:tr>
      <w:tr>
        <w:trPr>
          <w:trHeight w:val="203" w:hRule="exact"/>
        </w:trPr>
        <w:tc>
          <w:tcPr>
            <w:tcW w:w="2445" w:type="dxa"/>
            <w:tcBorders>
              <w:bottom w:val="single" w:sz="5" w:space="0" w:color="000000"/>
            </w:tcBorders>
          </w:tcPr>
          <w:p>
            <w:pPr>
              <w:pStyle w:val="TableParagraph"/>
              <w:spacing w:before="8"/>
              <w:ind w:left="27"/>
              <w:jc w:val="left"/>
              <w:rPr>
                <w:rFonts w:ascii="Verdana"/>
                <w:sz w:val="16"/>
              </w:rPr>
            </w:pPr>
            <w:r>
              <w:rPr>
                <w:rFonts w:ascii="Verdana"/>
                <w:w w:val="105"/>
                <w:sz w:val="16"/>
              </w:rPr>
              <w:t>M&amp;G Finanziaria</w:t>
            </w:r>
          </w:p>
        </w:tc>
        <w:tc>
          <w:tcPr>
            <w:tcW w:w="1873" w:type="dxa"/>
            <w:tcBorders>
              <w:bottom w:val="single" w:sz="5" w:space="0" w:color="000000"/>
            </w:tcBorders>
          </w:tcPr>
          <w:p>
            <w:pPr>
              <w:pStyle w:val="TableParagraph"/>
              <w:spacing w:before="8"/>
              <w:ind w:left="61"/>
              <w:jc w:val="left"/>
              <w:rPr>
                <w:rFonts w:ascii="Verdana"/>
                <w:sz w:val="16"/>
              </w:rPr>
            </w:pPr>
            <w:r>
              <w:rPr>
                <w:rFonts w:ascii="Verdana"/>
                <w:w w:val="105"/>
                <w:sz w:val="16"/>
              </w:rPr>
              <w:t>Biochemtex</w:t>
            </w:r>
          </w:p>
        </w:tc>
        <w:tc>
          <w:tcPr>
            <w:tcW w:w="3189" w:type="dxa"/>
            <w:tcBorders>
              <w:bottom w:val="single" w:sz="5" w:space="0" w:color="000000"/>
            </w:tcBorders>
          </w:tcPr>
          <w:p>
            <w:pPr>
              <w:pStyle w:val="TableParagraph"/>
              <w:spacing w:before="8"/>
              <w:ind w:left="62"/>
              <w:jc w:val="left"/>
              <w:rPr>
                <w:rFonts w:ascii="Verdana"/>
                <w:sz w:val="16"/>
              </w:rPr>
            </w:pPr>
            <w:r>
              <w:rPr>
                <w:rFonts w:ascii="Verdana"/>
                <w:w w:val="105"/>
                <w:sz w:val="16"/>
              </w:rPr>
              <w:t>SACE</w:t>
            </w:r>
          </w:p>
        </w:tc>
        <w:tc>
          <w:tcPr>
            <w:tcW w:w="1405" w:type="dxa"/>
            <w:tcBorders>
              <w:bottom w:val="single" w:sz="5" w:space="0" w:color="000000"/>
            </w:tcBorders>
          </w:tcPr>
          <w:p>
            <w:pPr>
              <w:pStyle w:val="TableParagraph"/>
              <w:spacing w:before="8"/>
              <w:ind w:right="46"/>
              <w:rPr>
                <w:rFonts w:ascii="Verdana"/>
                <w:sz w:val="16"/>
              </w:rPr>
            </w:pPr>
            <w:r>
              <w:rPr>
                <w:rFonts w:ascii="Verdana"/>
                <w:w w:val="105"/>
                <w:sz w:val="16"/>
              </w:rPr>
              <w:t>23.503</w:t>
            </w:r>
          </w:p>
        </w:tc>
      </w:tr>
      <w:tr>
        <w:trPr>
          <w:trHeight w:val="206" w:hRule="exact"/>
        </w:trPr>
        <w:tc>
          <w:tcPr>
            <w:tcW w:w="2445" w:type="dxa"/>
            <w:tcBorders>
              <w:top w:val="single" w:sz="5" w:space="0" w:color="000000"/>
              <w:bottom w:val="single" w:sz="5" w:space="0" w:color="000000"/>
            </w:tcBorders>
          </w:tcPr>
          <w:p>
            <w:pPr>
              <w:pStyle w:val="TableParagraph"/>
              <w:spacing w:before="4"/>
              <w:ind w:left="41"/>
              <w:jc w:val="left"/>
              <w:rPr>
                <w:rFonts w:ascii="Verdana"/>
                <w:b/>
                <w:sz w:val="16"/>
              </w:rPr>
            </w:pPr>
            <w:r>
              <w:rPr>
                <w:rFonts w:ascii="Verdana"/>
                <w:b/>
                <w:w w:val="105"/>
                <w:sz w:val="16"/>
              </w:rPr>
              <w:t>M&amp;G Finanziaria</w:t>
            </w:r>
          </w:p>
        </w:tc>
        <w:tc>
          <w:tcPr>
            <w:tcW w:w="1873" w:type="dxa"/>
            <w:tcBorders>
              <w:top w:val="single" w:sz="5" w:space="0" w:color="000000"/>
              <w:bottom w:val="single" w:sz="5" w:space="0" w:color="000000"/>
            </w:tcBorders>
          </w:tcPr>
          <w:p>
            <w:pPr>
              <w:pStyle w:val="TableParagraph"/>
              <w:spacing w:before="4"/>
              <w:ind w:left="75"/>
              <w:jc w:val="left"/>
              <w:rPr>
                <w:rFonts w:ascii="Verdana"/>
                <w:b/>
                <w:sz w:val="16"/>
              </w:rPr>
            </w:pPr>
            <w:r>
              <w:rPr>
                <w:rFonts w:ascii="Verdana"/>
                <w:b/>
                <w:w w:val="105"/>
                <w:sz w:val="16"/>
              </w:rPr>
              <w:t>Biochemtex</w:t>
            </w:r>
          </w:p>
        </w:tc>
        <w:tc>
          <w:tcPr>
            <w:tcW w:w="3189" w:type="dxa"/>
            <w:tcBorders>
              <w:top w:val="single" w:sz="5" w:space="0" w:color="000000"/>
              <w:bottom w:val="single" w:sz="5" w:space="0" w:color="000000"/>
            </w:tcBorders>
          </w:tcPr>
          <w:p>
            <w:pPr>
              <w:pStyle w:val="TableParagraph"/>
              <w:spacing w:before="4"/>
              <w:ind w:left="76"/>
              <w:jc w:val="left"/>
              <w:rPr>
                <w:rFonts w:ascii="Verdana"/>
                <w:b/>
                <w:sz w:val="16"/>
              </w:rPr>
            </w:pPr>
            <w:r>
              <w:rPr>
                <w:rFonts w:ascii="Verdana"/>
                <w:b/>
                <w:w w:val="105"/>
                <w:sz w:val="16"/>
              </w:rPr>
              <w:t>Novozymes (e)</w:t>
            </w:r>
          </w:p>
        </w:tc>
        <w:tc>
          <w:tcPr>
            <w:tcW w:w="1405" w:type="dxa"/>
            <w:tcBorders>
              <w:top w:val="single" w:sz="5" w:space="0" w:color="000000"/>
              <w:bottom w:val="single" w:sz="5" w:space="0" w:color="000000"/>
            </w:tcBorders>
          </w:tcPr>
          <w:p>
            <w:pPr>
              <w:pStyle w:val="TableParagraph"/>
              <w:spacing w:before="4"/>
              <w:ind w:right="61"/>
              <w:rPr>
                <w:rFonts w:ascii="Verdana"/>
                <w:b/>
                <w:sz w:val="16"/>
              </w:rPr>
            </w:pPr>
            <w:r>
              <w:rPr>
                <w:rFonts w:ascii="Verdana"/>
                <w:b/>
                <w:sz w:val="16"/>
              </w:rPr>
              <w:t>52.673</w:t>
            </w:r>
          </w:p>
        </w:tc>
      </w:tr>
      <w:tr>
        <w:trPr>
          <w:trHeight w:val="209" w:hRule="exact"/>
        </w:trPr>
        <w:tc>
          <w:tcPr>
            <w:tcW w:w="2445" w:type="dxa"/>
            <w:tcBorders>
              <w:top w:val="single" w:sz="5" w:space="0" w:color="000000"/>
            </w:tcBorders>
          </w:tcPr>
          <w:p>
            <w:pPr>
              <w:pStyle w:val="TableParagraph"/>
              <w:spacing w:before="4"/>
              <w:ind w:left="27"/>
              <w:jc w:val="left"/>
              <w:rPr>
                <w:rFonts w:ascii="Verdana"/>
                <w:sz w:val="16"/>
              </w:rPr>
            </w:pPr>
            <w:r>
              <w:rPr>
                <w:rFonts w:ascii="Verdana"/>
                <w:w w:val="105"/>
                <w:sz w:val="16"/>
              </w:rPr>
              <w:t>M&amp;G Finanziaria</w:t>
            </w:r>
          </w:p>
        </w:tc>
        <w:tc>
          <w:tcPr>
            <w:tcW w:w="1873" w:type="dxa"/>
            <w:tcBorders>
              <w:top w:val="single" w:sz="5" w:space="0" w:color="000000"/>
            </w:tcBorders>
          </w:tcPr>
          <w:p>
            <w:pPr>
              <w:pStyle w:val="TableParagraph"/>
              <w:spacing w:before="4"/>
              <w:ind w:left="61"/>
              <w:jc w:val="left"/>
              <w:rPr>
                <w:rFonts w:ascii="Verdana"/>
                <w:sz w:val="16"/>
              </w:rPr>
            </w:pPr>
            <w:r>
              <w:rPr>
                <w:rFonts w:ascii="Verdana"/>
                <w:w w:val="105"/>
                <w:sz w:val="16"/>
              </w:rPr>
              <w:t>Biochemtex</w:t>
            </w:r>
          </w:p>
        </w:tc>
        <w:tc>
          <w:tcPr>
            <w:tcW w:w="3189" w:type="dxa"/>
            <w:tcBorders>
              <w:top w:val="single" w:sz="5" w:space="0" w:color="000000"/>
            </w:tcBorders>
          </w:tcPr>
          <w:p>
            <w:pPr>
              <w:pStyle w:val="TableParagraph"/>
              <w:spacing w:before="4"/>
              <w:ind w:left="62"/>
              <w:jc w:val="left"/>
              <w:rPr>
                <w:rFonts w:ascii="Verdana"/>
                <w:sz w:val="16"/>
              </w:rPr>
            </w:pPr>
            <w:r>
              <w:rPr>
                <w:rFonts w:ascii="Verdana"/>
                <w:w w:val="105"/>
                <w:sz w:val="16"/>
              </w:rPr>
              <w:t>Novozymes</w:t>
            </w:r>
          </w:p>
        </w:tc>
        <w:tc>
          <w:tcPr>
            <w:tcW w:w="1405" w:type="dxa"/>
            <w:tcBorders>
              <w:top w:val="single" w:sz="5" w:space="0" w:color="000000"/>
            </w:tcBorders>
          </w:tcPr>
          <w:p>
            <w:pPr>
              <w:pStyle w:val="TableParagraph"/>
              <w:spacing w:before="4"/>
              <w:ind w:right="46"/>
              <w:rPr>
                <w:rFonts w:ascii="Verdana"/>
                <w:sz w:val="16"/>
              </w:rPr>
            </w:pPr>
            <w:r>
              <w:rPr>
                <w:rFonts w:ascii="Verdana"/>
                <w:w w:val="105"/>
                <w:sz w:val="16"/>
              </w:rPr>
              <w:t>20.000</w:t>
            </w:r>
          </w:p>
        </w:tc>
      </w:tr>
      <w:tr>
        <w:trPr>
          <w:trHeight w:val="206" w:hRule="exact"/>
        </w:trPr>
        <w:tc>
          <w:tcPr>
            <w:tcW w:w="2445" w:type="dxa"/>
          </w:tcPr>
          <w:p>
            <w:pPr>
              <w:pStyle w:val="TableParagraph"/>
              <w:spacing w:before="8"/>
              <w:ind w:left="27"/>
              <w:jc w:val="left"/>
              <w:rPr>
                <w:rFonts w:ascii="Verdana"/>
                <w:sz w:val="16"/>
              </w:rPr>
            </w:pPr>
            <w:r>
              <w:rPr>
                <w:rFonts w:ascii="Verdana"/>
                <w:w w:val="105"/>
                <w:sz w:val="16"/>
              </w:rPr>
              <w:t>M&amp;G Finanziaria</w:t>
            </w:r>
          </w:p>
        </w:tc>
        <w:tc>
          <w:tcPr>
            <w:tcW w:w="1873" w:type="dxa"/>
          </w:tcPr>
          <w:p>
            <w:pPr>
              <w:pStyle w:val="TableParagraph"/>
              <w:spacing w:before="8"/>
              <w:ind w:left="61"/>
              <w:jc w:val="left"/>
              <w:rPr>
                <w:rFonts w:ascii="Verdana"/>
                <w:sz w:val="16"/>
              </w:rPr>
            </w:pPr>
            <w:r>
              <w:rPr>
                <w:rFonts w:ascii="Verdana"/>
                <w:w w:val="105"/>
                <w:sz w:val="16"/>
              </w:rPr>
              <w:t>Biochemtex</w:t>
            </w:r>
          </w:p>
        </w:tc>
        <w:tc>
          <w:tcPr>
            <w:tcW w:w="3189" w:type="dxa"/>
          </w:tcPr>
          <w:p>
            <w:pPr>
              <w:pStyle w:val="TableParagraph"/>
              <w:spacing w:before="8"/>
              <w:ind w:left="62"/>
              <w:jc w:val="left"/>
              <w:rPr>
                <w:rFonts w:ascii="Verdana"/>
                <w:sz w:val="16"/>
              </w:rPr>
            </w:pPr>
            <w:r>
              <w:rPr>
                <w:rFonts w:ascii="Verdana"/>
                <w:w w:val="105"/>
                <w:sz w:val="16"/>
              </w:rPr>
              <w:t>Novozymes</w:t>
            </w:r>
          </w:p>
        </w:tc>
        <w:tc>
          <w:tcPr>
            <w:tcW w:w="1405" w:type="dxa"/>
          </w:tcPr>
          <w:p>
            <w:pPr>
              <w:pStyle w:val="TableParagraph"/>
              <w:spacing w:before="8"/>
              <w:ind w:right="46"/>
              <w:rPr>
                <w:rFonts w:ascii="Verdana"/>
                <w:sz w:val="16"/>
              </w:rPr>
            </w:pPr>
            <w:r>
              <w:rPr>
                <w:rFonts w:ascii="Verdana"/>
                <w:w w:val="105"/>
                <w:sz w:val="16"/>
              </w:rPr>
              <w:t>26.000</w:t>
            </w:r>
          </w:p>
        </w:tc>
      </w:tr>
      <w:tr>
        <w:trPr>
          <w:trHeight w:val="203" w:hRule="exact"/>
        </w:trPr>
        <w:tc>
          <w:tcPr>
            <w:tcW w:w="2445" w:type="dxa"/>
            <w:tcBorders>
              <w:bottom w:val="single" w:sz="5" w:space="0" w:color="000000"/>
            </w:tcBorders>
          </w:tcPr>
          <w:p>
            <w:pPr>
              <w:pStyle w:val="TableParagraph"/>
              <w:spacing w:before="7"/>
              <w:ind w:left="27"/>
              <w:jc w:val="left"/>
              <w:rPr>
                <w:rFonts w:ascii="Verdana"/>
                <w:sz w:val="16"/>
              </w:rPr>
            </w:pPr>
            <w:r>
              <w:rPr>
                <w:rFonts w:ascii="Verdana"/>
                <w:w w:val="105"/>
                <w:sz w:val="16"/>
              </w:rPr>
              <w:t>M&amp;G Finanziaria</w:t>
            </w:r>
          </w:p>
        </w:tc>
        <w:tc>
          <w:tcPr>
            <w:tcW w:w="1873" w:type="dxa"/>
            <w:tcBorders>
              <w:bottom w:val="single" w:sz="5" w:space="0" w:color="000000"/>
            </w:tcBorders>
          </w:tcPr>
          <w:p>
            <w:pPr>
              <w:pStyle w:val="TableParagraph"/>
              <w:spacing w:before="7"/>
              <w:ind w:left="61"/>
              <w:jc w:val="left"/>
              <w:rPr>
                <w:rFonts w:ascii="Verdana"/>
                <w:sz w:val="16"/>
              </w:rPr>
            </w:pPr>
            <w:r>
              <w:rPr>
                <w:rFonts w:ascii="Verdana"/>
                <w:w w:val="105"/>
                <w:sz w:val="16"/>
              </w:rPr>
              <w:t>Biochemtex</w:t>
            </w:r>
          </w:p>
        </w:tc>
        <w:tc>
          <w:tcPr>
            <w:tcW w:w="3189" w:type="dxa"/>
            <w:tcBorders>
              <w:bottom w:val="single" w:sz="5" w:space="0" w:color="000000"/>
            </w:tcBorders>
          </w:tcPr>
          <w:p>
            <w:pPr>
              <w:pStyle w:val="TableParagraph"/>
              <w:spacing w:before="7"/>
              <w:ind w:left="62"/>
              <w:jc w:val="left"/>
              <w:rPr>
                <w:rFonts w:ascii="Verdana"/>
                <w:sz w:val="16"/>
              </w:rPr>
            </w:pPr>
            <w:r>
              <w:rPr>
                <w:rFonts w:ascii="Verdana"/>
                <w:w w:val="105"/>
                <w:sz w:val="16"/>
              </w:rPr>
              <w:t>Novozymes</w:t>
            </w:r>
          </w:p>
        </w:tc>
        <w:tc>
          <w:tcPr>
            <w:tcW w:w="1405" w:type="dxa"/>
            <w:tcBorders>
              <w:bottom w:val="single" w:sz="5" w:space="0" w:color="000000"/>
            </w:tcBorders>
          </w:tcPr>
          <w:p>
            <w:pPr>
              <w:pStyle w:val="TableParagraph"/>
              <w:spacing w:before="7"/>
              <w:ind w:right="45"/>
              <w:rPr>
                <w:rFonts w:ascii="Verdana"/>
                <w:sz w:val="16"/>
              </w:rPr>
            </w:pPr>
            <w:r>
              <w:rPr>
                <w:rFonts w:ascii="Verdana"/>
                <w:sz w:val="16"/>
              </w:rPr>
              <w:t>6.673</w:t>
            </w:r>
          </w:p>
        </w:tc>
      </w:tr>
    </w:tbl>
    <w:p>
      <w:pPr>
        <w:pStyle w:val="BodyText"/>
        <w:spacing w:before="3"/>
      </w:pPr>
    </w:p>
    <w:p>
      <w:pPr>
        <w:spacing w:before="0"/>
        <w:ind w:left="1475" w:right="0" w:firstLine="0"/>
        <w:jc w:val="left"/>
        <w:rPr>
          <w:rFonts w:ascii="Verdana"/>
          <w:b/>
          <w:sz w:val="17"/>
        </w:rPr>
      </w:pPr>
      <w:r>
        <w:rPr>
          <w:rFonts w:ascii="Verdana"/>
          <w:b/>
          <w:sz w:val="17"/>
        </w:rPr>
        <w:t>Recap garanzie da Centrale rischi non presenti in Bilancio e nel file PBC</w:t>
      </w:r>
    </w:p>
    <w:p>
      <w:pPr>
        <w:pStyle w:val="BodyText"/>
        <w:spacing w:before="2"/>
        <w:rPr>
          <w:rFonts w:ascii="Verdana"/>
          <w:b/>
          <w:sz w:val="17"/>
        </w:rPr>
      </w:pPr>
    </w:p>
    <w:tbl>
      <w:tblPr>
        <w:tblW w:w="0" w:type="auto"/>
        <w:jc w:val="left"/>
        <w:tblInd w:w="1426"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486"/>
        <w:gridCol w:w="1904"/>
        <w:gridCol w:w="3242"/>
        <w:gridCol w:w="1429"/>
      </w:tblGrid>
      <w:tr>
        <w:trPr>
          <w:trHeight w:val="210" w:hRule="exact"/>
        </w:trPr>
        <w:tc>
          <w:tcPr>
            <w:tcW w:w="2486" w:type="dxa"/>
            <w:tcBorders>
              <w:top w:val="single" w:sz="6" w:space="0" w:color="000000"/>
              <w:bottom w:val="single" w:sz="6" w:space="0" w:color="000000"/>
              <w:right w:val="single" w:sz="17" w:space="0" w:color="FFFFFF"/>
            </w:tcBorders>
            <w:shd w:val="clear" w:color="auto" w:fill="85BB24"/>
          </w:tcPr>
          <w:p>
            <w:pPr>
              <w:pStyle w:val="TableParagraph"/>
              <w:spacing w:line="204" w:lineRule="exact" w:before="0"/>
              <w:ind w:left="41"/>
              <w:jc w:val="left"/>
              <w:rPr>
                <w:rFonts w:ascii="Verdana"/>
                <w:b/>
                <w:sz w:val="17"/>
              </w:rPr>
            </w:pPr>
            <w:r>
              <w:rPr>
                <w:rFonts w:ascii="Verdana"/>
                <w:b/>
                <w:color w:val="FFFFFF"/>
                <w:sz w:val="17"/>
              </w:rPr>
              <w:t>Garante</w:t>
            </w:r>
          </w:p>
        </w:tc>
        <w:tc>
          <w:tcPr>
            <w:tcW w:w="1904" w:type="dxa"/>
            <w:tcBorders>
              <w:top w:val="single" w:sz="6" w:space="0" w:color="000000"/>
              <w:left w:val="single" w:sz="17" w:space="0" w:color="FFFFFF"/>
              <w:bottom w:val="single" w:sz="6" w:space="0" w:color="000000"/>
              <w:right w:val="single" w:sz="17" w:space="0" w:color="FFFFFF"/>
            </w:tcBorders>
            <w:shd w:val="clear" w:color="auto" w:fill="85BB24"/>
          </w:tcPr>
          <w:p>
            <w:pPr>
              <w:pStyle w:val="TableParagraph"/>
              <w:spacing w:line="204" w:lineRule="exact" w:before="0"/>
              <w:ind w:left="55"/>
              <w:jc w:val="left"/>
              <w:rPr>
                <w:rFonts w:ascii="Verdana"/>
                <w:b/>
                <w:sz w:val="17"/>
              </w:rPr>
            </w:pPr>
            <w:r>
              <w:rPr>
                <w:rFonts w:ascii="Verdana"/>
                <w:b/>
                <w:color w:val="FFFFFF"/>
                <w:sz w:val="17"/>
              </w:rPr>
              <w:t>Destinatario</w:t>
            </w:r>
          </w:p>
        </w:tc>
        <w:tc>
          <w:tcPr>
            <w:tcW w:w="3242" w:type="dxa"/>
            <w:tcBorders>
              <w:top w:val="single" w:sz="6" w:space="0" w:color="000000"/>
              <w:left w:val="single" w:sz="17" w:space="0" w:color="FFFFFF"/>
              <w:bottom w:val="single" w:sz="6" w:space="0" w:color="000000"/>
              <w:right w:val="single" w:sz="22" w:space="0" w:color="FFFFFF"/>
            </w:tcBorders>
            <w:shd w:val="clear" w:color="auto" w:fill="85BB24"/>
          </w:tcPr>
          <w:p>
            <w:pPr>
              <w:pStyle w:val="TableParagraph"/>
              <w:spacing w:line="204" w:lineRule="exact" w:before="0"/>
              <w:ind w:left="56"/>
              <w:jc w:val="left"/>
              <w:rPr>
                <w:rFonts w:ascii="Verdana"/>
                <w:b/>
                <w:sz w:val="17"/>
              </w:rPr>
            </w:pPr>
            <w:r>
              <w:rPr>
                <w:rFonts w:ascii="Verdana"/>
                <w:b/>
                <w:color w:val="FFFFFF"/>
                <w:sz w:val="17"/>
              </w:rPr>
              <w:t>Beneficiario</w:t>
            </w:r>
          </w:p>
        </w:tc>
        <w:tc>
          <w:tcPr>
            <w:tcW w:w="1429" w:type="dxa"/>
            <w:tcBorders>
              <w:top w:val="single" w:sz="6" w:space="0" w:color="000000"/>
              <w:left w:val="single" w:sz="22" w:space="0" w:color="FFFFFF"/>
              <w:bottom w:val="single" w:sz="6" w:space="0" w:color="000000"/>
            </w:tcBorders>
            <w:shd w:val="clear" w:color="auto" w:fill="85BB24"/>
          </w:tcPr>
          <w:p>
            <w:pPr>
              <w:pStyle w:val="TableParagraph"/>
              <w:spacing w:line="204" w:lineRule="exact" w:before="0"/>
              <w:ind w:right="61"/>
              <w:rPr>
                <w:rFonts w:ascii="Verdana"/>
                <w:b/>
                <w:sz w:val="17"/>
              </w:rPr>
            </w:pPr>
            <w:r>
              <w:rPr>
                <w:rFonts w:ascii="Verdana"/>
                <w:b/>
                <w:color w:val="FFFFFF"/>
                <w:sz w:val="17"/>
              </w:rPr>
              <w:t>15/10/2017</w:t>
            </w:r>
          </w:p>
        </w:tc>
      </w:tr>
      <w:tr>
        <w:trPr>
          <w:trHeight w:val="213" w:hRule="exact"/>
        </w:trPr>
        <w:tc>
          <w:tcPr>
            <w:tcW w:w="2486" w:type="dxa"/>
            <w:tcBorders>
              <w:top w:val="single" w:sz="6" w:space="0" w:color="000000"/>
            </w:tcBorders>
          </w:tcPr>
          <w:p>
            <w:pPr>
              <w:pStyle w:val="TableParagraph"/>
              <w:spacing w:line="204" w:lineRule="exact" w:before="0"/>
              <w:ind w:left="27"/>
              <w:jc w:val="left"/>
              <w:rPr>
                <w:rFonts w:ascii="Verdana"/>
                <w:sz w:val="17"/>
              </w:rPr>
            </w:pPr>
            <w:r>
              <w:rPr>
                <w:rFonts w:ascii="Verdana"/>
                <w:sz w:val="17"/>
              </w:rPr>
              <w:t>Mossi &amp; Ghisolfi</w:t>
            </w:r>
          </w:p>
        </w:tc>
        <w:tc>
          <w:tcPr>
            <w:tcW w:w="1904" w:type="dxa"/>
            <w:tcBorders>
              <w:top w:val="single" w:sz="6" w:space="0" w:color="000000"/>
            </w:tcBorders>
          </w:tcPr>
          <w:p>
            <w:pPr>
              <w:pStyle w:val="TableParagraph"/>
              <w:spacing w:line="204" w:lineRule="exact" w:before="0"/>
              <w:ind w:left="62"/>
              <w:jc w:val="left"/>
              <w:rPr>
                <w:rFonts w:ascii="Verdana"/>
                <w:sz w:val="17"/>
              </w:rPr>
            </w:pPr>
            <w:r>
              <w:rPr>
                <w:rFonts w:ascii="Verdana"/>
                <w:sz w:val="17"/>
              </w:rPr>
              <w:t>Biochemtex</w:t>
            </w:r>
          </w:p>
        </w:tc>
        <w:tc>
          <w:tcPr>
            <w:tcW w:w="3242" w:type="dxa"/>
            <w:tcBorders>
              <w:top w:val="single" w:sz="6" w:space="0" w:color="000000"/>
            </w:tcBorders>
          </w:tcPr>
          <w:p>
            <w:pPr>
              <w:pStyle w:val="TableParagraph"/>
              <w:spacing w:line="204" w:lineRule="exact" w:before="0"/>
              <w:ind w:left="63"/>
              <w:jc w:val="left"/>
              <w:rPr>
                <w:rFonts w:ascii="Verdana"/>
                <w:sz w:val="17"/>
              </w:rPr>
            </w:pPr>
            <w:r>
              <w:rPr>
                <w:rFonts w:ascii="Verdana"/>
                <w:sz w:val="17"/>
              </w:rPr>
              <w:t>BNL</w:t>
            </w:r>
          </w:p>
        </w:tc>
        <w:tc>
          <w:tcPr>
            <w:tcW w:w="1429" w:type="dxa"/>
            <w:tcBorders>
              <w:top w:val="single" w:sz="6" w:space="0" w:color="000000"/>
            </w:tcBorders>
          </w:tcPr>
          <w:p>
            <w:pPr>
              <w:pStyle w:val="TableParagraph"/>
              <w:spacing w:line="204" w:lineRule="exact" w:before="0"/>
              <w:ind w:right="44"/>
              <w:rPr>
                <w:rFonts w:ascii="Verdana"/>
                <w:sz w:val="17"/>
              </w:rPr>
            </w:pPr>
            <w:r>
              <w:rPr>
                <w:rFonts w:ascii="Verdana"/>
                <w:sz w:val="17"/>
              </w:rPr>
              <w:t>9.327</w:t>
            </w:r>
          </w:p>
        </w:tc>
      </w:tr>
      <w:tr>
        <w:trPr>
          <w:trHeight w:val="207" w:hRule="exact"/>
        </w:trPr>
        <w:tc>
          <w:tcPr>
            <w:tcW w:w="2486" w:type="dxa"/>
          </w:tcPr>
          <w:p>
            <w:pPr>
              <w:pStyle w:val="TableParagraph"/>
              <w:spacing w:before="1"/>
              <w:ind w:left="27"/>
              <w:jc w:val="left"/>
              <w:rPr>
                <w:rFonts w:ascii="Verdana"/>
                <w:sz w:val="17"/>
              </w:rPr>
            </w:pPr>
            <w:r>
              <w:rPr>
                <w:rFonts w:ascii="Verdana"/>
                <w:sz w:val="17"/>
              </w:rPr>
              <w:t>Italian Bioproducts</w:t>
            </w:r>
          </w:p>
        </w:tc>
        <w:tc>
          <w:tcPr>
            <w:tcW w:w="1904" w:type="dxa"/>
          </w:tcPr>
          <w:p>
            <w:pPr>
              <w:pStyle w:val="TableParagraph"/>
              <w:spacing w:before="1"/>
              <w:ind w:left="62"/>
              <w:jc w:val="left"/>
              <w:rPr>
                <w:rFonts w:ascii="Verdana"/>
                <w:sz w:val="17"/>
              </w:rPr>
            </w:pPr>
            <w:r>
              <w:rPr>
                <w:rFonts w:ascii="Verdana"/>
                <w:sz w:val="17"/>
              </w:rPr>
              <w:t>Biochemtex</w:t>
            </w:r>
          </w:p>
        </w:tc>
        <w:tc>
          <w:tcPr>
            <w:tcW w:w="3242" w:type="dxa"/>
          </w:tcPr>
          <w:p>
            <w:pPr>
              <w:pStyle w:val="TableParagraph"/>
              <w:spacing w:before="1"/>
              <w:ind w:left="63"/>
              <w:jc w:val="left"/>
              <w:rPr>
                <w:rFonts w:ascii="Verdana"/>
                <w:sz w:val="17"/>
              </w:rPr>
            </w:pPr>
            <w:r>
              <w:rPr>
                <w:rFonts w:ascii="Verdana"/>
                <w:sz w:val="17"/>
              </w:rPr>
              <w:t>Sunny 1 SPV</w:t>
            </w:r>
          </w:p>
        </w:tc>
        <w:tc>
          <w:tcPr>
            <w:tcW w:w="1429" w:type="dxa"/>
          </w:tcPr>
          <w:p>
            <w:pPr>
              <w:pStyle w:val="TableParagraph"/>
              <w:spacing w:before="1"/>
              <w:ind w:right="40"/>
              <w:rPr>
                <w:rFonts w:ascii="Verdana"/>
                <w:sz w:val="17"/>
              </w:rPr>
            </w:pPr>
            <w:r>
              <w:rPr>
                <w:rFonts w:ascii="Verdana"/>
                <w:sz w:val="17"/>
              </w:rPr>
              <w:t>70</w:t>
            </w:r>
          </w:p>
        </w:tc>
      </w:tr>
    </w:tbl>
    <w:p>
      <w:pPr>
        <w:pStyle w:val="BodyText"/>
        <w:spacing w:before="10"/>
        <w:rPr>
          <w:rFonts w:ascii="Verdana"/>
          <w:b/>
          <w:sz w:val="22"/>
        </w:rPr>
      </w:pPr>
    </w:p>
    <w:p>
      <w:pPr>
        <w:pStyle w:val="BodyText"/>
        <w:spacing w:line="480" w:lineRule="auto"/>
        <w:ind w:left="1418" w:right="1518"/>
      </w:pPr>
      <w:r>
        <w:rPr>
          <w:u w:val="single"/>
        </w:rPr>
        <w:t>Si rileva che la società M&amp;G Finanziaria ha rilasciato a favore della Ricorrente garanzie fidejussorie per complessivi Euro 245,6 milioni di Euro così suddivise</w:t>
      </w:r>
      <w:r>
        <w:rPr/>
        <w:t>:</w:t>
      </w:r>
    </w:p>
    <w:p>
      <w:pPr>
        <w:pStyle w:val="ListParagraph"/>
        <w:numPr>
          <w:ilvl w:val="0"/>
          <w:numId w:val="94"/>
        </w:numPr>
        <w:tabs>
          <w:tab w:pos="2127" w:val="left" w:leader="none"/>
        </w:tabs>
        <w:spacing w:line="477" w:lineRule="auto" w:before="0" w:after="0"/>
        <w:ind w:left="2138" w:right="1414" w:hanging="360"/>
        <w:jc w:val="both"/>
        <w:rPr>
          <w:sz w:val="24"/>
        </w:rPr>
      </w:pPr>
      <w:r>
        <w:rPr>
          <w:sz w:val="24"/>
        </w:rPr>
        <w:t>garanzie verso il sistema bancario per complessivi Euro 192,9 milioni, di cui Euro 119,5 milioni per contratti passivi verso istituti di credito (a titolo di esempio non esaustivo: contratti di mutuo, finanziamenti ed anticipazioni fatture), ed Euro 73,358 a copertura del finanziamento BEI, per i cui dettagli si rimanda al paragrafo debiti verso banche. Gli scriventi hanno preso visione della Centrale Rischi per avere conferma degli importi garantiti dai vari istituti di credito non riscontrando discordanze con quanto riportato nei </w:t>
      </w:r>
      <w:r>
        <w:rPr>
          <w:i/>
          <w:sz w:val="24"/>
        </w:rPr>
        <w:t>deliverables </w:t>
      </w:r>
      <w:r>
        <w:rPr>
          <w:sz w:val="24"/>
        </w:rPr>
        <w:t>di</w:t>
      </w:r>
      <w:r>
        <w:rPr>
          <w:spacing w:val="-3"/>
          <w:sz w:val="24"/>
        </w:rPr>
        <w:t> </w:t>
      </w:r>
      <w:r>
        <w:rPr>
          <w:sz w:val="24"/>
        </w:rPr>
        <w:t>Deloitte;</w:t>
      </w:r>
    </w:p>
    <w:p>
      <w:pPr>
        <w:spacing w:after="0" w:line="477"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9"/>
        </w:rPr>
      </w:pPr>
    </w:p>
    <w:p>
      <w:pPr>
        <w:pStyle w:val="ListParagraph"/>
        <w:numPr>
          <w:ilvl w:val="0"/>
          <w:numId w:val="94"/>
        </w:numPr>
        <w:tabs>
          <w:tab w:pos="2127" w:val="left" w:leader="none"/>
        </w:tabs>
        <w:spacing w:line="470" w:lineRule="auto" w:before="78" w:after="0"/>
        <w:ind w:left="2138" w:right="1413" w:hanging="360"/>
        <w:jc w:val="both"/>
        <w:rPr>
          <w:sz w:val="24"/>
        </w:rPr>
      </w:pPr>
      <w:r>
        <w:rPr>
          <w:sz w:val="24"/>
        </w:rPr>
        <w:t>garanzie verso il socio di minoranza Novozymes per Euro 52,673 milioni, in forza degli accordi stipulati. Gli scriventi rimandano al precedente paragrafo 2.3.5 per la descrizione delle stesse, nonché ai </w:t>
      </w:r>
      <w:r>
        <w:rPr>
          <w:i/>
          <w:sz w:val="24"/>
        </w:rPr>
        <w:t>deliverables </w:t>
      </w:r>
      <w:r>
        <w:rPr>
          <w:sz w:val="24"/>
        </w:rPr>
        <w:t>effettuati da</w:t>
      </w:r>
      <w:r>
        <w:rPr>
          <w:spacing w:val="-17"/>
          <w:sz w:val="24"/>
        </w:rPr>
        <w:t> </w:t>
      </w:r>
      <w:r>
        <w:rPr>
          <w:sz w:val="24"/>
        </w:rPr>
        <w:t>Deloitte.</w:t>
      </w:r>
    </w:p>
    <w:p>
      <w:pPr>
        <w:pStyle w:val="BodyText"/>
        <w:spacing w:line="480" w:lineRule="auto" w:before="10"/>
        <w:ind w:left="1418" w:right="1413" w:firstLine="60"/>
      </w:pPr>
      <w:r>
        <w:rPr/>
        <w:t>Si rileva che la società </w:t>
      </w:r>
      <w:r>
        <w:rPr>
          <w:u w:val="single"/>
        </w:rPr>
        <w:t>Mossi&amp;Ghisolfi S.p.A. ha rilasciato a favore della Ricorrente garanzie fidejussorie per Euro 12,3 milioni verso istituti bancari: </w:t>
      </w:r>
      <w:r>
        <w:rPr/>
        <w:t>di cui 3 milioni a garanzia di un</w:t>
      </w:r>
      <w:r>
        <w:rPr>
          <w:spacing w:val="53"/>
        </w:rPr>
        <w:t> </w:t>
      </w:r>
      <w:r>
        <w:rPr/>
        <w:t>contratto</w:t>
      </w:r>
    </w:p>
    <w:p>
      <w:pPr>
        <w:pStyle w:val="BodyText"/>
        <w:spacing w:line="480" w:lineRule="auto" w:after="5"/>
        <w:ind w:left="1418" w:right="1411"/>
        <w:jc w:val="both"/>
      </w:pPr>
      <w:r>
        <w:rPr/>
        <w:t>di finanziamento erogato dal Credito Valtellinese di Euro 3 milioni, mentre Euro 9,327 milioni a garanzia di un debito verso la BNL sorto a seguito di escussione della garanzia sul finanziamento BEI, per i cui dettagli si rimanda al paragrafo sui debiti bancari. Gli scriventi hanno preso visione della Centrale Rischi per conferma degli importi garantiti dai vari istituti di credito non riscontrando rilievi con quanto riportato nei </w:t>
      </w:r>
      <w:r>
        <w:rPr>
          <w:i/>
        </w:rPr>
        <w:t>deliverables </w:t>
      </w:r>
      <w:r>
        <w:rPr/>
        <w:t>di Deloitte;</w:t>
      </w:r>
    </w:p>
    <w:tbl>
      <w:tblPr>
        <w:tblW w:w="0" w:type="auto"/>
        <w:jc w:val="left"/>
        <w:tblInd w:w="1419"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149"/>
        <w:gridCol w:w="1912"/>
        <w:gridCol w:w="3340"/>
        <w:gridCol w:w="1674"/>
      </w:tblGrid>
      <w:tr>
        <w:trPr>
          <w:trHeight w:val="210" w:hRule="exact"/>
        </w:trPr>
        <w:tc>
          <w:tcPr>
            <w:tcW w:w="2149" w:type="dxa"/>
            <w:tcBorders>
              <w:top w:val="single" w:sz="6" w:space="0" w:color="000000"/>
              <w:bottom w:val="single" w:sz="6" w:space="0" w:color="000000"/>
            </w:tcBorders>
          </w:tcPr>
          <w:p>
            <w:pPr>
              <w:pStyle w:val="TableParagraph"/>
              <w:spacing w:before="7"/>
              <w:ind w:left="55"/>
              <w:jc w:val="left"/>
              <w:rPr>
                <w:rFonts w:ascii="Verdana"/>
                <w:b/>
                <w:sz w:val="16"/>
              </w:rPr>
            </w:pPr>
            <w:r>
              <w:rPr>
                <w:rFonts w:ascii="Verdana"/>
                <w:b/>
                <w:w w:val="105"/>
                <w:sz w:val="16"/>
              </w:rPr>
              <w:t>Banche</w:t>
            </w:r>
          </w:p>
        </w:tc>
        <w:tc>
          <w:tcPr>
            <w:tcW w:w="1912" w:type="dxa"/>
            <w:tcBorders>
              <w:top w:val="single" w:sz="6" w:space="0" w:color="000000"/>
              <w:bottom w:val="single" w:sz="6" w:space="0" w:color="000000"/>
            </w:tcBorders>
          </w:tcPr>
          <w:p>
            <w:pPr>
              <w:pStyle w:val="TableParagraph"/>
              <w:spacing w:before="7"/>
              <w:ind w:left="427"/>
              <w:jc w:val="left"/>
              <w:rPr>
                <w:rFonts w:ascii="Verdana"/>
                <w:b/>
                <w:sz w:val="16"/>
              </w:rPr>
            </w:pPr>
            <w:r>
              <w:rPr>
                <w:rFonts w:ascii="Verdana"/>
                <w:b/>
                <w:w w:val="105"/>
                <w:sz w:val="16"/>
              </w:rPr>
              <w:t>Biochemtex</w:t>
            </w:r>
          </w:p>
        </w:tc>
        <w:tc>
          <w:tcPr>
            <w:tcW w:w="3340" w:type="dxa"/>
            <w:tcBorders>
              <w:top w:val="single" w:sz="6" w:space="0" w:color="000000"/>
              <w:bottom w:val="single" w:sz="6" w:space="0" w:color="000000"/>
            </w:tcBorders>
          </w:tcPr>
          <w:p>
            <w:pPr>
              <w:pStyle w:val="TableParagraph"/>
              <w:spacing w:before="7"/>
              <w:ind w:left="420"/>
              <w:jc w:val="left"/>
              <w:rPr>
                <w:rFonts w:ascii="Verdana"/>
                <w:b/>
                <w:sz w:val="16"/>
              </w:rPr>
            </w:pPr>
            <w:r>
              <w:rPr>
                <w:rFonts w:ascii="Verdana"/>
                <w:b/>
                <w:w w:val="105"/>
                <w:sz w:val="16"/>
              </w:rPr>
              <w:t>Clienti Vari (f)</w:t>
            </w:r>
          </w:p>
        </w:tc>
        <w:tc>
          <w:tcPr>
            <w:tcW w:w="1674" w:type="dxa"/>
            <w:tcBorders>
              <w:top w:val="single" w:sz="6" w:space="0" w:color="000000"/>
              <w:bottom w:val="single" w:sz="6" w:space="0" w:color="000000"/>
            </w:tcBorders>
          </w:tcPr>
          <w:p>
            <w:pPr>
              <w:pStyle w:val="TableParagraph"/>
              <w:spacing w:before="7"/>
              <w:ind w:right="62"/>
              <w:rPr>
                <w:rFonts w:ascii="Verdana"/>
                <w:b/>
                <w:sz w:val="16"/>
              </w:rPr>
            </w:pPr>
            <w:r>
              <w:rPr>
                <w:rFonts w:ascii="Verdana"/>
                <w:b/>
                <w:w w:val="105"/>
                <w:sz w:val="16"/>
              </w:rPr>
              <w:t>76.364</w:t>
            </w:r>
          </w:p>
        </w:tc>
      </w:tr>
      <w:tr>
        <w:trPr>
          <w:trHeight w:val="213" w:hRule="exact"/>
        </w:trPr>
        <w:tc>
          <w:tcPr>
            <w:tcW w:w="2149" w:type="dxa"/>
            <w:tcBorders>
              <w:top w:val="single" w:sz="6" w:space="0" w:color="000000"/>
            </w:tcBorders>
          </w:tcPr>
          <w:p>
            <w:pPr>
              <w:pStyle w:val="TableParagraph"/>
              <w:spacing w:before="7"/>
              <w:ind w:left="41"/>
              <w:jc w:val="left"/>
              <w:rPr>
                <w:rFonts w:ascii="Verdana"/>
                <w:sz w:val="16"/>
              </w:rPr>
            </w:pPr>
            <w:r>
              <w:rPr>
                <w:rFonts w:ascii="Verdana"/>
                <w:w w:val="105"/>
                <w:sz w:val="16"/>
              </w:rPr>
              <w:t>Intesa</w:t>
            </w:r>
          </w:p>
        </w:tc>
        <w:tc>
          <w:tcPr>
            <w:tcW w:w="1912" w:type="dxa"/>
            <w:tcBorders>
              <w:top w:val="single" w:sz="6" w:space="0" w:color="000000"/>
            </w:tcBorders>
          </w:tcPr>
          <w:p>
            <w:pPr>
              <w:pStyle w:val="TableParagraph"/>
              <w:spacing w:before="7"/>
              <w:ind w:left="414"/>
              <w:jc w:val="left"/>
              <w:rPr>
                <w:rFonts w:ascii="Verdana"/>
                <w:sz w:val="16"/>
              </w:rPr>
            </w:pPr>
            <w:r>
              <w:rPr>
                <w:rFonts w:ascii="Verdana"/>
                <w:w w:val="105"/>
                <w:sz w:val="16"/>
              </w:rPr>
              <w:t>Biochemtex</w:t>
            </w:r>
          </w:p>
        </w:tc>
        <w:tc>
          <w:tcPr>
            <w:tcW w:w="3340" w:type="dxa"/>
            <w:tcBorders>
              <w:top w:val="single" w:sz="6" w:space="0" w:color="000000"/>
            </w:tcBorders>
          </w:tcPr>
          <w:p>
            <w:pPr>
              <w:pStyle w:val="TableParagraph"/>
              <w:spacing w:before="7"/>
              <w:ind w:left="406"/>
              <w:jc w:val="left"/>
              <w:rPr>
                <w:rFonts w:ascii="Verdana"/>
                <w:sz w:val="16"/>
              </w:rPr>
            </w:pPr>
            <w:r>
              <w:rPr>
                <w:rFonts w:ascii="Verdana"/>
                <w:w w:val="105"/>
                <w:sz w:val="16"/>
              </w:rPr>
              <w:t>Energochemica</w:t>
            </w:r>
          </w:p>
        </w:tc>
        <w:tc>
          <w:tcPr>
            <w:tcW w:w="1674" w:type="dxa"/>
            <w:tcBorders>
              <w:top w:val="single" w:sz="6" w:space="0" w:color="000000"/>
            </w:tcBorders>
          </w:tcPr>
          <w:p>
            <w:pPr>
              <w:pStyle w:val="TableParagraph"/>
              <w:spacing w:before="7"/>
              <w:ind w:right="42"/>
              <w:rPr>
                <w:rFonts w:ascii="Verdana"/>
                <w:sz w:val="16"/>
              </w:rPr>
            </w:pPr>
            <w:r>
              <w:rPr>
                <w:rFonts w:ascii="Verdana"/>
                <w:w w:val="105"/>
                <w:sz w:val="16"/>
              </w:rPr>
              <w:t>800</w:t>
            </w:r>
          </w:p>
        </w:tc>
      </w:tr>
      <w:tr>
        <w:trPr>
          <w:trHeight w:val="210" w:hRule="exact"/>
        </w:trPr>
        <w:tc>
          <w:tcPr>
            <w:tcW w:w="2149" w:type="dxa"/>
          </w:tcPr>
          <w:p>
            <w:pPr>
              <w:pStyle w:val="TableParagraph"/>
              <w:spacing w:before="10"/>
              <w:ind w:left="41"/>
              <w:jc w:val="left"/>
              <w:rPr>
                <w:rFonts w:ascii="Verdana"/>
                <w:sz w:val="16"/>
              </w:rPr>
            </w:pPr>
            <w:r>
              <w:rPr>
                <w:rFonts w:ascii="Verdana"/>
                <w:w w:val="105"/>
                <w:sz w:val="16"/>
              </w:rPr>
              <w:t>Intesa</w:t>
            </w:r>
          </w:p>
        </w:tc>
        <w:tc>
          <w:tcPr>
            <w:tcW w:w="1912" w:type="dxa"/>
          </w:tcPr>
          <w:p>
            <w:pPr>
              <w:pStyle w:val="TableParagraph"/>
              <w:spacing w:before="10"/>
              <w:ind w:left="414"/>
              <w:jc w:val="left"/>
              <w:rPr>
                <w:rFonts w:ascii="Verdana"/>
                <w:sz w:val="16"/>
              </w:rPr>
            </w:pPr>
            <w:r>
              <w:rPr>
                <w:rFonts w:ascii="Verdana"/>
                <w:w w:val="105"/>
                <w:sz w:val="16"/>
              </w:rPr>
              <w:t>Biochemtex</w:t>
            </w:r>
          </w:p>
        </w:tc>
        <w:tc>
          <w:tcPr>
            <w:tcW w:w="3340" w:type="dxa"/>
          </w:tcPr>
          <w:p>
            <w:pPr>
              <w:pStyle w:val="TableParagraph"/>
              <w:spacing w:before="10"/>
              <w:ind w:left="406"/>
              <w:jc w:val="left"/>
              <w:rPr>
                <w:rFonts w:ascii="Verdana"/>
                <w:sz w:val="16"/>
              </w:rPr>
            </w:pPr>
            <w:r>
              <w:rPr>
                <w:rFonts w:ascii="Verdana"/>
                <w:w w:val="105"/>
                <w:sz w:val="16"/>
              </w:rPr>
              <w:t>Energochemica</w:t>
            </w:r>
          </w:p>
        </w:tc>
        <w:tc>
          <w:tcPr>
            <w:tcW w:w="1674" w:type="dxa"/>
          </w:tcPr>
          <w:p>
            <w:pPr>
              <w:pStyle w:val="TableParagraph"/>
              <w:spacing w:before="10"/>
              <w:ind w:right="46"/>
              <w:rPr>
                <w:rFonts w:ascii="Verdana"/>
                <w:sz w:val="16"/>
              </w:rPr>
            </w:pPr>
            <w:r>
              <w:rPr>
                <w:rFonts w:ascii="Verdana"/>
                <w:w w:val="105"/>
                <w:sz w:val="16"/>
              </w:rPr>
              <w:t>2.100</w:t>
            </w:r>
          </w:p>
        </w:tc>
      </w:tr>
      <w:tr>
        <w:trPr>
          <w:trHeight w:val="210" w:hRule="exact"/>
        </w:trPr>
        <w:tc>
          <w:tcPr>
            <w:tcW w:w="2149" w:type="dxa"/>
          </w:tcPr>
          <w:p>
            <w:pPr>
              <w:pStyle w:val="TableParagraph"/>
              <w:spacing w:before="11"/>
              <w:ind w:left="41"/>
              <w:jc w:val="left"/>
              <w:rPr>
                <w:rFonts w:ascii="Verdana"/>
                <w:sz w:val="16"/>
              </w:rPr>
            </w:pPr>
            <w:r>
              <w:rPr>
                <w:rFonts w:ascii="Verdana"/>
                <w:w w:val="105"/>
                <w:sz w:val="16"/>
              </w:rPr>
              <w:t>Unicredit</w:t>
            </w:r>
          </w:p>
        </w:tc>
        <w:tc>
          <w:tcPr>
            <w:tcW w:w="1912" w:type="dxa"/>
          </w:tcPr>
          <w:p>
            <w:pPr>
              <w:pStyle w:val="TableParagraph"/>
              <w:spacing w:before="11"/>
              <w:ind w:left="414"/>
              <w:jc w:val="left"/>
              <w:rPr>
                <w:rFonts w:ascii="Verdana"/>
                <w:sz w:val="16"/>
              </w:rPr>
            </w:pPr>
            <w:r>
              <w:rPr>
                <w:rFonts w:ascii="Verdana"/>
                <w:w w:val="105"/>
                <w:sz w:val="16"/>
              </w:rPr>
              <w:t>Biochemtex</w:t>
            </w:r>
          </w:p>
        </w:tc>
        <w:tc>
          <w:tcPr>
            <w:tcW w:w="3340" w:type="dxa"/>
          </w:tcPr>
          <w:p>
            <w:pPr>
              <w:pStyle w:val="TableParagraph"/>
              <w:spacing w:before="11"/>
              <w:ind w:left="406"/>
              <w:jc w:val="left"/>
              <w:rPr>
                <w:rFonts w:ascii="Verdana"/>
                <w:sz w:val="16"/>
              </w:rPr>
            </w:pPr>
            <w:r>
              <w:rPr>
                <w:rFonts w:ascii="Verdana"/>
                <w:w w:val="105"/>
                <w:sz w:val="16"/>
              </w:rPr>
              <w:t>Chengold</w:t>
            </w:r>
          </w:p>
        </w:tc>
        <w:tc>
          <w:tcPr>
            <w:tcW w:w="1674" w:type="dxa"/>
          </w:tcPr>
          <w:p>
            <w:pPr>
              <w:pStyle w:val="TableParagraph"/>
              <w:spacing w:before="11"/>
              <w:ind w:right="42"/>
              <w:rPr>
                <w:rFonts w:ascii="Verdana"/>
                <w:sz w:val="16"/>
              </w:rPr>
            </w:pPr>
            <w:r>
              <w:rPr>
                <w:rFonts w:ascii="Verdana"/>
                <w:w w:val="105"/>
                <w:sz w:val="16"/>
              </w:rPr>
              <w:t>772</w:t>
            </w:r>
          </w:p>
        </w:tc>
      </w:tr>
      <w:tr>
        <w:trPr>
          <w:trHeight w:val="210" w:hRule="exact"/>
        </w:trPr>
        <w:tc>
          <w:tcPr>
            <w:tcW w:w="2149" w:type="dxa"/>
          </w:tcPr>
          <w:p>
            <w:pPr>
              <w:pStyle w:val="TableParagraph"/>
              <w:spacing w:before="11"/>
              <w:ind w:left="41"/>
              <w:jc w:val="left"/>
              <w:rPr>
                <w:rFonts w:ascii="Verdana"/>
                <w:sz w:val="16"/>
              </w:rPr>
            </w:pPr>
            <w:r>
              <w:rPr>
                <w:rFonts w:ascii="Verdana"/>
                <w:w w:val="105"/>
                <w:sz w:val="16"/>
              </w:rPr>
              <w:t>Unicredit</w:t>
            </w:r>
          </w:p>
        </w:tc>
        <w:tc>
          <w:tcPr>
            <w:tcW w:w="1912" w:type="dxa"/>
          </w:tcPr>
          <w:p>
            <w:pPr>
              <w:pStyle w:val="TableParagraph"/>
              <w:spacing w:before="11"/>
              <w:ind w:left="414"/>
              <w:jc w:val="left"/>
              <w:rPr>
                <w:rFonts w:ascii="Verdana"/>
                <w:sz w:val="16"/>
              </w:rPr>
            </w:pPr>
            <w:r>
              <w:rPr>
                <w:rFonts w:ascii="Verdana"/>
                <w:w w:val="105"/>
                <w:sz w:val="16"/>
              </w:rPr>
              <w:t>Biochemtex</w:t>
            </w:r>
          </w:p>
        </w:tc>
        <w:tc>
          <w:tcPr>
            <w:tcW w:w="3340" w:type="dxa"/>
          </w:tcPr>
          <w:p>
            <w:pPr>
              <w:pStyle w:val="TableParagraph"/>
              <w:spacing w:before="11"/>
              <w:ind w:left="406"/>
              <w:jc w:val="left"/>
              <w:rPr>
                <w:rFonts w:ascii="Verdana"/>
                <w:sz w:val="16"/>
              </w:rPr>
            </w:pPr>
            <w:r>
              <w:rPr>
                <w:rFonts w:ascii="Verdana"/>
                <w:w w:val="105"/>
                <w:sz w:val="16"/>
              </w:rPr>
              <w:t>Entsorga West Virginia</w:t>
            </w:r>
          </w:p>
        </w:tc>
        <w:tc>
          <w:tcPr>
            <w:tcW w:w="1674" w:type="dxa"/>
          </w:tcPr>
          <w:p>
            <w:pPr>
              <w:pStyle w:val="TableParagraph"/>
              <w:spacing w:before="11"/>
              <w:ind w:right="46"/>
              <w:rPr>
                <w:rFonts w:ascii="Verdana"/>
                <w:sz w:val="16"/>
              </w:rPr>
            </w:pPr>
            <w:r>
              <w:rPr>
                <w:rFonts w:ascii="Verdana"/>
                <w:w w:val="105"/>
                <w:sz w:val="16"/>
              </w:rPr>
              <w:t>3.829</w:t>
            </w:r>
          </w:p>
        </w:tc>
      </w:tr>
      <w:tr>
        <w:trPr>
          <w:trHeight w:val="210" w:hRule="exact"/>
        </w:trPr>
        <w:tc>
          <w:tcPr>
            <w:tcW w:w="2149" w:type="dxa"/>
          </w:tcPr>
          <w:p>
            <w:pPr>
              <w:pStyle w:val="TableParagraph"/>
              <w:spacing w:before="10"/>
              <w:ind w:left="41"/>
              <w:jc w:val="left"/>
              <w:rPr>
                <w:rFonts w:ascii="Verdana"/>
                <w:sz w:val="16"/>
              </w:rPr>
            </w:pPr>
            <w:r>
              <w:rPr>
                <w:rFonts w:ascii="Verdana"/>
                <w:w w:val="105"/>
                <w:sz w:val="16"/>
              </w:rPr>
              <w:t>Unicredit</w:t>
            </w:r>
          </w:p>
        </w:tc>
        <w:tc>
          <w:tcPr>
            <w:tcW w:w="1912" w:type="dxa"/>
          </w:tcPr>
          <w:p>
            <w:pPr>
              <w:pStyle w:val="TableParagraph"/>
              <w:spacing w:before="10"/>
              <w:ind w:left="414"/>
              <w:jc w:val="left"/>
              <w:rPr>
                <w:rFonts w:ascii="Verdana"/>
                <w:sz w:val="16"/>
              </w:rPr>
            </w:pPr>
            <w:r>
              <w:rPr>
                <w:rFonts w:ascii="Verdana"/>
                <w:w w:val="105"/>
                <w:sz w:val="16"/>
              </w:rPr>
              <w:t>Biochemtex</w:t>
            </w:r>
          </w:p>
        </w:tc>
        <w:tc>
          <w:tcPr>
            <w:tcW w:w="3340" w:type="dxa"/>
          </w:tcPr>
          <w:p>
            <w:pPr>
              <w:pStyle w:val="TableParagraph"/>
              <w:spacing w:before="10"/>
              <w:ind w:left="406"/>
              <w:jc w:val="left"/>
              <w:rPr>
                <w:rFonts w:ascii="Verdana"/>
                <w:sz w:val="16"/>
              </w:rPr>
            </w:pPr>
            <w:r>
              <w:rPr>
                <w:rFonts w:ascii="Verdana"/>
                <w:w w:val="105"/>
                <w:sz w:val="16"/>
              </w:rPr>
              <w:t>NFMing</w:t>
            </w:r>
          </w:p>
        </w:tc>
        <w:tc>
          <w:tcPr>
            <w:tcW w:w="1674" w:type="dxa"/>
          </w:tcPr>
          <w:p>
            <w:pPr>
              <w:pStyle w:val="TableParagraph"/>
              <w:spacing w:before="10"/>
              <w:ind w:right="46"/>
              <w:rPr>
                <w:rFonts w:ascii="Verdana"/>
                <w:sz w:val="16"/>
              </w:rPr>
            </w:pPr>
            <w:r>
              <w:rPr>
                <w:rFonts w:ascii="Verdana"/>
                <w:w w:val="105"/>
                <w:sz w:val="16"/>
              </w:rPr>
              <w:t>1.348</w:t>
            </w:r>
          </w:p>
        </w:tc>
      </w:tr>
      <w:tr>
        <w:trPr>
          <w:trHeight w:val="210" w:hRule="exact"/>
        </w:trPr>
        <w:tc>
          <w:tcPr>
            <w:tcW w:w="2149" w:type="dxa"/>
          </w:tcPr>
          <w:p>
            <w:pPr>
              <w:pStyle w:val="TableParagraph"/>
              <w:spacing w:before="11"/>
              <w:ind w:left="41"/>
              <w:jc w:val="left"/>
              <w:rPr>
                <w:rFonts w:ascii="Verdana"/>
                <w:sz w:val="16"/>
              </w:rPr>
            </w:pPr>
            <w:r>
              <w:rPr>
                <w:rFonts w:ascii="Verdana"/>
                <w:w w:val="105"/>
                <w:sz w:val="16"/>
              </w:rPr>
              <w:t>Unicredit</w:t>
            </w:r>
          </w:p>
        </w:tc>
        <w:tc>
          <w:tcPr>
            <w:tcW w:w="1912" w:type="dxa"/>
          </w:tcPr>
          <w:p>
            <w:pPr>
              <w:pStyle w:val="TableParagraph"/>
              <w:spacing w:before="11"/>
              <w:ind w:left="414"/>
              <w:jc w:val="left"/>
              <w:rPr>
                <w:rFonts w:ascii="Verdana"/>
                <w:sz w:val="16"/>
              </w:rPr>
            </w:pPr>
            <w:r>
              <w:rPr>
                <w:rFonts w:ascii="Verdana"/>
                <w:w w:val="105"/>
                <w:sz w:val="16"/>
              </w:rPr>
              <w:t>Biochemtex</w:t>
            </w:r>
          </w:p>
        </w:tc>
        <w:tc>
          <w:tcPr>
            <w:tcW w:w="3340" w:type="dxa"/>
          </w:tcPr>
          <w:p>
            <w:pPr>
              <w:pStyle w:val="TableParagraph"/>
              <w:spacing w:before="11"/>
              <w:ind w:left="406"/>
              <w:jc w:val="left"/>
              <w:rPr>
                <w:rFonts w:ascii="Verdana"/>
                <w:sz w:val="16"/>
              </w:rPr>
            </w:pPr>
            <w:r>
              <w:rPr>
                <w:rFonts w:ascii="Verdana"/>
                <w:w w:val="105"/>
                <w:sz w:val="16"/>
              </w:rPr>
              <w:t>NFMing</w:t>
            </w:r>
          </w:p>
        </w:tc>
        <w:tc>
          <w:tcPr>
            <w:tcW w:w="1674" w:type="dxa"/>
          </w:tcPr>
          <w:p>
            <w:pPr>
              <w:pStyle w:val="TableParagraph"/>
              <w:spacing w:before="11"/>
              <w:ind w:right="46"/>
              <w:rPr>
                <w:rFonts w:ascii="Verdana"/>
                <w:sz w:val="16"/>
              </w:rPr>
            </w:pPr>
            <w:r>
              <w:rPr>
                <w:rFonts w:ascii="Verdana"/>
                <w:w w:val="105"/>
                <w:sz w:val="16"/>
              </w:rPr>
              <w:t>1.348</w:t>
            </w:r>
          </w:p>
        </w:tc>
      </w:tr>
      <w:tr>
        <w:trPr>
          <w:trHeight w:val="210" w:hRule="exact"/>
        </w:trPr>
        <w:tc>
          <w:tcPr>
            <w:tcW w:w="2149" w:type="dxa"/>
          </w:tcPr>
          <w:p>
            <w:pPr>
              <w:pStyle w:val="TableParagraph"/>
              <w:spacing w:before="10"/>
              <w:ind w:left="41"/>
              <w:jc w:val="left"/>
              <w:rPr>
                <w:rFonts w:ascii="Verdana"/>
                <w:sz w:val="16"/>
              </w:rPr>
            </w:pPr>
            <w:r>
              <w:rPr>
                <w:rFonts w:ascii="Verdana"/>
                <w:w w:val="105"/>
                <w:sz w:val="16"/>
              </w:rPr>
              <w:t>Unicredit</w:t>
            </w:r>
          </w:p>
        </w:tc>
        <w:tc>
          <w:tcPr>
            <w:tcW w:w="1912" w:type="dxa"/>
          </w:tcPr>
          <w:p>
            <w:pPr>
              <w:pStyle w:val="TableParagraph"/>
              <w:spacing w:before="10"/>
              <w:ind w:left="414"/>
              <w:jc w:val="left"/>
              <w:rPr>
                <w:rFonts w:ascii="Verdana"/>
                <w:sz w:val="16"/>
              </w:rPr>
            </w:pPr>
            <w:r>
              <w:rPr>
                <w:rFonts w:ascii="Verdana"/>
                <w:w w:val="105"/>
                <w:sz w:val="16"/>
              </w:rPr>
              <w:t>Biochemtex</w:t>
            </w:r>
          </w:p>
        </w:tc>
        <w:tc>
          <w:tcPr>
            <w:tcW w:w="3340" w:type="dxa"/>
          </w:tcPr>
          <w:p>
            <w:pPr>
              <w:pStyle w:val="TableParagraph"/>
              <w:spacing w:before="10"/>
              <w:ind w:left="406"/>
              <w:jc w:val="left"/>
              <w:rPr>
                <w:rFonts w:ascii="Verdana"/>
                <w:sz w:val="16"/>
              </w:rPr>
            </w:pPr>
            <w:r>
              <w:rPr>
                <w:rFonts w:ascii="Verdana"/>
                <w:w w:val="105"/>
                <w:sz w:val="16"/>
              </w:rPr>
              <w:t>NFMing</w:t>
            </w:r>
          </w:p>
        </w:tc>
        <w:tc>
          <w:tcPr>
            <w:tcW w:w="1674" w:type="dxa"/>
          </w:tcPr>
          <w:p>
            <w:pPr>
              <w:pStyle w:val="TableParagraph"/>
              <w:spacing w:before="10"/>
              <w:ind w:right="46"/>
              <w:rPr>
                <w:rFonts w:ascii="Verdana"/>
                <w:sz w:val="16"/>
              </w:rPr>
            </w:pPr>
            <w:r>
              <w:rPr>
                <w:rFonts w:ascii="Verdana"/>
                <w:w w:val="105"/>
                <w:sz w:val="16"/>
              </w:rPr>
              <w:t>1.348</w:t>
            </w:r>
          </w:p>
        </w:tc>
      </w:tr>
      <w:tr>
        <w:trPr>
          <w:trHeight w:val="210" w:hRule="exact"/>
        </w:trPr>
        <w:tc>
          <w:tcPr>
            <w:tcW w:w="2149" w:type="dxa"/>
          </w:tcPr>
          <w:p>
            <w:pPr>
              <w:pStyle w:val="TableParagraph"/>
              <w:spacing w:before="11"/>
              <w:ind w:left="41"/>
              <w:jc w:val="left"/>
              <w:rPr>
                <w:rFonts w:ascii="Verdana"/>
                <w:sz w:val="16"/>
              </w:rPr>
            </w:pPr>
            <w:r>
              <w:rPr>
                <w:rFonts w:ascii="Verdana"/>
                <w:w w:val="105"/>
                <w:sz w:val="16"/>
              </w:rPr>
              <w:t>Unicredit</w:t>
            </w:r>
          </w:p>
        </w:tc>
        <w:tc>
          <w:tcPr>
            <w:tcW w:w="1912" w:type="dxa"/>
          </w:tcPr>
          <w:p>
            <w:pPr>
              <w:pStyle w:val="TableParagraph"/>
              <w:spacing w:before="11"/>
              <w:ind w:left="414"/>
              <w:jc w:val="left"/>
              <w:rPr>
                <w:rFonts w:ascii="Verdana"/>
                <w:sz w:val="16"/>
              </w:rPr>
            </w:pPr>
            <w:r>
              <w:rPr>
                <w:rFonts w:ascii="Verdana"/>
                <w:w w:val="105"/>
                <w:sz w:val="16"/>
              </w:rPr>
              <w:t>Biochemtex</w:t>
            </w:r>
          </w:p>
        </w:tc>
        <w:tc>
          <w:tcPr>
            <w:tcW w:w="3340" w:type="dxa"/>
          </w:tcPr>
          <w:p>
            <w:pPr>
              <w:pStyle w:val="TableParagraph"/>
              <w:spacing w:before="11"/>
              <w:ind w:left="406"/>
              <w:jc w:val="left"/>
              <w:rPr>
                <w:rFonts w:ascii="Verdana"/>
                <w:sz w:val="16"/>
              </w:rPr>
            </w:pPr>
            <w:r>
              <w:rPr>
                <w:rFonts w:ascii="Verdana"/>
                <w:w w:val="105"/>
                <w:sz w:val="16"/>
              </w:rPr>
              <w:t>Saf-Pet</w:t>
            </w:r>
          </w:p>
        </w:tc>
        <w:tc>
          <w:tcPr>
            <w:tcW w:w="1674" w:type="dxa"/>
          </w:tcPr>
          <w:p>
            <w:pPr>
              <w:pStyle w:val="TableParagraph"/>
              <w:spacing w:before="11"/>
              <w:ind w:right="42"/>
              <w:rPr>
                <w:rFonts w:ascii="Verdana"/>
                <w:sz w:val="16"/>
              </w:rPr>
            </w:pPr>
            <w:r>
              <w:rPr>
                <w:rFonts w:ascii="Verdana"/>
                <w:w w:val="105"/>
                <w:sz w:val="16"/>
              </w:rPr>
              <w:t>142</w:t>
            </w:r>
          </w:p>
        </w:tc>
      </w:tr>
      <w:tr>
        <w:trPr>
          <w:trHeight w:val="210" w:hRule="exact"/>
        </w:trPr>
        <w:tc>
          <w:tcPr>
            <w:tcW w:w="2149" w:type="dxa"/>
          </w:tcPr>
          <w:p>
            <w:pPr>
              <w:pStyle w:val="TableParagraph"/>
              <w:spacing w:before="10"/>
              <w:ind w:left="41"/>
              <w:jc w:val="left"/>
              <w:rPr>
                <w:rFonts w:ascii="Verdana"/>
                <w:sz w:val="16"/>
              </w:rPr>
            </w:pPr>
            <w:r>
              <w:rPr>
                <w:rFonts w:ascii="Verdana"/>
                <w:w w:val="105"/>
                <w:sz w:val="16"/>
              </w:rPr>
              <w:t>Unicredit</w:t>
            </w:r>
          </w:p>
        </w:tc>
        <w:tc>
          <w:tcPr>
            <w:tcW w:w="1912" w:type="dxa"/>
          </w:tcPr>
          <w:p>
            <w:pPr>
              <w:pStyle w:val="TableParagraph"/>
              <w:spacing w:before="10"/>
              <w:ind w:left="414"/>
              <w:jc w:val="left"/>
              <w:rPr>
                <w:rFonts w:ascii="Verdana"/>
                <w:sz w:val="16"/>
              </w:rPr>
            </w:pPr>
            <w:r>
              <w:rPr>
                <w:rFonts w:ascii="Verdana"/>
                <w:w w:val="105"/>
                <w:sz w:val="16"/>
              </w:rPr>
              <w:t>Biochemtex</w:t>
            </w:r>
          </w:p>
        </w:tc>
        <w:tc>
          <w:tcPr>
            <w:tcW w:w="3340" w:type="dxa"/>
          </w:tcPr>
          <w:p>
            <w:pPr>
              <w:pStyle w:val="TableParagraph"/>
              <w:spacing w:before="10"/>
              <w:ind w:left="406"/>
              <w:jc w:val="left"/>
              <w:rPr>
                <w:rFonts w:ascii="Verdana"/>
                <w:sz w:val="16"/>
              </w:rPr>
            </w:pPr>
            <w:r>
              <w:rPr>
                <w:rFonts w:ascii="Verdana"/>
                <w:w w:val="105"/>
                <w:sz w:val="16"/>
              </w:rPr>
              <w:t>Saf-Pet</w:t>
            </w:r>
          </w:p>
        </w:tc>
        <w:tc>
          <w:tcPr>
            <w:tcW w:w="1674" w:type="dxa"/>
          </w:tcPr>
          <w:p>
            <w:pPr>
              <w:pStyle w:val="TableParagraph"/>
              <w:spacing w:before="10"/>
              <w:ind w:right="42"/>
              <w:rPr>
                <w:rFonts w:ascii="Verdana"/>
                <w:sz w:val="16"/>
              </w:rPr>
            </w:pPr>
            <w:r>
              <w:rPr>
                <w:rFonts w:ascii="Verdana"/>
                <w:w w:val="105"/>
                <w:sz w:val="16"/>
              </w:rPr>
              <w:t>138</w:t>
            </w:r>
          </w:p>
        </w:tc>
      </w:tr>
      <w:tr>
        <w:trPr>
          <w:trHeight w:val="210" w:hRule="exact"/>
        </w:trPr>
        <w:tc>
          <w:tcPr>
            <w:tcW w:w="2149" w:type="dxa"/>
          </w:tcPr>
          <w:p>
            <w:pPr>
              <w:pStyle w:val="TableParagraph"/>
              <w:spacing w:before="10"/>
              <w:ind w:left="41"/>
              <w:jc w:val="left"/>
              <w:rPr>
                <w:rFonts w:ascii="Verdana"/>
                <w:sz w:val="16"/>
              </w:rPr>
            </w:pPr>
            <w:r>
              <w:rPr>
                <w:rFonts w:ascii="Verdana"/>
                <w:w w:val="105"/>
                <w:sz w:val="16"/>
              </w:rPr>
              <w:t>Unicredit</w:t>
            </w:r>
          </w:p>
        </w:tc>
        <w:tc>
          <w:tcPr>
            <w:tcW w:w="1912" w:type="dxa"/>
          </w:tcPr>
          <w:p>
            <w:pPr>
              <w:pStyle w:val="TableParagraph"/>
              <w:spacing w:before="10"/>
              <w:ind w:left="414"/>
              <w:jc w:val="left"/>
              <w:rPr>
                <w:rFonts w:ascii="Verdana"/>
                <w:sz w:val="16"/>
              </w:rPr>
            </w:pPr>
            <w:r>
              <w:rPr>
                <w:rFonts w:ascii="Verdana"/>
                <w:w w:val="105"/>
                <w:sz w:val="16"/>
              </w:rPr>
              <w:t>Biochemtex</w:t>
            </w:r>
          </w:p>
        </w:tc>
        <w:tc>
          <w:tcPr>
            <w:tcW w:w="3340" w:type="dxa"/>
          </w:tcPr>
          <w:p>
            <w:pPr>
              <w:pStyle w:val="TableParagraph"/>
              <w:spacing w:before="10"/>
              <w:ind w:left="406"/>
              <w:jc w:val="left"/>
              <w:rPr>
                <w:rFonts w:ascii="Verdana"/>
                <w:sz w:val="16"/>
              </w:rPr>
            </w:pPr>
            <w:r>
              <w:rPr>
                <w:rFonts w:ascii="Verdana"/>
                <w:w w:val="105"/>
                <w:sz w:val="16"/>
              </w:rPr>
              <w:t>Saf-Pet PET fase 2</w:t>
            </w:r>
          </w:p>
        </w:tc>
        <w:tc>
          <w:tcPr>
            <w:tcW w:w="1674" w:type="dxa"/>
          </w:tcPr>
          <w:p>
            <w:pPr>
              <w:pStyle w:val="TableParagraph"/>
              <w:spacing w:before="10"/>
              <w:ind w:right="46"/>
              <w:rPr>
                <w:rFonts w:ascii="Verdana"/>
                <w:sz w:val="16"/>
              </w:rPr>
            </w:pPr>
            <w:r>
              <w:rPr>
                <w:rFonts w:ascii="Verdana"/>
                <w:w w:val="105"/>
                <w:sz w:val="16"/>
              </w:rPr>
              <w:t>1.246</w:t>
            </w:r>
          </w:p>
        </w:tc>
      </w:tr>
      <w:tr>
        <w:trPr>
          <w:trHeight w:val="210" w:hRule="exact"/>
        </w:trPr>
        <w:tc>
          <w:tcPr>
            <w:tcW w:w="2149" w:type="dxa"/>
          </w:tcPr>
          <w:p>
            <w:pPr>
              <w:pStyle w:val="TableParagraph"/>
              <w:spacing w:before="10"/>
              <w:ind w:left="41"/>
              <w:jc w:val="left"/>
              <w:rPr>
                <w:rFonts w:ascii="Verdana"/>
                <w:sz w:val="16"/>
              </w:rPr>
            </w:pPr>
            <w:r>
              <w:rPr>
                <w:rFonts w:ascii="Verdana"/>
                <w:w w:val="105"/>
                <w:sz w:val="16"/>
              </w:rPr>
              <w:t>Unicredit</w:t>
            </w:r>
          </w:p>
        </w:tc>
        <w:tc>
          <w:tcPr>
            <w:tcW w:w="1912" w:type="dxa"/>
          </w:tcPr>
          <w:p>
            <w:pPr>
              <w:pStyle w:val="TableParagraph"/>
              <w:spacing w:before="10"/>
              <w:ind w:left="414"/>
              <w:jc w:val="left"/>
              <w:rPr>
                <w:rFonts w:ascii="Verdana"/>
                <w:sz w:val="16"/>
              </w:rPr>
            </w:pPr>
            <w:r>
              <w:rPr>
                <w:rFonts w:ascii="Verdana"/>
                <w:w w:val="105"/>
                <w:sz w:val="16"/>
              </w:rPr>
              <w:t>Biochemtex</w:t>
            </w:r>
          </w:p>
        </w:tc>
        <w:tc>
          <w:tcPr>
            <w:tcW w:w="3340" w:type="dxa"/>
          </w:tcPr>
          <w:p>
            <w:pPr>
              <w:pStyle w:val="TableParagraph"/>
              <w:spacing w:before="10"/>
              <w:ind w:left="406"/>
              <w:jc w:val="left"/>
              <w:rPr>
                <w:rFonts w:ascii="Verdana"/>
                <w:sz w:val="16"/>
              </w:rPr>
            </w:pPr>
            <w:r>
              <w:rPr>
                <w:rFonts w:ascii="Verdana"/>
                <w:w w:val="105"/>
                <w:sz w:val="16"/>
              </w:rPr>
              <w:t>Saf-Pet PET fase 2</w:t>
            </w:r>
          </w:p>
        </w:tc>
        <w:tc>
          <w:tcPr>
            <w:tcW w:w="1674" w:type="dxa"/>
          </w:tcPr>
          <w:p>
            <w:pPr>
              <w:pStyle w:val="TableParagraph"/>
              <w:spacing w:before="10"/>
              <w:ind w:right="46"/>
              <w:rPr>
                <w:rFonts w:ascii="Verdana"/>
                <w:sz w:val="16"/>
              </w:rPr>
            </w:pPr>
            <w:r>
              <w:rPr>
                <w:rFonts w:ascii="Verdana"/>
                <w:w w:val="105"/>
                <w:sz w:val="16"/>
              </w:rPr>
              <w:t>1.246</w:t>
            </w:r>
          </w:p>
        </w:tc>
      </w:tr>
      <w:tr>
        <w:trPr>
          <w:trHeight w:val="210" w:hRule="exact"/>
        </w:trPr>
        <w:tc>
          <w:tcPr>
            <w:tcW w:w="2149" w:type="dxa"/>
          </w:tcPr>
          <w:p>
            <w:pPr>
              <w:pStyle w:val="TableParagraph"/>
              <w:spacing w:before="11"/>
              <w:ind w:left="41"/>
              <w:jc w:val="left"/>
              <w:rPr>
                <w:rFonts w:ascii="Verdana"/>
                <w:sz w:val="16"/>
              </w:rPr>
            </w:pPr>
            <w:r>
              <w:rPr>
                <w:rFonts w:ascii="Verdana"/>
                <w:w w:val="105"/>
                <w:sz w:val="16"/>
              </w:rPr>
              <w:t>Unicredit</w:t>
            </w:r>
          </w:p>
        </w:tc>
        <w:tc>
          <w:tcPr>
            <w:tcW w:w="1912" w:type="dxa"/>
          </w:tcPr>
          <w:p>
            <w:pPr>
              <w:pStyle w:val="TableParagraph"/>
              <w:spacing w:before="11"/>
              <w:ind w:left="414"/>
              <w:jc w:val="left"/>
              <w:rPr>
                <w:rFonts w:ascii="Verdana"/>
                <w:sz w:val="16"/>
              </w:rPr>
            </w:pPr>
            <w:r>
              <w:rPr>
                <w:rFonts w:ascii="Verdana"/>
                <w:w w:val="105"/>
                <w:sz w:val="16"/>
              </w:rPr>
              <w:t>Biochemtex</w:t>
            </w:r>
          </w:p>
        </w:tc>
        <w:tc>
          <w:tcPr>
            <w:tcW w:w="3340" w:type="dxa"/>
          </w:tcPr>
          <w:p>
            <w:pPr>
              <w:pStyle w:val="TableParagraph"/>
              <w:spacing w:before="11"/>
              <w:ind w:left="406"/>
              <w:jc w:val="left"/>
              <w:rPr>
                <w:rFonts w:ascii="Verdana"/>
                <w:sz w:val="16"/>
              </w:rPr>
            </w:pPr>
            <w:r>
              <w:rPr>
                <w:rFonts w:ascii="Verdana"/>
                <w:w w:val="105"/>
                <w:sz w:val="16"/>
              </w:rPr>
              <w:t>Hosaf</w:t>
            </w:r>
          </w:p>
        </w:tc>
        <w:tc>
          <w:tcPr>
            <w:tcW w:w="1674" w:type="dxa"/>
          </w:tcPr>
          <w:p>
            <w:pPr>
              <w:pStyle w:val="TableParagraph"/>
              <w:spacing w:before="11"/>
              <w:ind w:right="42"/>
              <w:rPr>
                <w:rFonts w:ascii="Verdana"/>
                <w:sz w:val="16"/>
              </w:rPr>
            </w:pPr>
            <w:r>
              <w:rPr>
                <w:rFonts w:ascii="Verdana"/>
                <w:w w:val="105"/>
                <w:sz w:val="16"/>
              </w:rPr>
              <w:t>969</w:t>
            </w:r>
          </w:p>
        </w:tc>
      </w:tr>
      <w:tr>
        <w:trPr>
          <w:trHeight w:val="245" w:hRule="exact"/>
        </w:trPr>
        <w:tc>
          <w:tcPr>
            <w:tcW w:w="2149" w:type="dxa"/>
          </w:tcPr>
          <w:p>
            <w:pPr>
              <w:pStyle w:val="TableParagraph"/>
              <w:spacing w:before="11"/>
              <w:ind w:left="41"/>
              <w:jc w:val="left"/>
              <w:rPr>
                <w:rFonts w:ascii="Verdana"/>
                <w:sz w:val="16"/>
              </w:rPr>
            </w:pPr>
            <w:r>
              <w:rPr>
                <w:rFonts w:ascii="Verdana"/>
                <w:w w:val="105"/>
                <w:sz w:val="16"/>
              </w:rPr>
              <w:t>BPM</w:t>
            </w:r>
          </w:p>
        </w:tc>
        <w:tc>
          <w:tcPr>
            <w:tcW w:w="1912" w:type="dxa"/>
          </w:tcPr>
          <w:p>
            <w:pPr>
              <w:pStyle w:val="TableParagraph"/>
              <w:spacing w:before="11"/>
              <w:ind w:left="414"/>
              <w:jc w:val="left"/>
              <w:rPr>
                <w:rFonts w:ascii="Verdana"/>
                <w:sz w:val="16"/>
              </w:rPr>
            </w:pPr>
            <w:r>
              <w:rPr>
                <w:rFonts w:ascii="Verdana"/>
                <w:w w:val="105"/>
                <w:sz w:val="16"/>
              </w:rPr>
              <w:t>Biochemtex</w:t>
            </w:r>
          </w:p>
        </w:tc>
        <w:tc>
          <w:tcPr>
            <w:tcW w:w="3340" w:type="dxa"/>
          </w:tcPr>
          <w:p>
            <w:pPr>
              <w:pStyle w:val="TableParagraph"/>
              <w:spacing w:before="11"/>
              <w:ind w:left="406"/>
              <w:jc w:val="left"/>
              <w:rPr>
                <w:rFonts w:ascii="Verdana"/>
                <w:sz w:val="16"/>
              </w:rPr>
            </w:pPr>
            <w:r>
              <w:rPr>
                <w:rFonts w:ascii="Verdana"/>
                <w:w w:val="105"/>
                <w:sz w:val="16"/>
              </w:rPr>
              <w:t>BEI</w:t>
            </w:r>
          </w:p>
        </w:tc>
        <w:tc>
          <w:tcPr>
            <w:tcW w:w="1674" w:type="dxa"/>
          </w:tcPr>
          <w:p>
            <w:pPr>
              <w:pStyle w:val="TableParagraph"/>
              <w:spacing w:before="11"/>
              <w:ind w:right="47"/>
              <w:rPr>
                <w:rFonts w:ascii="Verdana"/>
                <w:sz w:val="16"/>
              </w:rPr>
            </w:pPr>
            <w:r>
              <w:rPr>
                <w:rFonts w:ascii="Verdana"/>
                <w:w w:val="105"/>
                <w:sz w:val="16"/>
              </w:rPr>
              <w:t>12.216</w:t>
            </w:r>
          </w:p>
        </w:tc>
      </w:tr>
      <w:tr>
        <w:trPr>
          <w:trHeight w:val="273" w:hRule="exact"/>
        </w:trPr>
        <w:tc>
          <w:tcPr>
            <w:tcW w:w="2149" w:type="dxa"/>
          </w:tcPr>
          <w:p>
            <w:pPr>
              <w:pStyle w:val="TableParagraph"/>
              <w:spacing w:before="45"/>
              <w:ind w:left="41"/>
              <w:jc w:val="left"/>
              <w:rPr>
                <w:rFonts w:ascii="Verdana"/>
                <w:sz w:val="16"/>
              </w:rPr>
            </w:pPr>
            <w:r>
              <w:rPr>
                <w:rFonts w:ascii="Verdana"/>
                <w:w w:val="105"/>
                <w:sz w:val="16"/>
              </w:rPr>
              <w:t>Intesa</w:t>
            </w:r>
          </w:p>
        </w:tc>
        <w:tc>
          <w:tcPr>
            <w:tcW w:w="1912" w:type="dxa"/>
          </w:tcPr>
          <w:p>
            <w:pPr>
              <w:pStyle w:val="TableParagraph"/>
              <w:spacing w:before="45"/>
              <w:ind w:left="414"/>
              <w:jc w:val="left"/>
              <w:rPr>
                <w:rFonts w:ascii="Verdana"/>
                <w:sz w:val="16"/>
              </w:rPr>
            </w:pPr>
            <w:r>
              <w:rPr>
                <w:rFonts w:ascii="Verdana"/>
                <w:w w:val="105"/>
                <w:sz w:val="16"/>
              </w:rPr>
              <w:t>Biochemtex</w:t>
            </w:r>
          </w:p>
        </w:tc>
        <w:tc>
          <w:tcPr>
            <w:tcW w:w="3340" w:type="dxa"/>
          </w:tcPr>
          <w:p>
            <w:pPr>
              <w:pStyle w:val="TableParagraph"/>
              <w:spacing w:before="45"/>
              <w:ind w:left="406"/>
              <w:jc w:val="left"/>
              <w:rPr>
                <w:rFonts w:ascii="Verdana"/>
                <w:sz w:val="16"/>
              </w:rPr>
            </w:pPr>
            <w:r>
              <w:rPr>
                <w:rFonts w:ascii="Verdana"/>
                <w:w w:val="105"/>
                <w:sz w:val="16"/>
              </w:rPr>
              <w:t>BEI</w:t>
            </w:r>
          </w:p>
        </w:tc>
        <w:tc>
          <w:tcPr>
            <w:tcW w:w="1674" w:type="dxa"/>
          </w:tcPr>
          <w:p>
            <w:pPr>
              <w:pStyle w:val="TableParagraph"/>
              <w:spacing w:before="45"/>
              <w:ind w:right="47"/>
              <w:rPr>
                <w:rFonts w:ascii="Verdana"/>
                <w:sz w:val="16"/>
              </w:rPr>
            </w:pPr>
            <w:r>
              <w:rPr>
                <w:rFonts w:ascii="Verdana"/>
                <w:w w:val="105"/>
                <w:sz w:val="16"/>
              </w:rPr>
              <w:t>19.545</w:t>
            </w:r>
          </w:p>
        </w:tc>
      </w:tr>
      <w:tr>
        <w:trPr>
          <w:trHeight w:val="238" w:hRule="exact"/>
        </w:trPr>
        <w:tc>
          <w:tcPr>
            <w:tcW w:w="2149" w:type="dxa"/>
          </w:tcPr>
          <w:p>
            <w:pPr>
              <w:pStyle w:val="TableParagraph"/>
              <w:spacing w:before="38"/>
              <w:ind w:left="41"/>
              <w:jc w:val="left"/>
              <w:rPr>
                <w:rFonts w:ascii="Verdana"/>
                <w:sz w:val="16"/>
              </w:rPr>
            </w:pPr>
            <w:r>
              <w:rPr>
                <w:rFonts w:ascii="Verdana"/>
                <w:w w:val="105"/>
                <w:sz w:val="16"/>
              </w:rPr>
              <w:t>SACE</w:t>
            </w:r>
          </w:p>
        </w:tc>
        <w:tc>
          <w:tcPr>
            <w:tcW w:w="1912" w:type="dxa"/>
          </w:tcPr>
          <w:p>
            <w:pPr>
              <w:pStyle w:val="TableParagraph"/>
              <w:spacing w:before="38"/>
              <w:ind w:left="414"/>
              <w:jc w:val="left"/>
              <w:rPr>
                <w:rFonts w:ascii="Verdana"/>
                <w:sz w:val="16"/>
              </w:rPr>
            </w:pPr>
            <w:r>
              <w:rPr>
                <w:rFonts w:ascii="Verdana"/>
                <w:w w:val="105"/>
                <w:sz w:val="16"/>
              </w:rPr>
              <w:t>Biochemtex</w:t>
            </w:r>
          </w:p>
        </w:tc>
        <w:tc>
          <w:tcPr>
            <w:tcW w:w="3340" w:type="dxa"/>
          </w:tcPr>
          <w:p>
            <w:pPr>
              <w:pStyle w:val="TableParagraph"/>
              <w:spacing w:before="38"/>
              <w:ind w:left="406"/>
              <w:jc w:val="left"/>
              <w:rPr>
                <w:rFonts w:ascii="Verdana"/>
                <w:sz w:val="16"/>
              </w:rPr>
            </w:pPr>
            <w:r>
              <w:rPr>
                <w:rFonts w:ascii="Verdana"/>
                <w:w w:val="105"/>
                <w:sz w:val="16"/>
              </w:rPr>
              <w:t>BEI</w:t>
            </w:r>
          </w:p>
        </w:tc>
        <w:tc>
          <w:tcPr>
            <w:tcW w:w="1674" w:type="dxa"/>
          </w:tcPr>
          <w:p>
            <w:pPr>
              <w:pStyle w:val="TableParagraph"/>
              <w:spacing w:before="38"/>
              <w:ind w:right="47"/>
              <w:rPr>
                <w:rFonts w:ascii="Verdana"/>
                <w:sz w:val="16"/>
              </w:rPr>
            </w:pPr>
            <w:r>
              <w:rPr>
                <w:rFonts w:ascii="Verdana"/>
                <w:w w:val="105"/>
                <w:sz w:val="16"/>
              </w:rPr>
              <w:t>19.789</w:t>
            </w:r>
          </w:p>
        </w:tc>
      </w:tr>
      <w:tr>
        <w:trPr>
          <w:trHeight w:val="210" w:hRule="exact"/>
        </w:trPr>
        <w:tc>
          <w:tcPr>
            <w:tcW w:w="2149" w:type="dxa"/>
          </w:tcPr>
          <w:p>
            <w:pPr>
              <w:pStyle w:val="TableParagraph"/>
              <w:spacing w:before="10"/>
              <w:ind w:left="41"/>
              <w:jc w:val="left"/>
              <w:rPr>
                <w:rFonts w:ascii="Verdana"/>
                <w:sz w:val="16"/>
              </w:rPr>
            </w:pPr>
            <w:r>
              <w:rPr>
                <w:rFonts w:ascii="Verdana"/>
                <w:w w:val="105"/>
                <w:sz w:val="16"/>
              </w:rPr>
              <w:t>BNL</w:t>
            </w:r>
          </w:p>
        </w:tc>
        <w:tc>
          <w:tcPr>
            <w:tcW w:w="1912" w:type="dxa"/>
          </w:tcPr>
          <w:p>
            <w:pPr>
              <w:pStyle w:val="TableParagraph"/>
              <w:spacing w:before="10"/>
              <w:ind w:left="414"/>
              <w:jc w:val="left"/>
              <w:rPr>
                <w:rFonts w:ascii="Verdana"/>
                <w:sz w:val="16"/>
              </w:rPr>
            </w:pPr>
            <w:r>
              <w:rPr>
                <w:rFonts w:ascii="Verdana"/>
                <w:w w:val="105"/>
                <w:sz w:val="16"/>
              </w:rPr>
              <w:t>Biochemtex</w:t>
            </w:r>
          </w:p>
        </w:tc>
        <w:tc>
          <w:tcPr>
            <w:tcW w:w="3340" w:type="dxa"/>
          </w:tcPr>
          <w:p>
            <w:pPr>
              <w:pStyle w:val="TableParagraph"/>
              <w:spacing w:before="10"/>
              <w:ind w:left="406"/>
              <w:jc w:val="left"/>
              <w:rPr>
                <w:rFonts w:ascii="Verdana"/>
                <w:sz w:val="16"/>
              </w:rPr>
            </w:pPr>
            <w:r>
              <w:rPr>
                <w:rFonts w:ascii="Verdana"/>
                <w:w w:val="105"/>
                <w:sz w:val="16"/>
              </w:rPr>
              <w:t>BEI</w:t>
            </w:r>
          </w:p>
        </w:tc>
        <w:tc>
          <w:tcPr>
            <w:tcW w:w="1674" w:type="dxa"/>
          </w:tcPr>
          <w:p>
            <w:pPr>
              <w:pStyle w:val="TableParagraph"/>
              <w:spacing w:before="10"/>
              <w:ind w:right="46"/>
              <w:rPr>
                <w:rFonts w:ascii="Verdana"/>
                <w:sz w:val="16"/>
              </w:rPr>
            </w:pPr>
            <w:r>
              <w:rPr>
                <w:rFonts w:ascii="Verdana"/>
                <w:w w:val="105"/>
                <w:sz w:val="16"/>
              </w:rPr>
              <w:t>8.796</w:t>
            </w:r>
          </w:p>
        </w:tc>
      </w:tr>
      <w:tr>
        <w:trPr>
          <w:trHeight w:val="210" w:hRule="exact"/>
        </w:trPr>
        <w:tc>
          <w:tcPr>
            <w:tcW w:w="2149" w:type="dxa"/>
          </w:tcPr>
          <w:p>
            <w:pPr>
              <w:pStyle w:val="TableParagraph"/>
              <w:spacing w:before="11"/>
              <w:ind w:left="41"/>
              <w:jc w:val="left"/>
              <w:rPr>
                <w:rFonts w:ascii="Verdana"/>
                <w:sz w:val="16"/>
              </w:rPr>
            </w:pPr>
            <w:r>
              <w:rPr>
                <w:rFonts w:ascii="Verdana"/>
                <w:w w:val="105"/>
                <w:sz w:val="16"/>
              </w:rPr>
              <w:t>Credito Valtellinese</w:t>
            </w:r>
          </w:p>
        </w:tc>
        <w:tc>
          <w:tcPr>
            <w:tcW w:w="1912" w:type="dxa"/>
          </w:tcPr>
          <w:p>
            <w:pPr>
              <w:pStyle w:val="TableParagraph"/>
              <w:spacing w:before="11"/>
              <w:ind w:left="414"/>
              <w:jc w:val="left"/>
              <w:rPr>
                <w:rFonts w:ascii="Verdana"/>
                <w:sz w:val="16"/>
              </w:rPr>
            </w:pPr>
            <w:r>
              <w:rPr>
                <w:rFonts w:ascii="Verdana"/>
                <w:w w:val="105"/>
                <w:sz w:val="16"/>
              </w:rPr>
              <w:t>Biochemtex</w:t>
            </w:r>
          </w:p>
        </w:tc>
        <w:tc>
          <w:tcPr>
            <w:tcW w:w="3340" w:type="dxa"/>
          </w:tcPr>
          <w:p>
            <w:pPr>
              <w:pStyle w:val="TableParagraph"/>
              <w:spacing w:before="11"/>
              <w:ind w:left="406"/>
              <w:jc w:val="left"/>
              <w:rPr>
                <w:rFonts w:ascii="Verdana"/>
                <w:sz w:val="16"/>
              </w:rPr>
            </w:pPr>
            <w:r>
              <w:rPr>
                <w:rFonts w:ascii="Verdana"/>
                <w:w w:val="105"/>
                <w:sz w:val="16"/>
              </w:rPr>
              <w:t>Hepta</w:t>
            </w:r>
          </w:p>
        </w:tc>
        <w:tc>
          <w:tcPr>
            <w:tcW w:w="1674" w:type="dxa"/>
          </w:tcPr>
          <w:p>
            <w:pPr>
              <w:pStyle w:val="TableParagraph"/>
              <w:spacing w:before="11"/>
              <w:ind w:right="42"/>
              <w:rPr>
                <w:rFonts w:ascii="Verdana"/>
                <w:sz w:val="16"/>
              </w:rPr>
            </w:pPr>
            <w:r>
              <w:rPr>
                <w:rFonts w:ascii="Verdana"/>
                <w:w w:val="105"/>
                <w:sz w:val="16"/>
              </w:rPr>
              <w:t>416</w:t>
            </w:r>
          </w:p>
        </w:tc>
      </w:tr>
      <w:tr>
        <w:trPr>
          <w:trHeight w:val="206" w:hRule="exact"/>
        </w:trPr>
        <w:tc>
          <w:tcPr>
            <w:tcW w:w="2149" w:type="dxa"/>
            <w:tcBorders>
              <w:bottom w:val="single" w:sz="6" w:space="0" w:color="000000"/>
            </w:tcBorders>
          </w:tcPr>
          <w:p>
            <w:pPr>
              <w:pStyle w:val="TableParagraph"/>
              <w:spacing w:before="10"/>
              <w:ind w:left="41"/>
              <w:jc w:val="left"/>
              <w:rPr>
                <w:rFonts w:ascii="Verdana"/>
                <w:sz w:val="16"/>
              </w:rPr>
            </w:pPr>
            <w:r>
              <w:rPr>
                <w:rFonts w:ascii="Verdana"/>
                <w:w w:val="105"/>
                <w:sz w:val="16"/>
              </w:rPr>
              <w:t>Credito Valtellinese</w:t>
            </w:r>
          </w:p>
        </w:tc>
        <w:tc>
          <w:tcPr>
            <w:tcW w:w="1912" w:type="dxa"/>
            <w:tcBorders>
              <w:bottom w:val="single" w:sz="6" w:space="0" w:color="000000"/>
            </w:tcBorders>
          </w:tcPr>
          <w:p>
            <w:pPr>
              <w:pStyle w:val="TableParagraph"/>
              <w:spacing w:before="10"/>
              <w:ind w:left="414"/>
              <w:jc w:val="left"/>
              <w:rPr>
                <w:rFonts w:ascii="Verdana"/>
                <w:sz w:val="16"/>
              </w:rPr>
            </w:pPr>
            <w:r>
              <w:rPr>
                <w:rFonts w:ascii="Verdana"/>
                <w:w w:val="105"/>
                <w:sz w:val="16"/>
              </w:rPr>
              <w:t>Biochemtex</w:t>
            </w:r>
          </w:p>
        </w:tc>
        <w:tc>
          <w:tcPr>
            <w:tcW w:w="3340" w:type="dxa"/>
            <w:tcBorders>
              <w:bottom w:val="single" w:sz="6" w:space="0" w:color="000000"/>
            </w:tcBorders>
          </w:tcPr>
          <w:p>
            <w:pPr>
              <w:pStyle w:val="TableParagraph"/>
              <w:spacing w:before="10"/>
              <w:ind w:left="406"/>
              <w:jc w:val="left"/>
              <w:rPr>
                <w:rFonts w:ascii="Verdana"/>
                <w:sz w:val="16"/>
              </w:rPr>
            </w:pPr>
            <w:r>
              <w:rPr>
                <w:rFonts w:ascii="Verdana"/>
                <w:w w:val="105"/>
                <w:sz w:val="16"/>
              </w:rPr>
              <w:t>Hepta</w:t>
            </w:r>
          </w:p>
        </w:tc>
        <w:tc>
          <w:tcPr>
            <w:tcW w:w="1674" w:type="dxa"/>
            <w:tcBorders>
              <w:bottom w:val="single" w:sz="6" w:space="0" w:color="000000"/>
            </w:tcBorders>
          </w:tcPr>
          <w:p>
            <w:pPr>
              <w:pStyle w:val="TableParagraph"/>
              <w:spacing w:before="10"/>
              <w:ind w:right="42"/>
              <w:rPr>
                <w:rFonts w:ascii="Verdana"/>
                <w:sz w:val="16"/>
              </w:rPr>
            </w:pPr>
            <w:r>
              <w:rPr>
                <w:rFonts w:ascii="Verdana"/>
                <w:w w:val="105"/>
                <w:sz w:val="16"/>
              </w:rPr>
              <w:t>315</w:t>
            </w:r>
          </w:p>
        </w:tc>
      </w:tr>
    </w:tbl>
    <w:p>
      <w:pPr>
        <w:pStyle w:val="BodyText"/>
        <w:spacing w:before="5"/>
        <w:rPr>
          <w:sz w:val="23"/>
        </w:rPr>
      </w:pPr>
    </w:p>
    <w:p>
      <w:pPr>
        <w:pStyle w:val="BodyText"/>
        <w:spacing w:line="480" w:lineRule="auto" w:before="1"/>
        <w:ind w:left="1418" w:right="1411"/>
        <w:jc w:val="both"/>
      </w:pPr>
      <w:r>
        <w:rPr>
          <w:u w:val="single"/>
        </w:rPr>
        <w:t>Si rileva che gli Istituti Bancari hanno rilasciato garanzie a favore di Biochemtex per circa 76,364 </w:t>
      </w:r>
      <w:r>
        <w:rPr/>
        <w:t>milioni di Euro, di cui a favore di clienti/fornitori in virtù di rapporti commerciali per Euro 16,017 milioni, mentre a favore del finanziamento BEI per Euro 60,347 milioni. Si segnala che le garanzie escusse o con probabile rischio di escussione sono state stanziate come debito concordatario  debiti verso  Istituti  di  credito oppure  nei  fondi rischi  concordatari, paragrafi ai</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quali si rimanda per le trattazioni specifiche. Gli scriventi hanno preso visione della Centrale Rischi per conferma degli importi garantiti dai vari istituti di credito non riscontrando  discordanze con i “</w:t>
      </w:r>
      <w:r>
        <w:rPr>
          <w:i/>
        </w:rPr>
        <w:t>deliverables</w:t>
      </w:r>
      <w:r>
        <w:rPr/>
        <w:t>” di</w:t>
      </w:r>
      <w:r>
        <w:rPr>
          <w:spacing w:val="-5"/>
        </w:rPr>
        <w:t> </w:t>
      </w:r>
      <w:r>
        <w:rPr/>
        <w:t>Deloitte;</w:t>
      </w:r>
    </w:p>
    <w:p>
      <w:pPr>
        <w:pStyle w:val="BodyText"/>
        <w:ind w:left="1418"/>
        <w:jc w:val="both"/>
      </w:pPr>
      <w:r>
        <w:rPr>
          <w:u w:val="single"/>
        </w:rPr>
        <w:t>Si rileva che i terzi sotto elencati hanno rilasciato garanzie a favore di Biochemtex per circa </w:t>
      </w:r>
      <w:r>
        <w:rPr>
          <w:spacing w:val="51"/>
          <w:u w:val="single"/>
        </w:rPr>
        <w:t> </w:t>
      </w:r>
      <w:r>
        <w:rPr>
          <w:u w:val="single"/>
        </w:rPr>
        <w:t>305k</w:t>
      </w:r>
    </w:p>
    <w:p>
      <w:pPr>
        <w:pStyle w:val="BodyText"/>
      </w:pPr>
    </w:p>
    <w:tbl>
      <w:tblPr>
        <w:tblW w:w="0" w:type="auto"/>
        <w:jc w:val="left"/>
        <w:tblInd w:w="1396"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295"/>
        <w:gridCol w:w="4081"/>
        <w:gridCol w:w="1714"/>
      </w:tblGrid>
      <w:tr>
        <w:trPr>
          <w:trHeight w:val="547" w:hRule="exact"/>
        </w:trPr>
        <w:tc>
          <w:tcPr>
            <w:tcW w:w="3295" w:type="dxa"/>
            <w:tcBorders>
              <w:bottom w:val="single" w:sz="5" w:space="0" w:color="000000"/>
            </w:tcBorders>
          </w:tcPr>
          <w:p>
            <w:pPr>
              <w:pStyle w:val="TableParagraph"/>
              <w:spacing w:before="0"/>
              <w:ind w:left="21"/>
              <w:jc w:val="left"/>
              <w:rPr>
                <w:sz w:val="24"/>
              </w:rPr>
            </w:pPr>
            <w:r>
              <w:rPr>
                <w:sz w:val="24"/>
                <w:u w:val="single"/>
              </w:rPr>
              <w:t>Euro, sotto elencati:</w:t>
            </w:r>
          </w:p>
        </w:tc>
        <w:tc>
          <w:tcPr>
            <w:tcW w:w="5795" w:type="dxa"/>
            <w:gridSpan w:val="2"/>
            <w:tcBorders>
              <w:bottom w:val="single" w:sz="5" w:space="0" w:color="000000"/>
            </w:tcBorders>
          </w:tcPr>
          <w:p>
            <w:pPr/>
          </w:p>
        </w:tc>
      </w:tr>
      <w:tr>
        <w:trPr>
          <w:trHeight w:val="201" w:hRule="exact"/>
        </w:trPr>
        <w:tc>
          <w:tcPr>
            <w:tcW w:w="3295" w:type="dxa"/>
            <w:tcBorders>
              <w:top w:val="single" w:sz="5" w:space="0" w:color="000000"/>
              <w:bottom w:val="single" w:sz="5" w:space="0" w:color="000000"/>
            </w:tcBorders>
          </w:tcPr>
          <w:p>
            <w:pPr>
              <w:pStyle w:val="TableParagraph"/>
              <w:spacing w:line="194" w:lineRule="exact" w:before="0"/>
              <w:ind w:left="80"/>
              <w:jc w:val="left"/>
              <w:rPr>
                <w:rFonts w:ascii="Verdana"/>
                <w:b/>
                <w:sz w:val="16"/>
              </w:rPr>
            </w:pPr>
            <w:r>
              <w:rPr>
                <w:rFonts w:ascii="Verdana"/>
                <w:b/>
                <w:sz w:val="16"/>
              </w:rPr>
              <w:t>Terzi (Fornitori)</w:t>
            </w:r>
          </w:p>
        </w:tc>
        <w:tc>
          <w:tcPr>
            <w:tcW w:w="4081" w:type="dxa"/>
            <w:tcBorders>
              <w:top w:val="single" w:sz="5" w:space="0" w:color="000000"/>
              <w:bottom w:val="single" w:sz="5" w:space="0" w:color="000000"/>
            </w:tcBorders>
          </w:tcPr>
          <w:p>
            <w:pPr>
              <w:pStyle w:val="TableParagraph"/>
              <w:spacing w:line="194" w:lineRule="exact" w:before="0"/>
              <w:ind w:left="1410"/>
              <w:jc w:val="left"/>
              <w:rPr>
                <w:rFonts w:ascii="Verdana"/>
                <w:b/>
                <w:sz w:val="16"/>
              </w:rPr>
            </w:pPr>
            <w:r>
              <w:rPr>
                <w:rFonts w:ascii="Verdana"/>
                <w:b/>
                <w:sz w:val="16"/>
              </w:rPr>
              <w:t>Biochemtex (g)</w:t>
            </w:r>
          </w:p>
        </w:tc>
        <w:tc>
          <w:tcPr>
            <w:tcW w:w="1714" w:type="dxa"/>
            <w:tcBorders>
              <w:top w:val="single" w:sz="5" w:space="0" w:color="000000"/>
              <w:bottom w:val="single" w:sz="5" w:space="0" w:color="000000"/>
            </w:tcBorders>
          </w:tcPr>
          <w:p>
            <w:pPr>
              <w:pStyle w:val="TableParagraph"/>
              <w:spacing w:line="194" w:lineRule="exact" w:before="0"/>
              <w:ind w:right="51"/>
              <w:rPr>
                <w:rFonts w:ascii="Verdana"/>
                <w:b/>
                <w:sz w:val="16"/>
              </w:rPr>
            </w:pPr>
            <w:r>
              <w:rPr>
                <w:rFonts w:ascii="Verdana"/>
                <w:b/>
                <w:sz w:val="16"/>
              </w:rPr>
              <w:t>305</w:t>
            </w:r>
          </w:p>
        </w:tc>
      </w:tr>
      <w:tr>
        <w:trPr>
          <w:trHeight w:val="203" w:hRule="exact"/>
        </w:trPr>
        <w:tc>
          <w:tcPr>
            <w:tcW w:w="3295" w:type="dxa"/>
            <w:tcBorders>
              <w:top w:val="single" w:sz="5" w:space="0" w:color="000000"/>
            </w:tcBorders>
          </w:tcPr>
          <w:p>
            <w:pPr>
              <w:pStyle w:val="TableParagraph"/>
              <w:spacing w:line="194" w:lineRule="exact" w:before="0"/>
              <w:ind w:left="67"/>
              <w:jc w:val="left"/>
              <w:rPr>
                <w:rFonts w:ascii="Verdana"/>
                <w:sz w:val="16"/>
              </w:rPr>
            </w:pPr>
            <w:r>
              <w:rPr>
                <w:rFonts w:ascii="Verdana"/>
                <w:sz w:val="16"/>
              </w:rPr>
              <w:t>Motridal</w:t>
            </w:r>
          </w:p>
        </w:tc>
        <w:tc>
          <w:tcPr>
            <w:tcW w:w="4081" w:type="dxa"/>
            <w:tcBorders>
              <w:top w:val="single" w:sz="5" w:space="0" w:color="000000"/>
            </w:tcBorders>
          </w:tcPr>
          <w:p>
            <w:pPr>
              <w:pStyle w:val="TableParagraph"/>
              <w:spacing w:line="194" w:lineRule="exact" w:before="0"/>
              <w:ind w:left="1397"/>
              <w:jc w:val="left"/>
              <w:rPr>
                <w:rFonts w:ascii="Verdana"/>
                <w:sz w:val="16"/>
              </w:rPr>
            </w:pPr>
            <w:r>
              <w:rPr>
                <w:rFonts w:ascii="Verdana"/>
                <w:sz w:val="16"/>
              </w:rPr>
              <w:t>Biochemtex</w:t>
            </w:r>
          </w:p>
        </w:tc>
        <w:tc>
          <w:tcPr>
            <w:tcW w:w="1714" w:type="dxa"/>
            <w:tcBorders>
              <w:top w:val="single" w:sz="5" w:space="0" w:color="000000"/>
            </w:tcBorders>
          </w:tcPr>
          <w:p>
            <w:pPr>
              <w:pStyle w:val="TableParagraph"/>
              <w:spacing w:line="194" w:lineRule="exact" w:before="0"/>
              <w:ind w:right="38"/>
              <w:rPr>
                <w:rFonts w:ascii="Verdana"/>
                <w:sz w:val="16"/>
              </w:rPr>
            </w:pPr>
            <w:r>
              <w:rPr>
                <w:rFonts w:ascii="Verdana"/>
                <w:sz w:val="16"/>
              </w:rPr>
              <w:t>26</w:t>
            </w:r>
          </w:p>
        </w:tc>
      </w:tr>
      <w:tr>
        <w:trPr>
          <w:trHeight w:val="201" w:hRule="exact"/>
        </w:trPr>
        <w:tc>
          <w:tcPr>
            <w:tcW w:w="3295" w:type="dxa"/>
          </w:tcPr>
          <w:p>
            <w:pPr>
              <w:pStyle w:val="TableParagraph"/>
              <w:spacing w:before="3"/>
              <w:ind w:left="67"/>
              <w:jc w:val="left"/>
              <w:rPr>
                <w:rFonts w:ascii="Verdana"/>
                <w:sz w:val="16"/>
              </w:rPr>
            </w:pPr>
            <w:r>
              <w:rPr>
                <w:rFonts w:ascii="Verdana"/>
                <w:sz w:val="16"/>
              </w:rPr>
              <w:t>Baretti</w:t>
            </w:r>
          </w:p>
        </w:tc>
        <w:tc>
          <w:tcPr>
            <w:tcW w:w="4081" w:type="dxa"/>
          </w:tcPr>
          <w:p>
            <w:pPr>
              <w:pStyle w:val="TableParagraph"/>
              <w:spacing w:before="3"/>
              <w:ind w:left="1397"/>
              <w:jc w:val="left"/>
              <w:rPr>
                <w:rFonts w:ascii="Verdana"/>
                <w:sz w:val="16"/>
              </w:rPr>
            </w:pPr>
            <w:r>
              <w:rPr>
                <w:rFonts w:ascii="Verdana"/>
                <w:sz w:val="16"/>
              </w:rPr>
              <w:t>Biochemtex</w:t>
            </w:r>
          </w:p>
        </w:tc>
        <w:tc>
          <w:tcPr>
            <w:tcW w:w="1714" w:type="dxa"/>
          </w:tcPr>
          <w:p>
            <w:pPr>
              <w:pStyle w:val="TableParagraph"/>
              <w:spacing w:before="3"/>
              <w:ind w:right="41"/>
              <w:rPr>
                <w:rFonts w:ascii="Verdana"/>
                <w:sz w:val="16"/>
              </w:rPr>
            </w:pPr>
            <w:r>
              <w:rPr>
                <w:rFonts w:ascii="Verdana"/>
                <w:w w:val="101"/>
                <w:sz w:val="16"/>
              </w:rPr>
              <w:t>9</w:t>
            </w:r>
          </w:p>
        </w:tc>
      </w:tr>
      <w:tr>
        <w:trPr>
          <w:trHeight w:val="201" w:hRule="exact"/>
        </w:trPr>
        <w:tc>
          <w:tcPr>
            <w:tcW w:w="3295" w:type="dxa"/>
          </w:tcPr>
          <w:p>
            <w:pPr>
              <w:pStyle w:val="TableParagraph"/>
              <w:spacing w:before="3"/>
              <w:ind w:left="67"/>
              <w:jc w:val="left"/>
              <w:rPr>
                <w:rFonts w:ascii="Verdana"/>
                <w:sz w:val="16"/>
              </w:rPr>
            </w:pPr>
            <w:r>
              <w:rPr>
                <w:rFonts w:ascii="Verdana"/>
                <w:sz w:val="16"/>
              </w:rPr>
              <w:t>Axflow</w:t>
            </w:r>
          </w:p>
        </w:tc>
        <w:tc>
          <w:tcPr>
            <w:tcW w:w="4081" w:type="dxa"/>
          </w:tcPr>
          <w:p>
            <w:pPr>
              <w:pStyle w:val="TableParagraph"/>
              <w:spacing w:before="3"/>
              <w:ind w:left="1397"/>
              <w:jc w:val="left"/>
              <w:rPr>
                <w:rFonts w:ascii="Verdana"/>
                <w:sz w:val="16"/>
              </w:rPr>
            </w:pPr>
            <w:r>
              <w:rPr>
                <w:rFonts w:ascii="Verdana"/>
                <w:sz w:val="16"/>
              </w:rPr>
              <w:t>Biochemtex</w:t>
            </w:r>
          </w:p>
        </w:tc>
        <w:tc>
          <w:tcPr>
            <w:tcW w:w="1714" w:type="dxa"/>
          </w:tcPr>
          <w:p>
            <w:pPr>
              <w:pStyle w:val="TableParagraph"/>
              <w:spacing w:before="3"/>
              <w:ind w:right="38"/>
              <w:rPr>
                <w:rFonts w:ascii="Verdana"/>
                <w:sz w:val="16"/>
              </w:rPr>
            </w:pPr>
            <w:r>
              <w:rPr>
                <w:rFonts w:ascii="Verdana"/>
                <w:sz w:val="16"/>
              </w:rPr>
              <w:t>40</w:t>
            </w:r>
          </w:p>
        </w:tc>
      </w:tr>
      <w:tr>
        <w:trPr>
          <w:trHeight w:val="198" w:hRule="exact"/>
        </w:trPr>
        <w:tc>
          <w:tcPr>
            <w:tcW w:w="3295" w:type="dxa"/>
          </w:tcPr>
          <w:p>
            <w:pPr>
              <w:pStyle w:val="TableParagraph"/>
              <w:spacing w:before="3"/>
              <w:ind w:left="67"/>
              <w:jc w:val="left"/>
              <w:rPr>
                <w:rFonts w:ascii="Verdana"/>
                <w:sz w:val="16"/>
              </w:rPr>
            </w:pPr>
            <w:r>
              <w:rPr>
                <w:rFonts w:ascii="Verdana"/>
                <w:sz w:val="16"/>
              </w:rPr>
              <w:t>Motridal</w:t>
            </w:r>
          </w:p>
        </w:tc>
        <w:tc>
          <w:tcPr>
            <w:tcW w:w="4081" w:type="dxa"/>
          </w:tcPr>
          <w:p>
            <w:pPr>
              <w:pStyle w:val="TableParagraph"/>
              <w:spacing w:before="3"/>
              <w:ind w:left="1397"/>
              <w:jc w:val="left"/>
              <w:rPr>
                <w:rFonts w:ascii="Verdana"/>
                <w:sz w:val="16"/>
              </w:rPr>
            </w:pPr>
            <w:r>
              <w:rPr>
                <w:rFonts w:ascii="Verdana"/>
                <w:sz w:val="16"/>
              </w:rPr>
              <w:t>Biochemtex</w:t>
            </w:r>
          </w:p>
        </w:tc>
        <w:tc>
          <w:tcPr>
            <w:tcW w:w="1714" w:type="dxa"/>
          </w:tcPr>
          <w:p>
            <w:pPr>
              <w:pStyle w:val="TableParagraph"/>
              <w:spacing w:before="3"/>
              <w:ind w:right="38"/>
              <w:rPr>
                <w:rFonts w:ascii="Verdana"/>
                <w:sz w:val="16"/>
              </w:rPr>
            </w:pPr>
            <w:r>
              <w:rPr>
                <w:rFonts w:ascii="Verdana"/>
                <w:sz w:val="16"/>
              </w:rPr>
              <w:t>230</w:t>
            </w:r>
          </w:p>
        </w:tc>
      </w:tr>
    </w:tbl>
    <w:p>
      <w:pPr>
        <w:pStyle w:val="BodyText"/>
        <w:rPr>
          <w:sz w:val="26"/>
        </w:rPr>
      </w:pPr>
    </w:p>
    <w:p>
      <w:pPr>
        <w:pStyle w:val="BodyText"/>
        <w:rPr>
          <w:sz w:val="26"/>
        </w:rPr>
      </w:pPr>
    </w:p>
    <w:p>
      <w:pPr>
        <w:pStyle w:val="BodyText"/>
        <w:spacing w:before="229"/>
        <w:ind w:left="1418"/>
        <w:jc w:val="both"/>
      </w:pPr>
      <w:r>
        <w:rPr>
          <w:u w:val="single"/>
        </w:rPr>
        <w:t>Pertanto, il totale delle garanzie ricevute è pari a Euro 325.273 milioni di Euro.</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rPr>
          <w:sz w:val="19"/>
        </w:rPr>
      </w:pPr>
    </w:p>
    <w:p>
      <w:pPr>
        <w:pStyle w:val="Heading1"/>
        <w:numPr>
          <w:ilvl w:val="0"/>
          <w:numId w:val="95"/>
        </w:numPr>
        <w:tabs>
          <w:tab w:pos="1847" w:val="left" w:leader="none"/>
        </w:tabs>
        <w:spacing w:line="240" w:lineRule="auto" w:before="101" w:after="0"/>
        <w:ind w:left="1418" w:right="0" w:firstLine="0"/>
        <w:jc w:val="both"/>
      </w:pPr>
      <w:bookmarkStart w:name="_bookmark31" w:id="61"/>
      <w:bookmarkEnd w:id="61"/>
      <w:r>
        <w:rPr>
          <w:b w:val="0"/>
        </w:rPr>
      </w:r>
      <w:bookmarkStart w:name="_bookmark31" w:id="62"/>
      <w:bookmarkEnd w:id="62"/>
      <w:r>
        <w:rPr/>
        <w:t>LA</w:t>
      </w:r>
      <w:r>
        <w:rPr/>
        <w:t> FATTIBILITA’ DEL</w:t>
      </w:r>
      <w:r>
        <w:rPr>
          <w:spacing w:val="-6"/>
        </w:rPr>
        <w:t> </w:t>
      </w:r>
      <w:r>
        <w:rPr/>
        <w:t>PIANO</w:t>
      </w:r>
    </w:p>
    <w:p>
      <w:pPr>
        <w:pStyle w:val="BodyText"/>
        <w:spacing w:before="9"/>
        <w:rPr>
          <w:b/>
          <w:sz w:val="45"/>
        </w:rPr>
      </w:pPr>
    </w:p>
    <w:p>
      <w:pPr>
        <w:pStyle w:val="Heading2"/>
        <w:numPr>
          <w:ilvl w:val="1"/>
          <w:numId w:val="95"/>
        </w:numPr>
        <w:tabs>
          <w:tab w:pos="2127" w:val="left" w:leader="none"/>
        </w:tabs>
        <w:spacing w:line="240" w:lineRule="auto" w:before="0" w:after="0"/>
        <w:ind w:left="2126" w:right="0" w:hanging="708"/>
        <w:jc w:val="both"/>
      </w:pPr>
      <w:bookmarkStart w:name="_bookmark32" w:id="63"/>
      <w:bookmarkEnd w:id="63"/>
      <w:r>
        <w:rPr>
          <w:b w:val="0"/>
        </w:rPr>
      </w:r>
      <w:bookmarkStart w:name="_bookmark32" w:id="64"/>
      <w:bookmarkEnd w:id="64"/>
      <w:r>
        <w:rPr/>
        <w:t>P</w:t>
      </w:r>
      <w:r>
        <w:rPr/>
        <w:t>REMESSA</w:t>
      </w:r>
    </w:p>
    <w:p>
      <w:pPr>
        <w:pStyle w:val="BodyText"/>
        <w:spacing w:before="10"/>
        <w:rPr>
          <w:b/>
          <w:sz w:val="23"/>
        </w:rPr>
      </w:pPr>
    </w:p>
    <w:p>
      <w:pPr>
        <w:pStyle w:val="BodyText"/>
        <w:spacing w:line="480" w:lineRule="auto"/>
        <w:ind w:left="1418" w:right="1416"/>
        <w:jc w:val="both"/>
      </w:pPr>
      <w:r>
        <w:rPr/>
        <w:t>La fattibilità del piano è di norma legata al realizzarsi nel futuro di una serie di ipotesi assunte a base del piano stesso. Attraverso la costruzione di ipotesi realisticamente realizzabili circa il valore degli attivi diventa possibile in via prognostica determinare se e in quale modo e fino a quale misura potrà essere soddisfatto un passivo la cui entità viene misurata in via prudenziale.</w:t>
      </w:r>
    </w:p>
    <w:p>
      <w:pPr>
        <w:pStyle w:val="BodyText"/>
        <w:spacing w:line="480" w:lineRule="auto"/>
        <w:ind w:left="1418" w:right="1415"/>
        <w:jc w:val="both"/>
      </w:pPr>
      <w:r>
        <w:rPr/>
        <w:t>Nel profilo economico-aziendale, quindi, al termine fattibilità può essere attribuito il significato di realizzabilità concreta delle ipotesi prospettate nel piano aziendale, e quindi un piano può essere considerato fattibile se, realisticamente, è in grado di raggiungere gli obiettivi prefigurati, nei  tempi e secondo le modalità</w:t>
      </w:r>
      <w:r>
        <w:rPr>
          <w:spacing w:val="-16"/>
        </w:rPr>
        <w:t> </w:t>
      </w:r>
      <w:r>
        <w:rPr/>
        <w:t>programmate.</w:t>
      </w:r>
    </w:p>
    <w:p>
      <w:pPr>
        <w:pStyle w:val="BodyText"/>
        <w:spacing w:line="480" w:lineRule="auto" w:before="1"/>
        <w:ind w:left="1418" w:right="1417"/>
        <w:jc w:val="both"/>
      </w:pPr>
      <w:r>
        <w:rPr/>
        <w:t>Il piano concordatario di natura liquidatoria predisposto dalla Società si fonda principalmente sulle seguenti</w:t>
      </w:r>
      <w:r>
        <w:rPr>
          <w:spacing w:val="-11"/>
        </w:rPr>
        <w:t> </w:t>
      </w:r>
      <w:r>
        <w:rPr/>
        <w:t>assunzioni:</w:t>
      </w:r>
    </w:p>
    <w:p>
      <w:pPr>
        <w:pStyle w:val="ListParagraph"/>
        <w:numPr>
          <w:ilvl w:val="0"/>
          <w:numId w:val="96"/>
        </w:numPr>
        <w:tabs>
          <w:tab w:pos="2127" w:val="left" w:leader="none"/>
        </w:tabs>
        <w:spacing w:line="475" w:lineRule="auto" w:before="0" w:after="0"/>
        <w:ind w:left="2138" w:right="1411" w:hanging="360"/>
        <w:jc w:val="both"/>
        <w:rPr>
          <w:sz w:val="24"/>
        </w:rPr>
      </w:pPr>
      <w:r>
        <w:rPr>
          <w:sz w:val="24"/>
        </w:rPr>
        <w:t>per complessivi Euro 28,8 Milioni dalla cessione del Ramo Biochemtex il cui valore è  stato determinato sulla base della quota-parte del corrispettivo offerto da Versalis per il Perimetro BIO, così come individuata sulla base della Perizia Tecnica. Per un ulteriore disamina a riguardo si rimanda al precedente par.</w:t>
      </w:r>
      <w:r>
        <w:rPr>
          <w:spacing w:val="34"/>
          <w:sz w:val="24"/>
        </w:rPr>
        <w:t> </w:t>
      </w:r>
      <w:r>
        <w:rPr>
          <w:sz w:val="24"/>
        </w:rPr>
        <w:t>3.3;</w:t>
      </w:r>
    </w:p>
    <w:p>
      <w:pPr>
        <w:pStyle w:val="ListParagraph"/>
        <w:numPr>
          <w:ilvl w:val="0"/>
          <w:numId w:val="96"/>
        </w:numPr>
        <w:tabs>
          <w:tab w:pos="2127" w:val="left" w:leader="none"/>
        </w:tabs>
        <w:spacing w:line="475" w:lineRule="auto" w:before="5" w:after="0"/>
        <w:ind w:left="2138" w:right="1412" w:hanging="360"/>
        <w:jc w:val="both"/>
        <w:rPr>
          <w:sz w:val="24"/>
        </w:rPr>
      </w:pPr>
      <w:r>
        <w:rPr>
          <w:sz w:val="24"/>
        </w:rPr>
        <w:t>dalla realizzazione dei crediti vantati nei confronti di Beta Renewables per complessivi Euro 13,6 Milioni. Il valore di realizzo è stato considerato nella misura del 44,86% del valore nominale dei crediti, pari a Euro 30,3 Milioni, in linea con le previsioni di pagamento portate in conto nel piano di</w:t>
      </w:r>
      <w:r>
        <w:rPr>
          <w:spacing w:val="-14"/>
          <w:sz w:val="24"/>
        </w:rPr>
        <w:t> </w:t>
      </w:r>
      <w:r>
        <w:rPr>
          <w:sz w:val="24"/>
        </w:rPr>
        <w:t>Beta;</w:t>
      </w:r>
    </w:p>
    <w:p>
      <w:pPr>
        <w:spacing w:after="0" w:line="475" w:lineRule="auto"/>
        <w:jc w:val="both"/>
        <w:rPr>
          <w:sz w:val="24"/>
        </w:rPr>
        <w:sectPr>
          <w:headerReference w:type="default" r:id="rId47"/>
          <w:footerReference w:type="default" r:id="rId48"/>
          <w:pgSz w:w="11910" w:h="16840"/>
          <w:pgMar w:header="957" w:footer="0" w:top="1740" w:bottom="280" w:left="0" w:right="0"/>
        </w:sectPr>
      </w:pPr>
    </w:p>
    <w:p>
      <w:pPr>
        <w:pStyle w:val="BodyText"/>
        <w:rPr>
          <w:sz w:val="20"/>
        </w:rPr>
      </w:pPr>
    </w:p>
    <w:p>
      <w:pPr>
        <w:pStyle w:val="BodyText"/>
        <w:rPr>
          <w:sz w:val="20"/>
        </w:rPr>
      </w:pPr>
    </w:p>
    <w:p>
      <w:pPr>
        <w:pStyle w:val="BodyText"/>
        <w:rPr>
          <w:sz w:val="20"/>
        </w:rPr>
      </w:pPr>
    </w:p>
    <w:p>
      <w:pPr>
        <w:pStyle w:val="BodyText"/>
        <w:spacing w:before="2"/>
        <w:rPr>
          <w:sz w:val="28"/>
        </w:rPr>
      </w:pPr>
    </w:p>
    <w:p>
      <w:pPr>
        <w:pStyle w:val="ListParagraph"/>
        <w:numPr>
          <w:ilvl w:val="0"/>
          <w:numId w:val="96"/>
        </w:numPr>
        <w:tabs>
          <w:tab w:pos="2127" w:val="left" w:leader="none"/>
        </w:tabs>
        <w:spacing w:line="472" w:lineRule="auto" w:before="90" w:after="0"/>
        <w:ind w:left="2138" w:right="1415" w:hanging="360"/>
        <w:jc w:val="both"/>
        <w:rPr>
          <w:sz w:val="24"/>
        </w:rPr>
      </w:pPr>
      <w:r>
        <w:rPr>
          <w:sz w:val="24"/>
        </w:rPr>
        <w:t>dall’incasso dei crediti vantati nei confronti di IBP Energia per Euro 4 mila, valorizzati al 77,66% rispetto al loro valore nominale, in linea con le previsioni di pagamento portate in conto nel piano di</w:t>
      </w:r>
      <w:r>
        <w:rPr>
          <w:spacing w:val="-8"/>
          <w:sz w:val="24"/>
        </w:rPr>
        <w:t> </w:t>
      </w:r>
      <w:r>
        <w:rPr>
          <w:sz w:val="24"/>
        </w:rPr>
        <w:t>IBPE;</w:t>
      </w:r>
    </w:p>
    <w:p>
      <w:pPr>
        <w:pStyle w:val="ListParagraph"/>
        <w:numPr>
          <w:ilvl w:val="0"/>
          <w:numId w:val="96"/>
        </w:numPr>
        <w:tabs>
          <w:tab w:pos="2127" w:val="left" w:leader="none"/>
        </w:tabs>
        <w:spacing w:line="468" w:lineRule="auto" w:before="7" w:after="0"/>
        <w:ind w:left="2138" w:right="1409" w:hanging="360"/>
        <w:jc w:val="both"/>
        <w:rPr>
          <w:sz w:val="24"/>
        </w:rPr>
      </w:pPr>
      <w:r>
        <w:rPr>
          <w:sz w:val="24"/>
        </w:rPr>
        <w:t>dalla cessione dell’Immobile di Modugno (BA) nella misura di Euro 1 Milione circa, valutato sulla base della perizia estimativa dell’Arch.</w:t>
      </w:r>
      <w:r>
        <w:rPr>
          <w:spacing w:val="-15"/>
          <w:sz w:val="24"/>
        </w:rPr>
        <w:t> </w:t>
      </w:r>
      <w:r>
        <w:rPr>
          <w:sz w:val="24"/>
        </w:rPr>
        <w:t>Bolamperti;</w:t>
      </w:r>
    </w:p>
    <w:p>
      <w:pPr>
        <w:pStyle w:val="ListParagraph"/>
        <w:numPr>
          <w:ilvl w:val="0"/>
          <w:numId w:val="96"/>
        </w:numPr>
        <w:tabs>
          <w:tab w:pos="2127" w:val="left" w:leader="none"/>
        </w:tabs>
        <w:spacing w:line="475" w:lineRule="auto" w:before="13" w:after="0"/>
        <w:ind w:left="2138" w:right="1412" w:hanging="360"/>
        <w:jc w:val="both"/>
        <w:rPr>
          <w:sz w:val="24"/>
        </w:rPr>
      </w:pPr>
      <w:r>
        <w:rPr>
          <w:sz w:val="24"/>
        </w:rPr>
        <w:t>dalla realizzazione degli ulteriori attivi patrimoniali non rientranti nel Ramo Biochemetx per complessivi Euro 6,9 Milioni, al netto della cassa assorbita dalla gestione caratteristica nel periodo compreso dal 15 ottobre 2017 al 31 marzo 2018. Tale attivo nello specifico risulta composto come</w:t>
      </w:r>
      <w:r>
        <w:rPr>
          <w:spacing w:val="-8"/>
          <w:sz w:val="24"/>
        </w:rPr>
        <w:t> </w:t>
      </w:r>
      <w:r>
        <w:rPr>
          <w:sz w:val="24"/>
        </w:rPr>
        <w:t>segue:</w:t>
      </w:r>
    </w:p>
    <w:p>
      <w:pPr>
        <w:pStyle w:val="ListParagraph"/>
        <w:numPr>
          <w:ilvl w:val="1"/>
          <w:numId w:val="96"/>
        </w:numPr>
        <w:tabs>
          <w:tab w:pos="2835" w:val="left" w:leader="none"/>
        </w:tabs>
        <w:spacing w:line="240" w:lineRule="auto" w:before="3" w:after="0"/>
        <w:ind w:left="2918" w:right="0" w:hanging="360"/>
        <w:jc w:val="left"/>
        <w:rPr>
          <w:sz w:val="24"/>
        </w:rPr>
      </w:pPr>
      <w:r>
        <w:rPr>
          <w:sz w:val="24"/>
        </w:rPr>
        <w:t>Per Euro 1,2 Milioni dal saldo delle disponibilità liquide al 31 marzo</w:t>
      </w:r>
      <w:r>
        <w:rPr>
          <w:spacing w:val="-24"/>
          <w:sz w:val="24"/>
        </w:rPr>
        <w:t> </w:t>
      </w:r>
      <w:r>
        <w:rPr>
          <w:sz w:val="24"/>
        </w:rPr>
        <w:t>2018;</w:t>
      </w:r>
    </w:p>
    <w:p>
      <w:pPr>
        <w:pStyle w:val="BodyText"/>
        <w:spacing w:before="9"/>
        <w:rPr>
          <w:sz w:val="23"/>
        </w:rPr>
      </w:pPr>
    </w:p>
    <w:p>
      <w:pPr>
        <w:pStyle w:val="ListParagraph"/>
        <w:numPr>
          <w:ilvl w:val="1"/>
          <w:numId w:val="96"/>
        </w:numPr>
        <w:tabs>
          <w:tab w:pos="2835" w:val="left" w:leader="none"/>
        </w:tabs>
        <w:spacing w:line="477" w:lineRule="auto" w:before="0" w:after="0"/>
        <w:ind w:left="2918" w:right="1413" w:hanging="360"/>
        <w:jc w:val="both"/>
        <w:rPr>
          <w:sz w:val="24"/>
        </w:rPr>
      </w:pPr>
      <w:r>
        <w:rPr>
          <w:sz w:val="24"/>
        </w:rPr>
        <w:t>Quanto a Euro 5,5 Milioni dagli incassi già avvenuti e di quelli previsti nel periodo compreso tra il mese di Aprile 2018 ed il 2020, derivanti principalmente alla commessa Energochemica, relativa alla costruzione di un impianto industriale in Slovacchia (fatture già interamente emesse dalla</w:t>
      </w:r>
      <w:r>
        <w:rPr>
          <w:spacing w:val="-19"/>
          <w:sz w:val="24"/>
        </w:rPr>
        <w:t> </w:t>
      </w:r>
      <w:r>
        <w:rPr>
          <w:sz w:val="24"/>
        </w:rPr>
        <w:t>società);</w:t>
      </w:r>
    </w:p>
    <w:p>
      <w:pPr>
        <w:pStyle w:val="ListParagraph"/>
        <w:numPr>
          <w:ilvl w:val="1"/>
          <w:numId w:val="96"/>
        </w:numPr>
        <w:tabs>
          <w:tab w:pos="2835" w:val="left" w:leader="none"/>
        </w:tabs>
        <w:spacing w:line="477" w:lineRule="auto" w:before="0" w:after="0"/>
        <w:ind w:left="2918" w:right="1416" w:hanging="360"/>
        <w:jc w:val="both"/>
        <w:rPr>
          <w:sz w:val="24"/>
        </w:rPr>
      </w:pPr>
      <w:r>
        <w:rPr>
          <w:sz w:val="24"/>
        </w:rPr>
        <w:t>Per Euro 137 mila circa dal realizzo del Credito Iva legato alla commessa Energochemica così come descritto più approfonditamente nel precedente paragrafo 4.3. (Crediti</w:t>
      </w:r>
      <w:r>
        <w:rPr>
          <w:spacing w:val="-21"/>
          <w:sz w:val="24"/>
        </w:rPr>
        <w:t> </w:t>
      </w:r>
      <w:r>
        <w:rPr>
          <w:sz w:val="24"/>
        </w:rPr>
        <w:t>Tributari);</w:t>
      </w:r>
    </w:p>
    <w:p>
      <w:pPr>
        <w:pStyle w:val="ListParagraph"/>
        <w:numPr>
          <w:ilvl w:val="1"/>
          <w:numId w:val="96"/>
        </w:numPr>
        <w:tabs>
          <w:tab w:pos="2835" w:val="left" w:leader="none"/>
        </w:tabs>
        <w:spacing w:line="477" w:lineRule="auto" w:before="0" w:after="0"/>
        <w:ind w:left="2918" w:right="1420" w:hanging="360"/>
        <w:jc w:val="both"/>
        <w:rPr>
          <w:sz w:val="24"/>
        </w:rPr>
      </w:pPr>
      <w:r>
        <w:rPr>
          <w:sz w:val="24"/>
        </w:rPr>
        <w:t>Per Euro 42 mila riferibili ai depositi cauzionali rilasciati in relazione al centro di Rivalta Scrivia (AL) e di cui si prevede la restituzione a seguito del subentro da parte di Versalis nel contratto di affitto dello</w:t>
      </w:r>
      <w:r>
        <w:rPr>
          <w:spacing w:val="-22"/>
          <w:sz w:val="24"/>
        </w:rPr>
        <w:t> </w:t>
      </w:r>
      <w:r>
        <w:rPr>
          <w:sz w:val="24"/>
        </w:rPr>
        <w:t>stabilimento.</w:t>
      </w:r>
    </w:p>
    <w:p>
      <w:pPr>
        <w:pStyle w:val="BodyText"/>
        <w:spacing w:line="480" w:lineRule="auto" w:before="2"/>
        <w:ind w:left="1418" w:right="1518"/>
      </w:pPr>
      <w:r>
        <w:rPr/>
        <w:t>L’eventuale recupero nel corso del Piano di ulteriore attivo, allo stato, in un’ottica prudenziale, non considerato, così come il rilascio totale o parziale dei fondi rischi concordatari, verranno</w:t>
      </w:r>
    </w:p>
    <w:p>
      <w:pPr>
        <w:spacing w:after="0" w:line="480" w:lineRule="auto"/>
        <w:sectPr>
          <w:headerReference w:type="default" r:id="rId49"/>
          <w:footerReference w:type="default" r:id="rId50"/>
          <w:pgSz w:w="11910" w:h="16840"/>
          <w:pgMar w:header="707" w:footer="1025" w:top="1740" w:bottom="1220" w:left="0" w:right="0"/>
          <w:pgNumType w:start="265"/>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interamente destinati in favore dei creditori chirografari e del creditore postergato volontario ad incremento delle percentuali di soddisfacimento previste nella Proposta Concordataria.</w:t>
      </w:r>
    </w:p>
    <w:p>
      <w:pPr>
        <w:pStyle w:val="BodyText"/>
        <w:spacing w:line="480" w:lineRule="auto"/>
        <w:ind w:left="1418" w:right="1518"/>
      </w:pPr>
      <w:r>
        <w:rPr/>
        <w:t>In riferimento alle azioni innanzi descritte, viene riportato di seguito un prospetto riepilogativo recante le attività complessivamente realizzabili:</w:t>
      </w:r>
    </w:p>
    <w:p>
      <w:pPr>
        <w:pStyle w:val="BodyText"/>
        <w:spacing w:before="8"/>
        <w:rPr>
          <w:sz w:val="5"/>
        </w:rPr>
      </w:pPr>
    </w:p>
    <w:tbl>
      <w:tblPr>
        <w:tblW w:w="0" w:type="auto"/>
        <w:jc w:val="left"/>
        <w:tblInd w:w="254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965"/>
        <w:gridCol w:w="1859"/>
      </w:tblGrid>
      <w:tr>
        <w:trPr>
          <w:trHeight w:val="368" w:hRule="exact"/>
        </w:trPr>
        <w:tc>
          <w:tcPr>
            <w:tcW w:w="4965" w:type="dxa"/>
          </w:tcPr>
          <w:p>
            <w:pPr>
              <w:pStyle w:val="TableParagraph"/>
              <w:spacing w:line="210" w:lineRule="exact" w:before="0"/>
              <w:ind w:left="55"/>
              <w:jc w:val="left"/>
              <w:rPr>
                <w:rFonts w:ascii="Times New Roman"/>
                <w:b/>
                <w:sz w:val="19"/>
              </w:rPr>
            </w:pPr>
            <w:r>
              <w:rPr>
                <w:rFonts w:ascii="Times New Roman"/>
                <w:b/>
                <w:sz w:val="19"/>
                <w:u w:val="thick"/>
              </w:rPr>
              <w:t>Biochemtex Italia S.p.A.</w:t>
            </w:r>
          </w:p>
        </w:tc>
        <w:tc>
          <w:tcPr>
            <w:tcW w:w="1859" w:type="dxa"/>
          </w:tcPr>
          <w:p>
            <w:pPr/>
          </w:p>
        </w:tc>
      </w:tr>
      <w:tr>
        <w:trPr>
          <w:trHeight w:val="403" w:hRule="exact"/>
        </w:trPr>
        <w:tc>
          <w:tcPr>
            <w:tcW w:w="4965" w:type="dxa"/>
          </w:tcPr>
          <w:p>
            <w:pPr>
              <w:pStyle w:val="TableParagraph"/>
              <w:tabs>
                <w:tab w:pos="4791" w:val="left" w:leader="none"/>
              </w:tabs>
              <w:spacing w:before="150"/>
              <w:ind w:left="21"/>
              <w:jc w:val="left"/>
              <w:rPr>
                <w:rFonts w:ascii="Times New Roman"/>
                <w:b/>
                <w:sz w:val="20"/>
              </w:rPr>
            </w:pPr>
            <w:r>
              <w:rPr>
                <w:rFonts w:ascii="Times New Roman"/>
                <w:b/>
                <w:color w:val="FFFFFF"/>
                <w:spacing w:val="-17"/>
                <w:w w:val="100"/>
                <w:sz w:val="20"/>
                <w:shd w:fill="9F2F33" w:color="auto" w:val="clear"/>
              </w:rPr>
              <w:t> </w:t>
            </w:r>
            <w:r>
              <w:rPr>
                <w:rFonts w:ascii="Times New Roman"/>
                <w:b/>
                <w:color w:val="FFFFFF"/>
                <w:sz w:val="20"/>
                <w:shd w:fill="9F2F33" w:color="auto" w:val="clear"/>
              </w:rPr>
              <w:t>Attivo</w:t>
            </w:r>
            <w:r>
              <w:rPr>
                <w:rFonts w:ascii="Times New Roman"/>
                <w:b/>
                <w:color w:val="FFFFFF"/>
                <w:spacing w:val="11"/>
                <w:sz w:val="20"/>
                <w:shd w:fill="9F2F33" w:color="auto" w:val="clear"/>
              </w:rPr>
              <w:t> </w:t>
            </w:r>
            <w:r>
              <w:rPr>
                <w:rFonts w:ascii="Times New Roman"/>
                <w:b/>
                <w:color w:val="FFFFFF"/>
                <w:sz w:val="20"/>
                <w:shd w:fill="9F2F33" w:color="auto" w:val="clear"/>
              </w:rPr>
              <w:t>concordatario</w:t>
              <w:tab/>
            </w:r>
          </w:p>
        </w:tc>
        <w:tc>
          <w:tcPr>
            <w:tcW w:w="1859" w:type="dxa"/>
          </w:tcPr>
          <w:p>
            <w:pPr>
              <w:pStyle w:val="TableParagraph"/>
              <w:tabs>
                <w:tab w:pos="653" w:val="left" w:leader="none"/>
                <w:tab w:pos="1815" w:val="left" w:leader="none"/>
              </w:tabs>
              <w:spacing w:before="150"/>
              <w:ind w:left="151"/>
              <w:jc w:val="center"/>
              <w:rPr>
                <w:rFonts w:ascii="Times New Roman"/>
                <w:b/>
                <w:sz w:val="20"/>
              </w:rPr>
            </w:pPr>
            <w:r>
              <w:rPr>
                <w:rFonts w:ascii="Times New Roman"/>
                <w:b/>
                <w:color w:val="FFFFFF"/>
                <w:w w:val="100"/>
                <w:sz w:val="20"/>
                <w:shd w:fill="9F2F33" w:color="auto" w:val="clear"/>
              </w:rPr>
              <w:t> </w:t>
            </w:r>
            <w:r>
              <w:rPr>
                <w:rFonts w:ascii="Times New Roman"/>
                <w:b/>
                <w:color w:val="FFFFFF"/>
                <w:sz w:val="20"/>
                <w:shd w:fill="9F2F33" w:color="auto" w:val="clear"/>
              </w:rPr>
              <w:tab/>
              <w:t>Importi</w:t>
              <w:tab/>
            </w:r>
          </w:p>
        </w:tc>
      </w:tr>
      <w:tr>
        <w:trPr>
          <w:trHeight w:val="268" w:hRule="exact"/>
        </w:trPr>
        <w:tc>
          <w:tcPr>
            <w:tcW w:w="4965" w:type="dxa"/>
          </w:tcPr>
          <w:p>
            <w:pPr>
              <w:pStyle w:val="TableParagraph"/>
              <w:spacing w:before="15"/>
              <w:ind w:left="55"/>
              <w:jc w:val="left"/>
              <w:rPr>
                <w:rFonts w:ascii="Times New Roman"/>
                <w:sz w:val="20"/>
              </w:rPr>
            </w:pPr>
            <w:r>
              <w:rPr>
                <w:rFonts w:ascii="Times New Roman"/>
                <w:sz w:val="20"/>
              </w:rPr>
              <w:t>Incasso quota parte corrispettivo Offerta Versalis</w:t>
            </w:r>
          </w:p>
        </w:tc>
        <w:tc>
          <w:tcPr>
            <w:tcW w:w="1859" w:type="dxa"/>
          </w:tcPr>
          <w:p>
            <w:pPr>
              <w:pStyle w:val="TableParagraph"/>
              <w:spacing w:before="15"/>
              <w:ind w:left="205"/>
              <w:jc w:val="center"/>
              <w:rPr>
                <w:rFonts w:ascii="Times New Roman"/>
                <w:sz w:val="20"/>
              </w:rPr>
            </w:pPr>
            <w:r>
              <w:rPr>
                <w:rFonts w:ascii="Times New Roman"/>
                <w:sz w:val="20"/>
              </w:rPr>
              <w:t>28.785.813</w:t>
            </w:r>
          </w:p>
        </w:tc>
      </w:tr>
      <w:tr>
        <w:trPr>
          <w:trHeight w:val="268" w:hRule="exact"/>
        </w:trPr>
        <w:tc>
          <w:tcPr>
            <w:tcW w:w="4965" w:type="dxa"/>
          </w:tcPr>
          <w:p>
            <w:pPr>
              <w:pStyle w:val="TableParagraph"/>
              <w:spacing w:before="15"/>
              <w:ind w:left="55"/>
              <w:jc w:val="left"/>
              <w:rPr>
                <w:rFonts w:ascii="Times New Roman"/>
                <w:sz w:val="20"/>
              </w:rPr>
            </w:pPr>
            <w:r>
              <w:rPr>
                <w:rFonts w:ascii="Times New Roman"/>
                <w:sz w:val="20"/>
              </w:rPr>
              <w:t>Incasso riparto Beta</w:t>
            </w:r>
          </w:p>
        </w:tc>
        <w:tc>
          <w:tcPr>
            <w:tcW w:w="1859" w:type="dxa"/>
          </w:tcPr>
          <w:p>
            <w:pPr>
              <w:pStyle w:val="TableParagraph"/>
              <w:spacing w:before="15"/>
              <w:ind w:left="205"/>
              <w:jc w:val="center"/>
              <w:rPr>
                <w:rFonts w:ascii="Times New Roman"/>
                <w:sz w:val="20"/>
              </w:rPr>
            </w:pPr>
            <w:r>
              <w:rPr>
                <w:rFonts w:ascii="Times New Roman"/>
                <w:sz w:val="20"/>
              </w:rPr>
              <w:t>13.586.136</w:t>
            </w:r>
          </w:p>
        </w:tc>
      </w:tr>
      <w:tr>
        <w:trPr>
          <w:trHeight w:val="268" w:hRule="exact"/>
        </w:trPr>
        <w:tc>
          <w:tcPr>
            <w:tcW w:w="4965" w:type="dxa"/>
          </w:tcPr>
          <w:p>
            <w:pPr>
              <w:pStyle w:val="TableParagraph"/>
              <w:spacing w:before="14"/>
              <w:ind w:left="55"/>
              <w:jc w:val="left"/>
              <w:rPr>
                <w:rFonts w:ascii="Times New Roman"/>
                <w:sz w:val="20"/>
              </w:rPr>
            </w:pPr>
            <w:r>
              <w:rPr>
                <w:rFonts w:ascii="Times New Roman"/>
                <w:sz w:val="20"/>
              </w:rPr>
              <w:t>Incasso riparto IBPE</w:t>
            </w:r>
          </w:p>
        </w:tc>
        <w:tc>
          <w:tcPr>
            <w:tcW w:w="1859" w:type="dxa"/>
          </w:tcPr>
          <w:p>
            <w:pPr>
              <w:pStyle w:val="TableParagraph"/>
              <w:spacing w:before="14"/>
              <w:ind w:left="217"/>
              <w:jc w:val="center"/>
              <w:rPr>
                <w:rFonts w:ascii="Times New Roman"/>
                <w:sz w:val="20"/>
              </w:rPr>
            </w:pPr>
            <w:r>
              <w:rPr>
                <w:rFonts w:ascii="Times New Roman"/>
                <w:sz w:val="20"/>
              </w:rPr>
              <w:t>4.016</w:t>
            </w:r>
          </w:p>
        </w:tc>
      </w:tr>
      <w:tr>
        <w:trPr>
          <w:trHeight w:val="268" w:hRule="exact"/>
        </w:trPr>
        <w:tc>
          <w:tcPr>
            <w:tcW w:w="4965" w:type="dxa"/>
          </w:tcPr>
          <w:p>
            <w:pPr>
              <w:pStyle w:val="TableParagraph"/>
              <w:spacing w:before="15"/>
              <w:ind w:left="55"/>
              <w:jc w:val="left"/>
              <w:rPr>
                <w:rFonts w:ascii="Times New Roman"/>
                <w:sz w:val="20"/>
              </w:rPr>
            </w:pPr>
            <w:r>
              <w:rPr>
                <w:rFonts w:ascii="Times New Roman"/>
                <w:sz w:val="20"/>
              </w:rPr>
              <w:t>Cessione immobile Modugno</w:t>
            </w:r>
          </w:p>
        </w:tc>
        <w:tc>
          <w:tcPr>
            <w:tcW w:w="1859" w:type="dxa"/>
          </w:tcPr>
          <w:p>
            <w:pPr>
              <w:pStyle w:val="TableParagraph"/>
              <w:spacing w:before="15"/>
              <w:ind w:left="217"/>
              <w:jc w:val="center"/>
              <w:rPr>
                <w:rFonts w:ascii="Times New Roman"/>
                <w:sz w:val="20"/>
              </w:rPr>
            </w:pPr>
            <w:r>
              <w:rPr>
                <w:rFonts w:ascii="Times New Roman"/>
                <w:sz w:val="20"/>
              </w:rPr>
              <w:t>1.024.600</w:t>
            </w:r>
          </w:p>
        </w:tc>
      </w:tr>
      <w:tr>
        <w:trPr>
          <w:trHeight w:val="268" w:hRule="exact"/>
        </w:trPr>
        <w:tc>
          <w:tcPr>
            <w:tcW w:w="4965" w:type="dxa"/>
          </w:tcPr>
          <w:p>
            <w:pPr>
              <w:pStyle w:val="TableParagraph"/>
              <w:spacing w:before="15"/>
              <w:ind w:left="55"/>
              <w:jc w:val="left"/>
              <w:rPr>
                <w:rFonts w:ascii="Times New Roman"/>
                <w:sz w:val="20"/>
              </w:rPr>
            </w:pPr>
            <w:r>
              <w:rPr>
                <w:rFonts w:ascii="Times New Roman"/>
                <w:sz w:val="20"/>
              </w:rPr>
              <w:t>Deposito cauzionale immobile  Rivalta</w:t>
            </w:r>
          </w:p>
        </w:tc>
        <w:tc>
          <w:tcPr>
            <w:tcW w:w="1859" w:type="dxa"/>
          </w:tcPr>
          <w:p>
            <w:pPr>
              <w:pStyle w:val="TableParagraph"/>
              <w:spacing w:before="15"/>
              <w:ind w:left="206"/>
              <w:jc w:val="center"/>
              <w:rPr>
                <w:rFonts w:ascii="Times New Roman"/>
                <w:sz w:val="20"/>
              </w:rPr>
            </w:pPr>
            <w:r>
              <w:rPr>
                <w:rFonts w:ascii="Times New Roman"/>
                <w:sz w:val="20"/>
              </w:rPr>
              <w:t>33.250</w:t>
            </w:r>
          </w:p>
        </w:tc>
      </w:tr>
      <w:tr>
        <w:trPr>
          <w:trHeight w:val="268" w:hRule="exact"/>
        </w:trPr>
        <w:tc>
          <w:tcPr>
            <w:tcW w:w="4965" w:type="dxa"/>
          </w:tcPr>
          <w:p>
            <w:pPr>
              <w:pStyle w:val="TableParagraph"/>
              <w:spacing w:before="15"/>
              <w:ind w:left="55"/>
              <w:jc w:val="left"/>
              <w:rPr>
                <w:rFonts w:ascii="Times New Roman"/>
                <w:sz w:val="20"/>
              </w:rPr>
            </w:pPr>
            <w:r>
              <w:rPr>
                <w:rFonts w:ascii="Times New Roman"/>
                <w:sz w:val="20"/>
              </w:rPr>
              <w:t>Altri depositi cauzionali</w:t>
            </w:r>
          </w:p>
        </w:tc>
        <w:tc>
          <w:tcPr>
            <w:tcW w:w="1859" w:type="dxa"/>
          </w:tcPr>
          <w:p>
            <w:pPr>
              <w:pStyle w:val="TableParagraph"/>
              <w:spacing w:before="15"/>
              <w:ind w:left="217"/>
              <w:jc w:val="center"/>
              <w:rPr>
                <w:rFonts w:ascii="Times New Roman"/>
                <w:sz w:val="20"/>
              </w:rPr>
            </w:pPr>
            <w:r>
              <w:rPr>
                <w:rFonts w:ascii="Times New Roman"/>
                <w:sz w:val="20"/>
              </w:rPr>
              <w:t>8.500</w:t>
            </w:r>
          </w:p>
        </w:tc>
      </w:tr>
      <w:tr>
        <w:trPr>
          <w:trHeight w:val="268" w:hRule="exact"/>
        </w:trPr>
        <w:tc>
          <w:tcPr>
            <w:tcW w:w="4965" w:type="dxa"/>
          </w:tcPr>
          <w:p>
            <w:pPr>
              <w:pStyle w:val="TableParagraph"/>
              <w:spacing w:before="14"/>
              <w:ind w:left="55"/>
              <w:jc w:val="left"/>
              <w:rPr>
                <w:rFonts w:ascii="Times New Roman"/>
                <w:sz w:val="20"/>
              </w:rPr>
            </w:pPr>
            <w:r>
              <w:rPr>
                <w:rFonts w:ascii="Times New Roman"/>
                <w:sz w:val="20"/>
              </w:rPr>
              <w:t>Incasso crediti commerciali</w:t>
            </w:r>
          </w:p>
        </w:tc>
        <w:tc>
          <w:tcPr>
            <w:tcW w:w="1859" w:type="dxa"/>
          </w:tcPr>
          <w:p>
            <w:pPr>
              <w:pStyle w:val="TableParagraph"/>
              <w:spacing w:before="14"/>
              <w:ind w:left="217"/>
              <w:jc w:val="center"/>
              <w:rPr>
                <w:rFonts w:ascii="Times New Roman"/>
                <w:sz w:val="20"/>
              </w:rPr>
            </w:pPr>
            <w:r>
              <w:rPr>
                <w:rFonts w:ascii="Times New Roman"/>
                <w:sz w:val="20"/>
              </w:rPr>
              <w:t>5.454.789</w:t>
            </w:r>
          </w:p>
        </w:tc>
      </w:tr>
      <w:tr>
        <w:trPr>
          <w:trHeight w:val="268" w:hRule="exact"/>
        </w:trPr>
        <w:tc>
          <w:tcPr>
            <w:tcW w:w="4965" w:type="dxa"/>
          </w:tcPr>
          <w:p>
            <w:pPr>
              <w:pStyle w:val="TableParagraph"/>
              <w:spacing w:before="15"/>
              <w:ind w:left="55"/>
              <w:jc w:val="left"/>
              <w:rPr>
                <w:rFonts w:ascii="Times New Roman"/>
                <w:sz w:val="20"/>
              </w:rPr>
            </w:pPr>
            <w:r>
              <w:rPr>
                <w:rFonts w:ascii="Times New Roman"/>
                <w:sz w:val="20"/>
              </w:rPr>
              <w:t>Crediti fiscali</w:t>
            </w:r>
          </w:p>
        </w:tc>
        <w:tc>
          <w:tcPr>
            <w:tcW w:w="1859" w:type="dxa"/>
          </w:tcPr>
          <w:p>
            <w:pPr>
              <w:pStyle w:val="TableParagraph"/>
              <w:spacing w:before="15"/>
              <w:ind w:left="217"/>
              <w:jc w:val="center"/>
              <w:rPr>
                <w:rFonts w:ascii="Times New Roman"/>
                <w:sz w:val="20"/>
              </w:rPr>
            </w:pPr>
            <w:r>
              <w:rPr>
                <w:rFonts w:ascii="Times New Roman"/>
                <w:sz w:val="20"/>
              </w:rPr>
              <w:t>136.903</w:t>
            </w:r>
          </w:p>
        </w:tc>
      </w:tr>
      <w:tr>
        <w:trPr>
          <w:trHeight w:val="268" w:hRule="exact"/>
        </w:trPr>
        <w:tc>
          <w:tcPr>
            <w:tcW w:w="4965" w:type="dxa"/>
          </w:tcPr>
          <w:p>
            <w:pPr>
              <w:pStyle w:val="TableParagraph"/>
              <w:spacing w:before="15"/>
              <w:ind w:left="55"/>
              <w:jc w:val="left"/>
              <w:rPr>
                <w:rFonts w:ascii="Times New Roman" w:hAnsi="Times New Roman"/>
                <w:sz w:val="20"/>
              </w:rPr>
            </w:pPr>
            <w:r>
              <w:rPr>
                <w:rFonts w:ascii="Times New Roman" w:hAnsi="Times New Roman"/>
                <w:sz w:val="20"/>
              </w:rPr>
              <w:t>Disponibilità liquide e altro attivo da  realizzare</w:t>
            </w:r>
          </w:p>
        </w:tc>
        <w:tc>
          <w:tcPr>
            <w:tcW w:w="1859" w:type="dxa"/>
          </w:tcPr>
          <w:p>
            <w:pPr>
              <w:pStyle w:val="TableParagraph"/>
              <w:spacing w:before="15"/>
              <w:ind w:left="217"/>
              <w:jc w:val="center"/>
              <w:rPr>
                <w:rFonts w:ascii="Times New Roman"/>
                <w:sz w:val="20"/>
              </w:rPr>
            </w:pPr>
            <w:r>
              <w:rPr>
                <w:rFonts w:ascii="Times New Roman"/>
                <w:sz w:val="20"/>
              </w:rPr>
              <w:t>1.228.933</w:t>
            </w:r>
          </w:p>
        </w:tc>
      </w:tr>
      <w:tr>
        <w:trPr>
          <w:trHeight w:val="245" w:hRule="exact"/>
        </w:trPr>
        <w:tc>
          <w:tcPr>
            <w:tcW w:w="4965" w:type="dxa"/>
          </w:tcPr>
          <w:p>
            <w:pPr>
              <w:pStyle w:val="TableParagraph"/>
              <w:tabs>
                <w:tab w:pos="4791" w:val="left" w:leader="none"/>
              </w:tabs>
              <w:spacing w:before="15"/>
              <w:ind w:left="21"/>
              <w:jc w:val="left"/>
              <w:rPr>
                <w:rFonts w:ascii="Times New Roman"/>
                <w:b/>
                <w:sz w:val="20"/>
              </w:rPr>
            </w:pPr>
            <w:r>
              <w:rPr>
                <w:rFonts w:ascii="Times New Roman"/>
                <w:b/>
                <w:color w:val="FFFFFF"/>
                <w:spacing w:val="-17"/>
                <w:w w:val="100"/>
                <w:sz w:val="20"/>
                <w:shd w:fill="878A8D" w:color="auto" w:val="clear"/>
              </w:rPr>
              <w:t> </w:t>
            </w:r>
            <w:r>
              <w:rPr>
                <w:rFonts w:ascii="Times New Roman"/>
                <w:b/>
                <w:color w:val="FFFFFF"/>
                <w:sz w:val="20"/>
                <w:shd w:fill="878A8D" w:color="auto" w:val="clear"/>
              </w:rPr>
              <w:t>Totale Attivo da</w:t>
            </w:r>
            <w:r>
              <w:rPr>
                <w:rFonts w:ascii="Times New Roman"/>
                <w:b/>
                <w:color w:val="FFFFFF"/>
                <w:spacing w:val="33"/>
                <w:sz w:val="20"/>
                <w:shd w:fill="878A8D" w:color="auto" w:val="clear"/>
              </w:rPr>
              <w:t> </w:t>
            </w:r>
            <w:r>
              <w:rPr>
                <w:rFonts w:ascii="Times New Roman"/>
                <w:b/>
                <w:color w:val="FFFFFF"/>
                <w:spacing w:val="-3"/>
                <w:sz w:val="20"/>
                <w:shd w:fill="878A8D" w:color="auto" w:val="clear"/>
              </w:rPr>
              <w:t>realizzare</w:t>
              <w:tab/>
            </w:r>
          </w:p>
        </w:tc>
        <w:tc>
          <w:tcPr>
            <w:tcW w:w="1859" w:type="dxa"/>
          </w:tcPr>
          <w:p>
            <w:pPr>
              <w:pStyle w:val="TableParagraph"/>
              <w:tabs>
                <w:tab w:pos="552" w:val="left" w:leader="none"/>
                <w:tab w:pos="1815" w:val="left" w:leader="none"/>
              </w:tabs>
              <w:spacing w:before="15"/>
              <w:ind w:left="151"/>
              <w:jc w:val="center"/>
              <w:rPr>
                <w:rFonts w:ascii="Times New Roman"/>
                <w:b/>
                <w:sz w:val="20"/>
              </w:rPr>
            </w:pPr>
            <w:r>
              <w:rPr>
                <w:rFonts w:ascii="Times New Roman"/>
                <w:b/>
                <w:color w:val="FFFFFF"/>
                <w:w w:val="100"/>
                <w:sz w:val="20"/>
                <w:shd w:fill="878A8D" w:color="auto" w:val="clear"/>
              </w:rPr>
              <w:t> </w:t>
            </w:r>
            <w:r>
              <w:rPr>
                <w:rFonts w:ascii="Times New Roman"/>
                <w:b/>
                <w:color w:val="FFFFFF"/>
                <w:sz w:val="20"/>
                <w:shd w:fill="878A8D" w:color="auto" w:val="clear"/>
              </w:rPr>
              <w:tab/>
              <w:t>50.262.939</w:t>
              <w:tab/>
            </w:r>
          </w:p>
        </w:tc>
      </w:tr>
    </w:tbl>
    <w:p>
      <w:pPr>
        <w:pStyle w:val="BodyText"/>
        <w:rPr>
          <w:sz w:val="26"/>
        </w:rPr>
      </w:pPr>
    </w:p>
    <w:p>
      <w:pPr>
        <w:pStyle w:val="BodyText"/>
        <w:rPr>
          <w:sz w:val="26"/>
        </w:rPr>
      </w:pPr>
    </w:p>
    <w:p>
      <w:pPr>
        <w:pStyle w:val="BodyText"/>
        <w:spacing w:before="5"/>
        <w:rPr>
          <w:sz w:val="22"/>
        </w:rPr>
      </w:pPr>
    </w:p>
    <w:p>
      <w:pPr>
        <w:pStyle w:val="BodyText"/>
        <w:ind w:left="1418"/>
      </w:pPr>
      <w:r>
        <w:rPr/>
        <w:pict>
          <v:group style="position:absolute;margin-left:71.391006pt;margin-top:47.590076pt;width:478.9pt;height:42.8pt;mso-position-horizontal-relative:page;mso-position-vertical-relative:paragraph;z-index:-845704" coordorigin="1428,952" coordsize="9578,856">
            <v:rect style="position:absolute;left:1428;top:956;width:9577;height:846" filled="true" fillcolor="#f1f1f1" stroked="false">
              <v:fill type="solid"/>
            </v:rect>
            <v:line style="position:absolute" from="11000,956" to="11000,1803" stroked="true" strokeweight=".42384pt" strokecolor="#ffff00">
              <v:stroke dashstyle="solid"/>
            </v:line>
            <v:shape style="position:absolute;left:1454;top:1292;width:745;height:182" type="#_x0000_t202" filled="false" stroked="false">
              <v:textbox inset="0,0,0,0">
                <w:txbxContent>
                  <w:p>
                    <w:pPr>
                      <w:spacing w:line="181" w:lineRule="exact" w:before="0"/>
                      <w:ind w:left="0" w:right="0" w:firstLine="0"/>
                      <w:jc w:val="left"/>
                      <w:rPr>
                        <w:rFonts w:ascii="Times New Roman"/>
                        <w:sz w:val="16"/>
                      </w:rPr>
                    </w:pPr>
                    <w:r>
                      <w:rPr>
                        <w:rFonts w:ascii="Times New Roman"/>
                        <w:w w:val="95"/>
                        <w:sz w:val="16"/>
                      </w:rPr>
                      <w:t>- Plastipack</w:t>
                    </w:r>
                  </w:p>
                </w:txbxContent>
              </v:textbox>
              <w10:wrap type="none"/>
            </v:shape>
            <v:shape style="position:absolute;left:4508;top:1193;width:6433;height:282" type="#_x0000_t202" filled="false" stroked="false">
              <v:textbox inset="0,0,0,0">
                <w:txbxContent>
                  <w:p>
                    <w:pPr>
                      <w:spacing w:line="281" w:lineRule="exact" w:before="0"/>
                      <w:ind w:left="0" w:right="0" w:firstLine="0"/>
                      <w:jc w:val="left"/>
                      <w:rPr>
                        <w:rFonts w:ascii="Times New Roman"/>
                        <w:sz w:val="16"/>
                      </w:rPr>
                    </w:pPr>
                    <w:r>
                      <w:rPr>
                        <w:rFonts w:ascii="Times New Roman"/>
                        <w:position w:val="-9"/>
                        <w:sz w:val="16"/>
                      </w:rPr>
                      <w:t>558.760 </w:t>
                    </w:r>
                    <w:r>
                      <w:rPr>
                        <w:rFonts w:ascii="Times New Roman"/>
                        <w:spacing w:val="22"/>
                        <w:position w:val="-9"/>
                        <w:sz w:val="16"/>
                      </w:rPr>
                      <w:t> </w:t>
                    </w:r>
                    <w:r>
                      <w:rPr>
                        <w:rFonts w:ascii="Times New Roman"/>
                        <w:sz w:val="16"/>
                      </w:rPr>
                      <w:t>Trattasi</w:t>
                    </w:r>
                    <w:r>
                      <w:rPr>
                        <w:rFonts w:ascii="Times New Roman"/>
                        <w:spacing w:val="-18"/>
                        <w:sz w:val="16"/>
                      </w:rPr>
                      <w:t> </w:t>
                    </w:r>
                    <w:r>
                      <w:rPr>
                        <w:rFonts w:ascii="Times New Roman"/>
                        <w:sz w:val="16"/>
                      </w:rPr>
                      <w:t>di</w:t>
                    </w:r>
                    <w:r>
                      <w:rPr>
                        <w:rFonts w:ascii="Times New Roman"/>
                        <w:spacing w:val="-18"/>
                        <w:sz w:val="16"/>
                      </w:rPr>
                      <w:t> </w:t>
                    </w:r>
                    <w:r>
                      <w:rPr>
                        <w:rFonts w:ascii="Times New Roman"/>
                        <w:sz w:val="16"/>
                      </w:rPr>
                      <w:t>prestazioni</w:t>
                    </w:r>
                    <w:r>
                      <w:rPr>
                        <w:rFonts w:ascii="Times New Roman"/>
                        <w:spacing w:val="-19"/>
                        <w:sz w:val="16"/>
                      </w:rPr>
                      <w:t> </w:t>
                    </w:r>
                    <w:r>
                      <w:rPr>
                        <w:rFonts w:ascii="Times New Roman"/>
                        <w:spacing w:val="-2"/>
                        <w:sz w:val="16"/>
                      </w:rPr>
                      <w:t>svolte</w:t>
                    </w:r>
                    <w:r>
                      <w:rPr>
                        <w:rFonts w:ascii="Times New Roman"/>
                        <w:spacing w:val="-13"/>
                        <w:sz w:val="16"/>
                      </w:rPr>
                      <w:t> </w:t>
                    </w:r>
                    <w:r>
                      <w:rPr>
                        <w:rFonts w:ascii="Times New Roman"/>
                        <w:sz w:val="16"/>
                      </w:rPr>
                      <w:t>successivamente</w:t>
                    </w:r>
                    <w:r>
                      <w:rPr>
                        <w:rFonts w:ascii="Times New Roman"/>
                        <w:spacing w:val="-13"/>
                        <w:sz w:val="16"/>
                      </w:rPr>
                      <w:t> </w:t>
                    </w:r>
                    <w:r>
                      <w:rPr>
                        <w:rFonts w:ascii="Times New Roman"/>
                        <w:sz w:val="16"/>
                      </w:rPr>
                      <w:t>al</w:t>
                    </w:r>
                    <w:r>
                      <w:rPr>
                        <w:rFonts w:ascii="Times New Roman"/>
                        <w:spacing w:val="-18"/>
                        <w:sz w:val="16"/>
                      </w:rPr>
                      <w:t> </w:t>
                    </w:r>
                    <w:r>
                      <w:rPr>
                        <w:rFonts w:ascii="Times New Roman"/>
                        <w:sz w:val="16"/>
                      </w:rPr>
                      <w:t>Ricorso</w:t>
                    </w:r>
                    <w:r>
                      <w:rPr>
                        <w:rFonts w:ascii="Times New Roman"/>
                        <w:spacing w:val="-13"/>
                        <w:sz w:val="16"/>
                      </w:rPr>
                      <w:t> </w:t>
                    </w:r>
                    <w:r>
                      <w:rPr>
                        <w:rFonts w:ascii="Times New Roman"/>
                        <w:spacing w:val="-3"/>
                        <w:sz w:val="16"/>
                      </w:rPr>
                      <w:t>oggetto</w:t>
                    </w:r>
                    <w:r>
                      <w:rPr>
                        <w:rFonts w:ascii="Times New Roman"/>
                        <w:spacing w:val="-13"/>
                        <w:sz w:val="16"/>
                      </w:rPr>
                      <w:t> </w:t>
                    </w:r>
                    <w:r>
                      <w:rPr>
                        <w:rFonts w:ascii="Times New Roman"/>
                        <w:sz w:val="16"/>
                      </w:rPr>
                      <w:t>di</w:t>
                    </w:r>
                    <w:r>
                      <w:rPr>
                        <w:rFonts w:ascii="Times New Roman"/>
                        <w:spacing w:val="-18"/>
                        <w:sz w:val="16"/>
                      </w:rPr>
                      <w:t> </w:t>
                    </w:r>
                    <w:r>
                      <w:rPr>
                        <w:rFonts w:ascii="Times New Roman"/>
                        <w:sz w:val="16"/>
                      </w:rPr>
                      <w:t>incasso</w:t>
                    </w:r>
                    <w:r>
                      <w:rPr>
                        <w:rFonts w:ascii="Times New Roman"/>
                        <w:spacing w:val="-13"/>
                        <w:sz w:val="16"/>
                      </w:rPr>
                      <w:t> </w:t>
                    </w:r>
                    <w:r>
                      <w:rPr>
                        <w:rFonts w:ascii="Times New Roman"/>
                        <w:sz w:val="16"/>
                      </w:rPr>
                      <w:t>nel</w:t>
                    </w:r>
                    <w:r>
                      <w:rPr>
                        <w:rFonts w:ascii="Times New Roman"/>
                        <w:spacing w:val="-19"/>
                        <w:sz w:val="16"/>
                      </w:rPr>
                      <w:t> </w:t>
                    </w:r>
                    <w:r>
                      <w:rPr>
                        <w:rFonts w:ascii="Times New Roman"/>
                        <w:sz w:val="16"/>
                      </w:rPr>
                      <w:t>corrente</w:t>
                    </w:r>
                    <w:r>
                      <w:rPr>
                        <w:rFonts w:ascii="Times New Roman"/>
                        <w:spacing w:val="-13"/>
                        <w:sz w:val="16"/>
                      </w:rPr>
                      <w:t> </w:t>
                    </w:r>
                    <w:r>
                      <w:rPr>
                        <w:rFonts w:ascii="Times New Roman"/>
                        <w:sz w:val="16"/>
                      </w:rPr>
                      <w:t>mese</w:t>
                    </w:r>
                  </w:p>
                </w:txbxContent>
              </v:textbox>
              <w10:wrap type="none"/>
            </v:shape>
            <w10:wrap type="none"/>
          </v:group>
        </w:pict>
      </w:r>
      <w:r>
        <w:rPr/>
        <w:t>In riferimento alla voce crediti commerciali se ne riporta di seguito il dettaglio:</w:t>
      </w:r>
    </w:p>
    <w:p>
      <w:pPr>
        <w:pStyle w:val="BodyText"/>
        <w:spacing w:before="4"/>
        <w:rPr>
          <w:sz w:val="22"/>
        </w:rPr>
      </w:pPr>
      <w:r>
        <w:rPr/>
        <w:pict>
          <v:shape style="position:absolute;margin-left:71.391006pt;margin-top:13.819781pt;width:478.85pt;height:10.5pt;mso-position-horizontal-relative:page;mso-position-vertical-relative:paragraph;z-index:1960;mso-wrap-distance-left:0;mso-wrap-distance-right:0" type="#_x0000_t202" filled="true" fillcolor="#9f2f33" stroked="false">
            <v:textbox inset="0,0,0,0">
              <w:txbxContent>
                <w:p>
                  <w:pPr>
                    <w:tabs>
                      <w:tab w:pos="2898" w:val="left" w:leader="none"/>
                      <w:tab w:pos="6444" w:val="left" w:leader="none"/>
                    </w:tabs>
                    <w:spacing w:before="14"/>
                    <w:ind w:left="25" w:right="0" w:firstLine="0"/>
                    <w:jc w:val="left"/>
                    <w:rPr>
                      <w:rFonts w:ascii="Times New Roman"/>
                      <w:b/>
                      <w:sz w:val="16"/>
                    </w:rPr>
                  </w:pPr>
                  <w:r>
                    <w:rPr>
                      <w:rFonts w:ascii="Times New Roman"/>
                      <w:b/>
                      <w:color w:val="FFFFFF"/>
                      <w:sz w:val="16"/>
                    </w:rPr>
                    <w:t>Crediti</w:t>
                  </w:r>
                  <w:r>
                    <w:rPr>
                      <w:rFonts w:ascii="Times New Roman"/>
                      <w:b/>
                      <w:color w:val="FFFFFF"/>
                      <w:spacing w:val="-15"/>
                      <w:sz w:val="16"/>
                    </w:rPr>
                    <w:t> </w:t>
                  </w:r>
                  <w:r>
                    <w:rPr>
                      <w:rFonts w:ascii="Times New Roman"/>
                      <w:b/>
                      <w:color w:val="FFFFFF"/>
                      <w:sz w:val="16"/>
                    </w:rPr>
                    <w:t>commerciali</w:t>
                    <w:tab/>
                    <w:t>Importo</w:t>
                    <w:tab/>
                    <w:t>Note</w:t>
                  </w:r>
                </w:p>
              </w:txbxContent>
            </v:textbox>
            <v:fill type="solid"/>
            <w10:wrap type="topAndBottom"/>
          </v:shape>
        </w:pict>
      </w:r>
    </w:p>
    <w:p>
      <w:pPr>
        <w:pStyle w:val="ListParagraph"/>
        <w:numPr>
          <w:ilvl w:val="0"/>
          <w:numId w:val="97"/>
        </w:numPr>
        <w:tabs>
          <w:tab w:pos="1549" w:val="left" w:leader="none"/>
          <w:tab w:pos="4387" w:val="left" w:leader="none"/>
        </w:tabs>
        <w:spacing w:line="183" w:lineRule="exact" w:before="0" w:after="0"/>
        <w:ind w:left="1548" w:right="0" w:hanging="95"/>
        <w:jc w:val="left"/>
        <w:rPr>
          <w:rFonts w:ascii="Times New Roman" w:hAnsi="Times New Roman"/>
          <w:sz w:val="16"/>
        </w:rPr>
      </w:pPr>
      <w:r>
        <w:rPr>
          <w:rFonts w:ascii="Times New Roman" w:hAnsi="Times New Roman"/>
          <w:sz w:val="16"/>
        </w:rPr>
        <w:t>Energochemica</w:t>
      </w:r>
      <w:r>
        <w:rPr>
          <w:rFonts w:ascii="Times New Roman" w:hAnsi="Times New Roman"/>
          <w:spacing w:val="-18"/>
          <w:sz w:val="16"/>
        </w:rPr>
        <w:t> </w:t>
      </w:r>
      <w:r>
        <w:rPr>
          <w:rFonts w:ascii="Times New Roman" w:hAnsi="Times New Roman"/>
          <w:sz w:val="16"/>
        </w:rPr>
        <w:t>Trading</w:t>
        <w:tab/>
        <w:t>4.065.229</w:t>
      </w:r>
      <w:r>
        <w:rPr>
          <w:rFonts w:ascii="Times New Roman" w:hAnsi="Times New Roman"/>
          <w:spacing w:val="5"/>
          <w:sz w:val="16"/>
        </w:rPr>
        <w:t> </w:t>
      </w:r>
      <w:r>
        <w:rPr>
          <w:rFonts w:ascii="Times New Roman" w:hAnsi="Times New Roman"/>
          <w:sz w:val="16"/>
        </w:rPr>
        <w:t>4.889. 930,53 euro al 15.10.17  di cui Euro 733. 143,24 </w:t>
      </w:r>
      <w:r>
        <w:rPr>
          <w:rFonts w:ascii="Times New Roman" w:hAnsi="Times New Roman"/>
          <w:spacing w:val="-6"/>
          <w:sz w:val="16"/>
        </w:rPr>
        <w:t>già </w:t>
      </w:r>
      <w:r>
        <w:rPr>
          <w:rFonts w:ascii="Times New Roman" w:hAnsi="Times New Roman"/>
          <w:sz w:val="16"/>
        </w:rPr>
        <w:t>incassato</w:t>
      </w:r>
    </w:p>
    <w:p>
      <w:pPr>
        <w:pStyle w:val="BodyText"/>
        <w:rPr>
          <w:rFonts w:ascii="Times New Roman"/>
          <w:sz w:val="20"/>
        </w:rPr>
      </w:pPr>
    </w:p>
    <w:p>
      <w:pPr>
        <w:pStyle w:val="BodyText"/>
        <w:spacing w:before="10"/>
        <w:rPr>
          <w:rFonts w:ascii="Times New Roman"/>
          <w:sz w:val="18"/>
        </w:rPr>
      </w:pPr>
    </w:p>
    <w:tbl>
      <w:tblPr>
        <w:tblW w:w="0" w:type="auto"/>
        <w:jc w:val="left"/>
        <w:tblInd w:w="142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760"/>
        <w:gridCol w:w="886"/>
        <w:gridCol w:w="5927"/>
      </w:tblGrid>
      <w:tr>
        <w:trPr>
          <w:trHeight w:val="401" w:hRule="exact"/>
        </w:trPr>
        <w:tc>
          <w:tcPr>
            <w:tcW w:w="3645" w:type="dxa"/>
            <w:gridSpan w:val="2"/>
            <w:shd w:val="clear" w:color="auto" w:fill="F1F1F1"/>
          </w:tcPr>
          <w:p>
            <w:pPr/>
          </w:p>
        </w:tc>
        <w:tc>
          <w:tcPr>
            <w:tcW w:w="5927" w:type="dxa"/>
            <w:shd w:val="clear" w:color="auto" w:fill="F1F1F1"/>
          </w:tcPr>
          <w:p>
            <w:pPr>
              <w:pStyle w:val="TableParagraph"/>
              <w:spacing w:line="181" w:lineRule="exact" w:before="0"/>
              <w:ind w:left="56"/>
              <w:jc w:val="left"/>
              <w:rPr>
                <w:rFonts w:ascii="Times New Roman" w:hAnsi="Times New Roman"/>
                <w:sz w:val="16"/>
              </w:rPr>
            </w:pPr>
            <w:r>
              <w:rPr>
                <w:rFonts w:ascii="Times New Roman" w:hAnsi="Times New Roman"/>
                <w:sz w:val="16"/>
              </w:rPr>
              <w:t>di marzo. Nonché di una nuova commessa acquisita nel corso del corrente mese di aprile.</w:t>
            </w:r>
          </w:p>
        </w:tc>
      </w:tr>
      <w:tr>
        <w:trPr>
          <w:trHeight w:val="409" w:hRule="exact"/>
        </w:trPr>
        <w:tc>
          <w:tcPr>
            <w:tcW w:w="2760" w:type="dxa"/>
          </w:tcPr>
          <w:p>
            <w:pPr>
              <w:pStyle w:val="TableParagraph"/>
              <w:spacing w:before="4"/>
              <w:jc w:val="left"/>
              <w:rPr>
                <w:rFonts w:ascii="Times New Roman"/>
                <w:sz w:val="19"/>
              </w:rPr>
            </w:pPr>
          </w:p>
          <w:p>
            <w:pPr>
              <w:pStyle w:val="TableParagraph"/>
              <w:spacing w:before="1"/>
              <w:ind w:left="25"/>
              <w:jc w:val="left"/>
              <w:rPr>
                <w:rFonts w:ascii="Times New Roman"/>
                <w:sz w:val="16"/>
              </w:rPr>
            </w:pPr>
            <w:r>
              <w:rPr>
                <w:rFonts w:ascii="Times New Roman"/>
                <w:sz w:val="16"/>
              </w:rPr>
              <w:t>- Biosco</w:t>
            </w:r>
          </w:p>
        </w:tc>
        <w:tc>
          <w:tcPr>
            <w:tcW w:w="886" w:type="dxa"/>
          </w:tcPr>
          <w:p>
            <w:pPr>
              <w:pStyle w:val="TableParagraph"/>
              <w:spacing w:before="4"/>
              <w:jc w:val="left"/>
              <w:rPr>
                <w:rFonts w:ascii="Times New Roman"/>
                <w:sz w:val="19"/>
              </w:rPr>
            </w:pPr>
          </w:p>
          <w:p>
            <w:pPr>
              <w:pStyle w:val="TableParagraph"/>
              <w:spacing w:before="1"/>
              <w:ind w:right="54"/>
              <w:rPr>
                <w:rFonts w:ascii="Times New Roman"/>
                <w:sz w:val="16"/>
              </w:rPr>
            </w:pPr>
            <w:r>
              <w:rPr>
                <w:rFonts w:ascii="Times New Roman"/>
                <w:w w:val="95"/>
                <w:sz w:val="16"/>
              </w:rPr>
              <w:t>362.000</w:t>
            </w:r>
          </w:p>
        </w:tc>
        <w:tc>
          <w:tcPr>
            <w:tcW w:w="5927" w:type="dxa"/>
          </w:tcPr>
          <w:p>
            <w:pPr>
              <w:pStyle w:val="TableParagraph"/>
              <w:spacing w:line="273" w:lineRule="auto" w:before="14"/>
              <w:ind w:left="56" w:right="694"/>
              <w:jc w:val="left"/>
              <w:rPr>
                <w:rFonts w:ascii="Times New Roman"/>
                <w:sz w:val="16"/>
              </w:rPr>
            </w:pPr>
            <w:r>
              <w:rPr>
                <w:rFonts w:ascii="Times New Roman"/>
                <w:sz w:val="16"/>
              </w:rPr>
              <w:t>Progetto</w:t>
            </w:r>
            <w:r>
              <w:rPr>
                <w:rFonts w:ascii="Times New Roman"/>
                <w:spacing w:val="-14"/>
                <w:sz w:val="16"/>
              </w:rPr>
              <w:t> </w:t>
            </w:r>
            <w:r>
              <w:rPr>
                <w:rFonts w:ascii="Times New Roman"/>
                <w:sz w:val="16"/>
              </w:rPr>
              <w:t>europeo</w:t>
            </w:r>
            <w:r>
              <w:rPr>
                <w:rFonts w:ascii="Times New Roman"/>
                <w:spacing w:val="-14"/>
                <w:sz w:val="16"/>
              </w:rPr>
              <w:t> </w:t>
            </w:r>
            <w:r>
              <w:rPr>
                <w:rFonts w:ascii="Times New Roman"/>
                <w:sz w:val="16"/>
              </w:rPr>
              <w:t>per</w:t>
            </w:r>
            <w:r>
              <w:rPr>
                <w:rFonts w:ascii="Times New Roman"/>
                <w:spacing w:val="-14"/>
                <w:sz w:val="16"/>
              </w:rPr>
              <w:t> </w:t>
            </w:r>
            <w:r>
              <w:rPr>
                <w:rFonts w:ascii="Times New Roman"/>
                <w:spacing w:val="-5"/>
                <w:sz w:val="16"/>
              </w:rPr>
              <w:t>il</w:t>
            </w:r>
            <w:r>
              <w:rPr>
                <w:rFonts w:ascii="Times New Roman"/>
                <w:spacing w:val="-19"/>
                <w:sz w:val="16"/>
              </w:rPr>
              <w:t> </w:t>
            </w:r>
            <w:r>
              <w:rPr>
                <w:rFonts w:ascii="Times New Roman"/>
                <w:sz w:val="16"/>
              </w:rPr>
              <w:t>finanziamento</w:t>
            </w:r>
            <w:r>
              <w:rPr>
                <w:rFonts w:ascii="Times New Roman"/>
                <w:spacing w:val="-14"/>
                <w:sz w:val="16"/>
              </w:rPr>
              <w:t> </w:t>
            </w:r>
            <w:r>
              <w:rPr>
                <w:rFonts w:ascii="Times New Roman"/>
                <w:spacing w:val="-4"/>
                <w:sz w:val="16"/>
              </w:rPr>
              <w:t>della</w:t>
            </w:r>
            <w:r>
              <w:rPr>
                <w:rFonts w:ascii="Times New Roman"/>
                <w:spacing w:val="-14"/>
                <w:sz w:val="16"/>
              </w:rPr>
              <w:t> </w:t>
            </w:r>
            <w:r>
              <w:rPr>
                <w:rFonts w:ascii="Times New Roman"/>
                <w:sz w:val="16"/>
              </w:rPr>
              <w:t>ricerca</w:t>
            </w:r>
            <w:r>
              <w:rPr>
                <w:rFonts w:ascii="Times New Roman"/>
                <w:spacing w:val="-14"/>
                <w:sz w:val="16"/>
              </w:rPr>
              <w:t> </w:t>
            </w:r>
            <w:r>
              <w:rPr>
                <w:rFonts w:ascii="Times New Roman"/>
                <w:spacing w:val="-4"/>
                <w:sz w:val="16"/>
              </w:rPr>
              <w:t>sulla</w:t>
            </w:r>
            <w:r>
              <w:rPr>
                <w:rFonts w:ascii="Times New Roman"/>
                <w:spacing w:val="-14"/>
                <w:sz w:val="16"/>
              </w:rPr>
              <w:t> </w:t>
            </w:r>
            <w:r>
              <w:rPr>
                <w:rFonts w:ascii="Times New Roman"/>
                <w:sz w:val="16"/>
              </w:rPr>
              <w:t>biomassa</w:t>
            </w:r>
            <w:r>
              <w:rPr>
                <w:rFonts w:ascii="Times New Roman"/>
                <w:spacing w:val="-14"/>
                <w:sz w:val="16"/>
              </w:rPr>
              <w:t> </w:t>
            </w:r>
            <w:r>
              <w:rPr>
                <w:rFonts w:ascii="Times New Roman"/>
                <w:sz w:val="16"/>
              </w:rPr>
              <w:t>da</w:t>
            </w:r>
            <w:r>
              <w:rPr>
                <w:rFonts w:ascii="Times New Roman"/>
                <w:spacing w:val="-14"/>
                <w:sz w:val="16"/>
              </w:rPr>
              <w:t> </w:t>
            </w:r>
            <w:r>
              <w:rPr>
                <w:rFonts w:ascii="Times New Roman"/>
                <w:spacing w:val="-3"/>
                <w:sz w:val="16"/>
              </w:rPr>
              <w:t>utilizzare</w:t>
            </w:r>
            <w:r>
              <w:rPr>
                <w:rFonts w:ascii="Times New Roman"/>
                <w:spacing w:val="-14"/>
                <w:sz w:val="16"/>
              </w:rPr>
              <w:t> </w:t>
            </w:r>
            <w:r>
              <w:rPr>
                <w:rFonts w:ascii="Times New Roman"/>
                <w:spacing w:val="-4"/>
                <w:sz w:val="16"/>
              </w:rPr>
              <w:t>nello </w:t>
            </w:r>
            <w:r>
              <w:rPr>
                <w:rFonts w:ascii="Times New Roman"/>
                <w:spacing w:val="-3"/>
                <w:w w:val="95"/>
                <w:sz w:val="16"/>
              </w:rPr>
              <w:t>stabilmento  </w:t>
            </w:r>
            <w:r>
              <w:rPr>
                <w:rFonts w:ascii="Times New Roman"/>
                <w:w w:val="95"/>
                <w:sz w:val="16"/>
              </w:rPr>
              <w:t>di</w:t>
            </w:r>
            <w:r>
              <w:rPr>
                <w:rFonts w:ascii="Times New Roman"/>
                <w:spacing w:val="-1"/>
                <w:w w:val="95"/>
                <w:sz w:val="16"/>
              </w:rPr>
              <w:t> </w:t>
            </w:r>
            <w:r>
              <w:rPr>
                <w:rFonts w:ascii="Times New Roman"/>
                <w:w w:val="95"/>
                <w:sz w:val="16"/>
              </w:rPr>
              <w:t>Energochemica</w:t>
            </w:r>
          </w:p>
        </w:tc>
      </w:tr>
      <w:tr>
        <w:trPr>
          <w:trHeight w:val="428" w:hRule="exact"/>
        </w:trPr>
        <w:tc>
          <w:tcPr>
            <w:tcW w:w="2760" w:type="dxa"/>
            <w:shd w:val="clear" w:color="auto" w:fill="F1F1F1"/>
          </w:tcPr>
          <w:p>
            <w:pPr>
              <w:pStyle w:val="TableParagraph"/>
              <w:spacing w:before="2"/>
              <w:jc w:val="left"/>
              <w:rPr>
                <w:rFonts w:ascii="Times New Roman"/>
                <w:sz w:val="20"/>
              </w:rPr>
            </w:pPr>
          </w:p>
          <w:p>
            <w:pPr>
              <w:pStyle w:val="TableParagraph"/>
              <w:spacing w:before="0"/>
              <w:ind w:left="25"/>
              <w:jc w:val="left"/>
              <w:rPr>
                <w:rFonts w:ascii="Times New Roman"/>
                <w:sz w:val="16"/>
              </w:rPr>
            </w:pPr>
            <w:r>
              <w:rPr>
                <w:rFonts w:ascii="Times New Roman"/>
                <w:sz w:val="16"/>
              </w:rPr>
              <w:t>- Progetto ottimizzazione etanolo</w:t>
            </w:r>
          </w:p>
        </w:tc>
        <w:tc>
          <w:tcPr>
            <w:tcW w:w="886" w:type="dxa"/>
            <w:shd w:val="clear" w:color="auto" w:fill="F1F1F1"/>
          </w:tcPr>
          <w:p>
            <w:pPr>
              <w:pStyle w:val="TableParagraph"/>
              <w:spacing w:before="2"/>
              <w:jc w:val="left"/>
              <w:rPr>
                <w:rFonts w:ascii="Times New Roman"/>
                <w:sz w:val="20"/>
              </w:rPr>
            </w:pPr>
          </w:p>
          <w:p>
            <w:pPr>
              <w:pStyle w:val="TableParagraph"/>
              <w:spacing w:before="0"/>
              <w:ind w:right="54"/>
              <w:rPr>
                <w:rFonts w:ascii="Times New Roman"/>
                <w:sz w:val="16"/>
              </w:rPr>
            </w:pPr>
            <w:r>
              <w:rPr>
                <w:rFonts w:ascii="Times New Roman"/>
                <w:w w:val="95"/>
                <w:sz w:val="16"/>
              </w:rPr>
              <w:t>18.000</w:t>
            </w:r>
          </w:p>
        </w:tc>
        <w:tc>
          <w:tcPr>
            <w:tcW w:w="5927" w:type="dxa"/>
            <w:tcBorders>
              <w:right w:val="single" w:sz="3" w:space="0" w:color="FFFF00"/>
            </w:tcBorders>
            <w:shd w:val="clear" w:color="auto" w:fill="F1F1F1"/>
          </w:tcPr>
          <w:p>
            <w:pPr>
              <w:pStyle w:val="TableParagraph"/>
              <w:spacing w:line="273" w:lineRule="auto" w:before="23"/>
              <w:ind w:left="56" w:right="356"/>
              <w:jc w:val="left"/>
              <w:rPr>
                <w:rFonts w:ascii="Times New Roman"/>
                <w:sz w:val="16"/>
              </w:rPr>
            </w:pPr>
            <w:r>
              <w:rPr>
                <w:rFonts w:ascii="Times New Roman"/>
                <w:sz w:val="16"/>
              </w:rPr>
              <w:t>importo</w:t>
            </w:r>
            <w:r>
              <w:rPr>
                <w:rFonts w:ascii="Times New Roman"/>
                <w:spacing w:val="-13"/>
                <w:sz w:val="16"/>
              </w:rPr>
              <w:t> </w:t>
            </w:r>
            <w:r>
              <w:rPr>
                <w:rFonts w:ascii="Times New Roman"/>
                <w:sz w:val="16"/>
              </w:rPr>
              <w:t>riconosciuto</w:t>
            </w:r>
            <w:r>
              <w:rPr>
                <w:rFonts w:ascii="Times New Roman"/>
                <w:spacing w:val="-13"/>
                <w:sz w:val="16"/>
              </w:rPr>
              <w:t> </w:t>
            </w:r>
            <w:r>
              <w:rPr>
                <w:rFonts w:ascii="Times New Roman"/>
                <w:sz w:val="16"/>
              </w:rPr>
              <w:t>contrattualmente</w:t>
            </w:r>
            <w:r>
              <w:rPr>
                <w:rFonts w:ascii="Times New Roman"/>
                <w:spacing w:val="-13"/>
                <w:sz w:val="16"/>
              </w:rPr>
              <w:t> </w:t>
            </w:r>
            <w:r>
              <w:rPr>
                <w:rFonts w:ascii="Times New Roman"/>
                <w:sz w:val="16"/>
              </w:rPr>
              <w:t>da</w:t>
            </w:r>
            <w:r>
              <w:rPr>
                <w:rFonts w:ascii="Times New Roman"/>
                <w:spacing w:val="-13"/>
                <w:sz w:val="16"/>
              </w:rPr>
              <w:t> </w:t>
            </w:r>
            <w:r>
              <w:rPr>
                <w:rFonts w:ascii="Times New Roman"/>
                <w:sz w:val="16"/>
              </w:rPr>
              <w:t>IBP</w:t>
            </w:r>
            <w:r>
              <w:rPr>
                <w:rFonts w:ascii="Times New Roman"/>
                <w:spacing w:val="-8"/>
                <w:sz w:val="16"/>
              </w:rPr>
              <w:t> </w:t>
            </w:r>
            <w:r>
              <w:rPr>
                <w:rFonts w:ascii="Times New Roman"/>
                <w:spacing w:val="-3"/>
                <w:sz w:val="16"/>
              </w:rPr>
              <w:t>fino</w:t>
            </w:r>
            <w:r>
              <w:rPr>
                <w:rFonts w:ascii="Times New Roman"/>
                <w:spacing w:val="-13"/>
                <w:sz w:val="16"/>
              </w:rPr>
              <w:t> </w:t>
            </w:r>
            <w:r>
              <w:rPr>
                <w:rFonts w:ascii="Times New Roman"/>
                <w:sz w:val="16"/>
              </w:rPr>
              <w:t>al</w:t>
            </w:r>
            <w:r>
              <w:rPr>
                <w:rFonts w:ascii="Times New Roman"/>
                <w:spacing w:val="-18"/>
                <w:sz w:val="16"/>
              </w:rPr>
              <w:t> </w:t>
            </w:r>
            <w:r>
              <w:rPr>
                <w:rFonts w:ascii="Times New Roman"/>
                <w:sz w:val="16"/>
              </w:rPr>
              <w:t>mese</w:t>
            </w:r>
            <w:r>
              <w:rPr>
                <w:rFonts w:ascii="Times New Roman"/>
                <w:spacing w:val="-13"/>
                <w:sz w:val="16"/>
              </w:rPr>
              <w:t> </w:t>
            </w:r>
            <w:r>
              <w:rPr>
                <w:rFonts w:ascii="Times New Roman"/>
                <w:sz w:val="16"/>
              </w:rPr>
              <w:t>di</w:t>
            </w:r>
            <w:r>
              <w:rPr>
                <w:rFonts w:ascii="Times New Roman"/>
                <w:spacing w:val="-18"/>
                <w:sz w:val="16"/>
              </w:rPr>
              <w:t> </w:t>
            </w:r>
            <w:r>
              <w:rPr>
                <w:rFonts w:ascii="Times New Roman"/>
                <w:spacing w:val="-4"/>
                <w:sz w:val="16"/>
              </w:rPr>
              <w:t>Aprile,</w:t>
            </w:r>
            <w:r>
              <w:rPr>
                <w:rFonts w:ascii="Times New Roman"/>
                <w:spacing w:val="-10"/>
                <w:sz w:val="16"/>
              </w:rPr>
              <w:t> </w:t>
            </w:r>
            <w:r>
              <w:rPr>
                <w:rFonts w:ascii="Times New Roman"/>
                <w:sz w:val="16"/>
              </w:rPr>
              <w:t>al</w:t>
            </w:r>
            <w:r>
              <w:rPr>
                <w:rFonts w:ascii="Times New Roman"/>
                <w:spacing w:val="-18"/>
                <w:sz w:val="16"/>
              </w:rPr>
              <w:t> </w:t>
            </w:r>
            <w:r>
              <w:rPr>
                <w:rFonts w:ascii="Times New Roman"/>
                <w:spacing w:val="-3"/>
                <w:sz w:val="16"/>
              </w:rPr>
              <w:t>fine</w:t>
            </w:r>
            <w:r>
              <w:rPr>
                <w:rFonts w:ascii="Times New Roman"/>
                <w:spacing w:val="-13"/>
                <w:sz w:val="16"/>
              </w:rPr>
              <w:t> </w:t>
            </w:r>
            <w:r>
              <w:rPr>
                <w:rFonts w:ascii="Times New Roman"/>
                <w:sz w:val="16"/>
              </w:rPr>
              <w:t>di</w:t>
            </w:r>
            <w:r>
              <w:rPr>
                <w:rFonts w:ascii="Times New Roman"/>
                <w:spacing w:val="-18"/>
                <w:sz w:val="16"/>
              </w:rPr>
              <w:t> </w:t>
            </w:r>
            <w:r>
              <w:rPr>
                <w:rFonts w:ascii="Times New Roman"/>
                <w:sz w:val="16"/>
              </w:rPr>
              <w:t>mantenere </w:t>
            </w:r>
            <w:r>
              <w:rPr>
                <w:rFonts w:ascii="Times New Roman"/>
                <w:spacing w:val="-3"/>
                <w:sz w:val="16"/>
              </w:rPr>
              <w:t>l'impianto</w:t>
            </w:r>
            <w:r>
              <w:rPr>
                <w:rFonts w:ascii="Times New Roman"/>
                <w:spacing w:val="-20"/>
                <w:sz w:val="16"/>
              </w:rPr>
              <w:t> </w:t>
            </w:r>
            <w:r>
              <w:rPr>
                <w:rFonts w:ascii="Times New Roman"/>
                <w:sz w:val="16"/>
              </w:rPr>
              <w:t>di</w:t>
            </w:r>
            <w:r>
              <w:rPr>
                <w:rFonts w:ascii="Times New Roman"/>
                <w:spacing w:val="-24"/>
                <w:sz w:val="16"/>
              </w:rPr>
              <w:t> </w:t>
            </w:r>
            <w:r>
              <w:rPr>
                <w:rFonts w:ascii="Times New Roman"/>
                <w:sz w:val="16"/>
              </w:rPr>
              <w:t>Crescentino</w:t>
            </w:r>
            <w:r>
              <w:rPr>
                <w:rFonts w:ascii="Times New Roman"/>
                <w:spacing w:val="-20"/>
                <w:sz w:val="16"/>
              </w:rPr>
              <w:t> </w:t>
            </w:r>
            <w:r>
              <w:rPr>
                <w:rFonts w:ascii="Times New Roman"/>
                <w:sz w:val="16"/>
              </w:rPr>
              <w:t>pronto</w:t>
            </w:r>
            <w:r>
              <w:rPr>
                <w:rFonts w:ascii="Times New Roman"/>
                <w:spacing w:val="-20"/>
                <w:sz w:val="16"/>
              </w:rPr>
              <w:t> </w:t>
            </w:r>
            <w:r>
              <w:rPr>
                <w:rFonts w:ascii="Times New Roman"/>
                <w:sz w:val="16"/>
              </w:rPr>
              <w:t>all'uso</w:t>
            </w:r>
          </w:p>
        </w:tc>
      </w:tr>
      <w:tr>
        <w:trPr>
          <w:trHeight w:val="619" w:hRule="exact"/>
        </w:trPr>
        <w:tc>
          <w:tcPr>
            <w:tcW w:w="2760" w:type="dxa"/>
          </w:tcPr>
          <w:p>
            <w:pPr>
              <w:pStyle w:val="TableParagraph"/>
              <w:spacing w:before="0"/>
              <w:jc w:val="left"/>
              <w:rPr>
                <w:rFonts w:ascii="Times New Roman"/>
                <w:sz w:val="18"/>
              </w:rPr>
            </w:pPr>
          </w:p>
          <w:p>
            <w:pPr>
              <w:pStyle w:val="TableParagraph"/>
              <w:spacing w:before="7"/>
              <w:jc w:val="left"/>
              <w:rPr>
                <w:rFonts w:ascii="Times New Roman"/>
                <w:sz w:val="19"/>
              </w:rPr>
            </w:pPr>
          </w:p>
          <w:p>
            <w:pPr>
              <w:pStyle w:val="TableParagraph"/>
              <w:spacing w:before="0"/>
              <w:ind w:left="25"/>
              <w:jc w:val="left"/>
              <w:rPr>
                <w:rFonts w:ascii="Times New Roman"/>
                <w:sz w:val="16"/>
              </w:rPr>
            </w:pPr>
            <w:r>
              <w:rPr>
                <w:rFonts w:ascii="Times New Roman"/>
                <w:sz w:val="16"/>
              </w:rPr>
              <w:t>- Rimborsi C5-6</w:t>
            </w:r>
          </w:p>
        </w:tc>
        <w:tc>
          <w:tcPr>
            <w:tcW w:w="886" w:type="dxa"/>
          </w:tcPr>
          <w:p>
            <w:pPr>
              <w:pStyle w:val="TableParagraph"/>
              <w:spacing w:before="0"/>
              <w:jc w:val="left"/>
              <w:rPr>
                <w:rFonts w:ascii="Times New Roman"/>
                <w:sz w:val="18"/>
              </w:rPr>
            </w:pPr>
          </w:p>
          <w:p>
            <w:pPr>
              <w:pStyle w:val="TableParagraph"/>
              <w:spacing w:before="7"/>
              <w:jc w:val="left"/>
              <w:rPr>
                <w:rFonts w:ascii="Times New Roman"/>
                <w:sz w:val="19"/>
              </w:rPr>
            </w:pPr>
          </w:p>
          <w:p>
            <w:pPr>
              <w:pStyle w:val="TableParagraph"/>
              <w:spacing w:before="0"/>
              <w:ind w:right="54"/>
              <w:rPr>
                <w:rFonts w:ascii="Times New Roman"/>
                <w:sz w:val="16"/>
              </w:rPr>
            </w:pPr>
            <w:r>
              <w:rPr>
                <w:rFonts w:ascii="Times New Roman"/>
                <w:w w:val="95"/>
                <w:sz w:val="16"/>
              </w:rPr>
              <w:t>200.000</w:t>
            </w:r>
          </w:p>
        </w:tc>
        <w:tc>
          <w:tcPr>
            <w:tcW w:w="5927" w:type="dxa"/>
          </w:tcPr>
          <w:p>
            <w:pPr>
              <w:pStyle w:val="TableParagraph"/>
              <w:spacing w:line="273" w:lineRule="auto" w:before="14"/>
              <w:ind w:left="56"/>
              <w:jc w:val="left"/>
              <w:rPr>
                <w:rFonts w:ascii="Times New Roman" w:hAnsi="Times New Roman"/>
                <w:sz w:val="16"/>
              </w:rPr>
            </w:pPr>
            <w:r>
              <w:rPr>
                <w:rFonts w:ascii="Times New Roman" w:hAnsi="Times New Roman"/>
                <w:sz w:val="16"/>
              </w:rPr>
              <w:t>Trattasi</w:t>
            </w:r>
            <w:r>
              <w:rPr>
                <w:rFonts w:ascii="Times New Roman" w:hAnsi="Times New Roman"/>
                <w:spacing w:val="-19"/>
                <w:sz w:val="16"/>
              </w:rPr>
              <w:t> </w:t>
            </w:r>
            <w:r>
              <w:rPr>
                <w:rFonts w:ascii="Times New Roman" w:hAnsi="Times New Roman"/>
                <w:spacing w:val="-4"/>
                <w:sz w:val="16"/>
              </w:rPr>
              <w:t>della</w:t>
            </w:r>
            <w:r>
              <w:rPr>
                <w:rFonts w:ascii="Times New Roman" w:hAnsi="Times New Roman"/>
                <w:spacing w:val="-14"/>
                <w:sz w:val="16"/>
              </w:rPr>
              <w:t> </w:t>
            </w:r>
            <w:r>
              <w:rPr>
                <w:rFonts w:ascii="Times New Roman" w:hAnsi="Times New Roman"/>
                <w:sz w:val="16"/>
              </w:rPr>
              <w:t>previsione</w:t>
            </w:r>
            <w:r>
              <w:rPr>
                <w:rFonts w:ascii="Times New Roman" w:hAnsi="Times New Roman"/>
                <w:spacing w:val="-14"/>
                <w:sz w:val="16"/>
              </w:rPr>
              <w:t> </w:t>
            </w:r>
            <w:r>
              <w:rPr>
                <w:rFonts w:ascii="Times New Roman" w:hAnsi="Times New Roman"/>
                <w:sz w:val="16"/>
              </w:rPr>
              <w:t>di</w:t>
            </w:r>
            <w:r>
              <w:rPr>
                <w:rFonts w:ascii="Times New Roman" w:hAnsi="Times New Roman"/>
                <w:spacing w:val="-19"/>
                <w:sz w:val="16"/>
              </w:rPr>
              <w:t> </w:t>
            </w:r>
            <w:r>
              <w:rPr>
                <w:rFonts w:ascii="Times New Roman" w:hAnsi="Times New Roman"/>
                <w:sz w:val="16"/>
              </w:rPr>
              <w:t>incasso</w:t>
            </w:r>
            <w:r>
              <w:rPr>
                <w:rFonts w:ascii="Times New Roman" w:hAnsi="Times New Roman"/>
                <w:spacing w:val="-14"/>
                <w:sz w:val="16"/>
              </w:rPr>
              <w:t> </w:t>
            </w:r>
            <w:r>
              <w:rPr>
                <w:rFonts w:ascii="Times New Roman" w:hAnsi="Times New Roman"/>
                <w:sz w:val="16"/>
              </w:rPr>
              <w:t>di</w:t>
            </w:r>
            <w:r>
              <w:rPr>
                <w:rFonts w:ascii="Times New Roman" w:hAnsi="Times New Roman"/>
                <w:spacing w:val="-19"/>
                <w:sz w:val="16"/>
              </w:rPr>
              <w:t> </w:t>
            </w:r>
            <w:r>
              <w:rPr>
                <w:rFonts w:ascii="Times New Roman" w:hAnsi="Times New Roman"/>
                <w:sz w:val="16"/>
              </w:rPr>
              <w:t>un</w:t>
            </w:r>
            <w:r>
              <w:rPr>
                <w:rFonts w:ascii="Times New Roman" w:hAnsi="Times New Roman"/>
                <w:spacing w:val="-14"/>
                <w:sz w:val="16"/>
              </w:rPr>
              <w:t> </w:t>
            </w:r>
            <w:r>
              <w:rPr>
                <w:rFonts w:ascii="Times New Roman" w:hAnsi="Times New Roman"/>
                <w:sz w:val="16"/>
              </w:rPr>
              <w:t>credito</w:t>
            </w:r>
            <w:r>
              <w:rPr>
                <w:rFonts w:ascii="Times New Roman" w:hAnsi="Times New Roman"/>
                <w:spacing w:val="-14"/>
                <w:sz w:val="16"/>
              </w:rPr>
              <w:t> </w:t>
            </w:r>
            <w:r>
              <w:rPr>
                <w:rFonts w:ascii="Times New Roman" w:hAnsi="Times New Roman"/>
                <w:spacing w:val="-5"/>
                <w:sz w:val="16"/>
              </w:rPr>
              <w:t>in</w:t>
            </w:r>
            <w:r>
              <w:rPr>
                <w:rFonts w:ascii="Times New Roman" w:hAnsi="Times New Roman"/>
                <w:spacing w:val="-14"/>
                <w:sz w:val="16"/>
              </w:rPr>
              <w:t> </w:t>
            </w:r>
            <w:r>
              <w:rPr>
                <w:rFonts w:ascii="Times New Roman" w:hAnsi="Times New Roman"/>
                <w:sz w:val="16"/>
              </w:rPr>
              <w:t>essere</w:t>
            </w:r>
            <w:r>
              <w:rPr>
                <w:rFonts w:ascii="Times New Roman" w:hAnsi="Times New Roman"/>
                <w:spacing w:val="-14"/>
                <w:sz w:val="16"/>
              </w:rPr>
              <w:t> </w:t>
            </w:r>
            <w:r>
              <w:rPr>
                <w:rFonts w:ascii="Times New Roman" w:hAnsi="Times New Roman"/>
                <w:sz w:val="16"/>
              </w:rPr>
              <w:t>nei</w:t>
            </w:r>
            <w:r>
              <w:rPr>
                <w:rFonts w:ascii="Times New Roman" w:hAnsi="Times New Roman"/>
                <w:spacing w:val="-19"/>
                <w:sz w:val="16"/>
              </w:rPr>
              <w:t> </w:t>
            </w:r>
            <w:r>
              <w:rPr>
                <w:rFonts w:ascii="Times New Roman" w:hAnsi="Times New Roman"/>
                <w:sz w:val="16"/>
              </w:rPr>
              <w:t>confronti</w:t>
            </w:r>
            <w:r>
              <w:rPr>
                <w:rFonts w:ascii="Times New Roman" w:hAnsi="Times New Roman"/>
                <w:spacing w:val="-19"/>
                <w:sz w:val="16"/>
              </w:rPr>
              <w:t> </w:t>
            </w:r>
            <w:r>
              <w:rPr>
                <w:rFonts w:ascii="Times New Roman" w:hAnsi="Times New Roman"/>
                <w:spacing w:val="-4"/>
                <w:sz w:val="16"/>
              </w:rPr>
              <w:t>della</w:t>
            </w:r>
            <w:r>
              <w:rPr>
                <w:rFonts w:ascii="Times New Roman" w:hAnsi="Times New Roman"/>
                <w:spacing w:val="-14"/>
                <w:sz w:val="16"/>
              </w:rPr>
              <w:t> </w:t>
            </w:r>
            <w:r>
              <w:rPr>
                <w:rFonts w:ascii="Times New Roman" w:hAnsi="Times New Roman"/>
                <w:sz w:val="16"/>
              </w:rPr>
              <w:t>controllata.</w:t>
            </w:r>
            <w:r>
              <w:rPr>
                <w:rFonts w:ascii="Times New Roman" w:hAnsi="Times New Roman"/>
                <w:spacing w:val="-11"/>
                <w:sz w:val="16"/>
              </w:rPr>
              <w:t> </w:t>
            </w:r>
            <w:r>
              <w:rPr>
                <w:rFonts w:ascii="Times New Roman" w:hAnsi="Times New Roman"/>
                <w:sz w:val="16"/>
              </w:rPr>
              <w:t>C5-6 disporrà</w:t>
            </w:r>
            <w:r>
              <w:rPr>
                <w:rFonts w:ascii="Times New Roman" w:hAnsi="Times New Roman"/>
                <w:spacing w:val="-11"/>
                <w:sz w:val="16"/>
              </w:rPr>
              <w:t> </w:t>
            </w:r>
            <w:r>
              <w:rPr>
                <w:rFonts w:ascii="Times New Roman" w:hAnsi="Times New Roman"/>
                <w:spacing w:val="-4"/>
                <w:sz w:val="16"/>
              </w:rPr>
              <w:t>delle</w:t>
            </w:r>
            <w:r>
              <w:rPr>
                <w:rFonts w:ascii="Times New Roman" w:hAnsi="Times New Roman"/>
                <w:spacing w:val="-11"/>
                <w:sz w:val="16"/>
              </w:rPr>
              <w:t> </w:t>
            </w:r>
            <w:r>
              <w:rPr>
                <w:rFonts w:ascii="Times New Roman" w:hAnsi="Times New Roman"/>
                <w:sz w:val="16"/>
              </w:rPr>
              <w:t>cassa</w:t>
            </w:r>
            <w:r>
              <w:rPr>
                <w:rFonts w:ascii="Times New Roman" w:hAnsi="Times New Roman"/>
                <w:spacing w:val="-11"/>
                <w:sz w:val="16"/>
              </w:rPr>
              <w:t> </w:t>
            </w:r>
            <w:r>
              <w:rPr>
                <w:rFonts w:ascii="Times New Roman" w:hAnsi="Times New Roman"/>
                <w:sz w:val="16"/>
              </w:rPr>
              <w:t>necessaria</w:t>
            </w:r>
            <w:r>
              <w:rPr>
                <w:rFonts w:ascii="Times New Roman" w:hAnsi="Times New Roman"/>
                <w:spacing w:val="-11"/>
                <w:sz w:val="16"/>
              </w:rPr>
              <w:t> </w:t>
            </w:r>
            <w:r>
              <w:rPr>
                <w:rFonts w:ascii="Times New Roman" w:hAnsi="Times New Roman"/>
                <w:sz w:val="16"/>
              </w:rPr>
              <w:t>al</w:t>
            </w:r>
            <w:r>
              <w:rPr>
                <w:rFonts w:ascii="Times New Roman" w:hAnsi="Times New Roman"/>
                <w:spacing w:val="-16"/>
                <w:sz w:val="16"/>
              </w:rPr>
              <w:t> </w:t>
            </w:r>
            <w:r>
              <w:rPr>
                <w:rFonts w:ascii="Times New Roman" w:hAnsi="Times New Roman"/>
                <w:sz w:val="16"/>
              </w:rPr>
              <w:t>rimborso</w:t>
            </w:r>
            <w:r>
              <w:rPr>
                <w:rFonts w:ascii="Times New Roman" w:hAnsi="Times New Roman"/>
                <w:spacing w:val="-11"/>
                <w:sz w:val="16"/>
              </w:rPr>
              <w:t> </w:t>
            </w:r>
            <w:r>
              <w:rPr>
                <w:rFonts w:ascii="Times New Roman" w:hAnsi="Times New Roman"/>
                <w:sz w:val="16"/>
              </w:rPr>
              <w:t>dei</w:t>
            </w:r>
            <w:r>
              <w:rPr>
                <w:rFonts w:ascii="Times New Roman" w:hAnsi="Times New Roman"/>
                <w:spacing w:val="-17"/>
                <w:sz w:val="16"/>
              </w:rPr>
              <w:t> </w:t>
            </w:r>
            <w:r>
              <w:rPr>
                <w:rFonts w:ascii="Times New Roman" w:hAnsi="Times New Roman"/>
                <w:sz w:val="16"/>
              </w:rPr>
              <w:t>200K€</w:t>
            </w:r>
            <w:r>
              <w:rPr>
                <w:rFonts w:ascii="Times New Roman" w:hAnsi="Times New Roman"/>
                <w:spacing w:val="-11"/>
                <w:sz w:val="16"/>
              </w:rPr>
              <w:t> </w:t>
            </w:r>
            <w:r>
              <w:rPr>
                <w:rFonts w:ascii="Times New Roman" w:hAnsi="Times New Roman"/>
                <w:sz w:val="16"/>
              </w:rPr>
              <w:t>,</w:t>
            </w:r>
            <w:r>
              <w:rPr>
                <w:rFonts w:ascii="Times New Roman" w:hAnsi="Times New Roman"/>
                <w:spacing w:val="-8"/>
                <w:sz w:val="16"/>
              </w:rPr>
              <w:t> </w:t>
            </w:r>
            <w:r>
              <w:rPr>
                <w:rFonts w:ascii="Times New Roman" w:hAnsi="Times New Roman"/>
                <w:sz w:val="16"/>
              </w:rPr>
              <w:t>dopo</w:t>
            </w:r>
            <w:r>
              <w:rPr>
                <w:rFonts w:ascii="Times New Roman" w:hAnsi="Times New Roman"/>
                <w:spacing w:val="-11"/>
                <w:sz w:val="16"/>
              </w:rPr>
              <w:t> </w:t>
            </w:r>
            <w:r>
              <w:rPr>
                <w:rFonts w:ascii="Times New Roman" w:hAnsi="Times New Roman"/>
                <w:sz w:val="16"/>
              </w:rPr>
              <w:t>aver</w:t>
            </w:r>
            <w:r>
              <w:rPr>
                <w:rFonts w:ascii="Times New Roman" w:hAnsi="Times New Roman"/>
                <w:spacing w:val="-11"/>
                <w:sz w:val="16"/>
              </w:rPr>
              <w:t> </w:t>
            </w:r>
            <w:r>
              <w:rPr>
                <w:rFonts w:ascii="Times New Roman" w:hAnsi="Times New Roman"/>
                <w:sz w:val="16"/>
              </w:rPr>
              <w:t>rimborsato</w:t>
            </w:r>
            <w:r>
              <w:rPr>
                <w:rFonts w:ascii="Times New Roman" w:hAnsi="Times New Roman"/>
                <w:spacing w:val="-11"/>
                <w:sz w:val="16"/>
              </w:rPr>
              <w:t> </w:t>
            </w:r>
            <w:r>
              <w:rPr>
                <w:rFonts w:ascii="Times New Roman" w:hAnsi="Times New Roman"/>
                <w:sz w:val="16"/>
              </w:rPr>
              <w:t>una</w:t>
            </w:r>
            <w:r>
              <w:rPr>
                <w:rFonts w:ascii="Times New Roman" w:hAnsi="Times New Roman"/>
                <w:spacing w:val="-11"/>
                <w:sz w:val="16"/>
              </w:rPr>
              <w:t> </w:t>
            </w:r>
            <w:r>
              <w:rPr>
                <w:rFonts w:ascii="Times New Roman" w:hAnsi="Times New Roman"/>
                <w:sz w:val="16"/>
              </w:rPr>
              <w:t>società</w:t>
            </w:r>
            <w:r>
              <w:rPr>
                <w:rFonts w:ascii="Times New Roman" w:hAnsi="Times New Roman"/>
                <w:spacing w:val="-11"/>
                <w:sz w:val="16"/>
              </w:rPr>
              <w:t> </w:t>
            </w:r>
            <w:r>
              <w:rPr>
                <w:rFonts w:ascii="Times New Roman" w:hAnsi="Times New Roman"/>
                <w:sz w:val="16"/>
              </w:rPr>
              <w:t>di </w:t>
            </w:r>
            <w:r>
              <w:rPr>
                <w:rFonts w:ascii="Times New Roman" w:hAnsi="Times New Roman"/>
                <w:spacing w:val="-3"/>
                <w:sz w:val="16"/>
              </w:rPr>
              <w:t>Leasing,</w:t>
            </w:r>
            <w:r>
              <w:rPr>
                <w:rFonts w:ascii="Times New Roman" w:hAnsi="Times New Roman"/>
                <w:spacing w:val="-12"/>
                <w:sz w:val="16"/>
              </w:rPr>
              <w:t> </w:t>
            </w:r>
            <w:r>
              <w:rPr>
                <w:rFonts w:ascii="Times New Roman" w:hAnsi="Times New Roman"/>
                <w:spacing w:val="-3"/>
                <w:sz w:val="16"/>
              </w:rPr>
              <w:t>solo</w:t>
            </w:r>
            <w:r>
              <w:rPr>
                <w:rFonts w:ascii="Times New Roman" w:hAnsi="Times New Roman"/>
                <w:spacing w:val="-15"/>
                <w:sz w:val="16"/>
              </w:rPr>
              <w:t> </w:t>
            </w:r>
            <w:r>
              <w:rPr>
                <w:rFonts w:ascii="Times New Roman" w:hAnsi="Times New Roman"/>
                <w:sz w:val="16"/>
              </w:rPr>
              <w:t>a</w:t>
            </w:r>
            <w:r>
              <w:rPr>
                <w:rFonts w:ascii="Times New Roman" w:hAnsi="Times New Roman"/>
                <w:spacing w:val="-15"/>
                <w:sz w:val="16"/>
              </w:rPr>
              <w:t> </w:t>
            </w:r>
            <w:r>
              <w:rPr>
                <w:rFonts w:ascii="Times New Roman" w:hAnsi="Times New Roman"/>
                <w:sz w:val="16"/>
              </w:rPr>
              <w:t>seguti</w:t>
            </w:r>
            <w:r>
              <w:rPr>
                <w:rFonts w:ascii="Times New Roman" w:hAnsi="Times New Roman"/>
                <w:spacing w:val="-20"/>
                <w:sz w:val="16"/>
              </w:rPr>
              <w:t> </w:t>
            </w:r>
            <w:r>
              <w:rPr>
                <w:rFonts w:ascii="Times New Roman" w:hAnsi="Times New Roman"/>
                <w:sz w:val="16"/>
              </w:rPr>
              <w:t>dell'incasso</w:t>
            </w:r>
            <w:r>
              <w:rPr>
                <w:rFonts w:ascii="Times New Roman" w:hAnsi="Times New Roman"/>
                <w:spacing w:val="-15"/>
                <w:sz w:val="16"/>
              </w:rPr>
              <w:t> </w:t>
            </w:r>
            <w:r>
              <w:rPr>
                <w:rFonts w:ascii="Times New Roman" w:hAnsi="Times New Roman"/>
                <w:sz w:val="16"/>
              </w:rPr>
              <w:t>dei</w:t>
            </w:r>
            <w:r>
              <w:rPr>
                <w:rFonts w:ascii="Times New Roman" w:hAnsi="Times New Roman"/>
                <w:spacing w:val="-20"/>
                <w:sz w:val="16"/>
              </w:rPr>
              <w:t> </w:t>
            </w:r>
            <w:r>
              <w:rPr>
                <w:rFonts w:ascii="Times New Roman" w:hAnsi="Times New Roman"/>
                <w:sz w:val="16"/>
              </w:rPr>
              <w:t>contributi</w:t>
            </w:r>
            <w:r>
              <w:rPr>
                <w:rFonts w:ascii="Times New Roman" w:hAnsi="Times New Roman"/>
                <w:spacing w:val="-20"/>
                <w:sz w:val="16"/>
              </w:rPr>
              <w:t> </w:t>
            </w:r>
            <w:r>
              <w:rPr>
                <w:rFonts w:ascii="Times New Roman" w:hAnsi="Times New Roman"/>
                <w:sz w:val="16"/>
              </w:rPr>
              <w:t>da</w:t>
            </w:r>
            <w:r>
              <w:rPr>
                <w:rFonts w:ascii="Times New Roman" w:hAnsi="Times New Roman"/>
                <w:spacing w:val="-15"/>
                <w:sz w:val="16"/>
              </w:rPr>
              <w:t> </w:t>
            </w:r>
            <w:r>
              <w:rPr>
                <w:rFonts w:ascii="Times New Roman" w:hAnsi="Times New Roman"/>
                <w:sz w:val="16"/>
              </w:rPr>
              <w:t>parte</w:t>
            </w:r>
            <w:r>
              <w:rPr>
                <w:rFonts w:ascii="Times New Roman" w:hAnsi="Times New Roman"/>
                <w:spacing w:val="-15"/>
                <w:sz w:val="16"/>
              </w:rPr>
              <w:t> </w:t>
            </w:r>
            <w:r>
              <w:rPr>
                <w:rFonts w:ascii="Times New Roman" w:hAnsi="Times New Roman"/>
                <w:spacing w:val="-4"/>
                <w:sz w:val="16"/>
              </w:rPr>
              <w:t>della</w:t>
            </w:r>
            <w:r>
              <w:rPr>
                <w:rFonts w:ascii="Times New Roman" w:hAnsi="Times New Roman"/>
                <w:spacing w:val="-15"/>
                <w:sz w:val="16"/>
              </w:rPr>
              <w:t> </w:t>
            </w:r>
            <w:r>
              <w:rPr>
                <w:rFonts w:ascii="Times New Roman" w:hAnsi="Times New Roman"/>
                <w:spacing w:val="-3"/>
                <w:sz w:val="16"/>
              </w:rPr>
              <w:t>regione</w:t>
            </w:r>
            <w:r>
              <w:rPr>
                <w:rFonts w:ascii="Times New Roman" w:hAnsi="Times New Roman"/>
                <w:spacing w:val="-15"/>
                <w:sz w:val="16"/>
              </w:rPr>
              <w:t> </w:t>
            </w:r>
            <w:r>
              <w:rPr>
                <w:rFonts w:ascii="Times New Roman" w:hAnsi="Times New Roman"/>
                <w:sz w:val="16"/>
              </w:rPr>
              <w:t>Piemonte</w:t>
            </w:r>
          </w:p>
        </w:tc>
      </w:tr>
      <w:tr>
        <w:trPr>
          <w:trHeight w:val="423" w:hRule="exact"/>
        </w:trPr>
        <w:tc>
          <w:tcPr>
            <w:tcW w:w="2760" w:type="dxa"/>
            <w:tcBorders>
              <w:bottom w:val="single" w:sz="4" w:space="0" w:color="000000"/>
            </w:tcBorders>
            <w:shd w:val="clear" w:color="auto" w:fill="F1F1F1"/>
          </w:tcPr>
          <w:p>
            <w:pPr>
              <w:pStyle w:val="TableParagraph"/>
              <w:spacing w:before="2"/>
              <w:jc w:val="left"/>
              <w:rPr>
                <w:rFonts w:ascii="Times New Roman"/>
                <w:sz w:val="20"/>
              </w:rPr>
            </w:pPr>
          </w:p>
          <w:p>
            <w:pPr>
              <w:pStyle w:val="TableParagraph"/>
              <w:spacing w:before="0"/>
              <w:ind w:left="25"/>
              <w:jc w:val="left"/>
              <w:rPr>
                <w:rFonts w:ascii="Times New Roman"/>
                <w:sz w:val="16"/>
              </w:rPr>
            </w:pPr>
            <w:r>
              <w:rPr>
                <w:rFonts w:ascii="Times New Roman"/>
                <w:sz w:val="16"/>
              </w:rPr>
              <w:t>- Riaddebito personale IBP e MG Resins</w:t>
            </w:r>
          </w:p>
        </w:tc>
        <w:tc>
          <w:tcPr>
            <w:tcW w:w="886" w:type="dxa"/>
            <w:tcBorders>
              <w:bottom w:val="single" w:sz="4" w:space="0" w:color="000000"/>
            </w:tcBorders>
            <w:shd w:val="clear" w:color="auto" w:fill="F1F1F1"/>
          </w:tcPr>
          <w:p>
            <w:pPr>
              <w:pStyle w:val="TableParagraph"/>
              <w:spacing w:before="2"/>
              <w:jc w:val="left"/>
              <w:rPr>
                <w:rFonts w:ascii="Times New Roman"/>
                <w:sz w:val="20"/>
              </w:rPr>
            </w:pPr>
          </w:p>
          <w:p>
            <w:pPr>
              <w:pStyle w:val="TableParagraph"/>
              <w:spacing w:before="0"/>
              <w:ind w:right="54"/>
              <w:rPr>
                <w:rFonts w:ascii="Times New Roman"/>
                <w:sz w:val="16"/>
              </w:rPr>
            </w:pPr>
            <w:r>
              <w:rPr>
                <w:rFonts w:ascii="Times New Roman"/>
                <w:w w:val="95"/>
                <w:sz w:val="16"/>
              </w:rPr>
              <w:t>250.800</w:t>
            </w:r>
          </w:p>
        </w:tc>
        <w:tc>
          <w:tcPr>
            <w:tcW w:w="5927" w:type="dxa"/>
            <w:tcBorders>
              <w:bottom w:val="single" w:sz="4" w:space="0" w:color="000000"/>
            </w:tcBorders>
            <w:shd w:val="clear" w:color="auto" w:fill="F1F1F1"/>
          </w:tcPr>
          <w:p>
            <w:pPr>
              <w:pStyle w:val="TableParagraph"/>
              <w:spacing w:line="273" w:lineRule="auto" w:before="23"/>
              <w:ind w:left="56"/>
              <w:jc w:val="left"/>
              <w:rPr>
                <w:rFonts w:ascii="Times New Roman" w:hAnsi="Times New Roman"/>
                <w:sz w:val="16"/>
              </w:rPr>
            </w:pPr>
            <w:r>
              <w:rPr>
                <w:rFonts w:ascii="Times New Roman" w:hAnsi="Times New Roman"/>
                <w:sz w:val="16"/>
              </w:rPr>
              <w:t>Dsitaccamento</w:t>
            </w:r>
            <w:r>
              <w:rPr>
                <w:rFonts w:ascii="Times New Roman" w:hAnsi="Times New Roman"/>
                <w:spacing w:val="-10"/>
                <w:sz w:val="16"/>
              </w:rPr>
              <w:t> </w:t>
            </w:r>
            <w:r>
              <w:rPr>
                <w:rFonts w:ascii="Times New Roman" w:hAnsi="Times New Roman"/>
                <w:sz w:val="16"/>
              </w:rPr>
              <w:t>di</w:t>
            </w:r>
            <w:r>
              <w:rPr>
                <w:rFonts w:ascii="Times New Roman" w:hAnsi="Times New Roman"/>
                <w:spacing w:val="-16"/>
                <w:sz w:val="16"/>
              </w:rPr>
              <w:t> </w:t>
            </w:r>
            <w:r>
              <w:rPr>
                <w:rFonts w:ascii="Times New Roman" w:hAnsi="Times New Roman"/>
                <w:sz w:val="16"/>
              </w:rPr>
              <w:t>n.3</w:t>
            </w:r>
            <w:r>
              <w:rPr>
                <w:rFonts w:ascii="Times New Roman" w:hAnsi="Times New Roman"/>
                <w:spacing w:val="-10"/>
                <w:sz w:val="16"/>
              </w:rPr>
              <w:t> </w:t>
            </w:r>
            <w:r>
              <w:rPr>
                <w:rFonts w:ascii="Times New Roman" w:hAnsi="Times New Roman"/>
                <w:sz w:val="16"/>
              </w:rPr>
              <w:t>unità</w:t>
            </w:r>
            <w:r>
              <w:rPr>
                <w:rFonts w:ascii="Times New Roman" w:hAnsi="Times New Roman"/>
                <w:spacing w:val="-10"/>
                <w:sz w:val="16"/>
              </w:rPr>
              <w:t> </w:t>
            </w:r>
            <w:r>
              <w:rPr>
                <w:rFonts w:ascii="Times New Roman" w:hAnsi="Times New Roman"/>
                <w:sz w:val="16"/>
              </w:rPr>
              <w:t>presso</w:t>
            </w:r>
            <w:r>
              <w:rPr>
                <w:rFonts w:ascii="Times New Roman" w:hAnsi="Times New Roman"/>
                <w:spacing w:val="-10"/>
                <w:sz w:val="16"/>
              </w:rPr>
              <w:t> </w:t>
            </w:r>
            <w:r>
              <w:rPr>
                <w:rFonts w:ascii="Times New Roman" w:hAnsi="Times New Roman"/>
                <w:sz w:val="16"/>
              </w:rPr>
              <w:t>IBP</w:t>
            </w:r>
            <w:r>
              <w:rPr>
                <w:rFonts w:ascii="Times New Roman" w:hAnsi="Times New Roman"/>
                <w:spacing w:val="-4"/>
                <w:sz w:val="16"/>
              </w:rPr>
              <w:t> </w:t>
            </w:r>
            <w:r>
              <w:rPr>
                <w:rFonts w:ascii="Times New Roman" w:hAnsi="Times New Roman"/>
                <w:sz w:val="16"/>
              </w:rPr>
              <w:t>e</w:t>
            </w:r>
            <w:r>
              <w:rPr>
                <w:rFonts w:ascii="Times New Roman" w:hAnsi="Times New Roman"/>
                <w:spacing w:val="-10"/>
                <w:sz w:val="16"/>
              </w:rPr>
              <w:t> </w:t>
            </w:r>
            <w:r>
              <w:rPr>
                <w:rFonts w:ascii="Times New Roman" w:hAnsi="Times New Roman"/>
                <w:sz w:val="16"/>
              </w:rPr>
              <w:t>n.1</w:t>
            </w:r>
            <w:r>
              <w:rPr>
                <w:rFonts w:ascii="Times New Roman" w:hAnsi="Times New Roman"/>
                <w:spacing w:val="-10"/>
                <w:sz w:val="16"/>
              </w:rPr>
              <w:t> </w:t>
            </w:r>
            <w:r>
              <w:rPr>
                <w:rFonts w:ascii="Times New Roman" w:hAnsi="Times New Roman"/>
                <w:sz w:val="16"/>
              </w:rPr>
              <w:t>unità</w:t>
            </w:r>
            <w:r>
              <w:rPr>
                <w:rFonts w:ascii="Times New Roman" w:hAnsi="Times New Roman"/>
                <w:spacing w:val="-10"/>
                <w:sz w:val="16"/>
              </w:rPr>
              <w:t> </w:t>
            </w:r>
            <w:r>
              <w:rPr>
                <w:rFonts w:ascii="Times New Roman" w:hAnsi="Times New Roman"/>
                <w:sz w:val="16"/>
              </w:rPr>
              <w:t>presso</w:t>
            </w:r>
            <w:r>
              <w:rPr>
                <w:rFonts w:ascii="Times New Roman" w:hAnsi="Times New Roman"/>
                <w:spacing w:val="-10"/>
                <w:sz w:val="16"/>
              </w:rPr>
              <w:t> </w:t>
            </w:r>
            <w:r>
              <w:rPr>
                <w:rFonts w:ascii="Times New Roman" w:hAnsi="Times New Roman"/>
                <w:sz w:val="16"/>
              </w:rPr>
              <w:t>MG</w:t>
            </w:r>
            <w:r>
              <w:rPr>
                <w:rFonts w:ascii="Times New Roman" w:hAnsi="Times New Roman"/>
                <w:spacing w:val="-10"/>
                <w:sz w:val="16"/>
              </w:rPr>
              <w:t> </w:t>
            </w:r>
            <w:r>
              <w:rPr>
                <w:rFonts w:ascii="Times New Roman" w:hAnsi="Times New Roman"/>
                <w:sz w:val="16"/>
              </w:rPr>
              <w:t>Resins,</w:t>
            </w:r>
            <w:r>
              <w:rPr>
                <w:rFonts w:ascii="Times New Roman" w:hAnsi="Times New Roman"/>
                <w:spacing w:val="-7"/>
                <w:sz w:val="16"/>
              </w:rPr>
              <w:t> </w:t>
            </w:r>
            <w:r>
              <w:rPr>
                <w:rFonts w:ascii="Times New Roman" w:hAnsi="Times New Roman"/>
                <w:spacing w:val="-3"/>
                <w:sz w:val="16"/>
              </w:rPr>
              <w:t>privisti</w:t>
            </w:r>
            <w:r>
              <w:rPr>
                <w:rFonts w:ascii="Times New Roman" w:hAnsi="Times New Roman"/>
                <w:spacing w:val="-16"/>
                <w:sz w:val="16"/>
              </w:rPr>
              <w:t> </w:t>
            </w:r>
            <w:r>
              <w:rPr>
                <w:rFonts w:ascii="Times New Roman" w:hAnsi="Times New Roman"/>
                <w:spacing w:val="-3"/>
                <w:sz w:val="16"/>
              </w:rPr>
              <w:t>fino</w:t>
            </w:r>
            <w:r>
              <w:rPr>
                <w:rFonts w:ascii="Times New Roman" w:hAnsi="Times New Roman"/>
                <w:spacing w:val="-10"/>
                <w:sz w:val="16"/>
              </w:rPr>
              <w:t> </w:t>
            </w:r>
            <w:r>
              <w:rPr>
                <w:rFonts w:ascii="Times New Roman" w:hAnsi="Times New Roman"/>
                <w:sz w:val="16"/>
              </w:rPr>
              <w:t>al</w:t>
            </w:r>
            <w:r>
              <w:rPr>
                <w:rFonts w:ascii="Times New Roman" w:hAnsi="Times New Roman"/>
                <w:spacing w:val="-16"/>
                <w:sz w:val="16"/>
              </w:rPr>
              <w:t> </w:t>
            </w:r>
            <w:r>
              <w:rPr>
                <w:rFonts w:ascii="Times New Roman" w:hAnsi="Times New Roman"/>
                <w:sz w:val="16"/>
              </w:rPr>
              <w:t>mese</w:t>
            </w:r>
            <w:r>
              <w:rPr>
                <w:rFonts w:ascii="Times New Roman" w:hAnsi="Times New Roman"/>
                <w:spacing w:val="-10"/>
                <w:sz w:val="16"/>
              </w:rPr>
              <w:t> </w:t>
            </w:r>
            <w:r>
              <w:rPr>
                <w:rFonts w:ascii="Times New Roman" w:hAnsi="Times New Roman"/>
                <w:sz w:val="16"/>
              </w:rPr>
              <w:t>di </w:t>
            </w:r>
            <w:r>
              <w:rPr>
                <w:rFonts w:ascii="Times New Roman" w:hAnsi="Times New Roman"/>
                <w:w w:val="95"/>
                <w:sz w:val="16"/>
              </w:rPr>
              <w:t>Settembre</w:t>
            </w:r>
            <w:r>
              <w:rPr>
                <w:rFonts w:ascii="Times New Roman" w:hAnsi="Times New Roman"/>
                <w:spacing w:val="20"/>
                <w:w w:val="95"/>
                <w:sz w:val="16"/>
              </w:rPr>
              <w:t> </w:t>
            </w:r>
            <w:r>
              <w:rPr>
                <w:rFonts w:ascii="Times New Roman" w:hAnsi="Times New Roman"/>
                <w:w w:val="95"/>
                <w:sz w:val="16"/>
              </w:rPr>
              <w:t>2018</w:t>
            </w:r>
          </w:p>
        </w:tc>
      </w:tr>
      <w:tr>
        <w:trPr>
          <w:trHeight w:val="204" w:hRule="exact"/>
        </w:trPr>
        <w:tc>
          <w:tcPr>
            <w:tcW w:w="2760" w:type="dxa"/>
            <w:tcBorders>
              <w:top w:val="single" w:sz="4" w:space="0" w:color="000000"/>
            </w:tcBorders>
          </w:tcPr>
          <w:p>
            <w:pPr>
              <w:pStyle w:val="TableParagraph"/>
              <w:spacing w:before="14"/>
              <w:ind w:left="25"/>
              <w:jc w:val="left"/>
              <w:rPr>
                <w:rFonts w:ascii="Times New Roman"/>
                <w:b/>
                <w:sz w:val="16"/>
              </w:rPr>
            </w:pPr>
            <w:r>
              <w:rPr>
                <w:rFonts w:ascii="Times New Roman"/>
                <w:b/>
                <w:sz w:val="16"/>
              </w:rPr>
              <w:t>totale</w:t>
            </w:r>
          </w:p>
        </w:tc>
        <w:tc>
          <w:tcPr>
            <w:tcW w:w="886" w:type="dxa"/>
            <w:tcBorders>
              <w:top w:val="single" w:sz="4" w:space="0" w:color="000000"/>
            </w:tcBorders>
          </w:tcPr>
          <w:p>
            <w:pPr>
              <w:pStyle w:val="TableParagraph"/>
              <w:spacing w:before="14"/>
              <w:ind w:right="54"/>
              <w:rPr>
                <w:rFonts w:ascii="Times New Roman"/>
                <w:b/>
                <w:sz w:val="16"/>
              </w:rPr>
            </w:pPr>
            <w:r>
              <w:rPr>
                <w:rFonts w:ascii="Times New Roman"/>
                <w:b/>
                <w:w w:val="95"/>
                <w:sz w:val="16"/>
              </w:rPr>
              <w:t>5.454.789</w:t>
            </w:r>
          </w:p>
        </w:tc>
        <w:tc>
          <w:tcPr>
            <w:tcW w:w="5927" w:type="dxa"/>
            <w:tcBorders>
              <w:top w:val="single" w:sz="4" w:space="0" w:color="000000"/>
            </w:tcBorders>
          </w:tcPr>
          <w:p>
            <w:pPr/>
          </w:p>
        </w:tc>
      </w:tr>
    </w:tbl>
    <w:p>
      <w:pPr>
        <w:pStyle w:val="BodyText"/>
        <w:spacing w:before="9"/>
        <w:rPr>
          <w:rFonts w:ascii="Times New Roman"/>
          <w:sz w:val="15"/>
        </w:rPr>
      </w:pPr>
    </w:p>
    <w:p>
      <w:pPr>
        <w:pStyle w:val="BodyText"/>
        <w:spacing w:before="100"/>
        <w:ind w:left="1418"/>
      </w:pPr>
      <w:r>
        <w:rPr/>
        <w:t>Per quanto riguarda tale voce gli scriventi hanno verificato a campione:</w:t>
      </w:r>
    </w:p>
    <w:p>
      <w:pPr>
        <w:pStyle w:val="BodyText"/>
        <w:spacing w:before="9"/>
        <w:rPr>
          <w:sz w:val="23"/>
        </w:rPr>
      </w:pPr>
    </w:p>
    <w:p>
      <w:pPr>
        <w:pStyle w:val="ListParagraph"/>
        <w:numPr>
          <w:ilvl w:val="1"/>
          <w:numId w:val="97"/>
        </w:numPr>
        <w:tabs>
          <w:tab w:pos="2127" w:val="left" w:leader="none"/>
        </w:tabs>
        <w:spacing w:line="240" w:lineRule="auto" w:before="0" w:after="0"/>
        <w:ind w:left="2126" w:right="0" w:hanging="288"/>
        <w:jc w:val="left"/>
        <w:rPr>
          <w:sz w:val="24"/>
        </w:rPr>
      </w:pPr>
      <w:r>
        <w:rPr>
          <w:sz w:val="24"/>
        </w:rPr>
        <w:t>i documenti a supporto degli incassi previsti a piano quali fatture e</w:t>
      </w:r>
      <w:r>
        <w:rPr>
          <w:spacing w:val="-23"/>
          <w:sz w:val="24"/>
        </w:rPr>
        <w:t> </w:t>
      </w:r>
      <w:r>
        <w:rPr>
          <w:sz w:val="24"/>
        </w:rPr>
        <w:t>contratti;</w:t>
      </w:r>
    </w:p>
    <w:p>
      <w:pPr>
        <w:pStyle w:val="BodyText"/>
        <w:spacing w:before="9"/>
        <w:rPr>
          <w:sz w:val="23"/>
        </w:rPr>
      </w:pPr>
    </w:p>
    <w:p>
      <w:pPr>
        <w:pStyle w:val="ListParagraph"/>
        <w:numPr>
          <w:ilvl w:val="1"/>
          <w:numId w:val="97"/>
        </w:numPr>
        <w:tabs>
          <w:tab w:pos="2127" w:val="left" w:leader="none"/>
        </w:tabs>
        <w:spacing w:line="240" w:lineRule="auto" w:before="0" w:after="0"/>
        <w:ind w:left="2126" w:right="0" w:hanging="288"/>
        <w:jc w:val="left"/>
        <w:rPr>
          <w:sz w:val="24"/>
        </w:rPr>
      </w:pPr>
      <w:r>
        <w:rPr>
          <w:sz w:val="24"/>
        </w:rPr>
        <w:t>Il saldo da estratto conto delle disponibilità liquide al 31 marzo</w:t>
      </w:r>
      <w:r>
        <w:rPr>
          <w:spacing w:val="-23"/>
          <w:sz w:val="24"/>
        </w:rPr>
        <w:t> </w:t>
      </w:r>
      <w:r>
        <w:rPr>
          <w:sz w:val="24"/>
        </w:rPr>
        <w:t>2018.</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30"/>
      </w:pPr>
      <w:r>
        <w:rPr/>
        <w:t>Si riporta per una più completa informativa nel seguito il prospetto con i flussi di cassa compresi nel periodo 15 ottobre 2017- 28 febbraio 2018:</w:t>
      </w:r>
    </w:p>
    <w:p>
      <w:pPr>
        <w:tabs>
          <w:tab w:pos="10985" w:val="left" w:leader="none"/>
        </w:tabs>
        <w:spacing w:before="24"/>
        <w:ind w:left="1427" w:right="0" w:firstLine="0"/>
        <w:jc w:val="both"/>
        <w:rPr>
          <w:rFonts w:ascii="Times New Roman"/>
          <w:b/>
          <w:sz w:val="16"/>
        </w:rPr>
      </w:pPr>
      <w:r>
        <w:rPr>
          <w:rFonts w:ascii="Times New Roman"/>
          <w:b/>
          <w:color w:val="FFFFFF"/>
          <w:spacing w:val="-14"/>
          <w:w w:val="97"/>
          <w:sz w:val="16"/>
          <w:shd w:fill="878A8D" w:color="auto" w:val="clear"/>
        </w:rPr>
        <w:t> </w:t>
      </w:r>
      <w:r>
        <w:rPr>
          <w:rFonts w:ascii="Times New Roman"/>
          <w:b/>
          <w:color w:val="FFFFFF"/>
          <w:sz w:val="16"/>
          <w:shd w:fill="878A8D" w:color="auto" w:val="clear"/>
        </w:rPr>
        <w:t>Flussi</w:t>
      </w:r>
      <w:r>
        <w:rPr>
          <w:rFonts w:ascii="Times New Roman"/>
          <w:b/>
          <w:color w:val="FFFFFF"/>
          <w:spacing w:val="-9"/>
          <w:sz w:val="16"/>
          <w:shd w:fill="878A8D" w:color="auto" w:val="clear"/>
        </w:rPr>
        <w:t> </w:t>
      </w:r>
      <w:r>
        <w:rPr>
          <w:rFonts w:ascii="Times New Roman"/>
          <w:b/>
          <w:color w:val="FFFFFF"/>
          <w:sz w:val="16"/>
          <w:shd w:fill="878A8D" w:color="auto" w:val="clear"/>
        </w:rPr>
        <w:t>di</w:t>
      </w:r>
      <w:r>
        <w:rPr>
          <w:rFonts w:ascii="Times New Roman"/>
          <w:b/>
          <w:color w:val="FFFFFF"/>
          <w:spacing w:val="-9"/>
          <w:sz w:val="16"/>
          <w:shd w:fill="878A8D" w:color="auto" w:val="clear"/>
        </w:rPr>
        <w:t> </w:t>
      </w:r>
      <w:r>
        <w:rPr>
          <w:rFonts w:ascii="Times New Roman"/>
          <w:b/>
          <w:color w:val="FFFFFF"/>
          <w:sz w:val="16"/>
          <w:shd w:fill="878A8D" w:color="auto" w:val="clear"/>
        </w:rPr>
        <w:t>Cassa</w:t>
      </w:r>
      <w:r>
        <w:rPr>
          <w:rFonts w:ascii="Times New Roman"/>
          <w:b/>
          <w:color w:val="FFFFFF"/>
          <w:spacing w:val="-9"/>
          <w:sz w:val="16"/>
          <w:shd w:fill="878A8D" w:color="auto" w:val="clear"/>
        </w:rPr>
        <w:t> </w:t>
      </w:r>
      <w:r>
        <w:rPr>
          <w:rFonts w:ascii="Times New Roman"/>
          <w:b/>
          <w:color w:val="FFFFFF"/>
          <w:sz w:val="16"/>
          <w:shd w:fill="878A8D" w:color="auto" w:val="clear"/>
        </w:rPr>
        <w:t>Ottobre</w:t>
      </w:r>
      <w:r>
        <w:rPr>
          <w:rFonts w:ascii="Times New Roman"/>
          <w:b/>
          <w:color w:val="FFFFFF"/>
          <w:spacing w:val="-8"/>
          <w:sz w:val="16"/>
          <w:shd w:fill="878A8D" w:color="auto" w:val="clear"/>
        </w:rPr>
        <w:t> </w:t>
      </w:r>
      <w:r>
        <w:rPr>
          <w:rFonts w:ascii="Times New Roman"/>
          <w:b/>
          <w:color w:val="FFFFFF"/>
          <w:sz w:val="16"/>
          <w:shd w:fill="878A8D" w:color="auto" w:val="clear"/>
        </w:rPr>
        <w:t>2017</w:t>
      </w:r>
      <w:r>
        <w:rPr>
          <w:rFonts w:ascii="Times New Roman"/>
          <w:b/>
          <w:color w:val="FFFFFF"/>
          <w:spacing w:val="-8"/>
          <w:sz w:val="16"/>
          <w:shd w:fill="878A8D" w:color="auto" w:val="clear"/>
        </w:rPr>
        <w:t> </w:t>
      </w:r>
      <w:r>
        <w:rPr>
          <w:rFonts w:ascii="Times New Roman"/>
          <w:b/>
          <w:color w:val="FFFFFF"/>
          <w:sz w:val="16"/>
          <w:shd w:fill="878A8D" w:color="auto" w:val="clear"/>
        </w:rPr>
        <w:t>-</w:t>
      </w:r>
      <w:r>
        <w:rPr>
          <w:rFonts w:ascii="Times New Roman"/>
          <w:b/>
          <w:color w:val="FFFFFF"/>
          <w:spacing w:val="-8"/>
          <w:sz w:val="16"/>
          <w:shd w:fill="878A8D" w:color="auto" w:val="clear"/>
        </w:rPr>
        <w:t> </w:t>
      </w:r>
      <w:r>
        <w:rPr>
          <w:rFonts w:ascii="Times New Roman"/>
          <w:b/>
          <w:color w:val="FFFFFF"/>
          <w:spacing w:val="-3"/>
          <w:sz w:val="16"/>
          <w:shd w:fill="878A8D" w:color="auto" w:val="clear"/>
        </w:rPr>
        <w:t>Febbraio</w:t>
      </w:r>
      <w:r>
        <w:rPr>
          <w:rFonts w:ascii="Times New Roman"/>
          <w:b/>
          <w:color w:val="FFFFFF"/>
          <w:spacing w:val="-2"/>
          <w:sz w:val="16"/>
          <w:shd w:fill="878A8D" w:color="auto" w:val="clear"/>
        </w:rPr>
        <w:t> </w:t>
      </w:r>
      <w:r>
        <w:rPr>
          <w:rFonts w:ascii="Times New Roman"/>
          <w:b/>
          <w:color w:val="FFFFFF"/>
          <w:sz w:val="16"/>
          <w:shd w:fill="878A8D" w:color="auto" w:val="clear"/>
        </w:rPr>
        <w:t>2018</w:t>
        <w:tab/>
      </w:r>
    </w:p>
    <w:p>
      <w:pPr>
        <w:pStyle w:val="BodyText"/>
        <w:spacing w:before="7"/>
        <w:rPr>
          <w:rFonts w:ascii="Times New Roman"/>
          <w:b/>
          <w:sz w:val="18"/>
        </w:rPr>
      </w:pPr>
    </w:p>
    <w:tbl>
      <w:tblPr>
        <w:tblW w:w="0" w:type="auto"/>
        <w:jc w:val="left"/>
        <w:tblInd w:w="142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983"/>
        <w:gridCol w:w="1100"/>
        <w:gridCol w:w="999"/>
        <w:gridCol w:w="986"/>
        <w:gridCol w:w="960"/>
        <w:gridCol w:w="956"/>
        <w:gridCol w:w="756"/>
        <w:gridCol w:w="839"/>
      </w:tblGrid>
      <w:tr>
        <w:trPr>
          <w:trHeight w:val="222" w:hRule="exact"/>
        </w:trPr>
        <w:tc>
          <w:tcPr>
            <w:tcW w:w="2983" w:type="dxa"/>
            <w:shd w:val="clear" w:color="auto" w:fill="9F2F33"/>
          </w:tcPr>
          <w:p>
            <w:pPr>
              <w:pStyle w:val="TableParagraph"/>
              <w:spacing w:before="26"/>
              <w:ind w:left="26"/>
              <w:jc w:val="left"/>
              <w:rPr>
                <w:rFonts w:ascii="Times New Roman" w:hAnsi="Times New Roman"/>
                <w:i/>
                <w:sz w:val="16"/>
              </w:rPr>
            </w:pPr>
            <w:r>
              <w:rPr>
                <w:rFonts w:ascii="Times New Roman" w:hAnsi="Times New Roman"/>
                <w:i/>
                <w:color w:val="FFFFFF"/>
                <w:sz w:val="16"/>
              </w:rPr>
              <w:t>€/000</w:t>
            </w:r>
          </w:p>
        </w:tc>
        <w:tc>
          <w:tcPr>
            <w:tcW w:w="1100" w:type="dxa"/>
            <w:shd w:val="clear" w:color="auto" w:fill="9F2F33"/>
          </w:tcPr>
          <w:p>
            <w:pPr>
              <w:pStyle w:val="TableParagraph"/>
              <w:spacing w:before="26"/>
              <w:ind w:left="379" w:right="139"/>
              <w:jc w:val="center"/>
              <w:rPr>
                <w:rFonts w:ascii="Times New Roman"/>
                <w:b/>
                <w:sz w:val="16"/>
              </w:rPr>
            </w:pPr>
            <w:r>
              <w:rPr>
                <w:rFonts w:ascii="Times New Roman"/>
                <w:b/>
                <w:color w:val="FFFFFF"/>
                <w:sz w:val="16"/>
              </w:rPr>
              <w:t>Ottobre</w:t>
            </w:r>
          </w:p>
        </w:tc>
        <w:tc>
          <w:tcPr>
            <w:tcW w:w="999" w:type="dxa"/>
            <w:shd w:val="clear" w:color="auto" w:fill="9F2F33"/>
          </w:tcPr>
          <w:p>
            <w:pPr>
              <w:pStyle w:val="TableParagraph"/>
              <w:spacing w:before="26"/>
              <w:ind w:left="137" w:right="111"/>
              <w:jc w:val="center"/>
              <w:rPr>
                <w:rFonts w:ascii="Times New Roman"/>
                <w:b/>
                <w:sz w:val="16"/>
              </w:rPr>
            </w:pPr>
            <w:r>
              <w:rPr>
                <w:rFonts w:ascii="Times New Roman"/>
                <w:b/>
                <w:color w:val="FFFFFF"/>
                <w:sz w:val="16"/>
              </w:rPr>
              <w:t>Novembre</w:t>
            </w:r>
          </w:p>
        </w:tc>
        <w:tc>
          <w:tcPr>
            <w:tcW w:w="986" w:type="dxa"/>
            <w:shd w:val="clear" w:color="auto" w:fill="9F2F33"/>
          </w:tcPr>
          <w:p>
            <w:pPr>
              <w:pStyle w:val="TableParagraph"/>
              <w:spacing w:before="26"/>
              <w:ind w:left="108" w:right="171"/>
              <w:jc w:val="center"/>
              <w:rPr>
                <w:rFonts w:ascii="Times New Roman"/>
                <w:b/>
                <w:sz w:val="16"/>
              </w:rPr>
            </w:pPr>
            <w:r>
              <w:rPr>
                <w:rFonts w:ascii="Times New Roman"/>
                <w:b/>
                <w:color w:val="FFFFFF"/>
                <w:sz w:val="16"/>
              </w:rPr>
              <w:t>Dicembre</w:t>
            </w:r>
          </w:p>
        </w:tc>
        <w:tc>
          <w:tcPr>
            <w:tcW w:w="960" w:type="dxa"/>
            <w:shd w:val="clear" w:color="auto" w:fill="9F2F33"/>
          </w:tcPr>
          <w:p>
            <w:pPr>
              <w:pStyle w:val="TableParagraph"/>
              <w:spacing w:before="26"/>
              <w:ind w:left="177" w:right="164"/>
              <w:jc w:val="center"/>
              <w:rPr>
                <w:rFonts w:ascii="Times New Roman"/>
                <w:b/>
                <w:sz w:val="16"/>
              </w:rPr>
            </w:pPr>
            <w:r>
              <w:rPr>
                <w:rFonts w:ascii="Times New Roman"/>
                <w:b/>
                <w:color w:val="FFFFFF"/>
                <w:sz w:val="16"/>
              </w:rPr>
              <w:t>Gennaio</w:t>
            </w:r>
          </w:p>
        </w:tc>
        <w:tc>
          <w:tcPr>
            <w:tcW w:w="956" w:type="dxa"/>
            <w:shd w:val="clear" w:color="auto" w:fill="9F2F33"/>
          </w:tcPr>
          <w:p>
            <w:pPr>
              <w:pStyle w:val="TableParagraph"/>
              <w:spacing w:before="26"/>
              <w:ind w:left="155" w:right="138"/>
              <w:jc w:val="center"/>
              <w:rPr>
                <w:rFonts w:ascii="Times New Roman"/>
                <w:b/>
                <w:sz w:val="16"/>
              </w:rPr>
            </w:pPr>
            <w:r>
              <w:rPr>
                <w:rFonts w:ascii="Times New Roman"/>
                <w:b/>
                <w:color w:val="FFFFFF"/>
                <w:sz w:val="16"/>
              </w:rPr>
              <w:t>Febbraio</w:t>
            </w:r>
          </w:p>
        </w:tc>
        <w:tc>
          <w:tcPr>
            <w:tcW w:w="756" w:type="dxa"/>
            <w:shd w:val="clear" w:color="auto" w:fill="9F2F33"/>
          </w:tcPr>
          <w:p>
            <w:pPr>
              <w:pStyle w:val="TableParagraph"/>
              <w:spacing w:before="26"/>
              <w:ind w:left="143" w:right="83"/>
              <w:jc w:val="center"/>
              <w:rPr>
                <w:rFonts w:ascii="Times New Roman"/>
                <w:b/>
                <w:sz w:val="16"/>
              </w:rPr>
            </w:pPr>
            <w:r>
              <w:rPr>
                <w:rFonts w:ascii="Times New Roman"/>
                <w:b/>
                <w:color w:val="FFFFFF"/>
                <w:sz w:val="16"/>
              </w:rPr>
              <w:t>Marzo</w:t>
            </w:r>
          </w:p>
        </w:tc>
        <w:tc>
          <w:tcPr>
            <w:tcW w:w="839" w:type="dxa"/>
          </w:tcPr>
          <w:p>
            <w:pPr>
              <w:pStyle w:val="TableParagraph"/>
              <w:spacing w:before="26"/>
              <w:ind w:left="125"/>
              <w:jc w:val="center"/>
              <w:rPr>
                <w:rFonts w:ascii="Times New Roman"/>
                <w:b/>
                <w:sz w:val="16"/>
              </w:rPr>
            </w:pPr>
            <w:r>
              <w:rPr>
                <w:rFonts w:ascii="Times New Roman"/>
                <w:b/>
                <w:color w:val="FFFFFF"/>
                <w:w w:val="97"/>
                <w:sz w:val="16"/>
                <w:shd w:fill="9F2F33" w:color="auto" w:val="clear"/>
              </w:rPr>
              <w:t> </w:t>
            </w:r>
            <w:r>
              <w:rPr>
                <w:rFonts w:ascii="Times New Roman"/>
                <w:b/>
                <w:color w:val="FFFFFF"/>
                <w:sz w:val="16"/>
                <w:shd w:fill="9F2F33" w:color="auto" w:val="clear"/>
              </w:rPr>
              <w:t>  Totale </w:t>
            </w:r>
          </w:p>
        </w:tc>
      </w:tr>
      <w:tr>
        <w:trPr>
          <w:trHeight w:val="535" w:hRule="exact"/>
        </w:trPr>
        <w:tc>
          <w:tcPr>
            <w:tcW w:w="2983" w:type="dxa"/>
          </w:tcPr>
          <w:p>
            <w:pPr>
              <w:pStyle w:val="TableParagraph"/>
              <w:spacing w:before="10"/>
              <w:jc w:val="left"/>
              <w:rPr>
                <w:rFonts w:ascii="Times New Roman"/>
                <w:b/>
                <w:sz w:val="19"/>
              </w:rPr>
            </w:pPr>
          </w:p>
          <w:p>
            <w:pPr>
              <w:pStyle w:val="TableParagraph"/>
              <w:spacing w:before="1"/>
              <w:ind w:left="26"/>
              <w:jc w:val="left"/>
              <w:rPr>
                <w:rFonts w:ascii="Times New Roman"/>
                <w:b/>
                <w:sz w:val="16"/>
              </w:rPr>
            </w:pPr>
            <w:r>
              <w:rPr>
                <w:rFonts w:ascii="Times New Roman"/>
                <w:b/>
                <w:sz w:val="16"/>
              </w:rPr>
              <w:t>Saldo Iniziale - 1/10/2017</w:t>
            </w:r>
          </w:p>
        </w:tc>
        <w:tc>
          <w:tcPr>
            <w:tcW w:w="1100" w:type="dxa"/>
          </w:tcPr>
          <w:p>
            <w:pPr>
              <w:pStyle w:val="TableParagraph"/>
              <w:spacing w:before="10"/>
              <w:jc w:val="left"/>
              <w:rPr>
                <w:rFonts w:ascii="Times New Roman"/>
                <w:b/>
                <w:sz w:val="19"/>
              </w:rPr>
            </w:pPr>
          </w:p>
          <w:p>
            <w:pPr>
              <w:pStyle w:val="TableParagraph"/>
              <w:spacing w:before="1"/>
              <w:ind w:left="379" w:right="139"/>
              <w:jc w:val="center"/>
              <w:rPr>
                <w:rFonts w:ascii="Times New Roman"/>
                <w:b/>
                <w:sz w:val="16"/>
              </w:rPr>
            </w:pPr>
            <w:r>
              <w:rPr>
                <w:rFonts w:ascii="Times New Roman"/>
                <w:b/>
                <w:sz w:val="16"/>
              </w:rPr>
              <w:t>1.122,1</w:t>
            </w:r>
          </w:p>
        </w:tc>
        <w:tc>
          <w:tcPr>
            <w:tcW w:w="999" w:type="dxa"/>
          </w:tcPr>
          <w:p>
            <w:pPr>
              <w:pStyle w:val="TableParagraph"/>
              <w:spacing w:before="10"/>
              <w:jc w:val="left"/>
              <w:rPr>
                <w:rFonts w:ascii="Times New Roman"/>
                <w:b/>
                <w:sz w:val="19"/>
              </w:rPr>
            </w:pPr>
          </w:p>
          <w:p>
            <w:pPr>
              <w:pStyle w:val="TableParagraph"/>
              <w:spacing w:before="1"/>
              <w:ind w:left="137" w:right="103"/>
              <w:jc w:val="center"/>
              <w:rPr>
                <w:rFonts w:ascii="Times New Roman"/>
                <w:b/>
                <w:sz w:val="16"/>
              </w:rPr>
            </w:pPr>
            <w:r>
              <w:rPr>
                <w:rFonts w:ascii="Times New Roman"/>
                <w:b/>
                <w:sz w:val="16"/>
              </w:rPr>
              <w:t>1.135,9</w:t>
            </w:r>
          </w:p>
        </w:tc>
        <w:tc>
          <w:tcPr>
            <w:tcW w:w="986" w:type="dxa"/>
          </w:tcPr>
          <w:p>
            <w:pPr>
              <w:pStyle w:val="TableParagraph"/>
              <w:spacing w:before="10"/>
              <w:jc w:val="left"/>
              <w:rPr>
                <w:rFonts w:ascii="Times New Roman"/>
                <w:b/>
                <w:sz w:val="19"/>
              </w:rPr>
            </w:pPr>
          </w:p>
          <w:p>
            <w:pPr>
              <w:pStyle w:val="TableParagraph"/>
              <w:spacing w:before="1"/>
              <w:ind w:left="108" w:right="162"/>
              <w:jc w:val="center"/>
              <w:rPr>
                <w:rFonts w:ascii="Times New Roman"/>
                <w:b/>
                <w:sz w:val="16"/>
              </w:rPr>
            </w:pPr>
            <w:r>
              <w:rPr>
                <w:rFonts w:ascii="Times New Roman"/>
                <w:b/>
                <w:sz w:val="16"/>
              </w:rPr>
              <w:t>1.905,6</w:t>
            </w:r>
          </w:p>
        </w:tc>
        <w:tc>
          <w:tcPr>
            <w:tcW w:w="960" w:type="dxa"/>
          </w:tcPr>
          <w:p>
            <w:pPr>
              <w:pStyle w:val="TableParagraph"/>
              <w:spacing w:before="10"/>
              <w:jc w:val="left"/>
              <w:rPr>
                <w:rFonts w:ascii="Times New Roman"/>
                <w:b/>
                <w:sz w:val="19"/>
              </w:rPr>
            </w:pPr>
          </w:p>
          <w:p>
            <w:pPr>
              <w:pStyle w:val="TableParagraph"/>
              <w:spacing w:before="1"/>
              <w:ind w:left="177" w:right="147"/>
              <w:jc w:val="center"/>
              <w:rPr>
                <w:rFonts w:ascii="Times New Roman"/>
                <w:b/>
                <w:sz w:val="16"/>
              </w:rPr>
            </w:pPr>
            <w:r>
              <w:rPr>
                <w:rFonts w:ascii="Times New Roman"/>
                <w:b/>
                <w:sz w:val="16"/>
              </w:rPr>
              <w:t>1.478,4</w:t>
            </w:r>
          </w:p>
        </w:tc>
        <w:tc>
          <w:tcPr>
            <w:tcW w:w="956" w:type="dxa"/>
          </w:tcPr>
          <w:p>
            <w:pPr>
              <w:pStyle w:val="TableParagraph"/>
              <w:spacing w:before="10"/>
              <w:jc w:val="left"/>
              <w:rPr>
                <w:rFonts w:ascii="Times New Roman"/>
                <w:b/>
                <w:sz w:val="19"/>
              </w:rPr>
            </w:pPr>
          </w:p>
          <w:p>
            <w:pPr>
              <w:pStyle w:val="TableParagraph"/>
              <w:spacing w:before="1"/>
              <w:ind w:left="155" w:right="130"/>
              <w:jc w:val="center"/>
              <w:rPr>
                <w:rFonts w:ascii="Times New Roman"/>
                <w:b/>
                <w:sz w:val="16"/>
              </w:rPr>
            </w:pPr>
            <w:r>
              <w:rPr>
                <w:rFonts w:ascii="Times New Roman"/>
                <w:b/>
                <w:sz w:val="16"/>
              </w:rPr>
              <w:t>1.251,7</w:t>
            </w:r>
          </w:p>
        </w:tc>
        <w:tc>
          <w:tcPr>
            <w:tcW w:w="756" w:type="dxa"/>
          </w:tcPr>
          <w:p>
            <w:pPr>
              <w:pStyle w:val="TableParagraph"/>
              <w:spacing w:before="10"/>
              <w:jc w:val="left"/>
              <w:rPr>
                <w:rFonts w:ascii="Times New Roman"/>
                <w:b/>
                <w:sz w:val="19"/>
              </w:rPr>
            </w:pPr>
          </w:p>
          <w:p>
            <w:pPr>
              <w:pStyle w:val="TableParagraph"/>
              <w:spacing w:before="1"/>
              <w:ind w:left="152" w:right="83"/>
              <w:jc w:val="center"/>
              <w:rPr>
                <w:rFonts w:ascii="Times New Roman"/>
                <w:b/>
                <w:sz w:val="16"/>
              </w:rPr>
            </w:pPr>
            <w:r>
              <w:rPr>
                <w:rFonts w:ascii="Times New Roman"/>
                <w:b/>
                <w:sz w:val="16"/>
              </w:rPr>
              <w:t>1.107,9</w:t>
            </w:r>
          </w:p>
        </w:tc>
        <w:tc>
          <w:tcPr>
            <w:tcW w:w="839" w:type="dxa"/>
          </w:tcPr>
          <w:p>
            <w:pPr>
              <w:pStyle w:val="TableParagraph"/>
              <w:spacing w:before="10"/>
              <w:jc w:val="left"/>
              <w:rPr>
                <w:rFonts w:ascii="Times New Roman"/>
                <w:b/>
                <w:sz w:val="19"/>
              </w:rPr>
            </w:pPr>
          </w:p>
          <w:p>
            <w:pPr>
              <w:pStyle w:val="TableParagraph"/>
              <w:spacing w:before="1"/>
              <w:ind w:left="125"/>
              <w:jc w:val="center"/>
              <w:rPr>
                <w:rFonts w:ascii="Times New Roman"/>
                <w:b/>
                <w:sz w:val="16"/>
              </w:rPr>
            </w:pPr>
            <w:r>
              <w:rPr>
                <w:rFonts w:ascii="Times New Roman"/>
                <w:b/>
                <w:sz w:val="16"/>
              </w:rPr>
              <w:t>1.122,1</w:t>
            </w:r>
          </w:p>
        </w:tc>
      </w:tr>
      <w:tr>
        <w:trPr>
          <w:trHeight w:val="531" w:hRule="exact"/>
        </w:trPr>
        <w:tc>
          <w:tcPr>
            <w:tcW w:w="2983" w:type="dxa"/>
          </w:tcPr>
          <w:p>
            <w:pPr>
              <w:pStyle w:val="TableParagraph"/>
              <w:spacing w:before="119"/>
              <w:ind w:left="26"/>
              <w:jc w:val="left"/>
              <w:rPr>
                <w:rFonts w:ascii="Times New Roman"/>
                <w:b/>
                <w:sz w:val="16"/>
              </w:rPr>
            </w:pPr>
            <w:r>
              <w:rPr>
                <w:rFonts w:ascii="Times New Roman"/>
                <w:b/>
                <w:sz w:val="16"/>
                <w:u w:val="single"/>
              </w:rPr>
              <w:t>Entrate</w:t>
            </w:r>
          </w:p>
          <w:p>
            <w:pPr>
              <w:pStyle w:val="TableParagraph"/>
              <w:spacing w:before="28"/>
              <w:ind w:left="26"/>
              <w:jc w:val="left"/>
              <w:rPr>
                <w:rFonts w:ascii="Times New Roman"/>
                <w:sz w:val="16"/>
              </w:rPr>
            </w:pPr>
            <w:r>
              <w:rPr>
                <w:rFonts w:ascii="Times New Roman"/>
                <w:sz w:val="16"/>
              </w:rPr>
              <w:t>- Flusso netto commesse in corso</w:t>
            </w:r>
          </w:p>
        </w:tc>
        <w:tc>
          <w:tcPr>
            <w:tcW w:w="1100" w:type="dxa"/>
          </w:tcPr>
          <w:p>
            <w:pPr>
              <w:pStyle w:val="TableParagraph"/>
              <w:spacing w:before="0"/>
              <w:jc w:val="left"/>
              <w:rPr>
                <w:rFonts w:ascii="Times New Roman"/>
                <w:b/>
                <w:sz w:val="18"/>
              </w:rPr>
            </w:pPr>
          </w:p>
          <w:p>
            <w:pPr>
              <w:pStyle w:val="TableParagraph"/>
              <w:spacing w:before="124"/>
              <w:ind w:left="231"/>
              <w:jc w:val="center"/>
              <w:rPr>
                <w:rFonts w:ascii="Times New Roman"/>
                <w:sz w:val="16"/>
              </w:rPr>
            </w:pPr>
            <w:r>
              <w:rPr>
                <w:rFonts w:ascii="Times New Roman"/>
                <w:w w:val="97"/>
                <w:sz w:val="16"/>
              </w:rPr>
              <w:t>-</w:t>
            </w:r>
          </w:p>
        </w:tc>
        <w:tc>
          <w:tcPr>
            <w:tcW w:w="999" w:type="dxa"/>
          </w:tcPr>
          <w:p>
            <w:pPr>
              <w:pStyle w:val="TableParagraph"/>
              <w:spacing w:before="0"/>
              <w:jc w:val="left"/>
              <w:rPr>
                <w:rFonts w:ascii="Times New Roman"/>
                <w:b/>
                <w:sz w:val="18"/>
              </w:rPr>
            </w:pPr>
          </w:p>
          <w:p>
            <w:pPr>
              <w:pStyle w:val="TableParagraph"/>
              <w:spacing w:before="124"/>
              <w:ind w:left="137" w:right="103"/>
              <w:jc w:val="center"/>
              <w:rPr>
                <w:rFonts w:ascii="Times New Roman"/>
                <w:sz w:val="16"/>
              </w:rPr>
            </w:pPr>
            <w:r>
              <w:rPr>
                <w:rFonts w:ascii="Times New Roman"/>
                <w:sz w:val="16"/>
              </w:rPr>
              <w:t>1.067,2</w:t>
            </w:r>
          </w:p>
        </w:tc>
        <w:tc>
          <w:tcPr>
            <w:tcW w:w="986" w:type="dxa"/>
          </w:tcPr>
          <w:p>
            <w:pPr>
              <w:pStyle w:val="TableParagraph"/>
              <w:spacing w:before="0"/>
              <w:jc w:val="left"/>
              <w:rPr>
                <w:rFonts w:ascii="Times New Roman"/>
                <w:b/>
                <w:sz w:val="18"/>
              </w:rPr>
            </w:pPr>
          </w:p>
          <w:p>
            <w:pPr>
              <w:pStyle w:val="TableParagraph"/>
              <w:spacing w:before="124"/>
              <w:ind w:left="108" w:right="161"/>
              <w:jc w:val="center"/>
              <w:rPr>
                <w:rFonts w:ascii="Times New Roman"/>
                <w:sz w:val="16"/>
              </w:rPr>
            </w:pPr>
            <w:r>
              <w:rPr>
                <w:rFonts w:ascii="Times New Roman"/>
                <w:sz w:val="16"/>
              </w:rPr>
              <w:t>100,5</w:t>
            </w:r>
          </w:p>
        </w:tc>
        <w:tc>
          <w:tcPr>
            <w:tcW w:w="960" w:type="dxa"/>
          </w:tcPr>
          <w:p>
            <w:pPr>
              <w:pStyle w:val="TableParagraph"/>
              <w:spacing w:before="0"/>
              <w:jc w:val="left"/>
              <w:rPr>
                <w:rFonts w:ascii="Times New Roman"/>
                <w:b/>
                <w:sz w:val="18"/>
              </w:rPr>
            </w:pPr>
          </w:p>
          <w:p>
            <w:pPr>
              <w:pStyle w:val="TableParagraph"/>
              <w:spacing w:before="124"/>
              <w:ind w:left="177" w:right="147"/>
              <w:jc w:val="center"/>
              <w:rPr>
                <w:rFonts w:ascii="Times New Roman"/>
                <w:sz w:val="16"/>
              </w:rPr>
            </w:pPr>
            <w:r>
              <w:rPr>
                <w:rFonts w:ascii="Times New Roman"/>
                <w:sz w:val="16"/>
              </w:rPr>
              <w:t>230,3</w:t>
            </w:r>
          </w:p>
        </w:tc>
        <w:tc>
          <w:tcPr>
            <w:tcW w:w="956" w:type="dxa"/>
          </w:tcPr>
          <w:p>
            <w:pPr>
              <w:pStyle w:val="TableParagraph"/>
              <w:spacing w:before="0"/>
              <w:jc w:val="left"/>
              <w:rPr>
                <w:rFonts w:ascii="Times New Roman"/>
                <w:b/>
                <w:sz w:val="18"/>
              </w:rPr>
            </w:pPr>
          </w:p>
          <w:p>
            <w:pPr>
              <w:pStyle w:val="TableParagraph"/>
              <w:spacing w:before="124"/>
              <w:ind w:left="17"/>
              <w:jc w:val="center"/>
              <w:rPr>
                <w:rFonts w:ascii="Times New Roman"/>
                <w:sz w:val="16"/>
              </w:rPr>
            </w:pPr>
            <w:r>
              <w:rPr>
                <w:rFonts w:ascii="Times New Roman"/>
                <w:w w:val="97"/>
                <w:sz w:val="16"/>
              </w:rPr>
              <w:t>-</w:t>
            </w:r>
          </w:p>
        </w:tc>
        <w:tc>
          <w:tcPr>
            <w:tcW w:w="756" w:type="dxa"/>
          </w:tcPr>
          <w:p>
            <w:pPr>
              <w:pStyle w:val="TableParagraph"/>
              <w:spacing w:before="0"/>
              <w:jc w:val="left"/>
              <w:rPr>
                <w:rFonts w:ascii="Times New Roman"/>
                <w:b/>
                <w:sz w:val="18"/>
              </w:rPr>
            </w:pPr>
          </w:p>
          <w:p>
            <w:pPr>
              <w:pStyle w:val="TableParagraph"/>
              <w:spacing w:before="124"/>
              <w:ind w:left="152" w:right="83"/>
              <w:jc w:val="center"/>
              <w:rPr>
                <w:rFonts w:ascii="Times New Roman"/>
                <w:sz w:val="16"/>
              </w:rPr>
            </w:pPr>
            <w:r>
              <w:rPr>
                <w:rFonts w:ascii="Times New Roman"/>
                <w:sz w:val="16"/>
              </w:rPr>
              <w:t>420,6</w:t>
            </w:r>
          </w:p>
        </w:tc>
        <w:tc>
          <w:tcPr>
            <w:tcW w:w="839" w:type="dxa"/>
          </w:tcPr>
          <w:p>
            <w:pPr>
              <w:pStyle w:val="TableParagraph"/>
              <w:spacing w:before="0"/>
              <w:jc w:val="left"/>
              <w:rPr>
                <w:rFonts w:ascii="Times New Roman"/>
                <w:b/>
                <w:sz w:val="18"/>
              </w:rPr>
            </w:pPr>
          </w:p>
          <w:p>
            <w:pPr>
              <w:pStyle w:val="TableParagraph"/>
              <w:spacing w:before="124"/>
              <w:ind w:left="125"/>
              <w:jc w:val="center"/>
              <w:rPr>
                <w:rFonts w:ascii="Times New Roman"/>
                <w:sz w:val="16"/>
              </w:rPr>
            </w:pPr>
            <w:r>
              <w:rPr>
                <w:rFonts w:ascii="Times New Roman"/>
                <w:sz w:val="16"/>
              </w:rPr>
              <w:t>1.818,6</w:t>
            </w:r>
          </w:p>
        </w:tc>
      </w:tr>
      <w:tr>
        <w:trPr>
          <w:trHeight w:val="213" w:hRule="exact"/>
        </w:trPr>
        <w:tc>
          <w:tcPr>
            <w:tcW w:w="2983" w:type="dxa"/>
          </w:tcPr>
          <w:p>
            <w:pPr>
              <w:pStyle w:val="TableParagraph"/>
              <w:ind w:left="26"/>
              <w:jc w:val="left"/>
              <w:rPr>
                <w:rFonts w:ascii="Times New Roman"/>
                <w:sz w:val="16"/>
              </w:rPr>
            </w:pPr>
            <w:r>
              <w:rPr>
                <w:rFonts w:ascii="Times New Roman"/>
                <w:sz w:val="16"/>
              </w:rPr>
              <w:t>- Progetti agevolati</w:t>
            </w:r>
          </w:p>
        </w:tc>
        <w:tc>
          <w:tcPr>
            <w:tcW w:w="1100" w:type="dxa"/>
          </w:tcPr>
          <w:p>
            <w:pPr>
              <w:pStyle w:val="TableParagraph"/>
              <w:ind w:left="379" w:right="139"/>
              <w:jc w:val="center"/>
              <w:rPr>
                <w:rFonts w:ascii="Times New Roman"/>
                <w:sz w:val="16"/>
              </w:rPr>
            </w:pPr>
            <w:r>
              <w:rPr>
                <w:rFonts w:ascii="Times New Roman"/>
                <w:sz w:val="16"/>
              </w:rPr>
              <w:t>2,7</w:t>
            </w:r>
          </w:p>
        </w:tc>
        <w:tc>
          <w:tcPr>
            <w:tcW w:w="999" w:type="dxa"/>
          </w:tcPr>
          <w:p>
            <w:pPr>
              <w:pStyle w:val="TableParagraph"/>
              <w:ind w:left="26"/>
              <w:jc w:val="center"/>
              <w:rPr>
                <w:rFonts w:ascii="Times New Roman"/>
                <w:sz w:val="16"/>
              </w:rPr>
            </w:pPr>
            <w:r>
              <w:rPr>
                <w:rFonts w:ascii="Times New Roman"/>
                <w:w w:val="97"/>
                <w:sz w:val="16"/>
              </w:rPr>
              <w:t>-</w:t>
            </w:r>
          </w:p>
        </w:tc>
        <w:tc>
          <w:tcPr>
            <w:tcW w:w="986" w:type="dxa"/>
          </w:tcPr>
          <w:p>
            <w:pPr>
              <w:pStyle w:val="TableParagraph"/>
              <w:ind w:left="108" w:right="170"/>
              <w:jc w:val="center"/>
              <w:rPr>
                <w:rFonts w:ascii="Times New Roman"/>
                <w:sz w:val="16"/>
              </w:rPr>
            </w:pPr>
            <w:r>
              <w:rPr>
                <w:rFonts w:ascii="Times New Roman"/>
                <w:sz w:val="16"/>
              </w:rPr>
              <w:t>51,5</w:t>
            </w:r>
          </w:p>
        </w:tc>
        <w:tc>
          <w:tcPr>
            <w:tcW w:w="960" w:type="dxa"/>
          </w:tcPr>
          <w:p>
            <w:pPr>
              <w:pStyle w:val="TableParagraph"/>
              <w:ind w:left="177" w:right="156"/>
              <w:jc w:val="center"/>
              <w:rPr>
                <w:rFonts w:ascii="Times New Roman"/>
                <w:sz w:val="16"/>
              </w:rPr>
            </w:pPr>
            <w:r>
              <w:rPr>
                <w:rFonts w:ascii="Times New Roman"/>
                <w:sz w:val="16"/>
              </w:rPr>
              <w:t>66,6</w:t>
            </w:r>
          </w:p>
        </w:tc>
        <w:tc>
          <w:tcPr>
            <w:tcW w:w="956" w:type="dxa"/>
          </w:tcPr>
          <w:p>
            <w:pPr>
              <w:pStyle w:val="TableParagraph"/>
              <w:ind w:left="155" w:right="138"/>
              <w:jc w:val="center"/>
              <w:rPr>
                <w:rFonts w:ascii="Times New Roman"/>
                <w:sz w:val="16"/>
              </w:rPr>
            </w:pPr>
            <w:r>
              <w:rPr>
                <w:rFonts w:ascii="Times New Roman"/>
                <w:sz w:val="16"/>
              </w:rPr>
              <w:t>24,8</w:t>
            </w:r>
          </w:p>
        </w:tc>
        <w:tc>
          <w:tcPr>
            <w:tcW w:w="756" w:type="dxa"/>
          </w:tcPr>
          <w:p>
            <w:pPr>
              <w:pStyle w:val="TableParagraph"/>
              <w:ind w:left="78"/>
              <w:jc w:val="center"/>
              <w:rPr>
                <w:rFonts w:ascii="Times New Roman"/>
                <w:sz w:val="16"/>
              </w:rPr>
            </w:pPr>
            <w:r>
              <w:rPr>
                <w:rFonts w:ascii="Times New Roman"/>
                <w:w w:val="97"/>
                <w:sz w:val="16"/>
              </w:rPr>
              <w:t>-</w:t>
            </w:r>
          </w:p>
        </w:tc>
        <w:tc>
          <w:tcPr>
            <w:tcW w:w="839" w:type="dxa"/>
          </w:tcPr>
          <w:p>
            <w:pPr>
              <w:pStyle w:val="TableParagraph"/>
              <w:ind w:left="125"/>
              <w:jc w:val="center"/>
              <w:rPr>
                <w:rFonts w:ascii="Times New Roman"/>
                <w:sz w:val="16"/>
              </w:rPr>
            </w:pPr>
            <w:r>
              <w:rPr>
                <w:rFonts w:ascii="Times New Roman"/>
                <w:sz w:val="16"/>
              </w:rPr>
              <w:t>145,7</w:t>
            </w:r>
          </w:p>
        </w:tc>
      </w:tr>
      <w:tr>
        <w:trPr>
          <w:trHeight w:val="213" w:hRule="exact"/>
        </w:trPr>
        <w:tc>
          <w:tcPr>
            <w:tcW w:w="2983" w:type="dxa"/>
          </w:tcPr>
          <w:p>
            <w:pPr>
              <w:pStyle w:val="TableParagraph"/>
              <w:ind w:left="26"/>
              <w:jc w:val="left"/>
              <w:rPr>
                <w:rFonts w:ascii="Times New Roman"/>
                <w:sz w:val="16"/>
              </w:rPr>
            </w:pPr>
            <w:r>
              <w:rPr>
                <w:rFonts w:ascii="Times New Roman"/>
                <w:sz w:val="16"/>
              </w:rPr>
              <w:t>- Progetto ottimizzazione etanolo</w:t>
            </w:r>
          </w:p>
        </w:tc>
        <w:tc>
          <w:tcPr>
            <w:tcW w:w="1100" w:type="dxa"/>
          </w:tcPr>
          <w:p>
            <w:pPr>
              <w:pStyle w:val="TableParagraph"/>
              <w:ind w:left="231"/>
              <w:jc w:val="center"/>
              <w:rPr>
                <w:rFonts w:ascii="Times New Roman"/>
                <w:sz w:val="16"/>
              </w:rPr>
            </w:pPr>
            <w:r>
              <w:rPr>
                <w:rFonts w:ascii="Times New Roman"/>
                <w:w w:val="97"/>
                <w:sz w:val="16"/>
              </w:rPr>
              <w:t>-</w:t>
            </w:r>
          </w:p>
        </w:tc>
        <w:tc>
          <w:tcPr>
            <w:tcW w:w="999" w:type="dxa"/>
          </w:tcPr>
          <w:p>
            <w:pPr>
              <w:pStyle w:val="TableParagraph"/>
              <w:ind w:left="26"/>
              <w:jc w:val="center"/>
              <w:rPr>
                <w:rFonts w:ascii="Times New Roman"/>
                <w:sz w:val="16"/>
              </w:rPr>
            </w:pPr>
            <w:r>
              <w:rPr>
                <w:rFonts w:ascii="Times New Roman"/>
                <w:w w:val="97"/>
                <w:sz w:val="16"/>
              </w:rPr>
              <w:t>-</w:t>
            </w:r>
          </w:p>
        </w:tc>
        <w:tc>
          <w:tcPr>
            <w:tcW w:w="986" w:type="dxa"/>
          </w:tcPr>
          <w:p>
            <w:pPr>
              <w:pStyle w:val="TableParagraph"/>
              <w:ind w:right="62"/>
              <w:jc w:val="center"/>
              <w:rPr>
                <w:rFonts w:ascii="Times New Roman"/>
                <w:sz w:val="16"/>
              </w:rPr>
            </w:pPr>
            <w:r>
              <w:rPr>
                <w:rFonts w:ascii="Times New Roman"/>
                <w:w w:val="97"/>
                <w:sz w:val="16"/>
              </w:rPr>
              <w:t>-</w:t>
            </w:r>
          </w:p>
        </w:tc>
        <w:tc>
          <w:tcPr>
            <w:tcW w:w="960" w:type="dxa"/>
          </w:tcPr>
          <w:p>
            <w:pPr>
              <w:pStyle w:val="TableParagraph"/>
              <w:ind w:left="21"/>
              <w:jc w:val="center"/>
              <w:rPr>
                <w:rFonts w:ascii="Times New Roman"/>
                <w:sz w:val="16"/>
              </w:rPr>
            </w:pPr>
            <w:r>
              <w:rPr>
                <w:rFonts w:ascii="Times New Roman"/>
                <w:w w:val="97"/>
                <w:sz w:val="16"/>
              </w:rPr>
              <w:t>-</w:t>
            </w:r>
          </w:p>
        </w:tc>
        <w:tc>
          <w:tcPr>
            <w:tcW w:w="956" w:type="dxa"/>
          </w:tcPr>
          <w:p>
            <w:pPr>
              <w:pStyle w:val="TableParagraph"/>
              <w:ind w:left="155" w:right="138"/>
              <w:jc w:val="center"/>
              <w:rPr>
                <w:rFonts w:ascii="Times New Roman"/>
                <w:sz w:val="16"/>
              </w:rPr>
            </w:pPr>
            <w:r>
              <w:rPr>
                <w:rFonts w:ascii="Times New Roman"/>
                <w:sz w:val="16"/>
              </w:rPr>
              <w:t>36,6</w:t>
            </w:r>
          </w:p>
        </w:tc>
        <w:tc>
          <w:tcPr>
            <w:tcW w:w="756" w:type="dxa"/>
          </w:tcPr>
          <w:p>
            <w:pPr>
              <w:pStyle w:val="TableParagraph"/>
              <w:ind w:left="152" w:right="74"/>
              <w:jc w:val="center"/>
              <w:rPr>
                <w:rFonts w:ascii="Times New Roman"/>
                <w:sz w:val="16"/>
              </w:rPr>
            </w:pPr>
            <w:r>
              <w:rPr>
                <w:rFonts w:ascii="Times New Roman"/>
                <w:sz w:val="16"/>
              </w:rPr>
              <w:t>18,3</w:t>
            </w:r>
          </w:p>
        </w:tc>
        <w:tc>
          <w:tcPr>
            <w:tcW w:w="839" w:type="dxa"/>
          </w:tcPr>
          <w:p>
            <w:pPr>
              <w:pStyle w:val="TableParagraph"/>
              <w:ind w:left="134"/>
              <w:jc w:val="center"/>
              <w:rPr>
                <w:rFonts w:ascii="Times New Roman"/>
                <w:sz w:val="16"/>
              </w:rPr>
            </w:pPr>
            <w:r>
              <w:rPr>
                <w:rFonts w:ascii="Times New Roman"/>
                <w:sz w:val="16"/>
              </w:rPr>
              <w:t>54,9</w:t>
            </w:r>
          </w:p>
        </w:tc>
      </w:tr>
      <w:tr>
        <w:trPr>
          <w:trHeight w:val="212" w:hRule="exact"/>
        </w:trPr>
        <w:tc>
          <w:tcPr>
            <w:tcW w:w="2983" w:type="dxa"/>
          </w:tcPr>
          <w:p>
            <w:pPr>
              <w:pStyle w:val="TableParagraph"/>
              <w:ind w:left="26"/>
              <w:jc w:val="left"/>
              <w:rPr>
                <w:rFonts w:ascii="Times New Roman"/>
                <w:sz w:val="16"/>
              </w:rPr>
            </w:pPr>
            <w:r>
              <w:rPr>
                <w:rFonts w:ascii="Times New Roman"/>
                <w:sz w:val="16"/>
              </w:rPr>
              <w:t>- Delta cambi</w:t>
            </w:r>
          </w:p>
        </w:tc>
        <w:tc>
          <w:tcPr>
            <w:tcW w:w="1100" w:type="dxa"/>
          </w:tcPr>
          <w:p>
            <w:pPr>
              <w:pStyle w:val="TableParagraph"/>
              <w:ind w:left="370" w:right="139"/>
              <w:jc w:val="center"/>
              <w:rPr>
                <w:rFonts w:ascii="Times New Roman"/>
                <w:sz w:val="16"/>
              </w:rPr>
            </w:pPr>
            <w:r>
              <w:rPr>
                <w:rFonts w:ascii="Times New Roman"/>
                <w:sz w:val="16"/>
              </w:rPr>
              <w:t>11,1</w:t>
            </w:r>
          </w:p>
        </w:tc>
        <w:tc>
          <w:tcPr>
            <w:tcW w:w="999" w:type="dxa"/>
          </w:tcPr>
          <w:p>
            <w:pPr>
              <w:pStyle w:val="TableParagraph"/>
              <w:ind w:left="26"/>
              <w:jc w:val="center"/>
              <w:rPr>
                <w:rFonts w:ascii="Times New Roman"/>
                <w:sz w:val="16"/>
              </w:rPr>
            </w:pPr>
            <w:r>
              <w:rPr>
                <w:rFonts w:ascii="Times New Roman"/>
                <w:w w:val="97"/>
                <w:sz w:val="16"/>
              </w:rPr>
              <w:t>-</w:t>
            </w:r>
          </w:p>
        </w:tc>
        <w:tc>
          <w:tcPr>
            <w:tcW w:w="986" w:type="dxa"/>
          </w:tcPr>
          <w:p>
            <w:pPr>
              <w:pStyle w:val="TableParagraph"/>
              <w:ind w:right="62"/>
              <w:jc w:val="center"/>
              <w:rPr>
                <w:rFonts w:ascii="Times New Roman"/>
                <w:sz w:val="16"/>
              </w:rPr>
            </w:pPr>
            <w:r>
              <w:rPr>
                <w:rFonts w:ascii="Times New Roman"/>
                <w:w w:val="97"/>
                <w:sz w:val="16"/>
              </w:rPr>
              <w:t>-</w:t>
            </w:r>
          </w:p>
        </w:tc>
        <w:tc>
          <w:tcPr>
            <w:tcW w:w="960" w:type="dxa"/>
          </w:tcPr>
          <w:p>
            <w:pPr>
              <w:pStyle w:val="TableParagraph"/>
              <w:ind w:left="21"/>
              <w:jc w:val="center"/>
              <w:rPr>
                <w:rFonts w:ascii="Times New Roman"/>
                <w:sz w:val="16"/>
              </w:rPr>
            </w:pPr>
            <w:r>
              <w:rPr>
                <w:rFonts w:ascii="Times New Roman"/>
                <w:w w:val="97"/>
                <w:sz w:val="16"/>
              </w:rPr>
              <w:t>-</w:t>
            </w:r>
          </w:p>
        </w:tc>
        <w:tc>
          <w:tcPr>
            <w:tcW w:w="956" w:type="dxa"/>
          </w:tcPr>
          <w:p>
            <w:pPr>
              <w:pStyle w:val="TableParagraph"/>
              <w:ind w:left="17"/>
              <w:jc w:val="center"/>
              <w:rPr>
                <w:rFonts w:ascii="Times New Roman"/>
                <w:sz w:val="16"/>
              </w:rPr>
            </w:pPr>
            <w:r>
              <w:rPr>
                <w:rFonts w:ascii="Times New Roman"/>
                <w:w w:val="97"/>
                <w:sz w:val="16"/>
              </w:rPr>
              <w:t>-</w:t>
            </w:r>
          </w:p>
        </w:tc>
        <w:tc>
          <w:tcPr>
            <w:tcW w:w="756" w:type="dxa"/>
          </w:tcPr>
          <w:p>
            <w:pPr/>
          </w:p>
        </w:tc>
        <w:tc>
          <w:tcPr>
            <w:tcW w:w="839" w:type="dxa"/>
          </w:tcPr>
          <w:p>
            <w:pPr>
              <w:pStyle w:val="TableParagraph"/>
              <w:ind w:left="134"/>
              <w:jc w:val="center"/>
              <w:rPr>
                <w:rFonts w:ascii="Times New Roman"/>
                <w:sz w:val="16"/>
              </w:rPr>
            </w:pPr>
            <w:r>
              <w:rPr>
                <w:rFonts w:ascii="Times New Roman"/>
                <w:sz w:val="16"/>
              </w:rPr>
              <w:t>11,1</w:t>
            </w:r>
          </w:p>
        </w:tc>
      </w:tr>
      <w:tr>
        <w:trPr>
          <w:trHeight w:val="319" w:hRule="exact"/>
        </w:trPr>
        <w:tc>
          <w:tcPr>
            <w:tcW w:w="2983" w:type="dxa"/>
          </w:tcPr>
          <w:p>
            <w:pPr>
              <w:pStyle w:val="TableParagraph"/>
              <w:ind w:left="26"/>
              <w:jc w:val="left"/>
              <w:rPr>
                <w:rFonts w:ascii="Times New Roman"/>
                <w:sz w:val="16"/>
              </w:rPr>
            </w:pPr>
            <w:r>
              <w:rPr>
                <w:rFonts w:ascii="Times New Roman"/>
                <w:sz w:val="16"/>
              </w:rPr>
              <w:t>- Riaddebito personale IBP e MG Resins</w:t>
            </w:r>
          </w:p>
        </w:tc>
        <w:tc>
          <w:tcPr>
            <w:tcW w:w="1100" w:type="dxa"/>
          </w:tcPr>
          <w:p>
            <w:pPr>
              <w:pStyle w:val="TableParagraph"/>
              <w:ind w:left="231"/>
              <w:jc w:val="center"/>
              <w:rPr>
                <w:rFonts w:ascii="Times New Roman"/>
                <w:sz w:val="16"/>
              </w:rPr>
            </w:pPr>
            <w:r>
              <w:rPr>
                <w:rFonts w:ascii="Times New Roman"/>
                <w:w w:val="97"/>
                <w:sz w:val="16"/>
              </w:rPr>
              <w:t>-</w:t>
            </w:r>
          </w:p>
        </w:tc>
        <w:tc>
          <w:tcPr>
            <w:tcW w:w="999" w:type="dxa"/>
          </w:tcPr>
          <w:p>
            <w:pPr>
              <w:pStyle w:val="TableParagraph"/>
              <w:ind w:left="136" w:right="111"/>
              <w:jc w:val="center"/>
              <w:rPr>
                <w:rFonts w:ascii="Times New Roman"/>
                <w:sz w:val="16"/>
              </w:rPr>
            </w:pPr>
            <w:r>
              <w:rPr>
                <w:rFonts w:ascii="Times New Roman"/>
                <w:sz w:val="16"/>
              </w:rPr>
              <w:t>53,3</w:t>
            </w:r>
          </w:p>
        </w:tc>
        <w:tc>
          <w:tcPr>
            <w:tcW w:w="986" w:type="dxa"/>
          </w:tcPr>
          <w:p>
            <w:pPr>
              <w:pStyle w:val="TableParagraph"/>
              <w:ind w:left="108" w:right="170"/>
              <w:jc w:val="center"/>
              <w:rPr>
                <w:rFonts w:ascii="Times New Roman"/>
                <w:sz w:val="16"/>
              </w:rPr>
            </w:pPr>
            <w:r>
              <w:rPr>
                <w:rFonts w:ascii="Times New Roman"/>
                <w:sz w:val="16"/>
              </w:rPr>
              <w:t>63,2</w:t>
            </w:r>
          </w:p>
        </w:tc>
        <w:tc>
          <w:tcPr>
            <w:tcW w:w="960" w:type="dxa"/>
          </w:tcPr>
          <w:p>
            <w:pPr>
              <w:pStyle w:val="TableParagraph"/>
              <w:ind w:left="177" w:right="156"/>
              <w:jc w:val="center"/>
              <w:rPr>
                <w:rFonts w:ascii="Times New Roman"/>
                <w:sz w:val="16"/>
              </w:rPr>
            </w:pPr>
            <w:r>
              <w:rPr>
                <w:rFonts w:ascii="Times New Roman"/>
                <w:sz w:val="16"/>
              </w:rPr>
              <w:t>23,0</w:t>
            </w:r>
          </w:p>
        </w:tc>
        <w:tc>
          <w:tcPr>
            <w:tcW w:w="956" w:type="dxa"/>
          </w:tcPr>
          <w:p>
            <w:pPr>
              <w:pStyle w:val="TableParagraph"/>
              <w:ind w:left="155" w:right="129"/>
              <w:jc w:val="center"/>
              <w:rPr>
                <w:rFonts w:ascii="Times New Roman"/>
                <w:sz w:val="16"/>
              </w:rPr>
            </w:pPr>
            <w:r>
              <w:rPr>
                <w:rFonts w:ascii="Times New Roman"/>
                <w:sz w:val="16"/>
              </w:rPr>
              <w:t>148,2</w:t>
            </w:r>
          </w:p>
        </w:tc>
        <w:tc>
          <w:tcPr>
            <w:tcW w:w="756" w:type="dxa"/>
          </w:tcPr>
          <w:p>
            <w:pPr>
              <w:pStyle w:val="TableParagraph"/>
              <w:ind w:left="152" w:right="74"/>
              <w:jc w:val="center"/>
              <w:rPr>
                <w:rFonts w:ascii="Times New Roman"/>
                <w:sz w:val="16"/>
              </w:rPr>
            </w:pPr>
            <w:r>
              <w:rPr>
                <w:rFonts w:ascii="Times New Roman"/>
                <w:sz w:val="16"/>
              </w:rPr>
              <w:t>81,7</w:t>
            </w:r>
          </w:p>
        </w:tc>
        <w:tc>
          <w:tcPr>
            <w:tcW w:w="839" w:type="dxa"/>
          </w:tcPr>
          <w:p>
            <w:pPr>
              <w:pStyle w:val="TableParagraph"/>
              <w:ind w:left="125"/>
              <w:jc w:val="center"/>
              <w:rPr>
                <w:rFonts w:ascii="Times New Roman"/>
                <w:sz w:val="16"/>
              </w:rPr>
            </w:pPr>
            <w:r>
              <w:rPr>
                <w:rFonts w:ascii="Times New Roman"/>
                <w:sz w:val="16"/>
              </w:rPr>
              <w:t>369,4</w:t>
            </w:r>
          </w:p>
        </w:tc>
      </w:tr>
      <w:tr>
        <w:trPr>
          <w:trHeight w:val="531" w:hRule="exact"/>
        </w:trPr>
        <w:tc>
          <w:tcPr>
            <w:tcW w:w="2983" w:type="dxa"/>
          </w:tcPr>
          <w:p>
            <w:pPr>
              <w:pStyle w:val="TableParagraph"/>
              <w:spacing w:before="119"/>
              <w:ind w:left="26"/>
              <w:jc w:val="left"/>
              <w:rPr>
                <w:rFonts w:ascii="Times New Roman"/>
                <w:b/>
                <w:sz w:val="16"/>
              </w:rPr>
            </w:pPr>
            <w:r>
              <w:rPr>
                <w:rFonts w:ascii="Times New Roman"/>
                <w:b/>
                <w:sz w:val="16"/>
                <w:u w:val="single"/>
              </w:rPr>
              <w:t>Uscite </w:t>
            </w:r>
          </w:p>
          <w:p>
            <w:pPr>
              <w:pStyle w:val="TableParagraph"/>
              <w:spacing w:before="28"/>
              <w:ind w:left="26"/>
              <w:jc w:val="left"/>
              <w:rPr>
                <w:rFonts w:ascii="Times New Roman"/>
                <w:sz w:val="16"/>
              </w:rPr>
            </w:pPr>
            <w:r>
              <w:rPr>
                <w:rFonts w:ascii="Times New Roman"/>
                <w:sz w:val="16"/>
              </w:rPr>
              <w:t>- Costo del personale</w:t>
            </w:r>
          </w:p>
        </w:tc>
        <w:tc>
          <w:tcPr>
            <w:tcW w:w="1100" w:type="dxa"/>
          </w:tcPr>
          <w:p>
            <w:pPr>
              <w:pStyle w:val="TableParagraph"/>
              <w:spacing w:before="0"/>
              <w:jc w:val="left"/>
              <w:rPr>
                <w:rFonts w:ascii="Times New Roman"/>
                <w:b/>
                <w:sz w:val="18"/>
              </w:rPr>
            </w:pPr>
          </w:p>
          <w:p>
            <w:pPr>
              <w:pStyle w:val="TableParagraph"/>
              <w:spacing w:before="124"/>
              <w:ind w:left="231"/>
              <w:jc w:val="center"/>
              <w:rPr>
                <w:rFonts w:ascii="Times New Roman"/>
                <w:sz w:val="16"/>
              </w:rPr>
            </w:pPr>
            <w:r>
              <w:rPr>
                <w:rFonts w:ascii="Times New Roman"/>
                <w:w w:val="97"/>
                <w:sz w:val="16"/>
              </w:rPr>
              <w:t>-</w:t>
            </w:r>
          </w:p>
        </w:tc>
        <w:tc>
          <w:tcPr>
            <w:tcW w:w="999" w:type="dxa"/>
          </w:tcPr>
          <w:p>
            <w:pPr>
              <w:pStyle w:val="TableParagraph"/>
              <w:spacing w:before="0"/>
              <w:jc w:val="left"/>
              <w:rPr>
                <w:rFonts w:ascii="Times New Roman"/>
                <w:b/>
                <w:sz w:val="18"/>
              </w:rPr>
            </w:pPr>
          </w:p>
          <w:p>
            <w:pPr>
              <w:pStyle w:val="TableParagraph"/>
              <w:spacing w:before="124"/>
              <w:ind w:left="137" w:right="103"/>
              <w:jc w:val="center"/>
              <w:rPr>
                <w:rFonts w:ascii="Times New Roman"/>
                <w:sz w:val="16"/>
              </w:rPr>
            </w:pPr>
            <w:r>
              <w:rPr>
                <w:rFonts w:ascii="Times New Roman"/>
                <w:sz w:val="16"/>
              </w:rPr>
              <w:t>(121,5)</w:t>
            </w:r>
          </w:p>
        </w:tc>
        <w:tc>
          <w:tcPr>
            <w:tcW w:w="986" w:type="dxa"/>
          </w:tcPr>
          <w:p>
            <w:pPr>
              <w:pStyle w:val="TableParagraph"/>
              <w:spacing w:before="0"/>
              <w:jc w:val="left"/>
              <w:rPr>
                <w:rFonts w:ascii="Times New Roman"/>
                <w:b/>
                <w:sz w:val="18"/>
              </w:rPr>
            </w:pPr>
          </w:p>
          <w:p>
            <w:pPr>
              <w:pStyle w:val="TableParagraph"/>
              <w:spacing w:before="124"/>
              <w:ind w:left="108" w:right="162"/>
              <w:jc w:val="center"/>
              <w:rPr>
                <w:rFonts w:ascii="Times New Roman"/>
                <w:sz w:val="16"/>
              </w:rPr>
            </w:pPr>
            <w:r>
              <w:rPr>
                <w:rFonts w:ascii="Times New Roman"/>
                <w:sz w:val="16"/>
              </w:rPr>
              <w:t>(365,6)</w:t>
            </w:r>
          </w:p>
        </w:tc>
        <w:tc>
          <w:tcPr>
            <w:tcW w:w="960" w:type="dxa"/>
          </w:tcPr>
          <w:p>
            <w:pPr>
              <w:pStyle w:val="TableParagraph"/>
              <w:spacing w:before="0"/>
              <w:jc w:val="left"/>
              <w:rPr>
                <w:rFonts w:ascii="Times New Roman"/>
                <w:b/>
                <w:sz w:val="18"/>
              </w:rPr>
            </w:pPr>
          </w:p>
          <w:p>
            <w:pPr>
              <w:pStyle w:val="TableParagraph"/>
              <w:spacing w:before="124"/>
              <w:ind w:left="177" w:right="147"/>
              <w:jc w:val="center"/>
              <w:rPr>
                <w:rFonts w:ascii="Times New Roman"/>
                <w:sz w:val="16"/>
              </w:rPr>
            </w:pPr>
            <w:r>
              <w:rPr>
                <w:rFonts w:ascii="Times New Roman"/>
                <w:sz w:val="16"/>
              </w:rPr>
              <w:t>(285,8)</w:t>
            </w:r>
          </w:p>
        </w:tc>
        <w:tc>
          <w:tcPr>
            <w:tcW w:w="956" w:type="dxa"/>
          </w:tcPr>
          <w:p>
            <w:pPr>
              <w:pStyle w:val="TableParagraph"/>
              <w:spacing w:before="0"/>
              <w:jc w:val="left"/>
              <w:rPr>
                <w:rFonts w:ascii="Times New Roman"/>
                <w:b/>
                <w:sz w:val="18"/>
              </w:rPr>
            </w:pPr>
          </w:p>
          <w:p>
            <w:pPr>
              <w:pStyle w:val="TableParagraph"/>
              <w:spacing w:before="124"/>
              <w:ind w:left="155" w:right="130"/>
              <w:jc w:val="center"/>
              <w:rPr>
                <w:rFonts w:ascii="Times New Roman"/>
                <w:sz w:val="16"/>
              </w:rPr>
            </w:pPr>
            <w:r>
              <w:rPr>
                <w:rFonts w:ascii="Times New Roman"/>
                <w:sz w:val="16"/>
              </w:rPr>
              <w:t>(137,4)</w:t>
            </w:r>
          </w:p>
        </w:tc>
        <w:tc>
          <w:tcPr>
            <w:tcW w:w="756" w:type="dxa"/>
          </w:tcPr>
          <w:p>
            <w:pPr>
              <w:pStyle w:val="TableParagraph"/>
              <w:spacing w:before="0"/>
              <w:jc w:val="left"/>
              <w:rPr>
                <w:rFonts w:ascii="Times New Roman"/>
                <w:b/>
                <w:sz w:val="18"/>
              </w:rPr>
            </w:pPr>
          </w:p>
          <w:p>
            <w:pPr>
              <w:pStyle w:val="TableParagraph"/>
              <w:spacing w:before="124"/>
              <w:ind w:left="152" w:right="83"/>
              <w:jc w:val="center"/>
              <w:rPr>
                <w:rFonts w:ascii="Times New Roman"/>
                <w:sz w:val="16"/>
              </w:rPr>
            </w:pPr>
            <w:r>
              <w:rPr>
                <w:rFonts w:ascii="Times New Roman"/>
                <w:sz w:val="16"/>
              </w:rPr>
              <w:t>(180,0)</w:t>
            </w:r>
          </w:p>
        </w:tc>
        <w:tc>
          <w:tcPr>
            <w:tcW w:w="839" w:type="dxa"/>
          </w:tcPr>
          <w:p>
            <w:pPr>
              <w:pStyle w:val="TableParagraph"/>
              <w:spacing w:before="0"/>
              <w:jc w:val="left"/>
              <w:rPr>
                <w:rFonts w:ascii="Times New Roman"/>
                <w:b/>
                <w:sz w:val="18"/>
              </w:rPr>
            </w:pPr>
          </w:p>
          <w:p>
            <w:pPr>
              <w:pStyle w:val="TableParagraph"/>
              <w:spacing w:before="124"/>
              <w:ind w:left="125"/>
              <w:jc w:val="center"/>
              <w:rPr>
                <w:rFonts w:ascii="Times New Roman"/>
                <w:sz w:val="16"/>
              </w:rPr>
            </w:pPr>
            <w:r>
              <w:rPr>
                <w:rFonts w:ascii="Times New Roman"/>
                <w:sz w:val="16"/>
              </w:rPr>
              <w:t>(1.090,2)</w:t>
            </w:r>
          </w:p>
        </w:tc>
      </w:tr>
      <w:tr>
        <w:trPr>
          <w:trHeight w:val="213" w:hRule="exact"/>
        </w:trPr>
        <w:tc>
          <w:tcPr>
            <w:tcW w:w="2983" w:type="dxa"/>
          </w:tcPr>
          <w:p>
            <w:pPr>
              <w:pStyle w:val="TableParagraph"/>
              <w:ind w:left="26"/>
              <w:jc w:val="left"/>
              <w:rPr>
                <w:rFonts w:ascii="Times New Roman"/>
                <w:sz w:val="16"/>
              </w:rPr>
            </w:pPr>
            <w:r>
              <w:rPr>
                <w:rFonts w:ascii="Times New Roman"/>
                <w:sz w:val="16"/>
              </w:rPr>
              <w:t>- Costi fissi</w:t>
            </w:r>
          </w:p>
        </w:tc>
        <w:tc>
          <w:tcPr>
            <w:tcW w:w="1100" w:type="dxa"/>
          </w:tcPr>
          <w:p>
            <w:pPr>
              <w:pStyle w:val="TableParagraph"/>
              <w:ind w:left="231"/>
              <w:jc w:val="center"/>
              <w:rPr>
                <w:rFonts w:ascii="Times New Roman"/>
                <w:sz w:val="16"/>
              </w:rPr>
            </w:pPr>
            <w:r>
              <w:rPr>
                <w:rFonts w:ascii="Times New Roman"/>
                <w:w w:val="97"/>
                <w:sz w:val="16"/>
              </w:rPr>
              <w:t>-</w:t>
            </w:r>
          </w:p>
        </w:tc>
        <w:tc>
          <w:tcPr>
            <w:tcW w:w="999" w:type="dxa"/>
          </w:tcPr>
          <w:p>
            <w:pPr>
              <w:pStyle w:val="TableParagraph"/>
              <w:ind w:left="136" w:right="111"/>
              <w:jc w:val="center"/>
              <w:rPr>
                <w:rFonts w:ascii="Times New Roman"/>
                <w:sz w:val="16"/>
              </w:rPr>
            </w:pPr>
            <w:r>
              <w:rPr>
                <w:rFonts w:ascii="Times New Roman"/>
                <w:sz w:val="16"/>
              </w:rPr>
              <w:t>(68,8)</w:t>
            </w:r>
          </w:p>
        </w:tc>
        <w:tc>
          <w:tcPr>
            <w:tcW w:w="986" w:type="dxa"/>
          </w:tcPr>
          <w:p>
            <w:pPr>
              <w:pStyle w:val="TableParagraph"/>
              <w:ind w:left="108" w:right="170"/>
              <w:jc w:val="center"/>
              <w:rPr>
                <w:rFonts w:ascii="Times New Roman"/>
                <w:sz w:val="16"/>
              </w:rPr>
            </w:pPr>
            <w:r>
              <w:rPr>
                <w:rFonts w:ascii="Times New Roman"/>
                <w:sz w:val="16"/>
              </w:rPr>
              <w:t>(84,4)</w:t>
            </w:r>
          </w:p>
        </w:tc>
        <w:tc>
          <w:tcPr>
            <w:tcW w:w="960" w:type="dxa"/>
          </w:tcPr>
          <w:p>
            <w:pPr>
              <w:pStyle w:val="TableParagraph"/>
              <w:ind w:left="177" w:right="156"/>
              <w:jc w:val="center"/>
              <w:rPr>
                <w:rFonts w:ascii="Times New Roman"/>
                <w:sz w:val="16"/>
              </w:rPr>
            </w:pPr>
            <w:r>
              <w:rPr>
                <w:rFonts w:ascii="Times New Roman"/>
                <w:sz w:val="16"/>
              </w:rPr>
              <w:t>(97,1)</w:t>
            </w:r>
          </w:p>
        </w:tc>
        <w:tc>
          <w:tcPr>
            <w:tcW w:w="956" w:type="dxa"/>
          </w:tcPr>
          <w:p>
            <w:pPr>
              <w:pStyle w:val="TableParagraph"/>
              <w:ind w:left="155" w:right="130"/>
              <w:jc w:val="center"/>
              <w:rPr>
                <w:rFonts w:ascii="Times New Roman"/>
                <w:sz w:val="16"/>
              </w:rPr>
            </w:pPr>
            <w:r>
              <w:rPr>
                <w:rFonts w:ascii="Times New Roman"/>
                <w:sz w:val="16"/>
              </w:rPr>
              <w:t>(131,3)</w:t>
            </w:r>
          </w:p>
        </w:tc>
        <w:tc>
          <w:tcPr>
            <w:tcW w:w="756" w:type="dxa"/>
          </w:tcPr>
          <w:p>
            <w:pPr>
              <w:pStyle w:val="TableParagraph"/>
              <w:ind w:left="152" w:right="83"/>
              <w:jc w:val="center"/>
              <w:rPr>
                <w:rFonts w:ascii="Times New Roman"/>
                <w:sz w:val="16"/>
              </w:rPr>
            </w:pPr>
            <w:r>
              <w:rPr>
                <w:rFonts w:ascii="Times New Roman"/>
                <w:sz w:val="16"/>
              </w:rPr>
              <w:t>(120,0)</w:t>
            </w:r>
          </w:p>
        </w:tc>
        <w:tc>
          <w:tcPr>
            <w:tcW w:w="839" w:type="dxa"/>
          </w:tcPr>
          <w:p>
            <w:pPr>
              <w:pStyle w:val="TableParagraph"/>
              <w:ind w:left="125"/>
              <w:jc w:val="center"/>
              <w:rPr>
                <w:rFonts w:ascii="Times New Roman"/>
                <w:sz w:val="16"/>
              </w:rPr>
            </w:pPr>
            <w:r>
              <w:rPr>
                <w:rFonts w:ascii="Times New Roman"/>
                <w:sz w:val="16"/>
              </w:rPr>
              <w:t>(501,6)</w:t>
            </w:r>
          </w:p>
        </w:tc>
      </w:tr>
      <w:tr>
        <w:trPr>
          <w:trHeight w:val="212" w:hRule="exact"/>
        </w:trPr>
        <w:tc>
          <w:tcPr>
            <w:tcW w:w="2983" w:type="dxa"/>
          </w:tcPr>
          <w:p>
            <w:pPr>
              <w:pStyle w:val="TableParagraph"/>
              <w:ind w:left="26"/>
              <w:jc w:val="left"/>
              <w:rPr>
                <w:rFonts w:ascii="Times New Roman"/>
                <w:i/>
                <w:sz w:val="16"/>
              </w:rPr>
            </w:pPr>
            <w:r>
              <w:rPr>
                <w:rFonts w:ascii="Times New Roman"/>
                <w:sz w:val="16"/>
              </w:rPr>
              <w:t>- Spese di procedura e </w:t>
            </w:r>
            <w:r>
              <w:rPr>
                <w:rFonts w:ascii="Times New Roman"/>
                <w:i/>
                <w:sz w:val="16"/>
              </w:rPr>
              <w:t>advisor</w:t>
            </w:r>
          </w:p>
        </w:tc>
        <w:tc>
          <w:tcPr>
            <w:tcW w:w="1100" w:type="dxa"/>
          </w:tcPr>
          <w:p>
            <w:pPr>
              <w:pStyle w:val="TableParagraph"/>
              <w:ind w:left="231"/>
              <w:jc w:val="center"/>
              <w:rPr>
                <w:rFonts w:ascii="Times New Roman"/>
                <w:sz w:val="16"/>
              </w:rPr>
            </w:pPr>
            <w:r>
              <w:rPr>
                <w:rFonts w:ascii="Times New Roman"/>
                <w:w w:val="97"/>
                <w:sz w:val="16"/>
              </w:rPr>
              <w:t>-</w:t>
            </w:r>
          </w:p>
        </w:tc>
        <w:tc>
          <w:tcPr>
            <w:tcW w:w="999" w:type="dxa"/>
          </w:tcPr>
          <w:p>
            <w:pPr>
              <w:pStyle w:val="TableParagraph"/>
              <w:ind w:left="136" w:right="111"/>
              <w:jc w:val="center"/>
              <w:rPr>
                <w:rFonts w:ascii="Times New Roman"/>
                <w:sz w:val="16"/>
              </w:rPr>
            </w:pPr>
            <w:r>
              <w:rPr>
                <w:rFonts w:ascii="Times New Roman"/>
                <w:sz w:val="16"/>
              </w:rPr>
              <w:t>(31,8)</w:t>
            </w:r>
          </w:p>
        </w:tc>
        <w:tc>
          <w:tcPr>
            <w:tcW w:w="986" w:type="dxa"/>
          </w:tcPr>
          <w:p>
            <w:pPr>
              <w:pStyle w:val="TableParagraph"/>
              <w:ind w:left="108" w:right="170"/>
              <w:jc w:val="center"/>
              <w:rPr>
                <w:rFonts w:ascii="Times New Roman"/>
                <w:sz w:val="16"/>
              </w:rPr>
            </w:pPr>
            <w:r>
              <w:rPr>
                <w:rFonts w:ascii="Times New Roman"/>
                <w:sz w:val="16"/>
              </w:rPr>
              <w:t>(20,5)</w:t>
            </w:r>
          </w:p>
        </w:tc>
        <w:tc>
          <w:tcPr>
            <w:tcW w:w="960" w:type="dxa"/>
          </w:tcPr>
          <w:p>
            <w:pPr>
              <w:pStyle w:val="TableParagraph"/>
              <w:ind w:left="177" w:right="156"/>
              <w:jc w:val="center"/>
              <w:rPr>
                <w:rFonts w:ascii="Times New Roman"/>
                <w:sz w:val="16"/>
              </w:rPr>
            </w:pPr>
            <w:r>
              <w:rPr>
                <w:rFonts w:ascii="Times New Roman"/>
                <w:sz w:val="16"/>
              </w:rPr>
              <w:t>(50,4)</w:t>
            </w:r>
          </w:p>
        </w:tc>
        <w:tc>
          <w:tcPr>
            <w:tcW w:w="956" w:type="dxa"/>
          </w:tcPr>
          <w:p>
            <w:pPr>
              <w:pStyle w:val="TableParagraph"/>
              <w:ind w:left="154" w:right="138"/>
              <w:jc w:val="center"/>
              <w:rPr>
                <w:rFonts w:ascii="Times New Roman"/>
                <w:sz w:val="16"/>
              </w:rPr>
            </w:pPr>
            <w:r>
              <w:rPr>
                <w:rFonts w:ascii="Times New Roman"/>
                <w:sz w:val="16"/>
              </w:rPr>
              <w:t>(84,7)</w:t>
            </w:r>
          </w:p>
        </w:tc>
        <w:tc>
          <w:tcPr>
            <w:tcW w:w="756" w:type="dxa"/>
          </w:tcPr>
          <w:p>
            <w:pPr>
              <w:pStyle w:val="TableParagraph"/>
              <w:ind w:left="152" w:right="83"/>
              <w:jc w:val="center"/>
              <w:rPr>
                <w:rFonts w:ascii="Times New Roman"/>
                <w:sz w:val="16"/>
              </w:rPr>
            </w:pPr>
            <w:r>
              <w:rPr>
                <w:rFonts w:ascii="Times New Roman"/>
                <w:sz w:val="16"/>
              </w:rPr>
              <w:t>(3,0)</w:t>
            </w:r>
          </w:p>
        </w:tc>
        <w:tc>
          <w:tcPr>
            <w:tcW w:w="839" w:type="dxa"/>
          </w:tcPr>
          <w:p>
            <w:pPr>
              <w:pStyle w:val="TableParagraph"/>
              <w:ind w:left="125"/>
              <w:jc w:val="center"/>
              <w:rPr>
                <w:rFonts w:ascii="Times New Roman"/>
                <w:sz w:val="16"/>
              </w:rPr>
            </w:pPr>
            <w:r>
              <w:rPr>
                <w:rFonts w:ascii="Times New Roman"/>
                <w:sz w:val="16"/>
              </w:rPr>
              <w:t>(190,4)</w:t>
            </w:r>
          </w:p>
        </w:tc>
      </w:tr>
      <w:tr>
        <w:trPr>
          <w:trHeight w:val="212" w:hRule="exact"/>
        </w:trPr>
        <w:tc>
          <w:tcPr>
            <w:tcW w:w="2983" w:type="dxa"/>
          </w:tcPr>
          <w:p>
            <w:pPr>
              <w:pStyle w:val="TableParagraph"/>
              <w:ind w:left="26"/>
              <w:jc w:val="left"/>
              <w:rPr>
                <w:rFonts w:ascii="Times New Roman"/>
                <w:sz w:val="16"/>
              </w:rPr>
            </w:pPr>
            <w:r>
              <w:rPr>
                <w:rFonts w:ascii="Times New Roman"/>
                <w:sz w:val="16"/>
              </w:rPr>
              <w:t>- Servizi MG Finanziaria</w:t>
            </w:r>
          </w:p>
        </w:tc>
        <w:tc>
          <w:tcPr>
            <w:tcW w:w="1100" w:type="dxa"/>
          </w:tcPr>
          <w:p>
            <w:pPr>
              <w:pStyle w:val="TableParagraph"/>
              <w:ind w:left="231"/>
              <w:jc w:val="center"/>
              <w:rPr>
                <w:rFonts w:ascii="Times New Roman"/>
                <w:sz w:val="16"/>
              </w:rPr>
            </w:pPr>
            <w:r>
              <w:rPr>
                <w:rFonts w:ascii="Times New Roman"/>
                <w:w w:val="97"/>
                <w:sz w:val="16"/>
              </w:rPr>
              <w:t>-</w:t>
            </w:r>
          </w:p>
        </w:tc>
        <w:tc>
          <w:tcPr>
            <w:tcW w:w="999" w:type="dxa"/>
          </w:tcPr>
          <w:p>
            <w:pPr>
              <w:pStyle w:val="TableParagraph"/>
              <w:ind w:left="137" w:right="103"/>
              <w:jc w:val="center"/>
              <w:rPr>
                <w:rFonts w:ascii="Times New Roman"/>
                <w:sz w:val="16"/>
              </w:rPr>
            </w:pPr>
            <w:r>
              <w:rPr>
                <w:rFonts w:ascii="Times New Roman"/>
                <w:sz w:val="16"/>
              </w:rPr>
              <w:t>(128,9)</w:t>
            </w:r>
          </w:p>
        </w:tc>
        <w:tc>
          <w:tcPr>
            <w:tcW w:w="986" w:type="dxa"/>
          </w:tcPr>
          <w:p>
            <w:pPr>
              <w:pStyle w:val="TableParagraph"/>
              <w:ind w:left="108" w:right="162"/>
              <w:jc w:val="center"/>
              <w:rPr>
                <w:rFonts w:ascii="Times New Roman"/>
                <w:sz w:val="16"/>
              </w:rPr>
            </w:pPr>
            <w:r>
              <w:rPr>
                <w:rFonts w:ascii="Times New Roman"/>
                <w:sz w:val="16"/>
              </w:rPr>
              <w:t>(171,8)</w:t>
            </w:r>
          </w:p>
        </w:tc>
        <w:tc>
          <w:tcPr>
            <w:tcW w:w="960" w:type="dxa"/>
          </w:tcPr>
          <w:p>
            <w:pPr>
              <w:pStyle w:val="TableParagraph"/>
              <w:ind w:left="177" w:right="156"/>
              <w:jc w:val="center"/>
              <w:rPr>
                <w:rFonts w:ascii="Times New Roman"/>
                <w:sz w:val="16"/>
              </w:rPr>
            </w:pPr>
            <w:r>
              <w:rPr>
                <w:rFonts w:ascii="Times New Roman"/>
                <w:sz w:val="16"/>
              </w:rPr>
              <w:t>(91,0)</w:t>
            </w:r>
          </w:p>
        </w:tc>
        <w:tc>
          <w:tcPr>
            <w:tcW w:w="956" w:type="dxa"/>
          </w:tcPr>
          <w:p>
            <w:pPr>
              <w:pStyle w:val="TableParagraph"/>
              <w:ind w:left="17"/>
              <w:jc w:val="center"/>
              <w:rPr>
                <w:rFonts w:ascii="Times New Roman"/>
                <w:sz w:val="16"/>
              </w:rPr>
            </w:pPr>
            <w:r>
              <w:rPr>
                <w:rFonts w:ascii="Times New Roman"/>
                <w:w w:val="97"/>
                <w:sz w:val="16"/>
              </w:rPr>
              <w:t>-</w:t>
            </w:r>
          </w:p>
        </w:tc>
        <w:tc>
          <w:tcPr>
            <w:tcW w:w="756" w:type="dxa"/>
          </w:tcPr>
          <w:p>
            <w:pPr>
              <w:pStyle w:val="TableParagraph"/>
              <w:ind w:left="152" w:right="74"/>
              <w:jc w:val="center"/>
              <w:rPr>
                <w:rFonts w:ascii="Times New Roman"/>
                <w:sz w:val="16"/>
              </w:rPr>
            </w:pPr>
            <w:r>
              <w:rPr>
                <w:rFonts w:ascii="Times New Roman"/>
                <w:sz w:val="16"/>
              </w:rPr>
              <w:t>(85,9)</w:t>
            </w:r>
          </w:p>
        </w:tc>
        <w:tc>
          <w:tcPr>
            <w:tcW w:w="839" w:type="dxa"/>
          </w:tcPr>
          <w:p>
            <w:pPr>
              <w:pStyle w:val="TableParagraph"/>
              <w:ind w:left="125"/>
              <w:jc w:val="center"/>
              <w:rPr>
                <w:rFonts w:ascii="Times New Roman"/>
                <w:sz w:val="16"/>
              </w:rPr>
            </w:pPr>
            <w:r>
              <w:rPr>
                <w:rFonts w:ascii="Times New Roman"/>
                <w:sz w:val="16"/>
              </w:rPr>
              <w:t>(477,6)</w:t>
            </w:r>
          </w:p>
        </w:tc>
      </w:tr>
      <w:tr>
        <w:trPr>
          <w:trHeight w:val="412" w:hRule="exact"/>
        </w:trPr>
        <w:tc>
          <w:tcPr>
            <w:tcW w:w="2983" w:type="dxa"/>
          </w:tcPr>
          <w:p>
            <w:pPr>
              <w:pStyle w:val="TableParagraph"/>
              <w:ind w:left="26"/>
              <w:jc w:val="left"/>
              <w:rPr>
                <w:rFonts w:ascii="Times New Roman"/>
                <w:sz w:val="16"/>
              </w:rPr>
            </w:pPr>
            <w:r>
              <w:rPr>
                <w:rFonts w:ascii="Times New Roman"/>
                <w:sz w:val="16"/>
              </w:rPr>
              <w:t>- Assicurazioni</w:t>
            </w:r>
          </w:p>
        </w:tc>
        <w:tc>
          <w:tcPr>
            <w:tcW w:w="1100" w:type="dxa"/>
          </w:tcPr>
          <w:p>
            <w:pPr>
              <w:pStyle w:val="TableParagraph"/>
              <w:ind w:left="231"/>
              <w:jc w:val="center"/>
              <w:rPr>
                <w:rFonts w:ascii="Times New Roman"/>
                <w:sz w:val="16"/>
              </w:rPr>
            </w:pPr>
            <w:r>
              <w:rPr>
                <w:rFonts w:ascii="Times New Roman"/>
                <w:w w:val="97"/>
                <w:sz w:val="16"/>
              </w:rPr>
              <w:t>-</w:t>
            </w:r>
          </w:p>
        </w:tc>
        <w:tc>
          <w:tcPr>
            <w:tcW w:w="999" w:type="dxa"/>
          </w:tcPr>
          <w:p>
            <w:pPr>
              <w:pStyle w:val="TableParagraph"/>
              <w:ind w:left="26"/>
              <w:jc w:val="center"/>
              <w:rPr>
                <w:rFonts w:ascii="Times New Roman"/>
                <w:sz w:val="16"/>
              </w:rPr>
            </w:pPr>
            <w:r>
              <w:rPr>
                <w:rFonts w:ascii="Times New Roman"/>
                <w:w w:val="97"/>
                <w:sz w:val="16"/>
              </w:rPr>
              <w:t>-</w:t>
            </w:r>
          </w:p>
        </w:tc>
        <w:tc>
          <w:tcPr>
            <w:tcW w:w="986" w:type="dxa"/>
          </w:tcPr>
          <w:p>
            <w:pPr>
              <w:pStyle w:val="TableParagraph"/>
              <w:ind w:right="62"/>
              <w:jc w:val="center"/>
              <w:rPr>
                <w:rFonts w:ascii="Times New Roman"/>
                <w:sz w:val="16"/>
              </w:rPr>
            </w:pPr>
            <w:r>
              <w:rPr>
                <w:rFonts w:ascii="Times New Roman"/>
                <w:w w:val="97"/>
                <w:sz w:val="16"/>
              </w:rPr>
              <w:t>-</w:t>
            </w:r>
          </w:p>
        </w:tc>
        <w:tc>
          <w:tcPr>
            <w:tcW w:w="960" w:type="dxa"/>
          </w:tcPr>
          <w:p>
            <w:pPr>
              <w:pStyle w:val="TableParagraph"/>
              <w:ind w:left="177" w:right="156"/>
              <w:jc w:val="center"/>
              <w:rPr>
                <w:rFonts w:ascii="Times New Roman"/>
                <w:sz w:val="16"/>
              </w:rPr>
            </w:pPr>
            <w:r>
              <w:rPr>
                <w:rFonts w:ascii="Times New Roman"/>
                <w:sz w:val="16"/>
              </w:rPr>
              <w:t>(22,3)</w:t>
            </w:r>
          </w:p>
        </w:tc>
        <w:tc>
          <w:tcPr>
            <w:tcW w:w="956" w:type="dxa"/>
          </w:tcPr>
          <w:p>
            <w:pPr>
              <w:pStyle w:val="TableParagraph"/>
              <w:ind w:left="17"/>
              <w:jc w:val="center"/>
              <w:rPr>
                <w:rFonts w:ascii="Times New Roman"/>
                <w:sz w:val="16"/>
              </w:rPr>
            </w:pPr>
            <w:r>
              <w:rPr>
                <w:rFonts w:ascii="Times New Roman"/>
                <w:w w:val="97"/>
                <w:sz w:val="16"/>
              </w:rPr>
              <w:t>-</w:t>
            </w:r>
          </w:p>
        </w:tc>
        <w:tc>
          <w:tcPr>
            <w:tcW w:w="756" w:type="dxa"/>
          </w:tcPr>
          <w:p>
            <w:pPr>
              <w:pStyle w:val="TableParagraph"/>
              <w:ind w:left="152" w:right="74"/>
              <w:jc w:val="center"/>
              <w:rPr>
                <w:rFonts w:ascii="Times New Roman"/>
                <w:sz w:val="16"/>
              </w:rPr>
            </w:pPr>
            <w:r>
              <w:rPr>
                <w:rFonts w:ascii="Times New Roman"/>
                <w:sz w:val="16"/>
              </w:rPr>
              <w:t>(10,7)</w:t>
            </w:r>
          </w:p>
        </w:tc>
        <w:tc>
          <w:tcPr>
            <w:tcW w:w="839" w:type="dxa"/>
          </w:tcPr>
          <w:p>
            <w:pPr>
              <w:pStyle w:val="TableParagraph"/>
              <w:ind w:left="134"/>
              <w:jc w:val="center"/>
              <w:rPr>
                <w:rFonts w:ascii="Times New Roman"/>
                <w:sz w:val="16"/>
              </w:rPr>
            </w:pPr>
            <w:r>
              <w:rPr>
                <w:rFonts w:ascii="Times New Roman"/>
                <w:sz w:val="16"/>
              </w:rPr>
              <w:t>(32,9)</w:t>
            </w:r>
          </w:p>
        </w:tc>
      </w:tr>
      <w:tr>
        <w:trPr>
          <w:trHeight w:val="221" w:hRule="exact"/>
        </w:trPr>
        <w:tc>
          <w:tcPr>
            <w:tcW w:w="2983" w:type="dxa"/>
            <w:shd w:val="clear" w:color="auto" w:fill="878A8D"/>
          </w:tcPr>
          <w:p>
            <w:pPr>
              <w:pStyle w:val="TableParagraph"/>
              <w:spacing w:before="26"/>
              <w:ind w:left="26"/>
              <w:jc w:val="left"/>
              <w:rPr>
                <w:rFonts w:ascii="Times New Roman"/>
                <w:b/>
                <w:sz w:val="16"/>
              </w:rPr>
            </w:pPr>
            <w:r>
              <w:rPr>
                <w:rFonts w:ascii="Times New Roman"/>
                <w:b/>
                <w:color w:val="FFFFFF"/>
                <w:sz w:val="16"/>
              </w:rPr>
              <w:t>Saldo Finale - 28/02/2018</w:t>
            </w:r>
          </w:p>
        </w:tc>
        <w:tc>
          <w:tcPr>
            <w:tcW w:w="1100" w:type="dxa"/>
            <w:shd w:val="clear" w:color="auto" w:fill="878A8D"/>
          </w:tcPr>
          <w:p>
            <w:pPr>
              <w:pStyle w:val="TableParagraph"/>
              <w:spacing w:before="26"/>
              <w:ind w:left="379" w:right="139"/>
              <w:jc w:val="center"/>
              <w:rPr>
                <w:rFonts w:ascii="Times New Roman"/>
                <w:b/>
                <w:sz w:val="16"/>
              </w:rPr>
            </w:pPr>
            <w:r>
              <w:rPr>
                <w:rFonts w:ascii="Times New Roman"/>
                <w:b/>
                <w:color w:val="FFFFFF"/>
                <w:sz w:val="16"/>
              </w:rPr>
              <w:t>1.135,9</w:t>
            </w:r>
          </w:p>
        </w:tc>
        <w:tc>
          <w:tcPr>
            <w:tcW w:w="999" w:type="dxa"/>
            <w:shd w:val="clear" w:color="auto" w:fill="878A8D"/>
          </w:tcPr>
          <w:p>
            <w:pPr>
              <w:pStyle w:val="TableParagraph"/>
              <w:spacing w:before="26"/>
              <w:ind w:left="137" w:right="103"/>
              <w:jc w:val="center"/>
              <w:rPr>
                <w:rFonts w:ascii="Times New Roman"/>
                <w:b/>
                <w:sz w:val="16"/>
              </w:rPr>
            </w:pPr>
            <w:r>
              <w:rPr>
                <w:rFonts w:ascii="Times New Roman"/>
                <w:b/>
                <w:color w:val="FFFFFF"/>
                <w:sz w:val="16"/>
              </w:rPr>
              <w:t>1.905,6</w:t>
            </w:r>
          </w:p>
        </w:tc>
        <w:tc>
          <w:tcPr>
            <w:tcW w:w="986" w:type="dxa"/>
            <w:shd w:val="clear" w:color="auto" w:fill="878A8D"/>
          </w:tcPr>
          <w:p>
            <w:pPr>
              <w:pStyle w:val="TableParagraph"/>
              <w:spacing w:before="26"/>
              <w:ind w:left="108" w:right="162"/>
              <w:jc w:val="center"/>
              <w:rPr>
                <w:rFonts w:ascii="Times New Roman"/>
                <w:b/>
                <w:sz w:val="16"/>
              </w:rPr>
            </w:pPr>
            <w:r>
              <w:rPr>
                <w:rFonts w:ascii="Times New Roman"/>
                <w:b/>
                <w:color w:val="FFFFFF"/>
                <w:sz w:val="16"/>
              </w:rPr>
              <w:t>1.478,4</w:t>
            </w:r>
          </w:p>
        </w:tc>
        <w:tc>
          <w:tcPr>
            <w:tcW w:w="960" w:type="dxa"/>
            <w:shd w:val="clear" w:color="auto" w:fill="878A8D"/>
          </w:tcPr>
          <w:p>
            <w:pPr>
              <w:pStyle w:val="TableParagraph"/>
              <w:spacing w:before="26"/>
              <w:ind w:left="177" w:right="147"/>
              <w:jc w:val="center"/>
              <w:rPr>
                <w:rFonts w:ascii="Times New Roman"/>
                <w:b/>
                <w:sz w:val="16"/>
              </w:rPr>
            </w:pPr>
            <w:r>
              <w:rPr>
                <w:rFonts w:ascii="Times New Roman"/>
                <w:b/>
                <w:color w:val="FFFFFF"/>
                <w:sz w:val="16"/>
              </w:rPr>
              <w:t>1.251,7</w:t>
            </w:r>
          </w:p>
        </w:tc>
        <w:tc>
          <w:tcPr>
            <w:tcW w:w="956" w:type="dxa"/>
            <w:shd w:val="clear" w:color="auto" w:fill="878A8D"/>
          </w:tcPr>
          <w:p>
            <w:pPr>
              <w:pStyle w:val="TableParagraph"/>
              <w:spacing w:before="26"/>
              <w:ind w:left="155" w:right="130"/>
              <w:jc w:val="center"/>
              <w:rPr>
                <w:rFonts w:ascii="Times New Roman"/>
                <w:b/>
                <w:sz w:val="16"/>
              </w:rPr>
            </w:pPr>
            <w:r>
              <w:rPr>
                <w:rFonts w:ascii="Times New Roman"/>
                <w:b/>
                <w:color w:val="FFFFFF"/>
                <w:sz w:val="16"/>
              </w:rPr>
              <w:t>1.107,9</w:t>
            </w:r>
          </w:p>
        </w:tc>
        <w:tc>
          <w:tcPr>
            <w:tcW w:w="756" w:type="dxa"/>
            <w:tcBorders>
              <w:bottom w:val="single" w:sz="3" w:space="0" w:color="FFFFFF"/>
            </w:tcBorders>
            <w:shd w:val="clear" w:color="auto" w:fill="878A8D"/>
          </w:tcPr>
          <w:p>
            <w:pPr>
              <w:pStyle w:val="TableParagraph"/>
              <w:spacing w:before="26"/>
              <w:ind w:left="152" w:right="83"/>
              <w:jc w:val="center"/>
              <w:rPr>
                <w:rFonts w:ascii="Times New Roman"/>
                <w:b/>
                <w:sz w:val="16"/>
              </w:rPr>
            </w:pPr>
            <w:r>
              <w:rPr>
                <w:rFonts w:ascii="Times New Roman"/>
                <w:b/>
                <w:color w:val="FFFFFF"/>
                <w:sz w:val="16"/>
              </w:rPr>
              <w:t>1.228,9</w:t>
            </w:r>
          </w:p>
        </w:tc>
        <w:tc>
          <w:tcPr>
            <w:tcW w:w="839" w:type="dxa"/>
          </w:tcPr>
          <w:p>
            <w:pPr>
              <w:pStyle w:val="TableParagraph"/>
              <w:spacing w:before="26"/>
              <w:ind w:left="125"/>
              <w:jc w:val="center"/>
              <w:rPr>
                <w:rFonts w:ascii="Times New Roman"/>
                <w:b/>
                <w:sz w:val="16"/>
              </w:rPr>
            </w:pPr>
            <w:r>
              <w:rPr>
                <w:rFonts w:ascii="Times New Roman"/>
                <w:b/>
                <w:color w:val="FFFFFF"/>
                <w:w w:val="97"/>
                <w:sz w:val="16"/>
                <w:shd w:fill="878A8D" w:color="auto" w:val="clear"/>
              </w:rPr>
              <w:t> </w:t>
            </w:r>
            <w:r>
              <w:rPr>
                <w:rFonts w:ascii="Times New Roman"/>
                <w:b/>
                <w:color w:val="FFFFFF"/>
                <w:sz w:val="16"/>
                <w:shd w:fill="878A8D" w:color="auto" w:val="clear"/>
              </w:rPr>
              <w:t> 1.228,9 </w:t>
            </w:r>
          </w:p>
        </w:tc>
      </w:tr>
    </w:tbl>
    <w:p>
      <w:pPr>
        <w:pStyle w:val="BodyText"/>
        <w:rPr>
          <w:rFonts w:ascii="Times New Roman"/>
          <w:b/>
          <w:sz w:val="23"/>
        </w:rPr>
      </w:pPr>
    </w:p>
    <w:p>
      <w:pPr>
        <w:pStyle w:val="BodyText"/>
        <w:spacing w:line="480" w:lineRule="auto"/>
        <w:ind w:left="1418" w:right="1416"/>
        <w:jc w:val="both"/>
      </w:pPr>
      <w:r>
        <w:rPr/>
        <w:t>In riferimento alla tabella precedente si precisa che le entrate afferiscono principalmente alle commesse in corso, mentre le uscite si riferiscono perlopiù ai costi del personale, ai costi legati ai servizi erogati da MG Finanziaria e costi fissi legati a forniture commerciali.</w:t>
      </w:r>
    </w:p>
    <w:p>
      <w:pPr>
        <w:pStyle w:val="Heading2"/>
        <w:numPr>
          <w:ilvl w:val="1"/>
          <w:numId w:val="95"/>
        </w:numPr>
        <w:tabs>
          <w:tab w:pos="2127" w:val="left" w:leader="none"/>
        </w:tabs>
        <w:spacing w:line="240" w:lineRule="auto" w:before="199" w:after="0"/>
        <w:ind w:left="2126" w:right="0" w:hanging="708"/>
        <w:jc w:val="both"/>
      </w:pPr>
      <w:bookmarkStart w:name="_bookmark33" w:id="65"/>
      <w:bookmarkEnd w:id="65"/>
      <w:r>
        <w:rPr>
          <w:b w:val="0"/>
        </w:rPr>
      </w:r>
      <w:bookmarkStart w:name="_bookmark33" w:id="66"/>
      <w:bookmarkEnd w:id="66"/>
      <w:r>
        <w:rPr/>
        <w:t>LA</w:t>
      </w:r>
      <w:r>
        <w:rPr/>
        <w:t> CESSIONE DEL RAMO</w:t>
      </w:r>
      <w:r>
        <w:rPr>
          <w:spacing w:val="-11"/>
        </w:rPr>
        <w:t> </w:t>
      </w:r>
      <w:r>
        <w:rPr/>
        <w:t>D’AZIENDA</w:t>
      </w:r>
    </w:p>
    <w:p>
      <w:pPr>
        <w:pStyle w:val="BodyText"/>
        <w:spacing w:before="11"/>
        <w:rPr>
          <w:b/>
          <w:sz w:val="23"/>
        </w:rPr>
      </w:pPr>
    </w:p>
    <w:p>
      <w:pPr>
        <w:pStyle w:val="BodyText"/>
        <w:spacing w:line="480" w:lineRule="auto"/>
        <w:ind w:left="1418" w:right="1413"/>
        <w:jc w:val="both"/>
      </w:pPr>
      <w:r>
        <w:rPr/>
        <w:t>Si riporta nel seguito i termini principali dell’offerta Versalis. Per una maggiore disamina si rimanda ai precedenti par. 3.2 e 3.3.</w:t>
      </w:r>
    </w:p>
    <w:p>
      <w:pPr>
        <w:pStyle w:val="BodyText"/>
        <w:spacing w:line="480" w:lineRule="auto"/>
        <w:ind w:left="1418" w:right="1410"/>
        <w:jc w:val="both"/>
      </w:pPr>
      <w:r>
        <w:rPr/>
        <w:t>Il ramo Biochemtex oggetto di offerta di acquisto irrevocabile da parte di Versalis comprende diversi </w:t>
      </w:r>
      <w:r>
        <w:rPr>
          <w:i/>
        </w:rPr>
        <w:t>assets </w:t>
      </w:r>
      <w:r>
        <w:rPr/>
        <w:t>iscritti tra l’attivo fisso e quello circolante, il cui valore, attribuito in base anche alla Perizia Tecnica (senza considerare l’</w:t>
      </w:r>
      <w:r>
        <w:rPr>
          <w:i/>
        </w:rPr>
        <w:t>earn out</w:t>
      </w:r>
      <w:r>
        <w:rPr/>
        <w:t>) rilasciata in data 20 febbraio 2018, viene assunto in Euro 28.8 Milioni come di seguito rappresentato: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9"/>
        <w:rPr>
          <w:sz w:val="28"/>
        </w:rPr>
      </w:pPr>
    </w:p>
    <w:p>
      <w:pPr>
        <w:spacing w:before="96"/>
        <w:ind w:left="1441" w:right="0" w:firstLine="0"/>
        <w:jc w:val="left"/>
        <w:rPr>
          <w:rFonts w:ascii="Times New Roman"/>
          <w:b/>
          <w:sz w:val="11"/>
        </w:rPr>
      </w:pPr>
      <w:r>
        <w:rPr>
          <w:rFonts w:ascii="Times New Roman"/>
          <w:b/>
          <w:sz w:val="11"/>
          <w:u w:val="single"/>
        </w:rPr>
        <w:t>Biochemtex S.p.A</w:t>
      </w:r>
      <w:r>
        <w:rPr>
          <w:rFonts w:ascii="Times New Roman"/>
          <w:b/>
          <w:sz w:val="11"/>
        </w:rPr>
        <w:t>.</w:t>
      </w:r>
    </w:p>
    <w:p>
      <w:pPr>
        <w:pStyle w:val="BodyText"/>
        <w:spacing w:before="10"/>
        <w:rPr>
          <w:rFonts w:ascii="Times New Roman"/>
          <w:b/>
          <w:sz w:val="13"/>
        </w:rPr>
      </w:pPr>
    </w:p>
    <w:p>
      <w:pPr>
        <w:tabs>
          <w:tab w:pos="7419" w:val="left" w:leader="none"/>
          <w:tab w:pos="7843" w:val="left" w:leader="none"/>
          <w:tab w:pos="8940" w:val="left" w:leader="none"/>
        </w:tabs>
        <w:spacing w:before="0"/>
        <w:ind w:left="1424" w:right="0" w:firstLine="0"/>
        <w:jc w:val="left"/>
        <w:rPr>
          <w:rFonts w:ascii="Times New Roman"/>
          <w:b/>
          <w:sz w:val="11"/>
        </w:rPr>
      </w:pPr>
      <w:r>
        <w:rPr>
          <w:rFonts w:ascii="Times New Roman"/>
          <w:b/>
          <w:color w:val="FFFFFF"/>
          <w:spacing w:val="-12"/>
          <w:w w:val="100"/>
          <w:sz w:val="11"/>
          <w:shd w:fill="878A8D" w:color="auto" w:val="clear"/>
        </w:rPr>
        <w:t> </w:t>
      </w:r>
      <w:r>
        <w:rPr>
          <w:rFonts w:ascii="Times New Roman"/>
          <w:b/>
          <w:color w:val="FFFFFF"/>
          <w:sz w:val="11"/>
          <w:shd w:fill="878A8D" w:color="auto" w:val="clear"/>
        </w:rPr>
        <w:t>Attivo </w:t>
      </w:r>
      <w:r>
        <w:rPr>
          <w:rFonts w:ascii="Times New Roman"/>
          <w:b/>
          <w:color w:val="FFFFFF"/>
          <w:spacing w:val="-3"/>
          <w:sz w:val="11"/>
          <w:shd w:fill="878A8D" w:color="auto" w:val="clear"/>
        </w:rPr>
        <w:t>concordatario </w:t>
      </w:r>
      <w:r>
        <w:rPr>
          <w:rFonts w:ascii="Times New Roman"/>
          <w:b/>
          <w:color w:val="FFFFFF"/>
          <w:sz w:val="11"/>
          <w:shd w:fill="878A8D" w:color="auto" w:val="clear"/>
        </w:rPr>
        <w:t>- Oggetto</w:t>
      </w:r>
      <w:r>
        <w:rPr>
          <w:rFonts w:ascii="Times New Roman"/>
          <w:b/>
          <w:color w:val="FFFFFF"/>
          <w:spacing w:val="7"/>
          <w:sz w:val="11"/>
          <w:shd w:fill="878A8D" w:color="auto" w:val="clear"/>
        </w:rPr>
        <w:t> </w:t>
      </w:r>
      <w:r>
        <w:rPr>
          <w:rFonts w:ascii="Times New Roman"/>
          <w:b/>
          <w:color w:val="FFFFFF"/>
          <w:sz w:val="11"/>
          <w:shd w:fill="878A8D" w:color="auto" w:val="clear"/>
        </w:rPr>
        <w:t>dell'Offerta</w:t>
      </w:r>
      <w:r>
        <w:rPr>
          <w:rFonts w:ascii="Times New Roman"/>
          <w:b/>
          <w:color w:val="FFFFFF"/>
          <w:spacing w:val="1"/>
          <w:sz w:val="11"/>
          <w:shd w:fill="878A8D" w:color="auto" w:val="clear"/>
        </w:rPr>
        <w:t> </w:t>
      </w:r>
      <w:r>
        <w:rPr>
          <w:rFonts w:ascii="Times New Roman"/>
          <w:b/>
          <w:color w:val="FFFFFF"/>
          <w:sz w:val="11"/>
          <w:shd w:fill="878A8D" w:color="auto" w:val="clear"/>
        </w:rPr>
        <w:t>Versalis</w:t>
        <w:tab/>
        <w:tab/>
      </w:r>
      <w:r>
        <w:rPr>
          <w:rFonts w:ascii="Times New Roman"/>
          <w:b/>
          <w:color w:val="FFFFFF"/>
          <w:spacing w:val="-3"/>
          <w:sz w:val="11"/>
          <w:shd w:fill="878A8D" w:color="auto" w:val="clear"/>
        </w:rPr>
        <w:t>Valore  </w:t>
      </w:r>
      <w:r>
        <w:rPr>
          <w:rFonts w:ascii="Times New Roman"/>
          <w:b/>
          <w:color w:val="FFFFFF"/>
          <w:spacing w:val="-4"/>
          <w:sz w:val="11"/>
          <w:shd w:fill="878A8D" w:color="auto" w:val="clear"/>
        </w:rPr>
        <w:t>di</w:t>
      </w:r>
      <w:r>
        <w:rPr>
          <w:rFonts w:ascii="Times New Roman"/>
          <w:b/>
          <w:color w:val="FFFFFF"/>
          <w:spacing w:val="-10"/>
          <w:sz w:val="11"/>
          <w:shd w:fill="878A8D" w:color="auto" w:val="clear"/>
        </w:rPr>
        <w:t> </w:t>
      </w:r>
      <w:r>
        <w:rPr>
          <w:rFonts w:ascii="Times New Roman"/>
          <w:b/>
          <w:color w:val="FFFFFF"/>
          <w:sz w:val="11"/>
          <w:shd w:fill="878A8D" w:color="auto" w:val="clear"/>
        </w:rPr>
        <w:t>realizzo</w:t>
        <w:tab/>
      </w:r>
    </w:p>
    <w:p>
      <w:pPr>
        <w:pStyle w:val="BodyText"/>
        <w:spacing w:before="10"/>
        <w:rPr>
          <w:rFonts w:ascii="Times New Roman"/>
          <w:b/>
          <w:sz w:val="13"/>
        </w:rPr>
      </w:pPr>
    </w:p>
    <w:p>
      <w:pPr>
        <w:tabs>
          <w:tab w:pos="7877" w:val="left" w:leader="none"/>
          <w:tab w:pos="8940" w:val="left" w:leader="none"/>
        </w:tabs>
        <w:spacing w:before="0"/>
        <w:ind w:left="7568" w:right="0" w:firstLine="0"/>
        <w:jc w:val="left"/>
        <w:rPr>
          <w:rFonts w:ascii="Times New Roman"/>
          <w:b/>
          <w:sz w:val="11"/>
        </w:rPr>
      </w:pPr>
      <w:r>
        <w:rPr/>
        <w:pict>
          <v:shape style="position:absolute;margin-left:71.235352pt;margin-top:-.654908pt;width:299.75pt;height:7.45pt;mso-position-horizontal-relative:page;mso-position-vertical-relative:paragraph;z-index:2080" type="#_x0000_t202" filled="true" fillcolor="#9f2f33" stroked="false">
            <v:textbox inset="0,0,0,0">
              <w:txbxContent>
                <w:p>
                  <w:pPr>
                    <w:tabs>
                      <w:tab w:pos="4463" w:val="left" w:leader="none"/>
                    </w:tabs>
                    <w:spacing w:before="13"/>
                    <w:ind w:left="16" w:right="0" w:firstLine="0"/>
                    <w:jc w:val="left"/>
                    <w:rPr>
                      <w:rFonts w:ascii="Times New Roman"/>
                      <w:b/>
                      <w:sz w:val="11"/>
                    </w:rPr>
                  </w:pPr>
                  <w:r>
                    <w:rPr>
                      <w:rFonts w:ascii="Times New Roman"/>
                      <w:b/>
                      <w:color w:val="FFFFFF"/>
                      <w:sz w:val="11"/>
                    </w:rPr>
                    <w:t>Descrizione</w:t>
                    <w:tab/>
                  </w:r>
                  <w:r>
                    <w:rPr>
                      <w:rFonts w:ascii="Times New Roman"/>
                      <w:b/>
                      <w:color w:val="FFFFFF"/>
                      <w:spacing w:val="-3"/>
                      <w:sz w:val="11"/>
                    </w:rPr>
                    <w:t>Valore contabile </w:t>
                  </w:r>
                  <w:r>
                    <w:rPr>
                      <w:rFonts w:ascii="Times New Roman"/>
                      <w:b/>
                      <w:color w:val="FFFFFF"/>
                      <w:sz w:val="11"/>
                    </w:rPr>
                    <w:t>al</w:t>
                  </w:r>
                  <w:r>
                    <w:rPr>
                      <w:rFonts w:ascii="Times New Roman"/>
                      <w:b/>
                      <w:color w:val="FFFFFF"/>
                      <w:spacing w:val="27"/>
                      <w:sz w:val="11"/>
                    </w:rPr>
                    <w:t> </w:t>
                  </w:r>
                  <w:r>
                    <w:rPr>
                      <w:rFonts w:ascii="Times New Roman"/>
                      <w:b/>
                      <w:color w:val="FFFFFF"/>
                      <w:sz w:val="11"/>
                    </w:rPr>
                    <w:t>15.10.2017</w:t>
                  </w:r>
                </w:p>
              </w:txbxContent>
            </v:textbox>
            <v:fill type="solid"/>
            <w10:wrap type="none"/>
          </v:shape>
        </w:pict>
      </w:r>
      <w:r>
        <w:rPr>
          <w:rFonts w:ascii="Times New Roman"/>
          <w:b/>
          <w:color w:val="FFFFFF"/>
          <w:w w:val="100"/>
          <w:sz w:val="11"/>
          <w:shd w:fill="9F2F33" w:color="auto" w:val="clear"/>
        </w:rPr>
        <w:t> </w:t>
      </w:r>
      <w:r>
        <w:rPr>
          <w:rFonts w:ascii="Times New Roman"/>
          <w:b/>
          <w:color w:val="FFFFFF"/>
          <w:sz w:val="11"/>
          <w:shd w:fill="9F2F33" w:color="auto" w:val="clear"/>
        </w:rPr>
        <w:tab/>
        <w:t>Offerta</w:t>
      </w:r>
      <w:r>
        <w:rPr>
          <w:rFonts w:ascii="Times New Roman"/>
          <w:b/>
          <w:color w:val="FFFFFF"/>
          <w:spacing w:val="-4"/>
          <w:sz w:val="11"/>
          <w:shd w:fill="9F2F33" w:color="auto" w:val="clear"/>
        </w:rPr>
        <w:t> </w:t>
      </w:r>
      <w:r>
        <w:rPr>
          <w:rFonts w:ascii="Times New Roman"/>
          <w:b/>
          <w:color w:val="FFFFFF"/>
          <w:sz w:val="11"/>
          <w:shd w:fill="9F2F33" w:color="auto" w:val="clear"/>
        </w:rPr>
        <w:t>Versalis</w:t>
        <w:tab/>
      </w:r>
    </w:p>
    <w:p>
      <w:pPr>
        <w:spacing w:before="16"/>
        <w:ind w:left="1441" w:right="0" w:firstLine="0"/>
        <w:jc w:val="left"/>
        <w:rPr>
          <w:rFonts w:ascii="Times New Roman"/>
          <w:b/>
          <w:sz w:val="11"/>
        </w:rPr>
      </w:pPr>
      <w:r>
        <w:rPr>
          <w:rFonts w:ascii="Times New Roman"/>
          <w:b/>
          <w:sz w:val="11"/>
          <w:u w:val="single"/>
        </w:rPr>
        <w:t>ATTIVO FISSO</w:t>
      </w:r>
    </w:p>
    <w:p>
      <w:pPr>
        <w:spacing w:before="87"/>
        <w:ind w:left="1441" w:right="0" w:firstLine="0"/>
        <w:jc w:val="left"/>
        <w:rPr>
          <w:rFonts w:ascii="Times New Roman"/>
          <w:b/>
          <w:sz w:val="11"/>
        </w:rPr>
      </w:pPr>
      <w:r>
        <w:rPr>
          <w:rFonts w:ascii="Times New Roman"/>
          <w:b/>
          <w:sz w:val="11"/>
        </w:rPr>
        <w:t>Immobilizzazioni Materiali</w:t>
      </w:r>
    </w:p>
    <w:p>
      <w:pPr>
        <w:pStyle w:val="ListParagraph"/>
        <w:numPr>
          <w:ilvl w:val="0"/>
          <w:numId w:val="98"/>
        </w:numPr>
        <w:tabs>
          <w:tab w:pos="1590" w:val="left" w:leader="none"/>
          <w:tab w:pos="6378" w:val="left" w:leader="none"/>
          <w:tab w:pos="8956" w:val="left" w:leader="none"/>
        </w:tabs>
        <w:spacing w:line="240" w:lineRule="auto" w:before="16" w:after="0"/>
        <w:ind w:left="1589" w:right="0" w:hanging="66"/>
        <w:jc w:val="left"/>
        <w:rPr>
          <w:rFonts w:ascii="Times New Roman"/>
          <w:sz w:val="11"/>
        </w:rPr>
      </w:pPr>
      <w:r>
        <w:rPr>
          <w:rFonts w:ascii="Times New Roman"/>
          <w:sz w:val="11"/>
        </w:rPr>
        <w:t>Migliorie sui beni</w:t>
      </w:r>
      <w:r>
        <w:rPr>
          <w:rFonts w:ascii="Times New Roman"/>
          <w:spacing w:val="-5"/>
          <w:sz w:val="11"/>
        </w:rPr>
        <w:t> </w:t>
      </w:r>
      <w:r>
        <w:rPr>
          <w:rFonts w:ascii="Times New Roman"/>
          <w:sz w:val="11"/>
        </w:rPr>
        <w:t>di</w:t>
      </w:r>
      <w:r>
        <w:rPr>
          <w:rFonts w:ascii="Times New Roman"/>
          <w:spacing w:val="-1"/>
          <w:sz w:val="11"/>
        </w:rPr>
        <w:t> </w:t>
      </w:r>
      <w:r>
        <w:rPr>
          <w:rFonts w:ascii="Times New Roman"/>
          <w:sz w:val="11"/>
        </w:rPr>
        <w:t>terzi</w:t>
        <w:tab/>
        <w:t>1.291.181</w:t>
        <w:tab/>
        <w:t>Migliorie</w:t>
      </w:r>
      <w:r>
        <w:rPr>
          <w:rFonts w:ascii="Times New Roman"/>
          <w:spacing w:val="-4"/>
          <w:sz w:val="11"/>
        </w:rPr>
        <w:t> </w:t>
      </w:r>
      <w:r>
        <w:rPr>
          <w:rFonts w:ascii="Times New Roman"/>
          <w:sz w:val="11"/>
        </w:rPr>
        <w:t>su</w:t>
      </w:r>
      <w:r>
        <w:rPr>
          <w:rFonts w:ascii="Times New Roman"/>
          <w:spacing w:val="-9"/>
          <w:sz w:val="11"/>
        </w:rPr>
        <w:t> </w:t>
      </w:r>
      <w:r>
        <w:rPr>
          <w:rFonts w:ascii="Times New Roman"/>
          <w:sz w:val="11"/>
        </w:rPr>
        <w:t>beni</w:t>
      </w:r>
      <w:r>
        <w:rPr>
          <w:rFonts w:ascii="Times New Roman"/>
          <w:spacing w:val="-2"/>
          <w:sz w:val="11"/>
        </w:rPr>
        <w:t> </w:t>
      </w:r>
      <w:r>
        <w:rPr>
          <w:rFonts w:ascii="Times New Roman"/>
          <w:sz w:val="11"/>
        </w:rPr>
        <w:t>di</w:t>
      </w:r>
      <w:r>
        <w:rPr>
          <w:rFonts w:ascii="Times New Roman"/>
          <w:spacing w:val="-2"/>
          <w:sz w:val="11"/>
        </w:rPr>
        <w:t> </w:t>
      </w:r>
      <w:r>
        <w:rPr>
          <w:rFonts w:ascii="Times New Roman"/>
          <w:sz w:val="11"/>
        </w:rPr>
        <w:t>terzi</w:t>
      </w:r>
      <w:r>
        <w:rPr>
          <w:rFonts w:ascii="Times New Roman"/>
          <w:spacing w:val="-2"/>
          <w:sz w:val="11"/>
        </w:rPr>
        <w:t> </w:t>
      </w:r>
      <w:r>
        <w:rPr>
          <w:rFonts w:ascii="Times New Roman"/>
          <w:sz w:val="11"/>
        </w:rPr>
        <w:t>-</w:t>
      </w:r>
      <w:r>
        <w:rPr>
          <w:rFonts w:ascii="Times New Roman"/>
          <w:spacing w:val="-3"/>
          <w:sz w:val="11"/>
        </w:rPr>
        <w:t> </w:t>
      </w:r>
      <w:r>
        <w:rPr>
          <w:rFonts w:ascii="Times New Roman"/>
          <w:sz w:val="11"/>
        </w:rPr>
        <w:t>Centro</w:t>
      </w:r>
      <w:r>
        <w:rPr>
          <w:rFonts w:ascii="Times New Roman"/>
          <w:spacing w:val="-4"/>
          <w:sz w:val="11"/>
        </w:rPr>
        <w:t> </w:t>
      </w:r>
      <w:r>
        <w:rPr>
          <w:rFonts w:ascii="Times New Roman"/>
          <w:sz w:val="11"/>
        </w:rPr>
        <w:t>di</w:t>
      </w:r>
      <w:r>
        <w:rPr>
          <w:rFonts w:ascii="Times New Roman"/>
          <w:spacing w:val="-2"/>
          <w:sz w:val="11"/>
        </w:rPr>
        <w:t> </w:t>
      </w:r>
      <w:r>
        <w:rPr>
          <w:rFonts w:ascii="Times New Roman"/>
          <w:sz w:val="11"/>
        </w:rPr>
        <w:t>Rivalta</w:t>
      </w:r>
    </w:p>
    <w:p>
      <w:pPr>
        <w:pStyle w:val="ListParagraph"/>
        <w:numPr>
          <w:ilvl w:val="0"/>
          <w:numId w:val="98"/>
        </w:numPr>
        <w:tabs>
          <w:tab w:pos="1590" w:val="left" w:leader="none"/>
          <w:tab w:pos="6449" w:val="left" w:leader="none"/>
          <w:tab w:pos="8956" w:val="left" w:leader="none"/>
        </w:tabs>
        <w:spacing w:line="240" w:lineRule="auto" w:before="16" w:after="0"/>
        <w:ind w:left="1589" w:right="0" w:hanging="66"/>
        <w:jc w:val="left"/>
        <w:rPr>
          <w:rFonts w:ascii="Times New Roman"/>
          <w:sz w:val="11"/>
        </w:rPr>
      </w:pPr>
      <w:r>
        <w:rPr>
          <w:rFonts w:ascii="Times New Roman"/>
          <w:spacing w:val="-3"/>
          <w:sz w:val="11"/>
        </w:rPr>
        <w:t>Impianti </w:t>
      </w:r>
      <w:r>
        <w:rPr>
          <w:rFonts w:ascii="Times New Roman"/>
          <w:sz w:val="11"/>
        </w:rPr>
        <w:t>e</w:t>
      </w:r>
      <w:r>
        <w:rPr>
          <w:rFonts w:ascii="Times New Roman"/>
          <w:spacing w:val="-3"/>
          <w:sz w:val="11"/>
        </w:rPr>
        <w:t> </w:t>
      </w:r>
      <w:r>
        <w:rPr>
          <w:rFonts w:ascii="Times New Roman"/>
          <w:sz w:val="11"/>
        </w:rPr>
        <w:t>macchinari</w:t>
      </w:r>
      <w:r>
        <w:rPr>
          <w:rFonts w:ascii="Times New Roman"/>
          <w:spacing w:val="-2"/>
          <w:sz w:val="11"/>
        </w:rPr>
        <w:t> </w:t>
      </w:r>
      <w:r>
        <w:rPr>
          <w:rFonts w:ascii="Times New Roman"/>
          <w:sz w:val="11"/>
        </w:rPr>
        <w:t>generici</w:t>
        <w:tab/>
        <w:t>53.708</w:t>
        <w:tab/>
      </w:r>
      <w:r>
        <w:rPr>
          <w:rFonts w:ascii="Times New Roman"/>
          <w:spacing w:val="-3"/>
          <w:sz w:val="11"/>
        </w:rPr>
        <w:t>Beni </w:t>
      </w:r>
      <w:r>
        <w:rPr>
          <w:rFonts w:ascii="Times New Roman"/>
          <w:sz w:val="11"/>
        </w:rPr>
        <w:t>presenti nel Centro di</w:t>
      </w:r>
      <w:r>
        <w:rPr>
          <w:rFonts w:ascii="Times New Roman"/>
          <w:spacing w:val="-12"/>
          <w:sz w:val="11"/>
        </w:rPr>
        <w:t> </w:t>
      </w:r>
      <w:r>
        <w:rPr>
          <w:rFonts w:ascii="Times New Roman"/>
          <w:sz w:val="11"/>
        </w:rPr>
        <w:t>Rivalta</w:t>
      </w:r>
    </w:p>
    <w:p>
      <w:pPr>
        <w:pStyle w:val="ListParagraph"/>
        <w:numPr>
          <w:ilvl w:val="0"/>
          <w:numId w:val="98"/>
        </w:numPr>
        <w:tabs>
          <w:tab w:pos="1590" w:val="left" w:leader="none"/>
          <w:tab w:pos="6422" w:val="left" w:leader="none"/>
          <w:tab w:pos="8956" w:val="left" w:leader="none"/>
        </w:tabs>
        <w:spacing w:line="240" w:lineRule="auto" w:before="16" w:after="0"/>
        <w:ind w:left="1589" w:right="0" w:hanging="66"/>
        <w:jc w:val="left"/>
        <w:rPr>
          <w:rFonts w:ascii="Times New Roman"/>
          <w:sz w:val="11"/>
        </w:rPr>
      </w:pPr>
      <w:r>
        <w:rPr>
          <w:rFonts w:ascii="Times New Roman"/>
          <w:spacing w:val="-3"/>
          <w:sz w:val="11"/>
        </w:rPr>
        <w:t>Impianti </w:t>
      </w:r>
      <w:r>
        <w:rPr>
          <w:rFonts w:ascii="Times New Roman"/>
          <w:sz w:val="11"/>
        </w:rPr>
        <w:t>e</w:t>
      </w:r>
      <w:r>
        <w:rPr>
          <w:rFonts w:ascii="Times New Roman"/>
          <w:spacing w:val="1"/>
          <w:sz w:val="11"/>
        </w:rPr>
        <w:t> </w:t>
      </w:r>
      <w:r>
        <w:rPr>
          <w:rFonts w:ascii="Times New Roman"/>
          <w:sz w:val="11"/>
        </w:rPr>
        <w:t>macchinari specifici</w:t>
        <w:tab/>
        <w:t>523.329</w:t>
        <w:tab/>
      </w:r>
      <w:r>
        <w:rPr>
          <w:rFonts w:ascii="Times New Roman"/>
          <w:spacing w:val="-3"/>
          <w:sz w:val="11"/>
        </w:rPr>
        <w:t>Beni </w:t>
      </w:r>
      <w:r>
        <w:rPr>
          <w:rFonts w:ascii="Times New Roman"/>
          <w:sz w:val="11"/>
        </w:rPr>
        <w:t>presenti nel Centro di</w:t>
      </w:r>
      <w:r>
        <w:rPr>
          <w:rFonts w:ascii="Times New Roman"/>
          <w:spacing w:val="-12"/>
          <w:sz w:val="11"/>
        </w:rPr>
        <w:t> </w:t>
      </w:r>
      <w:r>
        <w:rPr>
          <w:rFonts w:ascii="Times New Roman"/>
          <w:sz w:val="11"/>
        </w:rPr>
        <w:t>Rivalta</w:t>
      </w:r>
    </w:p>
    <w:p>
      <w:pPr>
        <w:pStyle w:val="ListParagraph"/>
        <w:numPr>
          <w:ilvl w:val="0"/>
          <w:numId w:val="98"/>
        </w:numPr>
        <w:tabs>
          <w:tab w:pos="1590" w:val="left" w:leader="none"/>
          <w:tab w:pos="6565" w:val="left" w:leader="none"/>
          <w:tab w:pos="8956" w:val="left" w:leader="none"/>
        </w:tabs>
        <w:spacing w:line="240" w:lineRule="auto" w:before="16" w:after="0"/>
        <w:ind w:left="1589" w:right="0" w:hanging="66"/>
        <w:jc w:val="left"/>
        <w:rPr>
          <w:rFonts w:ascii="Times New Roman"/>
          <w:sz w:val="11"/>
        </w:rPr>
      </w:pPr>
      <w:r>
        <w:rPr>
          <w:rFonts w:ascii="Times New Roman"/>
          <w:spacing w:val="-3"/>
          <w:sz w:val="11"/>
        </w:rPr>
        <w:t>Impianti </w:t>
      </w:r>
      <w:r>
        <w:rPr>
          <w:rFonts w:ascii="Times New Roman"/>
          <w:sz w:val="11"/>
        </w:rPr>
        <w:t>in comodato </w:t>
      </w:r>
      <w:r>
        <w:rPr>
          <w:rFonts w:ascii="Times New Roman"/>
          <w:spacing w:val="-3"/>
          <w:sz w:val="11"/>
        </w:rPr>
        <w:t>gratuito</w:t>
      </w:r>
      <w:r>
        <w:rPr>
          <w:rFonts w:ascii="Times New Roman"/>
          <w:spacing w:val="3"/>
          <w:sz w:val="11"/>
        </w:rPr>
        <w:t> </w:t>
      </w:r>
      <w:r>
        <w:rPr>
          <w:rFonts w:ascii="Times New Roman"/>
          <w:sz w:val="11"/>
        </w:rPr>
        <w:t>a</w:t>
      </w:r>
      <w:r>
        <w:rPr>
          <w:rFonts w:ascii="Times New Roman"/>
          <w:spacing w:val="1"/>
          <w:sz w:val="11"/>
        </w:rPr>
        <w:t> </w:t>
      </w:r>
      <w:r>
        <w:rPr>
          <w:rFonts w:ascii="Times New Roman"/>
          <w:spacing w:val="-3"/>
          <w:sz w:val="11"/>
        </w:rPr>
        <w:t>IBP</w:t>
        <w:tab/>
      </w:r>
      <w:r>
        <w:rPr>
          <w:rFonts w:ascii="Times New Roman"/>
          <w:sz w:val="11"/>
        </w:rPr>
        <w:t>-</w:t>
        <w:tab/>
      </w:r>
      <w:r>
        <w:rPr>
          <w:rFonts w:ascii="Times New Roman"/>
          <w:spacing w:val="-3"/>
          <w:sz w:val="11"/>
        </w:rPr>
        <w:t>Impianti </w:t>
      </w:r>
      <w:r>
        <w:rPr>
          <w:rFonts w:ascii="Times New Roman"/>
          <w:sz w:val="11"/>
        </w:rPr>
        <w:t>in comodato </w:t>
      </w:r>
      <w:r>
        <w:rPr>
          <w:rFonts w:ascii="Times New Roman"/>
          <w:spacing w:val="-3"/>
          <w:sz w:val="11"/>
        </w:rPr>
        <w:t>gratuito </w:t>
      </w:r>
      <w:r>
        <w:rPr>
          <w:rFonts w:ascii="Times New Roman"/>
          <w:sz w:val="11"/>
        </w:rPr>
        <w:t>presso</w:t>
      </w:r>
      <w:r>
        <w:rPr>
          <w:rFonts w:ascii="Times New Roman"/>
          <w:spacing w:val="10"/>
          <w:sz w:val="11"/>
        </w:rPr>
        <w:t> </w:t>
      </w:r>
      <w:r>
        <w:rPr>
          <w:rFonts w:ascii="Times New Roman"/>
          <w:spacing w:val="-3"/>
          <w:sz w:val="11"/>
        </w:rPr>
        <w:t>IBP</w:t>
      </w:r>
    </w:p>
    <w:p>
      <w:pPr>
        <w:pStyle w:val="ListParagraph"/>
        <w:numPr>
          <w:ilvl w:val="0"/>
          <w:numId w:val="98"/>
        </w:numPr>
        <w:tabs>
          <w:tab w:pos="1590" w:val="left" w:leader="none"/>
          <w:tab w:pos="6422" w:val="left" w:leader="none"/>
          <w:tab w:pos="8956" w:val="left" w:leader="none"/>
        </w:tabs>
        <w:spacing w:line="240" w:lineRule="auto" w:before="16" w:after="0"/>
        <w:ind w:left="1589" w:right="0" w:hanging="66"/>
        <w:jc w:val="left"/>
        <w:rPr>
          <w:rFonts w:ascii="Times New Roman"/>
          <w:sz w:val="11"/>
        </w:rPr>
      </w:pPr>
      <w:r>
        <w:rPr>
          <w:rFonts w:ascii="Times New Roman"/>
          <w:spacing w:val="-3"/>
          <w:sz w:val="11"/>
        </w:rPr>
        <w:t>Attrezzature</w:t>
      </w:r>
      <w:r>
        <w:rPr>
          <w:rFonts w:ascii="Times New Roman"/>
          <w:sz w:val="11"/>
        </w:rPr>
        <w:t> industriali</w:t>
        <w:tab/>
        <w:t>482.586</w:t>
        <w:tab/>
      </w:r>
      <w:r>
        <w:rPr>
          <w:rFonts w:ascii="Times New Roman"/>
          <w:spacing w:val="-3"/>
          <w:sz w:val="11"/>
        </w:rPr>
        <w:t>Beni </w:t>
      </w:r>
      <w:r>
        <w:rPr>
          <w:rFonts w:ascii="Times New Roman"/>
          <w:sz w:val="11"/>
        </w:rPr>
        <w:t>presenti nel Centro di</w:t>
      </w:r>
      <w:r>
        <w:rPr>
          <w:rFonts w:ascii="Times New Roman"/>
          <w:spacing w:val="-12"/>
          <w:sz w:val="11"/>
        </w:rPr>
        <w:t> </w:t>
      </w:r>
      <w:r>
        <w:rPr>
          <w:rFonts w:ascii="Times New Roman"/>
          <w:sz w:val="11"/>
        </w:rPr>
        <w:t>Rivalta</w:t>
      </w:r>
    </w:p>
    <w:p>
      <w:pPr>
        <w:pStyle w:val="ListParagraph"/>
        <w:numPr>
          <w:ilvl w:val="0"/>
          <w:numId w:val="98"/>
        </w:numPr>
        <w:tabs>
          <w:tab w:pos="1590" w:val="left" w:leader="none"/>
          <w:tab w:pos="6449" w:val="left" w:leader="none"/>
          <w:tab w:pos="8956" w:val="left" w:leader="none"/>
        </w:tabs>
        <w:spacing w:line="109" w:lineRule="exact" w:before="16" w:after="0"/>
        <w:ind w:left="1589" w:right="0" w:hanging="66"/>
        <w:jc w:val="left"/>
        <w:rPr>
          <w:rFonts w:ascii="Times New Roman"/>
          <w:sz w:val="11"/>
        </w:rPr>
      </w:pPr>
      <w:r>
        <w:rPr>
          <w:rFonts w:ascii="Times New Roman"/>
          <w:sz w:val="11"/>
        </w:rPr>
        <w:t>Mobili e</w:t>
      </w:r>
      <w:r>
        <w:rPr>
          <w:rFonts w:ascii="Times New Roman"/>
          <w:spacing w:val="-1"/>
          <w:sz w:val="11"/>
        </w:rPr>
        <w:t> </w:t>
      </w:r>
      <w:r>
        <w:rPr>
          <w:rFonts w:ascii="Times New Roman"/>
          <w:sz w:val="11"/>
        </w:rPr>
        <w:t>arredi ufficio</w:t>
        <w:tab/>
        <w:t>24.670</w:t>
        <w:tab/>
      </w:r>
      <w:r>
        <w:rPr>
          <w:rFonts w:ascii="Times New Roman"/>
          <w:spacing w:val="-3"/>
          <w:sz w:val="11"/>
        </w:rPr>
        <w:t>Beni </w:t>
      </w:r>
      <w:r>
        <w:rPr>
          <w:rFonts w:ascii="Times New Roman"/>
          <w:sz w:val="11"/>
        </w:rPr>
        <w:t>presenti nel Centro di</w:t>
      </w:r>
      <w:r>
        <w:rPr>
          <w:rFonts w:ascii="Times New Roman"/>
          <w:spacing w:val="-12"/>
          <w:sz w:val="11"/>
        </w:rPr>
        <w:t> </w:t>
      </w:r>
      <w:r>
        <w:rPr>
          <w:rFonts w:ascii="Times New Roman"/>
          <w:sz w:val="11"/>
        </w:rPr>
        <w:t>Rivalta</w:t>
      </w:r>
    </w:p>
    <w:p>
      <w:pPr>
        <w:spacing w:after="0" w:line="109" w:lineRule="exact"/>
        <w:jc w:val="left"/>
        <w:rPr>
          <w:rFonts w:ascii="Times New Roman"/>
          <w:sz w:val="11"/>
        </w:rPr>
        <w:sectPr>
          <w:pgSz w:w="11910" w:h="16840"/>
          <w:pgMar w:header="707" w:footer="1025" w:top="1740" w:bottom="1220" w:left="0" w:right="0"/>
        </w:sectPr>
      </w:pPr>
    </w:p>
    <w:p>
      <w:pPr>
        <w:pStyle w:val="ListParagraph"/>
        <w:numPr>
          <w:ilvl w:val="0"/>
          <w:numId w:val="98"/>
        </w:numPr>
        <w:tabs>
          <w:tab w:pos="1590" w:val="left" w:leader="none"/>
          <w:tab w:pos="6449" w:val="left" w:leader="none"/>
          <w:tab w:pos="7593" w:val="left" w:leader="none"/>
        </w:tabs>
        <w:spacing w:line="240" w:lineRule="auto" w:before="33" w:after="0"/>
        <w:ind w:left="1589" w:right="0" w:hanging="66"/>
        <w:jc w:val="left"/>
        <w:rPr>
          <w:rFonts w:ascii="Times New Roman"/>
          <w:sz w:val="11"/>
        </w:rPr>
      </w:pPr>
      <w:r>
        <w:rPr>
          <w:rFonts w:ascii="Times New Roman"/>
          <w:sz w:val="11"/>
        </w:rPr>
        <w:t>Macchine</w:t>
      </w:r>
      <w:r>
        <w:rPr>
          <w:rFonts w:ascii="Times New Roman"/>
          <w:spacing w:val="-8"/>
          <w:sz w:val="11"/>
        </w:rPr>
        <w:t> </w:t>
      </w:r>
      <w:r>
        <w:rPr>
          <w:rFonts w:ascii="Times New Roman"/>
          <w:sz w:val="11"/>
        </w:rPr>
        <w:t>elettroniche</w:t>
        <w:tab/>
        <w:t>14.561</w:t>
        <w:tab/>
      </w:r>
      <w:r>
        <w:rPr>
          <w:rFonts w:ascii="Times New Roman"/>
          <w:w w:val="100"/>
          <w:sz w:val="11"/>
          <w:u w:val="thick" w:color="497DBA"/>
        </w:rPr>
        <w:t> </w:t>
      </w:r>
      <w:r>
        <w:rPr>
          <w:rFonts w:ascii="Times New Roman"/>
          <w:spacing w:val="-4"/>
          <w:sz w:val="11"/>
          <w:u w:val="thick" w:color="497DBA"/>
        </w:rPr>
        <w:t> </w:t>
      </w:r>
    </w:p>
    <w:p>
      <w:pPr>
        <w:spacing w:line="121" w:lineRule="exact" w:before="0"/>
        <w:ind w:left="225" w:right="0" w:firstLine="0"/>
        <w:jc w:val="left"/>
        <w:rPr>
          <w:rFonts w:ascii="Times New Roman"/>
          <w:b/>
          <w:sz w:val="11"/>
        </w:rPr>
      </w:pPr>
      <w:r>
        <w:rPr/>
        <w:br w:type="column"/>
      </w:r>
      <w:r>
        <w:rPr>
          <w:rFonts w:ascii="Times New Roman"/>
          <w:b/>
          <w:sz w:val="11"/>
        </w:rPr>
        <w:t>28.785.813</w:t>
      </w:r>
    </w:p>
    <w:p>
      <w:pPr>
        <w:spacing w:before="33"/>
        <w:ind w:left="400" w:right="0" w:firstLine="0"/>
        <w:jc w:val="left"/>
        <w:rPr>
          <w:rFonts w:ascii="Times New Roman"/>
          <w:sz w:val="11"/>
        </w:rPr>
      </w:pPr>
      <w:r>
        <w:rPr/>
        <w:br w:type="column"/>
      </w:r>
      <w:r>
        <w:rPr>
          <w:rFonts w:ascii="Times New Roman"/>
          <w:sz w:val="11"/>
        </w:rPr>
        <w:t>Beni presenti nel Centro di Rivalta</w:t>
      </w:r>
    </w:p>
    <w:p>
      <w:pPr>
        <w:spacing w:after="0"/>
        <w:jc w:val="left"/>
        <w:rPr>
          <w:rFonts w:ascii="Times New Roman"/>
          <w:sz w:val="11"/>
        </w:rPr>
        <w:sectPr>
          <w:type w:val="continuous"/>
          <w:pgSz w:w="11910" w:h="16840"/>
          <w:pgMar w:top="1740" w:bottom="280" w:left="0" w:right="0"/>
          <w:cols w:num="3" w:equalWidth="0">
            <w:col w:w="7756" w:space="40"/>
            <w:col w:w="722" w:space="40"/>
            <w:col w:w="3352"/>
          </w:cols>
        </w:sectPr>
      </w:pPr>
    </w:p>
    <w:p>
      <w:pPr>
        <w:pStyle w:val="ListParagraph"/>
        <w:numPr>
          <w:ilvl w:val="2"/>
          <w:numId w:val="95"/>
        </w:numPr>
        <w:tabs>
          <w:tab w:pos="1590" w:val="left" w:leader="none"/>
          <w:tab w:pos="6565" w:val="left" w:leader="none"/>
          <w:tab w:pos="8956" w:val="left" w:leader="none"/>
        </w:tabs>
        <w:spacing w:line="240" w:lineRule="auto" w:before="16" w:after="0"/>
        <w:ind w:left="1589" w:right="0" w:hanging="66"/>
        <w:jc w:val="left"/>
        <w:rPr>
          <w:rFonts w:ascii="Times New Roman"/>
          <w:sz w:val="11"/>
        </w:rPr>
      </w:pPr>
      <w:r>
        <w:rPr>
          <w:rFonts w:ascii="Times New Roman"/>
          <w:spacing w:val="-4"/>
          <w:sz w:val="11"/>
        </w:rPr>
        <w:t>Automezzi</w:t>
        <w:tab/>
      </w:r>
      <w:r>
        <w:rPr>
          <w:rFonts w:ascii="Times New Roman"/>
          <w:sz w:val="11"/>
        </w:rPr>
        <w:t>-</w:t>
        <w:tab/>
      </w:r>
      <w:r>
        <w:rPr>
          <w:rFonts w:ascii="Times New Roman"/>
          <w:spacing w:val="-3"/>
          <w:sz w:val="11"/>
        </w:rPr>
        <w:t>Beni </w:t>
      </w:r>
      <w:r>
        <w:rPr>
          <w:rFonts w:ascii="Times New Roman"/>
          <w:sz w:val="11"/>
        </w:rPr>
        <w:t>presenti nel Centro di</w:t>
      </w:r>
      <w:r>
        <w:rPr>
          <w:rFonts w:ascii="Times New Roman"/>
          <w:spacing w:val="-12"/>
          <w:sz w:val="11"/>
        </w:rPr>
        <w:t> </w:t>
      </w:r>
      <w:r>
        <w:rPr>
          <w:rFonts w:ascii="Times New Roman"/>
          <w:sz w:val="11"/>
        </w:rPr>
        <w:t>Rivalta</w:t>
      </w:r>
    </w:p>
    <w:p>
      <w:pPr>
        <w:pStyle w:val="ListParagraph"/>
        <w:numPr>
          <w:ilvl w:val="2"/>
          <w:numId w:val="95"/>
        </w:numPr>
        <w:tabs>
          <w:tab w:pos="1590" w:val="left" w:leader="none"/>
          <w:tab w:pos="5750" w:val="left" w:leader="none"/>
          <w:tab w:pos="6449" w:val="left" w:leader="none"/>
          <w:tab w:pos="7419" w:val="left" w:leader="none"/>
          <w:tab w:pos="8956" w:val="left" w:leader="none"/>
        </w:tabs>
        <w:spacing w:line="240" w:lineRule="auto" w:before="16" w:after="0"/>
        <w:ind w:left="1589" w:right="0" w:hanging="66"/>
        <w:jc w:val="left"/>
        <w:rPr>
          <w:rFonts w:ascii="Times New Roman"/>
          <w:sz w:val="11"/>
        </w:rPr>
      </w:pPr>
      <w:r>
        <w:rPr>
          <w:rFonts w:ascii="Times New Roman"/>
          <w:spacing w:val="-6"/>
          <w:sz w:val="11"/>
        </w:rPr>
        <w:t>Imm.</w:t>
      </w:r>
      <w:r>
        <w:rPr>
          <w:rFonts w:ascii="Times New Roman"/>
          <w:spacing w:val="2"/>
          <w:sz w:val="11"/>
        </w:rPr>
        <w:t> </w:t>
      </w:r>
      <w:r>
        <w:rPr>
          <w:rFonts w:ascii="Times New Roman"/>
          <w:sz w:val="11"/>
        </w:rPr>
        <w:t>in</w:t>
      </w:r>
      <w:r>
        <w:rPr>
          <w:rFonts w:ascii="Times New Roman"/>
          <w:spacing w:val="-4"/>
          <w:sz w:val="11"/>
        </w:rPr>
        <w:t> </w:t>
      </w:r>
      <w:r>
        <w:rPr>
          <w:rFonts w:ascii="Times New Roman"/>
          <w:sz w:val="11"/>
        </w:rPr>
        <w:t>corso</w:t>
        <w:tab/>
      </w:r>
      <w:r>
        <w:rPr>
          <w:rFonts w:ascii="Times New Roman"/>
          <w:sz w:val="11"/>
          <w:u w:val="single"/>
        </w:rPr>
        <w:t> </w:t>
        <w:tab/>
        <w:t>14.364</w:t>
        <w:tab/>
      </w:r>
      <w:r>
        <w:rPr>
          <w:rFonts w:ascii="Times New Roman"/>
          <w:sz w:val="11"/>
        </w:rPr>
        <w:tab/>
      </w:r>
      <w:r>
        <w:rPr>
          <w:rFonts w:ascii="Times New Roman"/>
          <w:spacing w:val="-3"/>
          <w:sz w:val="11"/>
        </w:rPr>
        <w:t>Beni </w:t>
      </w:r>
      <w:r>
        <w:rPr>
          <w:rFonts w:ascii="Times New Roman"/>
          <w:sz w:val="11"/>
        </w:rPr>
        <w:t>presenti nel Centro di</w:t>
      </w:r>
      <w:r>
        <w:rPr>
          <w:rFonts w:ascii="Times New Roman"/>
          <w:spacing w:val="-12"/>
          <w:sz w:val="11"/>
        </w:rPr>
        <w:t> </w:t>
      </w:r>
      <w:r>
        <w:rPr>
          <w:rFonts w:ascii="Times New Roman"/>
          <w:sz w:val="11"/>
        </w:rPr>
        <w:t>Rivalta</w:t>
      </w:r>
    </w:p>
    <w:p>
      <w:pPr>
        <w:tabs>
          <w:tab w:pos="6818" w:val="right" w:leader="none"/>
        </w:tabs>
        <w:spacing w:before="16"/>
        <w:ind w:left="1441" w:right="0" w:firstLine="0"/>
        <w:jc w:val="left"/>
        <w:rPr>
          <w:rFonts w:ascii="Times New Roman"/>
          <w:b/>
          <w:sz w:val="11"/>
        </w:rPr>
      </w:pPr>
      <w:r>
        <w:rPr>
          <w:rFonts w:ascii="Times New Roman"/>
          <w:b/>
          <w:sz w:val="11"/>
        </w:rPr>
        <w:t>Totale</w:t>
      </w:r>
      <w:r>
        <w:rPr>
          <w:rFonts w:ascii="Times New Roman"/>
          <w:b/>
          <w:spacing w:val="5"/>
          <w:sz w:val="11"/>
        </w:rPr>
        <w:t> </w:t>
      </w:r>
      <w:r>
        <w:rPr>
          <w:rFonts w:ascii="Times New Roman"/>
          <w:b/>
          <w:spacing w:val="-6"/>
          <w:sz w:val="11"/>
        </w:rPr>
        <w:t>imm.</w:t>
      </w:r>
      <w:r>
        <w:rPr>
          <w:rFonts w:ascii="Times New Roman"/>
          <w:b/>
          <w:spacing w:val="-1"/>
          <w:sz w:val="11"/>
        </w:rPr>
        <w:t> </w:t>
      </w:r>
      <w:r>
        <w:rPr>
          <w:rFonts w:ascii="Times New Roman"/>
          <w:b/>
          <w:sz w:val="11"/>
        </w:rPr>
        <w:t>Materiali</w:t>
        <w:tab/>
        <w:t>2.404.400</w:t>
      </w:r>
    </w:p>
    <w:p>
      <w:pPr>
        <w:spacing w:before="88"/>
        <w:ind w:left="1441" w:right="0" w:firstLine="0"/>
        <w:jc w:val="left"/>
        <w:rPr>
          <w:rFonts w:ascii="Times New Roman"/>
          <w:b/>
          <w:sz w:val="11"/>
        </w:rPr>
      </w:pPr>
      <w:r>
        <w:rPr>
          <w:rFonts w:ascii="Times New Roman"/>
          <w:b/>
          <w:sz w:val="11"/>
          <w:u w:val="single"/>
        </w:rPr>
        <w:t>ATTIVO CIRCOLANTE</w:t>
      </w:r>
    </w:p>
    <w:p>
      <w:pPr>
        <w:pStyle w:val="ListParagraph"/>
        <w:numPr>
          <w:ilvl w:val="0"/>
          <w:numId w:val="97"/>
        </w:numPr>
        <w:tabs>
          <w:tab w:pos="1508" w:val="left" w:leader="none"/>
          <w:tab w:pos="6515" w:val="left" w:leader="none"/>
          <w:tab w:pos="8956" w:val="left" w:leader="none"/>
        </w:tabs>
        <w:spacing w:line="240" w:lineRule="auto" w:before="17" w:after="0"/>
        <w:ind w:left="1507" w:right="0" w:hanging="66"/>
        <w:jc w:val="left"/>
        <w:rPr>
          <w:rFonts w:ascii="Times New Roman"/>
          <w:sz w:val="11"/>
        </w:rPr>
      </w:pPr>
      <w:r>
        <w:rPr>
          <w:rFonts w:ascii="Times New Roman"/>
          <w:sz w:val="11"/>
        </w:rPr>
        <w:t>Anticipi</w:t>
      </w:r>
      <w:r>
        <w:rPr>
          <w:rFonts w:ascii="Times New Roman"/>
          <w:spacing w:val="-3"/>
          <w:sz w:val="11"/>
        </w:rPr>
        <w:t> </w:t>
      </w:r>
      <w:r>
        <w:rPr>
          <w:rFonts w:ascii="Times New Roman"/>
          <w:sz w:val="11"/>
        </w:rPr>
        <w:t>a</w:t>
      </w:r>
      <w:r>
        <w:rPr>
          <w:rFonts w:ascii="Times New Roman"/>
          <w:spacing w:val="-5"/>
          <w:sz w:val="11"/>
        </w:rPr>
        <w:t> </w:t>
      </w:r>
      <w:r>
        <w:rPr>
          <w:rFonts w:ascii="Times New Roman"/>
          <w:sz w:val="11"/>
        </w:rPr>
        <w:t>dipendenti</w:t>
        <w:tab/>
        <w:t>251</w:t>
        <w:tab/>
        <w:t>Anticipi a</w:t>
      </w:r>
      <w:r>
        <w:rPr>
          <w:rFonts w:ascii="Times New Roman"/>
          <w:spacing w:val="-18"/>
          <w:sz w:val="11"/>
        </w:rPr>
        <w:t> </w:t>
      </w:r>
      <w:r>
        <w:rPr>
          <w:rFonts w:ascii="Times New Roman"/>
          <w:sz w:val="11"/>
        </w:rPr>
        <w:t>dipendenti</w:t>
      </w:r>
    </w:p>
    <w:p>
      <w:pPr>
        <w:pStyle w:val="ListParagraph"/>
        <w:numPr>
          <w:ilvl w:val="0"/>
          <w:numId w:val="97"/>
        </w:numPr>
        <w:tabs>
          <w:tab w:pos="1508" w:val="left" w:leader="none"/>
          <w:tab w:pos="6378" w:val="left" w:leader="none"/>
        </w:tabs>
        <w:spacing w:line="240" w:lineRule="auto" w:before="17" w:after="0"/>
        <w:ind w:left="1507" w:right="0" w:hanging="66"/>
        <w:jc w:val="left"/>
        <w:rPr>
          <w:rFonts w:ascii="Times New Roman"/>
          <w:sz w:val="11"/>
        </w:rPr>
      </w:pPr>
      <w:r>
        <w:rPr>
          <w:rFonts w:ascii="Times New Roman"/>
          <w:sz w:val="11"/>
        </w:rPr>
        <w:t>Credito</w:t>
      </w:r>
      <w:r>
        <w:rPr>
          <w:rFonts w:ascii="Times New Roman"/>
          <w:spacing w:val="-7"/>
          <w:sz w:val="11"/>
        </w:rPr>
        <w:t> </w:t>
      </w:r>
      <w:r>
        <w:rPr>
          <w:rFonts w:ascii="Times New Roman"/>
          <w:sz w:val="11"/>
        </w:rPr>
        <w:t>2GBioethanol</w:t>
      </w:r>
      <w:r>
        <w:rPr>
          <w:rFonts w:ascii="Times New Roman"/>
          <w:spacing w:val="-6"/>
          <w:sz w:val="11"/>
        </w:rPr>
        <w:t> </w:t>
      </w:r>
      <w:r>
        <w:rPr>
          <w:rFonts w:ascii="Times New Roman"/>
          <w:sz w:val="11"/>
        </w:rPr>
        <w:t>Tunisie</w:t>
        <w:tab/>
        <w:t>8.280.000</w:t>
      </w:r>
    </w:p>
    <w:p>
      <w:pPr>
        <w:pStyle w:val="ListParagraph"/>
        <w:numPr>
          <w:ilvl w:val="0"/>
          <w:numId w:val="97"/>
        </w:numPr>
        <w:tabs>
          <w:tab w:pos="1508" w:val="left" w:leader="none"/>
          <w:tab w:pos="6328" w:val="left" w:leader="none"/>
        </w:tabs>
        <w:spacing w:line="240" w:lineRule="auto" w:before="17" w:after="0"/>
        <w:ind w:left="1507" w:right="0" w:hanging="66"/>
        <w:jc w:val="left"/>
        <w:rPr>
          <w:rFonts w:ascii="Times New Roman"/>
          <w:sz w:val="11"/>
        </w:rPr>
      </w:pPr>
      <w:r>
        <w:rPr>
          <w:rFonts w:ascii="Times New Roman"/>
          <w:sz w:val="11"/>
        </w:rPr>
        <w:t>Fondo</w:t>
      </w:r>
      <w:r>
        <w:rPr>
          <w:rFonts w:ascii="Times New Roman"/>
          <w:spacing w:val="-9"/>
          <w:sz w:val="11"/>
        </w:rPr>
        <w:t> </w:t>
      </w:r>
      <w:r>
        <w:rPr>
          <w:rFonts w:ascii="Times New Roman"/>
          <w:sz w:val="11"/>
        </w:rPr>
        <w:t>2GBioethanol</w:t>
      </w:r>
      <w:r>
        <w:rPr>
          <w:rFonts w:ascii="Times New Roman"/>
          <w:spacing w:val="-6"/>
          <w:sz w:val="11"/>
        </w:rPr>
        <w:t> </w:t>
      </w:r>
      <w:r>
        <w:rPr>
          <w:rFonts w:ascii="Times New Roman"/>
          <w:sz w:val="11"/>
        </w:rPr>
        <w:t>Tunisie</w:t>
        <w:tab/>
        <w:t>(8.280.000)</w:t>
      </w:r>
    </w:p>
    <w:p>
      <w:pPr>
        <w:tabs>
          <w:tab w:pos="8020" w:val="left" w:leader="none"/>
          <w:tab w:pos="8940" w:val="left" w:leader="none"/>
        </w:tabs>
        <w:spacing w:before="88"/>
        <w:ind w:left="7568" w:right="0" w:firstLine="0"/>
        <w:jc w:val="left"/>
        <w:rPr>
          <w:rFonts w:ascii="Times New Roman"/>
          <w:b/>
          <w:sz w:val="11"/>
        </w:rPr>
      </w:pPr>
      <w:r>
        <w:rPr/>
        <w:pict>
          <v:shape style="position:absolute;margin-left:71.235352pt;margin-top:3.745074pt;width:299.75pt;height:7.45pt;mso-position-horizontal-relative:page;mso-position-vertical-relative:paragraph;z-index:2104" type="#_x0000_t202" filled="true" fillcolor="#878a8d" stroked="false">
            <v:textbox inset="0,0,0,0">
              <w:txbxContent>
                <w:p>
                  <w:pPr>
                    <w:tabs>
                      <w:tab w:pos="5394" w:val="right" w:leader="none"/>
                    </w:tabs>
                    <w:spacing w:before="13"/>
                    <w:ind w:left="16" w:right="0" w:firstLine="0"/>
                    <w:jc w:val="left"/>
                    <w:rPr>
                      <w:rFonts w:ascii="Times New Roman"/>
                      <w:b/>
                      <w:sz w:val="11"/>
                    </w:rPr>
                  </w:pPr>
                  <w:r>
                    <w:rPr>
                      <w:rFonts w:ascii="Times New Roman"/>
                      <w:b/>
                      <w:color w:val="FFFFFF"/>
                      <w:sz w:val="11"/>
                    </w:rPr>
                    <w:t>TOTALE </w:t>
                  </w:r>
                  <w:r>
                    <w:rPr>
                      <w:rFonts w:ascii="Times New Roman"/>
                      <w:b/>
                      <w:color w:val="FFFFFF"/>
                      <w:spacing w:val="-3"/>
                      <w:sz w:val="11"/>
                    </w:rPr>
                    <w:t>ATTIVO </w:t>
                  </w:r>
                  <w:r>
                    <w:rPr>
                      <w:rFonts w:ascii="Times New Roman"/>
                      <w:b/>
                      <w:color w:val="FFFFFF"/>
                      <w:sz w:val="11"/>
                    </w:rPr>
                    <w:t>OGGETTO DI</w:t>
                  </w:r>
                  <w:r>
                    <w:rPr>
                      <w:rFonts w:ascii="Times New Roman"/>
                      <w:b/>
                      <w:color w:val="FFFFFF"/>
                      <w:spacing w:val="-1"/>
                      <w:sz w:val="11"/>
                    </w:rPr>
                    <w:t> </w:t>
                  </w:r>
                  <w:r>
                    <w:rPr>
                      <w:rFonts w:ascii="Times New Roman"/>
                      <w:b/>
                      <w:color w:val="FFFFFF"/>
                      <w:spacing w:val="-3"/>
                      <w:sz w:val="11"/>
                    </w:rPr>
                    <w:t>OFFERTA</w:t>
                  </w:r>
                  <w:r>
                    <w:rPr>
                      <w:rFonts w:ascii="Times New Roman"/>
                      <w:b/>
                      <w:color w:val="FFFFFF"/>
                      <w:spacing w:val="-4"/>
                      <w:sz w:val="11"/>
                    </w:rPr>
                    <w:t> </w:t>
                  </w:r>
                  <w:r>
                    <w:rPr>
                      <w:rFonts w:ascii="Times New Roman"/>
                      <w:b/>
                      <w:color w:val="FFFFFF"/>
                      <w:spacing w:val="-3"/>
                      <w:sz w:val="11"/>
                    </w:rPr>
                    <w:t>VERSALIS</w:t>
                    <w:tab/>
                  </w:r>
                  <w:r>
                    <w:rPr>
                      <w:rFonts w:ascii="Times New Roman"/>
                      <w:b/>
                      <w:color w:val="FFFFFF"/>
                      <w:sz w:val="11"/>
                    </w:rPr>
                    <w:t>2.404.651</w:t>
                  </w:r>
                </w:p>
              </w:txbxContent>
            </v:textbox>
            <v:fill type="solid"/>
            <w10:wrap type="none"/>
          </v:shape>
        </w:pict>
      </w:r>
      <w:r>
        <w:rPr>
          <w:rFonts w:ascii="Times New Roman"/>
          <w:b/>
          <w:color w:val="FFFFFF"/>
          <w:w w:val="100"/>
          <w:sz w:val="11"/>
          <w:shd w:fill="878A8D" w:color="auto" w:val="clear"/>
        </w:rPr>
        <w:t> </w:t>
      </w:r>
      <w:r>
        <w:rPr>
          <w:rFonts w:ascii="Times New Roman"/>
          <w:b/>
          <w:color w:val="FFFFFF"/>
          <w:sz w:val="11"/>
          <w:shd w:fill="878A8D" w:color="auto" w:val="clear"/>
        </w:rPr>
        <w:tab/>
        <w:t>28.785.813</w:t>
        <w:tab/>
      </w:r>
    </w:p>
    <w:p>
      <w:pPr>
        <w:pStyle w:val="BodyText"/>
        <w:spacing w:before="5"/>
        <w:rPr>
          <w:rFonts w:ascii="Times New Roman"/>
          <w:b/>
        </w:rPr>
      </w:pPr>
    </w:p>
    <w:p>
      <w:pPr>
        <w:pStyle w:val="BodyText"/>
        <w:spacing w:before="1"/>
        <w:ind w:left="1418"/>
        <w:jc w:val="both"/>
      </w:pPr>
      <w:r>
        <w:rPr/>
        <w:t>Nello specifico l’offerta prevede il trasferimento:</w:t>
      </w:r>
    </w:p>
    <w:p>
      <w:pPr>
        <w:pStyle w:val="BodyText"/>
        <w:spacing w:before="9"/>
        <w:rPr>
          <w:sz w:val="23"/>
        </w:rPr>
      </w:pPr>
    </w:p>
    <w:p>
      <w:pPr>
        <w:pStyle w:val="ListParagraph"/>
        <w:numPr>
          <w:ilvl w:val="1"/>
          <w:numId w:val="97"/>
        </w:numPr>
        <w:tabs>
          <w:tab w:pos="2127" w:val="left" w:leader="none"/>
        </w:tabs>
        <w:spacing w:line="477" w:lineRule="auto" w:before="0" w:after="0"/>
        <w:ind w:left="2198" w:right="1414" w:hanging="360"/>
        <w:jc w:val="both"/>
        <w:rPr>
          <w:sz w:val="24"/>
        </w:rPr>
      </w:pPr>
      <w:r>
        <w:rPr>
          <w:sz w:val="24"/>
        </w:rPr>
        <w:t>delle migliorie e dei beni presenti presenti presso il centro di ricerca di Rivalta, nonché gli impianti </w:t>
      </w:r>
      <w:r>
        <w:rPr>
          <w:i/>
          <w:sz w:val="24"/>
        </w:rPr>
        <w:t>Prit </w:t>
      </w:r>
      <w:r>
        <w:rPr>
          <w:sz w:val="24"/>
        </w:rPr>
        <w:t>e </w:t>
      </w:r>
      <w:r>
        <w:rPr>
          <w:i/>
          <w:sz w:val="24"/>
        </w:rPr>
        <w:t>Biolyfe </w:t>
      </w:r>
      <w:r>
        <w:rPr>
          <w:sz w:val="24"/>
        </w:rPr>
        <w:t>ubicati presso lo stabilimento di Crescentino e concessi in comodato d’uso gratuito alla controllata</w:t>
      </w:r>
      <w:r>
        <w:rPr>
          <w:spacing w:val="-4"/>
          <w:sz w:val="24"/>
        </w:rPr>
        <w:t> </w:t>
      </w:r>
      <w:r>
        <w:rPr>
          <w:sz w:val="24"/>
        </w:rPr>
        <w:t>IBP;</w:t>
      </w:r>
    </w:p>
    <w:p>
      <w:pPr>
        <w:pStyle w:val="ListParagraph"/>
        <w:numPr>
          <w:ilvl w:val="1"/>
          <w:numId w:val="97"/>
        </w:numPr>
        <w:tabs>
          <w:tab w:pos="2127" w:val="left" w:leader="none"/>
        </w:tabs>
        <w:spacing w:line="477" w:lineRule="auto" w:before="0" w:after="0"/>
        <w:ind w:left="2198" w:right="1410" w:hanging="360"/>
        <w:jc w:val="both"/>
        <w:rPr>
          <w:sz w:val="24"/>
        </w:rPr>
      </w:pPr>
      <w:r>
        <w:rPr>
          <w:sz w:val="24"/>
        </w:rPr>
        <w:t>di alcune commesse in corso tra cui quella con 2G Bioethanol Tunisia in relazione alla quale, seppure non fossero iniziate le attività, la Società ha iscritto un credito nella situazione patrimoniale al 15 ottobre 2017 interamente rettificato da una posta di pari importo iscritta nel</w:t>
      </w:r>
      <w:r>
        <w:rPr>
          <w:spacing w:val="-12"/>
          <w:sz w:val="24"/>
        </w:rPr>
        <w:t> </w:t>
      </w:r>
      <w:r>
        <w:rPr>
          <w:sz w:val="24"/>
        </w:rPr>
        <w:t>passivo.</w:t>
      </w:r>
    </w:p>
    <w:p>
      <w:pPr>
        <w:spacing w:line="477" w:lineRule="auto" w:before="2"/>
        <w:ind w:left="1418" w:right="1414" w:firstLine="0"/>
        <w:jc w:val="both"/>
        <w:rPr>
          <w:i/>
          <w:sz w:val="24"/>
        </w:rPr>
      </w:pPr>
      <w:r>
        <w:rPr>
          <w:sz w:val="24"/>
        </w:rPr>
        <w:t>Si precisa che la perizia poggia la propria valutazione su business plan sia individuali delle 4  società del perimetro BIO sia considerando “</w:t>
      </w:r>
      <w:r>
        <w:rPr>
          <w:i/>
          <w:sz w:val="24"/>
        </w:rPr>
        <w:t>le quattro entità come un complesso unico, benché organizzato </w:t>
      </w:r>
      <w:r>
        <w:rPr>
          <w:i/>
          <w:sz w:val="24"/>
        </w:rPr>
        <w:t>in diversi soggetti giuridici, secondo una prospettiva unitaria (o</w:t>
      </w:r>
      <w:r>
        <w:rPr>
          <w:i/>
          <w:spacing w:val="-27"/>
          <w:sz w:val="24"/>
        </w:rPr>
        <w:t> </w:t>
      </w:r>
      <w:r>
        <w:rPr>
          <w:i/>
          <w:sz w:val="24"/>
        </w:rPr>
        <w:t>integrata)</w:t>
      </w:r>
      <w:r>
        <w:rPr>
          <w:i/>
          <w:position w:val="9"/>
          <w:sz w:val="14"/>
        </w:rPr>
        <w:t>1</w:t>
      </w:r>
      <w:r>
        <w:rPr>
          <w:i/>
          <w:sz w:val="24"/>
        </w:rPr>
        <w:t>”.</w:t>
      </w:r>
    </w:p>
    <w:p>
      <w:pPr>
        <w:spacing w:line="480" w:lineRule="auto" w:before="0"/>
        <w:ind w:left="1418" w:right="1410" w:firstLine="0"/>
        <w:jc w:val="both"/>
        <w:rPr>
          <w:i/>
          <w:sz w:val="24"/>
        </w:rPr>
      </w:pPr>
      <w:r>
        <w:rPr>
          <w:sz w:val="24"/>
        </w:rPr>
        <w:t>La differenza del valore economico tra la valutazione integrata e la valutazione </w:t>
      </w:r>
      <w:r>
        <w:rPr>
          <w:i/>
          <w:sz w:val="24"/>
        </w:rPr>
        <w:t>stand alone </w:t>
      </w:r>
      <w:r>
        <w:rPr>
          <w:sz w:val="24"/>
        </w:rPr>
        <w:t>“</w:t>
      </w:r>
      <w:r>
        <w:rPr>
          <w:i/>
          <w:sz w:val="24"/>
        </w:rPr>
        <w:t>rappresenta se positiva, il  beneficio  delle  sinergie  derivanti dall’unitarietà, e da cui sono totalmente   </w:t>
      </w:r>
      <w:r>
        <w:rPr>
          <w:i/>
          <w:sz w:val="24"/>
        </w:rPr>
        <w:t>condizionate</w:t>
      </w:r>
      <w:r>
        <w:rPr>
          <w:i/>
          <w:spacing w:val="48"/>
          <w:sz w:val="24"/>
        </w:rPr>
        <w:t> </w:t>
      </w:r>
      <w:r>
        <w:rPr>
          <w:i/>
          <w:sz w:val="24"/>
        </w:rPr>
        <w:t>[….].</w:t>
      </w:r>
      <w:r>
        <w:rPr>
          <w:i/>
          <w:spacing w:val="49"/>
          <w:sz w:val="24"/>
        </w:rPr>
        <w:t> </w:t>
      </w:r>
      <w:r>
        <w:rPr>
          <w:i/>
          <w:sz w:val="24"/>
        </w:rPr>
        <w:t>Il</w:t>
      </w:r>
      <w:r>
        <w:rPr>
          <w:i/>
          <w:spacing w:val="48"/>
          <w:sz w:val="24"/>
        </w:rPr>
        <w:t> </w:t>
      </w:r>
      <w:r>
        <w:rPr>
          <w:i/>
          <w:sz w:val="24"/>
        </w:rPr>
        <w:t>tema</w:t>
      </w:r>
      <w:r>
        <w:rPr>
          <w:i/>
          <w:spacing w:val="50"/>
          <w:sz w:val="24"/>
        </w:rPr>
        <w:t> </w:t>
      </w:r>
      <w:r>
        <w:rPr>
          <w:i/>
          <w:sz w:val="24"/>
        </w:rPr>
        <w:t>delle</w:t>
      </w:r>
      <w:r>
        <w:rPr>
          <w:i/>
          <w:spacing w:val="48"/>
          <w:sz w:val="24"/>
        </w:rPr>
        <w:t> </w:t>
      </w:r>
      <w:r>
        <w:rPr>
          <w:i/>
          <w:sz w:val="24"/>
        </w:rPr>
        <w:t>sinergie</w:t>
      </w:r>
      <w:r>
        <w:rPr>
          <w:i/>
          <w:spacing w:val="48"/>
          <w:sz w:val="24"/>
        </w:rPr>
        <w:t> </w:t>
      </w:r>
      <w:r>
        <w:rPr>
          <w:i/>
          <w:sz w:val="24"/>
        </w:rPr>
        <w:t>e</w:t>
      </w:r>
      <w:r>
        <w:rPr>
          <w:i/>
          <w:spacing w:val="48"/>
          <w:sz w:val="24"/>
        </w:rPr>
        <w:t> </w:t>
      </w:r>
      <w:r>
        <w:rPr>
          <w:i/>
          <w:sz w:val="24"/>
        </w:rPr>
        <w:t>della</w:t>
      </w:r>
      <w:r>
        <w:rPr>
          <w:i/>
          <w:spacing w:val="49"/>
          <w:sz w:val="24"/>
        </w:rPr>
        <w:t> </w:t>
      </w:r>
      <w:r>
        <w:rPr>
          <w:i/>
          <w:sz w:val="24"/>
        </w:rPr>
        <w:t>loro</w:t>
      </w:r>
      <w:r>
        <w:rPr>
          <w:i/>
          <w:spacing w:val="50"/>
          <w:sz w:val="24"/>
        </w:rPr>
        <w:t> </w:t>
      </w:r>
      <w:r>
        <w:rPr>
          <w:i/>
          <w:sz w:val="24"/>
        </w:rPr>
        <w:t>valutazione</w:t>
      </w:r>
      <w:r>
        <w:rPr>
          <w:i/>
          <w:spacing w:val="49"/>
          <w:sz w:val="24"/>
        </w:rPr>
        <w:t> </w:t>
      </w:r>
      <w:r>
        <w:rPr>
          <w:i/>
          <w:sz w:val="24"/>
        </w:rPr>
        <w:t>assume</w:t>
      </w:r>
      <w:r>
        <w:rPr>
          <w:i/>
          <w:spacing w:val="48"/>
          <w:sz w:val="24"/>
        </w:rPr>
        <w:t> </w:t>
      </w:r>
      <w:r>
        <w:rPr>
          <w:i/>
          <w:sz w:val="24"/>
        </w:rPr>
        <w:t>particolare</w:t>
      </w:r>
      <w:r>
        <w:rPr>
          <w:i/>
          <w:spacing w:val="45"/>
          <w:sz w:val="24"/>
        </w:rPr>
        <w:t> </w:t>
      </w:r>
      <w:r>
        <w:rPr>
          <w:i/>
          <w:sz w:val="24"/>
        </w:rPr>
        <w:t>rilevanza</w:t>
      </w:r>
      <w:r>
        <w:rPr>
          <w:i/>
          <w:spacing w:val="49"/>
          <w:sz w:val="24"/>
        </w:rPr>
        <w:t> </w:t>
      </w:r>
      <w:r>
        <w:rPr>
          <w:i/>
          <w:sz w:val="24"/>
        </w:rPr>
        <w:t>ai</w:t>
      </w:r>
      <w:r>
        <w:rPr>
          <w:i/>
          <w:spacing w:val="49"/>
          <w:sz w:val="24"/>
        </w:rPr>
        <w:t> </w:t>
      </w:r>
      <w:r>
        <w:rPr>
          <w:i/>
          <w:sz w:val="24"/>
        </w:rPr>
        <w:t>fini</w:t>
      </w:r>
      <w:r>
        <w:rPr>
          <w:i/>
          <w:spacing w:val="49"/>
          <w:sz w:val="24"/>
        </w:rPr>
        <w:t> </w:t>
      </w:r>
      <w:r>
        <w:rPr>
          <w:i/>
          <w:sz w:val="24"/>
        </w:rPr>
        <w:t>delle</w:t>
      </w:r>
    </w:p>
    <w:p>
      <w:pPr>
        <w:pStyle w:val="BodyText"/>
        <w:rPr>
          <w:i/>
          <w:sz w:val="20"/>
        </w:rPr>
      </w:pPr>
    </w:p>
    <w:p>
      <w:pPr>
        <w:pStyle w:val="BodyText"/>
        <w:spacing w:before="7"/>
        <w:rPr>
          <w:i/>
          <w:sz w:val="21"/>
        </w:rPr>
      </w:pPr>
      <w:r>
        <w:rPr/>
        <w:pict>
          <v:line style="position:absolute;mso-position-horizontal-relative:page;mso-position-vertical-relative:paragraph;z-index:2056;mso-wrap-distance-left:0;mso-wrap-distance-right:0" from="70.944pt,14.49645pt" to="214.964pt,14.49645pt" stroked="true" strokeweight=".72003pt" strokecolor="#000000">
            <v:stroke dashstyle="solid"/>
            <w10:wrap type="topAndBottom"/>
          </v:line>
        </w:pict>
      </w:r>
    </w:p>
    <w:p>
      <w:pPr>
        <w:spacing w:before="73"/>
        <w:ind w:left="1418" w:right="0" w:firstLine="0"/>
        <w:jc w:val="left"/>
        <w:rPr>
          <w:i/>
          <w:sz w:val="20"/>
        </w:rPr>
      </w:pPr>
      <w:r>
        <w:rPr>
          <w:i/>
          <w:position w:val="7"/>
          <w:sz w:val="12"/>
        </w:rPr>
        <w:t>1  </w:t>
      </w:r>
      <w:r>
        <w:rPr>
          <w:i/>
          <w:sz w:val="20"/>
        </w:rPr>
        <w:t>Perizia tecnica Cattaneo- Petrella pag. 15</w:t>
      </w:r>
    </w:p>
    <w:p>
      <w:pPr>
        <w:spacing w:after="0"/>
        <w:jc w:val="left"/>
        <w:rPr>
          <w:sz w:val="20"/>
        </w:rPr>
        <w:sectPr>
          <w:type w:val="continuous"/>
          <w:pgSz w:w="11910" w:h="16840"/>
          <w:pgMar w:top="1740" w:bottom="28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77" w:lineRule="auto" w:before="100"/>
        <w:ind w:left="1418" w:right="1420" w:firstLine="0"/>
        <w:jc w:val="both"/>
        <w:rPr>
          <w:sz w:val="24"/>
        </w:rPr>
      </w:pPr>
      <w:r>
        <w:rPr>
          <w:i/>
          <w:sz w:val="24"/>
        </w:rPr>
        <w:t>conclusioni di questo parere. La misura delle sinergie stimate conferma sotto il profilo finanziario i caratteri di </w:t>
      </w:r>
      <w:r>
        <w:rPr>
          <w:i/>
          <w:sz w:val="24"/>
        </w:rPr>
        <w:t>unitarietà tecnico-economica che legano le diverse entità del Perimetro Bio evidenziati dalla Perizia ENEA</w:t>
      </w:r>
      <w:r>
        <w:rPr>
          <w:i/>
          <w:position w:val="9"/>
          <w:sz w:val="14"/>
        </w:rPr>
        <w:t>2</w:t>
      </w:r>
      <w:r>
        <w:rPr>
          <w:i/>
          <w:sz w:val="24"/>
        </w:rPr>
        <w:t>” </w:t>
      </w:r>
      <w:r>
        <w:rPr>
          <w:sz w:val="24"/>
        </w:rPr>
        <w:t>.</w:t>
      </w:r>
    </w:p>
    <w:p>
      <w:pPr>
        <w:pStyle w:val="BodyText"/>
        <w:spacing w:line="480" w:lineRule="auto"/>
        <w:ind w:left="1418" w:right="1414"/>
        <w:jc w:val="both"/>
      </w:pPr>
      <w:r>
        <w:rPr/>
        <w:t>Il metodo tecnico adottato per la valutazione è il Discount Cash Flow il quale è stato  confrontato, in una logica di conferma dei valori assunti, con il metodo dei multipli giungendo ad una valutazione aggregata del perimetro compresa tra i Euro 61,7 Milioni ed i Euro 190,1 Milioni, rispettivamente in prospettiva stand alone ed</w:t>
      </w:r>
      <w:r>
        <w:rPr>
          <w:spacing w:val="-30"/>
        </w:rPr>
        <w:t> </w:t>
      </w:r>
      <w:r>
        <w:rPr/>
        <w:t>integrata.</w:t>
      </w:r>
    </w:p>
    <w:p>
      <w:pPr>
        <w:pStyle w:val="BodyText"/>
        <w:spacing w:line="480" w:lineRule="auto" w:before="1"/>
        <w:ind w:left="1418" w:right="1414"/>
        <w:jc w:val="both"/>
      </w:pPr>
      <w:r>
        <w:rPr/>
        <w:t>I periti sono giunti inoltre alla determinazione della ripartizione dei valori attribuibili alle singole entità sulla base della prospettiva integrata di stima dell</w:t>
      </w:r>
      <w:r>
        <w:rPr>
          <w:i/>
        </w:rPr>
        <w:t>’enterprise value </w:t>
      </w:r>
      <w:r>
        <w:rPr/>
        <w:t>come riportato dalla tabella seguente:</w:t>
      </w:r>
    </w:p>
    <w:p>
      <w:pPr>
        <w:spacing w:line="247" w:lineRule="auto" w:before="147"/>
        <w:ind w:left="2473" w:right="2697" w:firstLine="0"/>
        <w:jc w:val="left"/>
        <w:rPr>
          <w:rFonts w:ascii="Georgia"/>
          <w:b/>
          <w:sz w:val="16"/>
        </w:rPr>
      </w:pPr>
      <w:r>
        <w:rPr>
          <w:rFonts w:ascii="Georgia"/>
          <w:b/>
          <w:color w:val="0063CC"/>
          <w:w w:val="115"/>
          <w:sz w:val="16"/>
        </w:rPr>
        <w:t>Tabella</w:t>
      </w:r>
      <w:r>
        <w:rPr>
          <w:rFonts w:ascii="Georgia"/>
          <w:b/>
          <w:color w:val="0063CC"/>
          <w:spacing w:val="-17"/>
          <w:w w:val="115"/>
          <w:sz w:val="16"/>
        </w:rPr>
        <w:t> </w:t>
      </w:r>
      <w:r>
        <w:rPr>
          <w:rFonts w:ascii="Georgia"/>
          <w:b/>
          <w:color w:val="0063CC"/>
          <w:w w:val="115"/>
          <w:sz w:val="16"/>
        </w:rPr>
        <w:t>6</w:t>
      </w:r>
      <w:r>
        <w:rPr>
          <w:rFonts w:ascii="Georgia"/>
          <w:b/>
          <w:color w:val="0063CC"/>
          <w:spacing w:val="-15"/>
          <w:w w:val="115"/>
          <w:sz w:val="16"/>
        </w:rPr>
        <w:t> </w:t>
      </w:r>
      <w:r>
        <w:rPr>
          <w:rFonts w:ascii="Georgia"/>
          <w:b/>
          <w:color w:val="0063CC"/>
          <w:w w:val="115"/>
          <w:sz w:val="16"/>
        </w:rPr>
        <w:t>-</w:t>
      </w:r>
      <w:r>
        <w:rPr>
          <w:rFonts w:ascii="Georgia"/>
          <w:b/>
          <w:color w:val="0063CC"/>
          <w:spacing w:val="-19"/>
          <w:w w:val="115"/>
          <w:sz w:val="16"/>
        </w:rPr>
        <w:t> </w:t>
      </w:r>
      <w:r>
        <w:rPr>
          <w:rFonts w:ascii="Georgia"/>
          <w:b/>
          <w:color w:val="0063CC"/>
          <w:w w:val="115"/>
          <w:sz w:val="16"/>
        </w:rPr>
        <w:t>Ipotesi</w:t>
      </w:r>
      <w:r>
        <w:rPr>
          <w:rFonts w:ascii="Georgia"/>
          <w:b/>
          <w:color w:val="0063CC"/>
          <w:spacing w:val="-18"/>
          <w:w w:val="115"/>
          <w:sz w:val="16"/>
        </w:rPr>
        <w:t> </w:t>
      </w:r>
      <w:r>
        <w:rPr>
          <w:rFonts w:ascii="Georgia"/>
          <w:b/>
          <w:color w:val="0063CC"/>
          <w:w w:val="115"/>
          <w:sz w:val="16"/>
        </w:rPr>
        <w:t>di</w:t>
      </w:r>
      <w:r>
        <w:rPr>
          <w:rFonts w:ascii="Georgia"/>
          <w:b/>
          <w:color w:val="0063CC"/>
          <w:spacing w:val="-19"/>
          <w:w w:val="115"/>
          <w:sz w:val="16"/>
        </w:rPr>
        <w:t> </w:t>
      </w:r>
      <w:r>
        <w:rPr>
          <w:rFonts w:ascii="Georgia"/>
          <w:b/>
          <w:color w:val="0063CC"/>
          <w:w w:val="115"/>
          <w:sz w:val="16"/>
        </w:rPr>
        <w:t>ripartizione</w:t>
      </w:r>
      <w:r>
        <w:rPr>
          <w:rFonts w:ascii="Georgia"/>
          <w:b/>
          <w:color w:val="0063CC"/>
          <w:spacing w:val="-17"/>
          <w:w w:val="115"/>
          <w:sz w:val="16"/>
        </w:rPr>
        <w:t> </w:t>
      </w:r>
      <w:r>
        <w:rPr>
          <w:rFonts w:ascii="Georgia"/>
          <w:b/>
          <w:color w:val="0063CC"/>
          <w:w w:val="115"/>
          <w:sz w:val="16"/>
        </w:rPr>
        <w:t>basata</w:t>
      </w:r>
      <w:r>
        <w:rPr>
          <w:rFonts w:ascii="Georgia"/>
          <w:b/>
          <w:color w:val="0063CC"/>
          <w:spacing w:val="-17"/>
          <w:w w:val="115"/>
          <w:sz w:val="16"/>
        </w:rPr>
        <w:t> </w:t>
      </w:r>
      <w:r>
        <w:rPr>
          <w:rFonts w:ascii="Georgia"/>
          <w:b/>
          <w:color w:val="0063CC"/>
          <w:w w:val="115"/>
          <w:sz w:val="16"/>
        </w:rPr>
        <w:t>sulla</w:t>
      </w:r>
      <w:r>
        <w:rPr>
          <w:rFonts w:ascii="Georgia"/>
          <w:b/>
          <w:color w:val="0063CC"/>
          <w:spacing w:val="-16"/>
          <w:w w:val="115"/>
          <w:sz w:val="16"/>
        </w:rPr>
        <w:t> </w:t>
      </w:r>
      <w:r>
        <w:rPr>
          <w:rFonts w:ascii="Georgia"/>
          <w:b/>
          <w:color w:val="0063CC"/>
          <w:w w:val="115"/>
          <w:sz w:val="16"/>
        </w:rPr>
        <w:t>valutazione</w:t>
      </w:r>
      <w:r>
        <w:rPr>
          <w:rFonts w:ascii="Georgia"/>
          <w:b/>
          <w:color w:val="0063CC"/>
          <w:spacing w:val="-17"/>
          <w:w w:val="115"/>
          <w:sz w:val="16"/>
        </w:rPr>
        <w:t> </w:t>
      </w:r>
      <w:r>
        <w:rPr>
          <w:rFonts w:ascii="Georgia"/>
          <w:b/>
          <w:color w:val="0063CC"/>
          <w:w w:val="115"/>
          <w:sz w:val="16"/>
        </w:rPr>
        <w:t>dell'enterprise value</w:t>
      </w:r>
      <w:r>
        <w:rPr>
          <w:rFonts w:ascii="Georgia"/>
          <w:b/>
          <w:color w:val="0063CC"/>
          <w:spacing w:val="-18"/>
          <w:w w:val="115"/>
          <w:sz w:val="16"/>
        </w:rPr>
        <w:t> </w:t>
      </w:r>
      <w:r>
        <w:rPr>
          <w:rFonts w:ascii="Georgia"/>
          <w:b/>
          <w:color w:val="0063CC"/>
          <w:w w:val="115"/>
          <w:sz w:val="16"/>
        </w:rPr>
        <w:t>in</w:t>
      </w:r>
    </w:p>
    <w:p>
      <w:pPr>
        <w:spacing w:line="179" w:lineRule="exact" w:before="0"/>
        <w:ind w:left="3701" w:right="3528" w:firstLine="0"/>
        <w:jc w:val="center"/>
        <w:rPr>
          <w:rFonts w:ascii="Georgia"/>
          <w:b/>
          <w:sz w:val="16"/>
        </w:rPr>
      </w:pPr>
      <w:r>
        <w:rPr>
          <w:rFonts w:ascii="Georgia"/>
          <w:b/>
          <w:color w:val="0063CC"/>
          <w:w w:val="110"/>
          <w:sz w:val="16"/>
        </w:rPr>
        <w:t>prospettiva integrata</w:t>
      </w:r>
    </w:p>
    <w:p>
      <w:pPr>
        <w:pStyle w:val="BodyText"/>
        <w:rPr>
          <w:rFonts w:ascii="Georgia"/>
          <w:b/>
          <w:sz w:val="20"/>
        </w:rPr>
      </w:pPr>
    </w:p>
    <w:p>
      <w:pPr>
        <w:pStyle w:val="BodyText"/>
        <w:spacing w:before="4"/>
        <w:rPr>
          <w:rFonts w:ascii="Georgia"/>
          <w:b/>
          <w:sz w:val="10"/>
        </w:rPr>
      </w:pPr>
    </w:p>
    <w:tbl>
      <w:tblPr>
        <w:tblW w:w="0" w:type="auto"/>
        <w:jc w:val="left"/>
        <w:tblInd w:w="1996"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133"/>
        <w:gridCol w:w="1129"/>
        <w:gridCol w:w="1132"/>
        <w:gridCol w:w="1203"/>
        <w:gridCol w:w="983"/>
        <w:gridCol w:w="1424"/>
      </w:tblGrid>
      <w:tr>
        <w:trPr>
          <w:trHeight w:val="279" w:hRule="exact"/>
        </w:trPr>
        <w:tc>
          <w:tcPr>
            <w:tcW w:w="2133" w:type="dxa"/>
          </w:tcPr>
          <w:p>
            <w:pPr/>
          </w:p>
        </w:tc>
        <w:tc>
          <w:tcPr>
            <w:tcW w:w="1129" w:type="dxa"/>
          </w:tcPr>
          <w:p>
            <w:pPr>
              <w:pStyle w:val="TableParagraph"/>
              <w:spacing w:before="6"/>
              <w:ind w:left="242" w:right="142"/>
              <w:jc w:val="center"/>
              <w:rPr>
                <w:rFonts w:ascii="Georgia"/>
                <w:b/>
                <w:sz w:val="16"/>
              </w:rPr>
            </w:pPr>
            <w:r>
              <w:rPr>
                <w:rFonts w:ascii="Georgia"/>
                <w:b/>
                <w:color w:val="0984FF"/>
                <w:w w:val="105"/>
                <w:sz w:val="16"/>
              </w:rPr>
              <w:t>BCT</w:t>
            </w:r>
          </w:p>
        </w:tc>
        <w:tc>
          <w:tcPr>
            <w:tcW w:w="1132" w:type="dxa"/>
          </w:tcPr>
          <w:p>
            <w:pPr>
              <w:pStyle w:val="TableParagraph"/>
              <w:spacing w:before="6"/>
              <w:ind w:left="142" w:right="246"/>
              <w:jc w:val="center"/>
              <w:rPr>
                <w:rFonts w:ascii="Georgia"/>
                <w:b/>
                <w:sz w:val="16"/>
              </w:rPr>
            </w:pPr>
            <w:r>
              <w:rPr>
                <w:rFonts w:ascii="Georgia"/>
                <w:b/>
                <w:color w:val="0984FF"/>
                <w:w w:val="105"/>
                <w:sz w:val="16"/>
              </w:rPr>
              <w:t>BRN</w:t>
            </w:r>
          </w:p>
        </w:tc>
        <w:tc>
          <w:tcPr>
            <w:tcW w:w="1203" w:type="dxa"/>
          </w:tcPr>
          <w:p>
            <w:pPr>
              <w:pStyle w:val="TableParagraph"/>
              <w:spacing w:before="6"/>
              <w:ind w:left="250" w:right="186"/>
              <w:jc w:val="center"/>
              <w:rPr>
                <w:rFonts w:ascii="Georgia"/>
                <w:b/>
                <w:sz w:val="16"/>
              </w:rPr>
            </w:pPr>
            <w:r>
              <w:rPr>
                <w:rFonts w:ascii="Georgia"/>
                <w:b/>
                <w:color w:val="0984FF"/>
                <w:w w:val="105"/>
                <w:sz w:val="16"/>
              </w:rPr>
              <w:t>IBP</w:t>
            </w:r>
          </w:p>
        </w:tc>
        <w:tc>
          <w:tcPr>
            <w:tcW w:w="983" w:type="dxa"/>
          </w:tcPr>
          <w:p>
            <w:pPr>
              <w:pStyle w:val="TableParagraph"/>
              <w:spacing w:before="6"/>
              <w:ind w:left="197" w:right="27"/>
              <w:jc w:val="center"/>
              <w:rPr>
                <w:rFonts w:ascii="Georgia"/>
                <w:b/>
                <w:sz w:val="16"/>
              </w:rPr>
            </w:pPr>
            <w:r>
              <w:rPr>
                <w:rFonts w:ascii="Georgia"/>
                <w:b/>
                <w:color w:val="0984FF"/>
                <w:w w:val="115"/>
                <w:sz w:val="16"/>
              </w:rPr>
              <w:t>IBPE</w:t>
            </w:r>
          </w:p>
        </w:tc>
        <w:tc>
          <w:tcPr>
            <w:tcW w:w="1424" w:type="dxa"/>
          </w:tcPr>
          <w:p>
            <w:pPr>
              <w:pStyle w:val="TableParagraph"/>
              <w:spacing w:before="6"/>
              <w:ind w:left="46"/>
              <w:jc w:val="center"/>
              <w:rPr>
                <w:rFonts w:ascii="Georgia"/>
                <w:b/>
                <w:sz w:val="16"/>
              </w:rPr>
            </w:pPr>
            <w:r>
              <w:rPr>
                <w:rFonts w:ascii="Georgia"/>
                <w:b/>
                <w:color w:val="0984FF"/>
                <w:w w:val="115"/>
                <w:sz w:val="16"/>
              </w:rPr>
              <w:t>Perimetro Bio</w:t>
            </w:r>
          </w:p>
        </w:tc>
      </w:tr>
      <w:tr>
        <w:trPr>
          <w:trHeight w:val="324" w:hRule="exact"/>
        </w:trPr>
        <w:tc>
          <w:tcPr>
            <w:tcW w:w="2133" w:type="dxa"/>
          </w:tcPr>
          <w:p>
            <w:pPr>
              <w:pStyle w:val="TableParagraph"/>
              <w:spacing w:before="93"/>
              <w:ind w:left="21"/>
              <w:jc w:val="left"/>
              <w:rPr>
                <w:rFonts w:ascii="Georgia" w:hAnsi="Georgia"/>
                <w:sz w:val="18"/>
              </w:rPr>
            </w:pPr>
            <w:r>
              <w:rPr>
                <w:rFonts w:ascii="Georgia" w:hAnsi="Georgia"/>
                <w:color w:val="0984FF"/>
                <w:w w:val="105"/>
                <w:sz w:val="18"/>
              </w:rPr>
              <w:t>Enterprise Value (€m)</w:t>
            </w:r>
          </w:p>
        </w:tc>
        <w:tc>
          <w:tcPr>
            <w:tcW w:w="1129" w:type="dxa"/>
          </w:tcPr>
          <w:p>
            <w:pPr>
              <w:pStyle w:val="TableParagraph"/>
              <w:spacing w:before="93"/>
              <w:ind w:left="237" w:right="142"/>
              <w:jc w:val="center"/>
              <w:rPr>
                <w:rFonts w:ascii="Georgia"/>
                <w:sz w:val="18"/>
              </w:rPr>
            </w:pPr>
            <w:r>
              <w:rPr>
                <w:rFonts w:ascii="Georgia"/>
                <w:w w:val="105"/>
                <w:sz w:val="18"/>
              </w:rPr>
              <w:t>59,0</w:t>
            </w:r>
          </w:p>
        </w:tc>
        <w:tc>
          <w:tcPr>
            <w:tcW w:w="1132" w:type="dxa"/>
          </w:tcPr>
          <w:p>
            <w:pPr>
              <w:pStyle w:val="TableParagraph"/>
              <w:spacing w:before="93"/>
              <w:ind w:left="132" w:right="248"/>
              <w:jc w:val="center"/>
              <w:rPr>
                <w:rFonts w:ascii="Georgia"/>
                <w:sz w:val="18"/>
              </w:rPr>
            </w:pPr>
            <w:r>
              <w:rPr>
                <w:rFonts w:ascii="Georgia"/>
                <w:w w:val="105"/>
                <w:sz w:val="18"/>
              </w:rPr>
              <w:t>44,7</w:t>
            </w:r>
          </w:p>
        </w:tc>
        <w:tc>
          <w:tcPr>
            <w:tcW w:w="1203" w:type="dxa"/>
          </w:tcPr>
          <w:p>
            <w:pPr>
              <w:pStyle w:val="TableParagraph"/>
              <w:spacing w:before="93"/>
              <w:ind w:left="242" w:right="193"/>
              <w:jc w:val="center"/>
              <w:rPr>
                <w:rFonts w:ascii="Georgia"/>
                <w:sz w:val="18"/>
              </w:rPr>
            </w:pPr>
            <w:r>
              <w:rPr>
                <w:rFonts w:ascii="Georgia"/>
                <w:w w:val="105"/>
                <w:sz w:val="18"/>
              </w:rPr>
              <w:t>51,2</w:t>
            </w:r>
          </w:p>
        </w:tc>
        <w:tc>
          <w:tcPr>
            <w:tcW w:w="983" w:type="dxa"/>
          </w:tcPr>
          <w:p>
            <w:pPr>
              <w:pStyle w:val="TableParagraph"/>
              <w:spacing w:before="93"/>
              <w:ind w:left="177" w:right="51"/>
              <w:jc w:val="center"/>
              <w:rPr>
                <w:rFonts w:ascii="Georgia"/>
                <w:sz w:val="18"/>
              </w:rPr>
            </w:pPr>
            <w:r>
              <w:rPr>
                <w:rFonts w:ascii="Georgia"/>
                <w:w w:val="105"/>
                <w:sz w:val="18"/>
              </w:rPr>
              <w:t>35,1</w:t>
            </w:r>
          </w:p>
        </w:tc>
        <w:tc>
          <w:tcPr>
            <w:tcW w:w="1424" w:type="dxa"/>
          </w:tcPr>
          <w:p>
            <w:pPr>
              <w:pStyle w:val="TableParagraph"/>
              <w:spacing w:before="93"/>
              <w:ind w:left="46" w:right="49"/>
              <w:jc w:val="center"/>
              <w:rPr>
                <w:rFonts w:ascii="Georgia"/>
                <w:sz w:val="18"/>
              </w:rPr>
            </w:pPr>
            <w:r>
              <w:rPr>
                <w:rFonts w:ascii="Georgia"/>
                <w:w w:val="105"/>
                <w:sz w:val="18"/>
              </w:rPr>
              <w:t>190,1</w:t>
            </w:r>
          </w:p>
        </w:tc>
      </w:tr>
      <w:tr>
        <w:trPr>
          <w:trHeight w:val="389" w:hRule="exact"/>
        </w:trPr>
        <w:tc>
          <w:tcPr>
            <w:tcW w:w="2133" w:type="dxa"/>
          </w:tcPr>
          <w:p>
            <w:pPr>
              <w:pStyle w:val="TableParagraph"/>
              <w:spacing w:before="29"/>
              <w:ind w:left="21"/>
              <w:jc w:val="left"/>
              <w:rPr>
                <w:rFonts w:ascii="Georgia"/>
                <w:b/>
                <w:sz w:val="18"/>
              </w:rPr>
            </w:pPr>
            <w:r>
              <w:rPr>
                <w:rFonts w:ascii="Georgia"/>
                <w:b/>
                <w:color w:val="0984FF"/>
                <w:w w:val="105"/>
                <w:sz w:val="18"/>
              </w:rPr>
              <w:t>Peso (%)</w:t>
            </w:r>
          </w:p>
        </w:tc>
        <w:tc>
          <w:tcPr>
            <w:tcW w:w="1129" w:type="dxa"/>
          </w:tcPr>
          <w:p>
            <w:pPr>
              <w:pStyle w:val="TableParagraph"/>
              <w:spacing w:before="29"/>
              <w:ind w:left="244" w:right="134"/>
              <w:jc w:val="center"/>
              <w:rPr>
                <w:rFonts w:ascii="Georgia"/>
                <w:b/>
                <w:sz w:val="18"/>
              </w:rPr>
            </w:pPr>
            <w:r>
              <w:rPr>
                <w:rFonts w:ascii="Georgia"/>
                <w:b/>
                <w:w w:val="105"/>
                <w:sz w:val="18"/>
              </w:rPr>
              <w:t>31,05%</w:t>
            </w:r>
          </w:p>
        </w:tc>
        <w:tc>
          <w:tcPr>
            <w:tcW w:w="1132" w:type="dxa"/>
          </w:tcPr>
          <w:p>
            <w:pPr>
              <w:pStyle w:val="TableParagraph"/>
              <w:spacing w:before="29"/>
              <w:ind w:left="142" w:right="248"/>
              <w:jc w:val="center"/>
              <w:rPr>
                <w:rFonts w:ascii="Georgia"/>
                <w:b/>
                <w:sz w:val="18"/>
              </w:rPr>
            </w:pPr>
            <w:r>
              <w:rPr>
                <w:rFonts w:ascii="Georgia"/>
                <w:b/>
                <w:w w:val="105"/>
                <w:sz w:val="18"/>
              </w:rPr>
              <w:t>23,54%</w:t>
            </w:r>
          </w:p>
        </w:tc>
        <w:tc>
          <w:tcPr>
            <w:tcW w:w="1203" w:type="dxa"/>
          </w:tcPr>
          <w:p>
            <w:pPr>
              <w:pStyle w:val="TableParagraph"/>
              <w:spacing w:before="29"/>
              <w:ind w:left="250" w:right="191"/>
              <w:jc w:val="center"/>
              <w:rPr>
                <w:rFonts w:ascii="Georgia"/>
                <w:b/>
                <w:sz w:val="18"/>
              </w:rPr>
            </w:pPr>
            <w:r>
              <w:rPr>
                <w:rFonts w:ascii="Georgia"/>
                <w:b/>
                <w:w w:val="105"/>
                <w:sz w:val="18"/>
              </w:rPr>
              <w:t>26,92%</w:t>
            </w:r>
          </w:p>
        </w:tc>
        <w:tc>
          <w:tcPr>
            <w:tcW w:w="983" w:type="dxa"/>
          </w:tcPr>
          <w:p>
            <w:pPr>
              <w:pStyle w:val="TableParagraph"/>
              <w:spacing w:before="29"/>
              <w:ind w:left="197" w:right="51"/>
              <w:jc w:val="center"/>
              <w:rPr>
                <w:rFonts w:ascii="Georgia"/>
                <w:b/>
                <w:sz w:val="18"/>
              </w:rPr>
            </w:pPr>
            <w:r>
              <w:rPr>
                <w:rFonts w:ascii="Georgia"/>
                <w:b/>
                <w:w w:val="105"/>
                <w:sz w:val="18"/>
              </w:rPr>
              <w:t>18,49%</w:t>
            </w:r>
          </w:p>
        </w:tc>
        <w:tc>
          <w:tcPr>
            <w:tcW w:w="1424" w:type="dxa"/>
          </w:tcPr>
          <w:p>
            <w:pPr>
              <w:pStyle w:val="TableParagraph"/>
              <w:spacing w:before="29"/>
              <w:jc w:val="center"/>
              <w:rPr>
                <w:rFonts w:ascii="Georgia"/>
                <w:b/>
                <w:sz w:val="18"/>
              </w:rPr>
            </w:pPr>
            <w:r>
              <w:rPr>
                <w:rFonts w:ascii="Georgia"/>
                <w:b/>
                <w:w w:val="105"/>
                <w:sz w:val="18"/>
              </w:rPr>
              <w:t>100%</w:t>
            </w:r>
          </w:p>
        </w:tc>
      </w:tr>
      <w:tr>
        <w:trPr>
          <w:trHeight w:val="389" w:hRule="exact"/>
        </w:trPr>
        <w:tc>
          <w:tcPr>
            <w:tcW w:w="2133" w:type="dxa"/>
          </w:tcPr>
          <w:p>
            <w:pPr>
              <w:pStyle w:val="TableParagraph"/>
              <w:spacing w:before="158"/>
              <w:ind w:left="21"/>
              <w:jc w:val="left"/>
              <w:rPr>
                <w:rFonts w:ascii="Georgia" w:hAnsi="Georgia"/>
                <w:sz w:val="18"/>
              </w:rPr>
            </w:pPr>
            <w:r>
              <w:rPr>
                <w:rFonts w:ascii="Georgia" w:hAnsi="Georgia"/>
                <w:color w:val="0984FF"/>
                <w:w w:val="105"/>
                <w:sz w:val="18"/>
              </w:rPr>
              <w:t>EV + C&amp;CE (€m)</w:t>
            </w:r>
          </w:p>
        </w:tc>
        <w:tc>
          <w:tcPr>
            <w:tcW w:w="1129" w:type="dxa"/>
          </w:tcPr>
          <w:p>
            <w:pPr>
              <w:pStyle w:val="TableParagraph"/>
              <w:spacing w:before="158"/>
              <w:ind w:left="236" w:right="142"/>
              <w:jc w:val="center"/>
              <w:rPr>
                <w:rFonts w:ascii="Georgia"/>
                <w:sz w:val="18"/>
              </w:rPr>
            </w:pPr>
            <w:r>
              <w:rPr>
                <w:rFonts w:ascii="Georgia"/>
                <w:w w:val="105"/>
                <w:sz w:val="18"/>
              </w:rPr>
              <w:t>68,7</w:t>
            </w:r>
          </w:p>
        </w:tc>
        <w:tc>
          <w:tcPr>
            <w:tcW w:w="1132" w:type="dxa"/>
          </w:tcPr>
          <w:p>
            <w:pPr>
              <w:pStyle w:val="TableParagraph"/>
              <w:spacing w:before="158"/>
              <w:ind w:left="131" w:right="248"/>
              <w:jc w:val="center"/>
              <w:rPr>
                <w:rFonts w:ascii="Georgia"/>
                <w:sz w:val="18"/>
              </w:rPr>
            </w:pPr>
            <w:r>
              <w:rPr>
                <w:rFonts w:ascii="Georgia"/>
                <w:w w:val="105"/>
                <w:sz w:val="18"/>
              </w:rPr>
              <w:t>44,8</w:t>
            </w:r>
          </w:p>
        </w:tc>
        <w:tc>
          <w:tcPr>
            <w:tcW w:w="1203" w:type="dxa"/>
          </w:tcPr>
          <w:p>
            <w:pPr>
              <w:pStyle w:val="TableParagraph"/>
              <w:spacing w:before="158"/>
              <w:ind w:left="239" w:right="193"/>
              <w:jc w:val="center"/>
              <w:rPr>
                <w:rFonts w:ascii="Georgia"/>
                <w:sz w:val="18"/>
              </w:rPr>
            </w:pPr>
            <w:r>
              <w:rPr>
                <w:rFonts w:ascii="Georgia"/>
                <w:w w:val="105"/>
                <w:sz w:val="18"/>
              </w:rPr>
              <w:t>64,6</w:t>
            </w:r>
          </w:p>
        </w:tc>
        <w:tc>
          <w:tcPr>
            <w:tcW w:w="983" w:type="dxa"/>
          </w:tcPr>
          <w:p>
            <w:pPr>
              <w:pStyle w:val="TableParagraph"/>
              <w:spacing w:before="158"/>
              <w:ind w:left="177" w:right="51"/>
              <w:jc w:val="center"/>
              <w:rPr>
                <w:rFonts w:ascii="Georgia"/>
                <w:sz w:val="18"/>
              </w:rPr>
            </w:pPr>
            <w:r>
              <w:rPr>
                <w:rFonts w:ascii="Georgia"/>
                <w:w w:val="105"/>
                <w:sz w:val="18"/>
              </w:rPr>
              <w:t>35,1</w:t>
            </w:r>
          </w:p>
        </w:tc>
        <w:tc>
          <w:tcPr>
            <w:tcW w:w="1424" w:type="dxa"/>
          </w:tcPr>
          <w:p>
            <w:pPr>
              <w:pStyle w:val="TableParagraph"/>
              <w:spacing w:before="158"/>
              <w:ind w:left="46" w:right="53"/>
              <w:jc w:val="center"/>
              <w:rPr>
                <w:rFonts w:ascii="Georgia"/>
                <w:sz w:val="18"/>
              </w:rPr>
            </w:pPr>
            <w:r>
              <w:rPr>
                <w:rFonts w:ascii="Georgia"/>
                <w:w w:val="105"/>
                <w:sz w:val="18"/>
              </w:rPr>
              <w:t>213,3</w:t>
            </w:r>
          </w:p>
        </w:tc>
      </w:tr>
      <w:tr>
        <w:trPr>
          <w:trHeight w:val="235" w:hRule="exact"/>
        </w:trPr>
        <w:tc>
          <w:tcPr>
            <w:tcW w:w="2133" w:type="dxa"/>
          </w:tcPr>
          <w:p>
            <w:pPr>
              <w:pStyle w:val="TableParagraph"/>
              <w:spacing w:before="29"/>
              <w:ind w:left="21"/>
              <w:jc w:val="left"/>
              <w:rPr>
                <w:rFonts w:ascii="Georgia"/>
                <w:b/>
                <w:sz w:val="18"/>
              </w:rPr>
            </w:pPr>
            <w:r>
              <w:rPr>
                <w:rFonts w:ascii="Georgia"/>
                <w:b/>
                <w:color w:val="0984FF"/>
                <w:w w:val="105"/>
                <w:sz w:val="18"/>
              </w:rPr>
              <w:t>Peso (%)</w:t>
            </w:r>
          </w:p>
        </w:tc>
        <w:tc>
          <w:tcPr>
            <w:tcW w:w="1129" w:type="dxa"/>
          </w:tcPr>
          <w:p>
            <w:pPr>
              <w:pStyle w:val="TableParagraph"/>
              <w:spacing w:before="29"/>
              <w:ind w:left="244" w:right="142"/>
              <w:jc w:val="center"/>
              <w:rPr>
                <w:rFonts w:ascii="Georgia"/>
                <w:b/>
                <w:sz w:val="18"/>
              </w:rPr>
            </w:pPr>
            <w:r>
              <w:rPr>
                <w:rFonts w:ascii="Georgia"/>
                <w:b/>
                <w:w w:val="105"/>
                <w:sz w:val="18"/>
              </w:rPr>
              <w:t>32,22%</w:t>
            </w:r>
          </w:p>
        </w:tc>
        <w:tc>
          <w:tcPr>
            <w:tcW w:w="1132" w:type="dxa"/>
          </w:tcPr>
          <w:p>
            <w:pPr>
              <w:pStyle w:val="TableParagraph"/>
              <w:spacing w:before="29"/>
              <w:ind w:left="142" w:right="248"/>
              <w:jc w:val="center"/>
              <w:rPr>
                <w:rFonts w:ascii="Georgia"/>
                <w:b/>
                <w:sz w:val="18"/>
              </w:rPr>
            </w:pPr>
            <w:r>
              <w:rPr>
                <w:rFonts w:ascii="Georgia"/>
                <w:b/>
                <w:w w:val="105"/>
                <w:sz w:val="18"/>
              </w:rPr>
              <w:t>21,01%</w:t>
            </w:r>
          </w:p>
        </w:tc>
        <w:tc>
          <w:tcPr>
            <w:tcW w:w="1203" w:type="dxa"/>
          </w:tcPr>
          <w:p>
            <w:pPr>
              <w:pStyle w:val="TableParagraph"/>
              <w:spacing w:before="29"/>
              <w:ind w:left="250" w:right="193"/>
              <w:jc w:val="center"/>
              <w:rPr>
                <w:rFonts w:ascii="Georgia"/>
                <w:b/>
                <w:sz w:val="18"/>
              </w:rPr>
            </w:pPr>
            <w:r>
              <w:rPr>
                <w:rFonts w:ascii="Georgia"/>
                <w:b/>
                <w:w w:val="105"/>
                <w:sz w:val="18"/>
              </w:rPr>
              <w:t>30,29%</w:t>
            </w:r>
          </w:p>
        </w:tc>
        <w:tc>
          <w:tcPr>
            <w:tcW w:w="983" w:type="dxa"/>
          </w:tcPr>
          <w:p>
            <w:pPr>
              <w:pStyle w:val="TableParagraph"/>
              <w:spacing w:before="29"/>
              <w:ind w:left="186" w:right="51"/>
              <w:jc w:val="center"/>
              <w:rPr>
                <w:rFonts w:ascii="Georgia"/>
                <w:b/>
                <w:sz w:val="18"/>
              </w:rPr>
            </w:pPr>
            <w:r>
              <w:rPr>
                <w:rFonts w:ascii="Georgia"/>
                <w:b/>
                <w:w w:val="105"/>
                <w:sz w:val="18"/>
              </w:rPr>
              <w:t>16,47%</w:t>
            </w:r>
          </w:p>
        </w:tc>
        <w:tc>
          <w:tcPr>
            <w:tcW w:w="1424" w:type="dxa"/>
          </w:tcPr>
          <w:p>
            <w:pPr>
              <w:pStyle w:val="TableParagraph"/>
              <w:spacing w:before="29"/>
              <w:jc w:val="center"/>
              <w:rPr>
                <w:rFonts w:ascii="Georgia"/>
                <w:b/>
                <w:sz w:val="18"/>
              </w:rPr>
            </w:pPr>
            <w:r>
              <w:rPr>
                <w:rFonts w:ascii="Georgia"/>
                <w:b/>
                <w:w w:val="105"/>
                <w:sz w:val="18"/>
              </w:rPr>
              <w:t>100%</w:t>
            </w:r>
          </w:p>
        </w:tc>
      </w:tr>
    </w:tbl>
    <w:p>
      <w:pPr>
        <w:pStyle w:val="BodyText"/>
        <w:spacing w:before="5"/>
        <w:rPr>
          <w:rFonts w:ascii="Georgia"/>
          <w:b/>
        </w:rPr>
      </w:pPr>
    </w:p>
    <w:p>
      <w:pPr>
        <w:pStyle w:val="BodyText"/>
        <w:spacing w:line="480" w:lineRule="auto"/>
        <w:ind w:left="1418" w:right="1518"/>
      </w:pPr>
      <w:r>
        <w:rPr/>
        <w:t>La contribuzione delle singole società all’Enterprise Value dell’intero perimetro BIO può essere così rappresentata:</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29"/>
        </w:rPr>
      </w:pPr>
      <w:r>
        <w:rPr/>
        <w:pict>
          <v:line style="position:absolute;mso-position-horizontal-relative:page;mso-position-vertical-relative:paragraph;z-index:2128;mso-wrap-distance-left:0;mso-wrap-distance-right:0" from="70.944pt,18.949142pt" to="214.964pt,18.949142pt" stroked="true" strokeweight=".72003pt" strokecolor="#000000">
            <v:stroke dashstyle="solid"/>
            <w10:wrap type="topAndBottom"/>
          </v:line>
        </w:pict>
      </w:r>
    </w:p>
    <w:p>
      <w:pPr>
        <w:spacing w:before="73"/>
        <w:ind w:left="1418" w:right="0" w:firstLine="0"/>
        <w:jc w:val="left"/>
        <w:rPr>
          <w:i/>
          <w:sz w:val="20"/>
        </w:rPr>
      </w:pPr>
      <w:r>
        <w:rPr>
          <w:i/>
          <w:position w:val="7"/>
          <w:sz w:val="12"/>
        </w:rPr>
        <w:t>2  </w:t>
      </w:r>
      <w:r>
        <w:rPr>
          <w:i/>
          <w:sz w:val="20"/>
        </w:rPr>
        <w:t>Perizia tecnica Cattaneo- Petrella pag. 15 e pag. 30</w:t>
      </w:r>
    </w:p>
    <w:p>
      <w:pPr>
        <w:spacing w:after="0"/>
        <w:jc w:val="left"/>
        <w:rPr>
          <w:sz w:val="20"/>
        </w:rPr>
        <w:sectPr>
          <w:footerReference w:type="default" r:id="rId51"/>
          <w:pgSz w:w="11910" w:h="16840"/>
          <w:pgMar w:footer="1025" w:header="707" w:top="1740" w:bottom="1220" w:left="0" w:right="0"/>
          <w:pgNumType w:start="269"/>
        </w:sectPr>
      </w:pPr>
    </w:p>
    <w:p>
      <w:pPr>
        <w:pStyle w:val="BodyText"/>
        <w:rPr>
          <w:i/>
          <w:sz w:val="20"/>
        </w:rPr>
      </w:pPr>
    </w:p>
    <w:p>
      <w:pPr>
        <w:pStyle w:val="BodyText"/>
        <w:rPr>
          <w:i/>
          <w:sz w:val="20"/>
        </w:rPr>
      </w:pPr>
    </w:p>
    <w:p>
      <w:pPr>
        <w:pStyle w:val="BodyText"/>
        <w:rPr>
          <w:i/>
          <w:sz w:val="20"/>
        </w:rPr>
      </w:pPr>
    </w:p>
    <w:p>
      <w:pPr>
        <w:pStyle w:val="BodyText"/>
        <w:rPr>
          <w:i/>
          <w:sz w:val="20"/>
        </w:rPr>
      </w:pPr>
    </w:p>
    <w:p>
      <w:pPr>
        <w:pStyle w:val="BodyText"/>
        <w:spacing w:before="3"/>
        <w:rPr>
          <w:i/>
          <w:sz w:val="16"/>
        </w:rPr>
      </w:pPr>
    </w:p>
    <w:p>
      <w:pPr>
        <w:pStyle w:val="BodyText"/>
        <w:ind w:left="2196"/>
        <w:rPr>
          <w:sz w:val="20"/>
        </w:rPr>
      </w:pPr>
      <w:r>
        <w:rPr>
          <w:sz w:val="20"/>
        </w:rPr>
        <w:drawing>
          <wp:inline distT="0" distB="0" distL="0" distR="0">
            <wp:extent cx="4810628" cy="3086100"/>
            <wp:effectExtent l="0" t="0" r="0" b="0"/>
            <wp:docPr id="7" name="image36.jpeg" descr=""/>
            <wp:cNvGraphicFramePr>
              <a:graphicFrameLocks noChangeAspect="1"/>
            </wp:cNvGraphicFramePr>
            <a:graphic>
              <a:graphicData uri="http://schemas.openxmlformats.org/drawingml/2006/picture">
                <pic:pic>
                  <pic:nvPicPr>
                    <pic:cNvPr id="8" name="image36.jpeg"/>
                    <pic:cNvPicPr/>
                  </pic:nvPicPr>
                  <pic:blipFill>
                    <a:blip r:embed="rId52" cstate="print"/>
                    <a:stretch>
                      <a:fillRect/>
                    </a:stretch>
                  </pic:blipFill>
                  <pic:spPr>
                    <a:xfrm>
                      <a:off x="0" y="0"/>
                      <a:ext cx="4810628" cy="3086100"/>
                    </a:xfrm>
                    <a:prstGeom prst="rect">
                      <a:avLst/>
                    </a:prstGeom>
                  </pic:spPr>
                </pic:pic>
              </a:graphicData>
            </a:graphic>
          </wp:inline>
        </w:drawing>
      </w:r>
      <w:r>
        <w:rPr>
          <w:sz w:val="20"/>
        </w:rPr>
      </w:r>
    </w:p>
    <w:p>
      <w:pPr>
        <w:pStyle w:val="BodyText"/>
        <w:spacing w:before="9"/>
        <w:rPr>
          <w:i/>
          <w:sz w:val="11"/>
        </w:rPr>
      </w:pPr>
    </w:p>
    <w:p>
      <w:pPr>
        <w:pStyle w:val="BodyText"/>
        <w:spacing w:line="480" w:lineRule="auto" w:before="100"/>
        <w:ind w:left="1418" w:right="1414"/>
        <w:jc w:val="both"/>
      </w:pPr>
      <w:r>
        <w:rPr/>
        <w:t>Il corrispettivo assunto a piano si fonda sul valore del corrispettivo complessivo indicato nell’offerta vincolante di Versalis, pari a Euro 75 Milioni, al quale viene applicata la percentuale  del 30,76</w:t>
      </w:r>
      <w:r>
        <w:rPr>
          <w:position w:val="9"/>
          <w:sz w:val="14"/>
        </w:rPr>
        <w:t>3</w:t>
      </w:r>
      <w:r>
        <w:rPr/>
        <w:t>%, attribuendo pertanto un valore di spettanza alla società Biochemtex pari a Euro 28,8 Milioni.</w:t>
      </w:r>
    </w:p>
    <w:p>
      <w:pPr>
        <w:pStyle w:val="BodyText"/>
        <w:ind w:left="1418"/>
        <w:jc w:val="both"/>
      </w:pPr>
      <w:r>
        <w:rPr/>
        <w:t>L’offerta è formulata sulle seguenti assunzioni, pena la decadenza della stessa:</w:t>
      </w:r>
    </w:p>
    <w:p>
      <w:pPr>
        <w:pStyle w:val="BodyText"/>
      </w:pPr>
    </w:p>
    <w:p>
      <w:pPr>
        <w:pStyle w:val="ListParagraph"/>
        <w:numPr>
          <w:ilvl w:val="0"/>
          <w:numId w:val="99"/>
        </w:numPr>
        <w:tabs>
          <w:tab w:pos="2127" w:val="left" w:leader="none"/>
        </w:tabs>
        <w:spacing w:line="480" w:lineRule="auto" w:before="0" w:after="0"/>
        <w:ind w:left="2138" w:right="1417" w:hanging="360"/>
        <w:jc w:val="left"/>
        <w:rPr>
          <w:sz w:val="24"/>
        </w:rPr>
      </w:pPr>
      <w:r>
        <w:rPr>
          <w:sz w:val="24"/>
        </w:rPr>
        <w:t>Il deposito di tutte le società i cui </w:t>
      </w:r>
      <w:r>
        <w:rPr>
          <w:i/>
          <w:sz w:val="24"/>
        </w:rPr>
        <w:t>assets </w:t>
      </w:r>
      <w:r>
        <w:rPr>
          <w:sz w:val="24"/>
        </w:rPr>
        <w:t>rientrano nel perimetro BIO delle rispettive domande di concordato nei tempi concessi dal Tribunale di</w:t>
      </w:r>
      <w:r>
        <w:rPr>
          <w:spacing w:val="-30"/>
          <w:sz w:val="24"/>
        </w:rPr>
        <w:t> </w:t>
      </w:r>
      <w:r>
        <w:rPr>
          <w:sz w:val="24"/>
        </w:rPr>
        <w:t>Alessandria;</w:t>
      </w:r>
    </w:p>
    <w:p>
      <w:pPr>
        <w:pStyle w:val="ListParagraph"/>
        <w:numPr>
          <w:ilvl w:val="0"/>
          <w:numId w:val="99"/>
        </w:numPr>
        <w:tabs>
          <w:tab w:pos="2127" w:val="left" w:leader="none"/>
        </w:tabs>
        <w:spacing w:line="480" w:lineRule="auto" w:before="0" w:after="0"/>
        <w:ind w:left="2138" w:right="1416" w:hanging="360"/>
        <w:jc w:val="left"/>
        <w:rPr>
          <w:sz w:val="24"/>
        </w:rPr>
      </w:pPr>
      <w:r>
        <w:rPr>
          <w:sz w:val="24"/>
        </w:rPr>
        <w:t>L’ammissione da parte del Tribunale delle suddette domande di concordato e la mancata revoca dell’ammissione prima del perfezionamento</w:t>
      </w:r>
      <w:r>
        <w:rPr>
          <w:spacing w:val="-16"/>
          <w:sz w:val="24"/>
        </w:rPr>
        <w:t> </w:t>
      </w:r>
      <w:r>
        <w:rPr>
          <w:sz w:val="24"/>
        </w:rPr>
        <w:t>dell’operazione;</w:t>
      </w:r>
    </w:p>
    <w:p>
      <w:pPr>
        <w:pStyle w:val="ListParagraph"/>
        <w:numPr>
          <w:ilvl w:val="0"/>
          <w:numId w:val="99"/>
        </w:numPr>
        <w:tabs>
          <w:tab w:pos="2127" w:val="left" w:leader="none"/>
        </w:tabs>
        <w:spacing w:line="480" w:lineRule="auto" w:before="0" w:after="0"/>
        <w:ind w:left="2138" w:right="1419" w:hanging="360"/>
        <w:jc w:val="left"/>
        <w:rPr>
          <w:sz w:val="24"/>
        </w:rPr>
      </w:pPr>
      <w:r>
        <w:rPr>
          <w:sz w:val="24"/>
        </w:rPr>
        <w:t>Le modalità del procedimento competitivo disposto nei concordati siano tali da garantire l’unitarietà degli </w:t>
      </w:r>
      <w:r>
        <w:rPr>
          <w:i/>
          <w:sz w:val="24"/>
        </w:rPr>
        <w:t>assets </w:t>
      </w:r>
      <w:r>
        <w:rPr>
          <w:sz w:val="24"/>
        </w:rPr>
        <w:t>del perimetro</w:t>
      </w:r>
      <w:r>
        <w:rPr>
          <w:spacing w:val="-19"/>
          <w:sz w:val="24"/>
        </w:rPr>
        <w:t> </w:t>
      </w:r>
      <w:r>
        <w:rPr>
          <w:sz w:val="24"/>
        </w:rPr>
        <w:t>BIO;</w:t>
      </w:r>
    </w:p>
    <w:p>
      <w:pPr>
        <w:pStyle w:val="BodyText"/>
        <w:rPr>
          <w:sz w:val="12"/>
        </w:rPr>
      </w:pPr>
      <w:r>
        <w:rPr/>
        <w:pict>
          <v:line style="position:absolute;mso-position-horizontal-relative:page;mso-position-vertical-relative:paragraph;z-index:2152;mso-wrap-distance-left:0;mso-wrap-distance-right:0" from="70.944pt,9.111097pt" to="214.964pt,9.111097pt" stroked="true" strokeweight=".72003pt" strokecolor="#000000">
            <v:stroke dashstyle="solid"/>
            <w10:wrap type="topAndBottom"/>
          </v:line>
        </w:pict>
      </w:r>
    </w:p>
    <w:p>
      <w:pPr>
        <w:spacing w:line="278" w:lineRule="auto" w:before="71"/>
        <w:ind w:left="1418" w:right="1415" w:firstLine="0"/>
        <w:jc w:val="both"/>
        <w:rPr>
          <w:i/>
          <w:sz w:val="20"/>
        </w:rPr>
      </w:pPr>
      <w:r>
        <w:rPr>
          <w:i/>
          <w:position w:val="7"/>
          <w:sz w:val="12"/>
        </w:rPr>
        <w:t>3 </w:t>
      </w:r>
      <w:r>
        <w:rPr>
          <w:i/>
          <w:sz w:val="20"/>
        </w:rPr>
        <w:t>L’Advisor finanziario MedioBanca ha prodotto un dato percentuale adjusted reso necessario dalla natura dell’offerta che prevede un </w:t>
      </w:r>
      <w:r>
        <w:rPr>
          <w:i/>
          <w:sz w:val="20"/>
        </w:rPr>
        <w:t>accollo di Leasing di IBP Energia per Euro 18.008 mila. La variazione netta della percentuale di attribuzione rispetto alla percentuale di ripartizione della perizia risulta pari a 0,29%.</w:t>
      </w:r>
    </w:p>
    <w:p>
      <w:pPr>
        <w:spacing w:after="0" w:line="278" w:lineRule="auto"/>
        <w:jc w:val="both"/>
        <w:rPr>
          <w:sz w:val="20"/>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pStyle w:val="ListParagraph"/>
        <w:numPr>
          <w:ilvl w:val="0"/>
          <w:numId w:val="99"/>
        </w:numPr>
        <w:tabs>
          <w:tab w:pos="2127" w:val="left" w:leader="none"/>
        </w:tabs>
        <w:spacing w:line="480" w:lineRule="auto" w:before="100" w:after="0"/>
        <w:ind w:left="2138" w:right="1418" w:hanging="360"/>
        <w:jc w:val="left"/>
        <w:rPr>
          <w:sz w:val="24"/>
        </w:rPr>
      </w:pPr>
      <w:r>
        <w:rPr>
          <w:sz w:val="24"/>
        </w:rPr>
        <w:t>La concessione a Versalis di un diritto di pareggio o di rilancio ad esito del procedimento competitivo ex art. 163</w:t>
      </w:r>
      <w:r>
        <w:rPr>
          <w:spacing w:val="-6"/>
          <w:sz w:val="24"/>
        </w:rPr>
        <w:t> </w:t>
      </w:r>
      <w:r>
        <w:rPr>
          <w:sz w:val="24"/>
        </w:rPr>
        <w:t>L.f.;</w:t>
      </w:r>
    </w:p>
    <w:p>
      <w:pPr>
        <w:pStyle w:val="BodyText"/>
        <w:spacing w:line="480" w:lineRule="auto"/>
        <w:ind w:left="1418" w:right="1411"/>
        <w:jc w:val="both"/>
      </w:pPr>
      <w:r>
        <w:rPr/>
        <w:t>Il corrispettivo offerto, oltre alla componente fissa pari a Euro 75 Milioni, da pagarsi alla data di passaggio dei rami afferenti il perimetro BIO, prevede anche una quota variabile fino ad Euro 20 Milioni, da attivarsi mediante un meccanismo di </w:t>
      </w:r>
      <w:r>
        <w:rPr>
          <w:i/>
        </w:rPr>
        <w:t>earn-out </w:t>
      </w:r>
      <w:r>
        <w:rPr/>
        <w:t>condizionato al numero di  licenze vendute fino al 21 marzo 2014 all’omologazione delle procedure di concordato delle società del perimetro BIO. In ultimo è previsto altresì il subentro nel contratto di leasing di IBP Energia con Unicredit Leasing.</w:t>
      </w:r>
    </w:p>
    <w:p>
      <w:pPr>
        <w:pStyle w:val="BodyText"/>
        <w:ind w:left="1418"/>
        <w:jc w:val="both"/>
      </w:pPr>
      <w:r>
        <w:rPr/>
        <w:t>Si precisa infine che l’offerta risulta vincolante fino alla data del 31 luglio 2018.</w:t>
      </w:r>
    </w:p>
    <w:p>
      <w:pPr>
        <w:pStyle w:val="BodyText"/>
        <w:rPr>
          <w:sz w:val="26"/>
        </w:rPr>
      </w:pPr>
    </w:p>
    <w:p>
      <w:pPr>
        <w:pStyle w:val="BodyText"/>
        <w:rPr>
          <w:sz w:val="26"/>
        </w:rPr>
      </w:pPr>
    </w:p>
    <w:p>
      <w:pPr>
        <w:pStyle w:val="Heading2"/>
        <w:numPr>
          <w:ilvl w:val="1"/>
          <w:numId w:val="95"/>
        </w:numPr>
        <w:tabs>
          <w:tab w:pos="2127" w:val="left" w:leader="none"/>
        </w:tabs>
        <w:spacing w:line="240" w:lineRule="auto" w:before="193" w:after="0"/>
        <w:ind w:left="2126" w:right="0" w:hanging="708"/>
        <w:jc w:val="both"/>
      </w:pPr>
      <w:bookmarkStart w:name="_bookmark34" w:id="67"/>
      <w:bookmarkEnd w:id="67"/>
      <w:r>
        <w:rPr>
          <w:b w:val="0"/>
        </w:rPr>
      </w:r>
      <w:bookmarkStart w:name="_bookmark34" w:id="68"/>
      <w:bookmarkEnd w:id="68"/>
      <w:r>
        <w:rPr/>
        <w:t>L</w:t>
      </w:r>
      <w:r>
        <w:rPr/>
        <w:t>’IMPEGNO</w:t>
      </w:r>
      <w:r>
        <w:rPr>
          <w:spacing w:val="-9"/>
        </w:rPr>
        <w:t> </w:t>
      </w:r>
      <w:r>
        <w:rPr/>
        <w:t>GHISOLFI</w:t>
      </w:r>
    </w:p>
    <w:p>
      <w:pPr>
        <w:pStyle w:val="BodyText"/>
        <w:spacing w:before="10"/>
        <w:rPr>
          <w:b/>
          <w:sz w:val="23"/>
        </w:rPr>
      </w:pPr>
    </w:p>
    <w:p>
      <w:pPr>
        <w:pStyle w:val="BodyText"/>
        <w:spacing w:line="480" w:lineRule="auto" w:before="1"/>
        <w:ind w:left="1418" w:right="1410"/>
        <w:jc w:val="both"/>
      </w:pPr>
      <w:r>
        <w:rPr/>
        <w:t>Al fine di sostenere il buon esito del processo di ristrutturazione il Dott. Marco Ghisolfi ha sottoscritto in data odierna la lettera d’impegno di cui si riporta in appresso l’estratto:</w:t>
      </w:r>
    </w:p>
    <w:p>
      <w:pPr>
        <w:pStyle w:val="ListParagraph"/>
        <w:numPr>
          <w:ilvl w:val="0"/>
          <w:numId w:val="100"/>
        </w:numPr>
        <w:tabs>
          <w:tab w:pos="2127" w:val="left" w:leader="none"/>
        </w:tabs>
        <w:spacing w:line="480" w:lineRule="auto" w:before="0" w:after="0"/>
        <w:ind w:left="2138" w:right="1413" w:hanging="720"/>
        <w:jc w:val="both"/>
        <w:rPr>
          <w:i/>
          <w:sz w:val="24"/>
        </w:rPr>
      </w:pPr>
      <w:r>
        <w:rPr>
          <w:i/>
          <w:sz w:val="24"/>
        </w:rPr>
        <w:t>il sottoscritto Dott. Marco Ghisolfi assume, anche ai sensi dell’art. 1381 c.c. </w:t>
      </w:r>
      <w:r>
        <w:rPr>
          <w:i/>
          <w:spacing w:val="2"/>
          <w:sz w:val="24"/>
        </w:rPr>
        <w:t>per </w:t>
      </w:r>
      <w:r>
        <w:rPr>
          <w:i/>
          <w:sz w:val="24"/>
        </w:rPr>
        <w:t>conto dei propri  </w:t>
      </w:r>
      <w:r>
        <w:rPr>
          <w:i/>
          <w:sz w:val="24"/>
        </w:rPr>
        <w:t>familiari Vittorio Ghisolfi, Anna e Enrico Merli, Ivana Tanzi, Andrea Riccardo Ghisolfi, Alessandra Micol Ghisolfi, Alberto Filippo Ghisolfi e Adelaide Ghisolfi, i seguenti impegni</w:t>
      </w:r>
      <w:r>
        <w:rPr>
          <w:i/>
          <w:spacing w:val="-26"/>
          <w:sz w:val="24"/>
        </w:rPr>
        <w:t> </w:t>
      </w:r>
      <w:r>
        <w:rPr>
          <w:i/>
          <w:sz w:val="24"/>
        </w:rPr>
        <w:t>irrevocabili:</w:t>
      </w:r>
    </w:p>
    <w:p>
      <w:pPr>
        <w:pStyle w:val="ListParagraph"/>
        <w:numPr>
          <w:ilvl w:val="1"/>
          <w:numId w:val="100"/>
        </w:numPr>
        <w:tabs>
          <w:tab w:pos="2127" w:val="left" w:leader="none"/>
        </w:tabs>
        <w:spacing w:line="240" w:lineRule="auto" w:before="0" w:after="0"/>
        <w:ind w:left="2422" w:right="0" w:hanging="555"/>
        <w:jc w:val="left"/>
        <w:rPr>
          <w:i/>
          <w:sz w:val="24"/>
        </w:rPr>
      </w:pPr>
      <w:r>
        <w:rPr>
          <w:i/>
          <w:sz w:val="24"/>
        </w:rPr>
        <w:t>erogare nella forma tecnica che sarà concordata e secondo i seguenti criteri di ripartizione</w:t>
      </w:r>
      <w:r>
        <w:rPr>
          <w:i/>
          <w:spacing w:val="-39"/>
          <w:sz w:val="24"/>
        </w:rPr>
        <w:t> </w:t>
      </w:r>
      <w:r>
        <w:rPr>
          <w:i/>
          <w:sz w:val="24"/>
        </w:rPr>
        <w:t>proporzionale:</w:t>
      </w:r>
    </w:p>
    <w:p>
      <w:pPr>
        <w:pStyle w:val="BodyText"/>
        <w:rPr>
          <w:i/>
        </w:rPr>
      </w:pPr>
    </w:p>
    <w:p>
      <w:pPr>
        <w:pStyle w:val="ListParagraph"/>
        <w:numPr>
          <w:ilvl w:val="2"/>
          <w:numId w:val="100"/>
        </w:numPr>
        <w:tabs>
          <w:tab w:pos="2706" w:val="left" w:leader="none"/>
        </w:tabs>
        <w:spacing w:line="480" w:lineRule="auto" w:before="0" w:after="0"/>
        <w:ind w:left="2705" w:right="1420" w:hanging="360"/>
        <w:jc w:val="left"/>
        <w:rPr>
          <w:i/>
          <w:sz w:val="24"/>
        </w:rPr>
      </w:pPr>
      <w:r>
        <w:rPr>
          <w:i/>
          <w:sz w:val="24"/>
        </w:rPr>
        <w:t>Euro 350.000,00 (trecentocinquantamila /00) in favore di Beta, come da versamento già </w:t>
      </w:r>
      <w:r>
        <w:rPr>
          <w:i/>
          <w:sz w:val="24"/>
        </w:rPr>
        <w:t>eseguito, a fondo perduto, in data</w:t>
      </w:r>
      <w:r>
        <w:rPr>
          <w:i/>
          <w:spacing w:val="-17"/>
          <w:sz w:val="24"/>
        </w:rPr>
        <w:t> </w:t>
      </w:r>
      <w:r>
        <w:rPr>
          <w:i/>
          <w:sz w:val="24"/>
        </w:rPr>
        <w:t>odierna</w:t>
      </w:r>
    </w:p>
    <w:p>
      <w:pPr>
        <w:pStyle w:val="ListParagraph"/>
        <w:numPr>
          <w:ilvl w:val="2"/>
          <w:numId w:val="100"/>
        </w:numPr>
        <w:tabs>
          <w:tab w:pos="2706" w:val="left" w:leader="none"/>
        </w:tabs>
        <w:spacing w:line="240" w:lineRule="auto" w:before="0" w:after="0"/>
        <w:ind w:left="2705" w:right="0" w:hanging="360"/>
        <w:jc w:val="left"/>
        <w:rPr>
          <w:i/>
          <w:sz w:val="24"/>
        </w:rPr>
      </w:pPr>
      <w:r>
        <w:rPr>
          <w:i/>
          <w:sz w:val="24"/>
        </w:rPr>
        <w:t>Euro 325.000,00 (trecentoventicinquemila / 00) in favore di</w:t>
      </w:r>
      <w:r>
        <w:rPr>
          <w:i/>
          <w:spacing w:val="-15"/>
          <w:sz w:val="24"/>
        </w:rPr>
        <w:t> </w:t>
      </w:r>
      <w:r>
        <w:rPr>
          <w:i/>
          <w:sz w:val="24"/>
        </w:rPr>
        <w:t>Biochemtex,</w:t>
      </w:r>
    </w:p>
    <w:p>
      <w:pPr>
        <w:pStyle w:val="BodyText"/>
        <w:rPr>
          <w:i/>
        </w:rPr>
      </w:pPr>
    </w:p>
    <w:p>
      <w:pPr>
        <w:pStyle w:val="ListParagraph"/>
        <w:numPr>
          <w:ilvl w:val="2"/>
          <w:numId w:val="100"/>
        </w:numPr>
        <w:tabs>
          <w:tab w:pos="2706" w:val="left" w:leader="none"/>
        </w:tabs>
        <w:spacing w:line="240" w:lineRule="auto" w:before="0" w:after="0"/>
        <w:ind w:left="2705" w:right="0" w:hanging="360"/>
        <w:jc w:val="left"/>
        <w:rPr>
          <w:i/>
          <w:sz w:val="24"/>
        </w:rPr>
      </w:pPr>
      <w:r>
        <w:rPr>
          <w:i/>
          <w:sz w:val="24"/>
        </w:rPr>
        <w:t>Euro 325.000,00 (trecentoventicinquemila / 00) in favore di</w:t>
      </w:r>
      <w:r>
        <w:rPr>
          <w:i/>
          <w:spacing w:val="-22"/>
          <w:sz w:val="24"/>
        </w:rPr>
        <w:t> </w:t>
      </w:r>
      <w:r>
        <w:rPr>
          <w:i/>
          <w:sz w:val="24"/>
        </w:rPr>
        <w:t>IBP,</w:t>
      </w:r>
    </w:p>
    <w:p>
      <w:pPr>
        <w:pStyle w:val="BodyText"/>
        <w:spacing w:before="11"/>
        <w:rPr>
          <w:i/>
          <w:sz w:val="23"/>
        </w:rPr>
      </w:pPr>
    </w:p>
    <w:p>
      <w:pPr>
        <w:spacing w:before="0"/>
        <w:ind w:left="2345" w:right="0" w:firstLine="0"/>
        <w:jc w:val="left"/>
        <w:rPr>
          <w:i/>
          <w:sz w:val="24"/>
        </w:rPr>
      </w:pPr>
      <w:r>
        <w:rPr>
          <w:i/>
          <w:sz w:val="24"/>
        </w:rPr>
        <w:t>e così per un importo aggregato di Euro 1.000.000,00 (un milione / 00);</w:t>
      </w:r>
    </w:p>
    <w:p>
      <w:pPr>
        <w:spacing w:after="0"/>
        <w:jc w:val="left"/>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pStyle w:val="ListParagraph"/>
        <w:numPr>
          <w:ilvl w:val="1"/>
          <w:numId w:val="100"/>
        </w:numPr>
        <w:tabs>
          <w:tab w:pos="2127" w:val="left" w:leader="none"/>
        </w:tabs>
        <w:spacing w:line="480" w:lineRule="auto" w:before="100" w:after="0"/>
        <w:ind w:left="2422" w:right="1410" w:hanging="610"/>
        <w:jc w:val="both"/>
        <w:rPr>
          <w:i/>
          <w:sz w:val="24"/>
        </w:rPr>
      </w:pPr>
      <w:r>
        <w:rPr>
          <w:i/>
          <w:sz w:val="24"/>
        </w:rPr>
        <w:t>erogare gli importi di cui al punto (i), da (b) a (c), a semplice richiesta delle Società e/o degli organi della </w:t>
      </w:r>
      <w:r>
        <w:rPr>
          <w:i/>
          <w:sz w:val="24"/>
        </w:rPr>
        <w:t>procedura del Concordato Preventivo di ciascuna delle stesse, con adempimento della relativa obbligazione entro 30 (trenta) giorni dalla data di esecuzione del piano di riparto in favore </w:t>
      </w:r>
      <w:r>
        <w:rPr>
          <w:i/>
          <w:spacing w:val="3"/>
          <w:sz w:val="24"/>
        </w:rPr>
        <w:t>dei </w:t>
      </w:r>
      <w:r>
        <w:rPr>
          <w:i/>
          <w:sz w:val="24"/>
        </w:rPr>
        <w:t>creditori chirografari, indipendentemente dal fatto che, alla stessa data, siano state liberate, in tutto od in parte e per quanto possibile, le riserve stanziate in ciascun piano e/o siano stati registrati incassi superiori rispetto a quelli previsti in ciascun</w:t>
      </w:r>
      <w:r>
        <w:rPr>
          <w:i/>
          <w:spacing w:val="-18"/>
          <w:sz w:val="24"/>
        </w:rPr>
        <w:t> </w:t>
      </w:r>
      <w:r>
        <w:rPr>
          <w:i/>
          <w:sz w:val="24"/>
        </w:rPr>
        <w:t>piano.</w:t>
      </w:r>
    </w:p>
    <w:p>
      <w:pPr>
        <w:pStyle w:val="ListParagraph"/>
        <w:numPr>
          <w:ilvl w:val="1"/>
          <w:numId w:val="100"/>
        </w:numPr>
        <w:tabs>
          <w:tab w:pos="2127" w:val="left" w:leader="none"/>
        </w:tabs>
        <w:spacing w:line="240" w:lineRule="auto" w:before="0" w:after="0"/>
        <w:ind w:left="2126" w:right="0" w:hanging="369"/>
        <w:jc w:val="left"/>
        <w:rPr>
          <w:i/>
          <w:sz w:val="24"/>
        </w:rPr>
      </w:pPr>
      <w:r>
        <w:rPr>
          <w:i/>
          <w:sz w:val="24"/>
        </w:rPr>
        <w:t>erogare nella forma tecnica che sarà concordata e secondo i seguenti criteri di ripartizione</w:t>
      </w:r>
      <w:r>
        <w:rPr>
          <w:i/>
          <w:spacing w:val="-39"/>
          <w:sz w:val="24"/>
        </w:rPr>
        <w:t> </w:t>
      </w:r>
      <w:r>
        <w:rPr>
          <w:i/>
          <w:sz w:val="24"/>
        </w:rPr>
        <w:t>proporzionale:</w:t>
      </w:r>
    </w:p>
    <w:p>
      <w:pPr>
        <w:pStyle w:val="BodyText"/>
        <w:rPr>
          <w:i/>
        </w:rPr>
      </w:pPr>
    </w:p>
    <w:p>
      <w:pPr>
        <w:pStyle w:val="ListParagraph"/>
        <w:numPr>
          <w:ilvl w:val="2"/>
          <w:numId w:val="100"/>
        </w:numPr>
        <w:tabs>
          <w:tab w:pos="2706" w:val="left" w:leader="none"/>
        </w:tabs>
        <w:spacing w:line="480" w:lineRule="auto" w:before="0" w:after="0"/>
        <w:ind w:left="2705" w:right="1420" w:hanging="360"/>
        <w:jc w:val="left"/>
        <w:rPr>
          <w:i/>
          <w:sz w:val="24"/>
        </w:rPr>
      </w:pPr>
      <w:r>
        <w:rPr>
          <w:i/>
          <w:sz w:val="24"/>
        </w:rPr>
        <w:t>Euro 350.000,00 (trecentocinquantamila /00) in favore di Beta, come da versamento già </w:t>
      </w:r>
      <w:r>
        <w:rPr>
          <w:i/>
          <w:sz w:val="24"/>
        </w:rPr>
        <w:t>eseguito, a fondo perduto, in data</w:t>
      </w:r>
      <w:r>
        <w:rPr>
          <w:i/>
          <w:spacing w:val="-15"/>
          <w:sz w:val="24"/>
        </w:rPr>
        <w:t> </w:t>
      </w:r>
      <w:r>
        <w:rPr>
          <w:i/>
          <w:sz w:val="24"/>
        </w:rPr>
        <w:t>odierna,</w:t>
      </w:r>
    </w:p>
    <w:p>
      <w:pPr>
        <w:pStyle w:val="ListParagraph"/>
        <w:numPr>
          <w:ilvl w:val="2"/>
          <w:numId w:val="100"/>
        </w:numPr>
        <w:tabs>
          <w:tab w:pos="2706" w:val="left" w:leader="none"/>
        </w:tabs>
        <w:spacing w:line="240" w:lineRule="auto" w:before="0" w:after="0"/>
        <w:ind w:left="2705" w:right="0" w:hanging="360"/>
        <w:jc w:val="left"/>
        <w:rPr>
          <w:i/>
          <w:sz w:val="24"/>
        </w:rPr>
      </w:pPr>
      <w:r>
        <w:rPr>
          <w:i/>
          <w:sz w:val="24"/>
        </w:rPr>
        <w:t>Euro 219.000,00 (duecentodiciannovemila /00) in favore di</w:t>
      </w:r>
      <w:r>
        <w:rPr>
          <w:i/>
          <w:spacing w:val="-21"/>
          <w:sz w:val="24"/>
        </w:rPr>
        <w:t> </w:t>
      </w:r>
      <w:r>
        <w:rPr>
          <w:i/>
          <w:sz w:val="24"/>
        </w:rPr>
        <w:t>Beta,</w:t>
      </w:r>
    </w:p>
    <w:p>
      <w:pPr>
        <w:pStyle w:val="BodyText"/>
        <w:rPr>
          <w:i/>
        </w:rPr>
      </w:pPr>
    </w:p>
    <w:p>
      <w:pPr>
        <w:pStyle w:val="ListParagraph"/>
        <w:numPr>
          <w:ilvl w:val="2"/>
          <w:numId w:val="100"/>
        </w:numPr>
        <w:tabs>
          <w:tab w:pos="2706" w:val="left" w:leader="none"/>
        </w:tabs>
        <w:spacing w:line="240" w:lineRule="auto" w:before="0" w:after="0"/>
        <w:ind w:left="2705" w:right="0" w:hanging="360"/>
        <w:jc w:val="left"/>
        <w:rPr>
          <w:i/>
          <w:sz w:val="24"/>
        </w:rPr>
      </w:pPr>
      <w:r>
        <w:rPr>
          <w:i/>
          <w:sz w:val="24"/>
        </w:rPr>
        <w:t>Euro 500.000,00 (cinquecentomila / 00) in favore di</w:t>
      </w:r>
      <w:r>
        <w:rPr>
          <w:i/>
          <w:spacing w:val="-20"/>
          <w:sz w:val="24"/>
        </w:rPr>
        <w:t> </w:t>
      </w:r>
      <w:r>
        <w:rPr>
          <w:i/>
          <w:sz w:val="24"/>
        </w:rPr>
        <w:t>Biochemtex,</w:t>
      </w:r>
    </w:p>
    <w:p>
      <w:pPr>
        <w:pStyle w:val="BodyText"/>
        <w:rPr>
          <w:i/>
        </w:rPr>
      </w:pPr>
    </w:p>
    <w:p>
      <w:pPr>
        <w:pStyle w:val="ListParagraph"/>
        <w:numPr>
          <w:ilvl w:val="2"/>
          <w:numId w:val="100"/>
        </w:numPr>
        <w:tabs>
          <w:tab w:pos="2706" w:val="left" w:leader="none"/>
        </w:tabs>
        <w:spacing w:line="240" w:lineRule="auto" w:before="0" w:after="0"/>
        <w:ind w:left="2705" w:right="0" w:hanging="360"/>
        <w:jc w:val="left"/>
        <w:rPr>
          <w:i/>
          <w:sz w:val="24"/>
        </w:rPr>
      </w:pPr>
      <w:r>
        <w:rPr>
          <w:i/>
          <w:sz w:val="24"/>
        </w:rPr>
        <w:t>Euro 931.000,00 (novecentotrentunomila / 00) in favore di</w:t>
      </w:r>
      <w:r>
        <w:rPr>
          <w:i/>
          <w:spacing w:val="-26"/>
          <w:sz w:val="24"/>
        </w:rPr>
        <w:t> </w:t>
      </w:r>
      <w:r>
        <w:rPr>
          <w:i/>
          <w:sz w:val="24"/>
        </w:rPr>
        <w:t>IBP;</w:t>
      </w:r>
    </w:p>
    <w:p>
      <w:pPr>
        <w:pStyle w:val="BodyText"/>
        <w:spacing w:before="10"/>
        <w:rPr>
          <w:i/>
          <w:sz w:val="23"/>
        </w:rPr>
      </w:pPr>
    </w:p>
    <w:p>
      <w:pPr>
        <w:spacing w:before="1"/>
        <w:ind w:left="2705" w:right="0" w:firstLine="0"/>
        <w:jc w:val="left"/>
        <w:rPr>
          <w:i/>
          <w:sz w:val="24"/>
        </w:rPr>
      </w:pPr>
      <w:r>
        <w:rPr>
          <w:i/>
          <w:sz w:val="24"/>
        </w:rPr>
        <w:t>è così per un importo aggregato di  Euro 2.000.000,00 (due milioni / 00);</w:t>
      </w:r>
    </w:p>
    <w:p>
      <w:pPr>
        <w:pStyle w:val="BodyText"/>
        <w:rPr>
          <w:i/>
        </w:rPr>
      </w:pPr>
    </w:p>
    <w:p>
      <w:pPr>
        <w:pStyle w:val="ListParagraph"/>
        <w:numPr>
          <w:ilvl w:val="1"/>
          <w:numId w:val="100"/>
        </w:numPr>
        <w:tabs>
          <w:tab w:pos="2127" w:val="left" w:leader="none"/>
        </w:tabs>
        <w:spacing w:line="480" w:lineRule="auto" w:before="0" w:after="0"/>
        <w:ind w:left="2422" w:right="1412" w:hanging="668"/>
        <w:jc w:val="both"/>
        <w:rPr>
          <w:i/>
          <w:sz w:val="24"/>
        </w:rPr>
      </w:pPr>
      <w:r>
        <w:rPr>
          <w:i/>
          <w:sz w:val="24"/>
        </w:rPr>
        <w:t>erogare gli importi di cui al punto (iii), da (b) a (d), a semplice richiesta delle Società e/o degli organi  </w:t>
      </w:r>
      <w:r>
        <w:rPr>
          <w:i/>
          <w:sz w:val="24"/>
        </w:rPr>
        <w:t>della procedura del Concordato Preventivo di ciascuna delle stesse, nel caso in cui venga data evidenza allo scrivente che, alla data in cui dovrà essere eseguito il pagamento dei creditori chirografari secondo il rispettivo Piano di Ripagamento, la percentuale minima legale del 20 % (ventipercento) non possa essere pagata ai medesimi, nonostante che, alla stessa data, siano state liberate, in tutto od in parte e per quanto possibile, le riserve stanziate in ciascun piano e/o siano stati registrati incassi superiori rispetto a quelli previsti in ciascun</w:t>
      </w:r>
      <w:r>
        <w:rPr>
          <w:i/>
          <w:spacing w:val="-20"/>
          <w:sz w:val="24"/>
        </w:rPr>
        <w:t> </w:t>
      </w:r>
      <w:r>
        <w:rPr>
          <w:i/>
          <w:sz w:val="24"/>
        </w:rPr>
        <w:t>piano.</w:t>
      </w:r>
    </w:p>
    <w:p>
      <w:pPr>
        <w:pStyle w:val="BodyText"/>
        <w:rPr>
          <w:i/>
          <w:sz w:val="26"/>
        </w:rPr>
      </w:pPr>
    </w:p>
    <w:p>
      <w:pPr>
        <w:pStyle w:val="BodyText"/>
        <w:spacing w:before="11"/>
        <w:rPr>
          <w:i/>
          <w:sz w:val="21"/>
        </w:rPr>
      </w:pPr>
    </w:p>
    <w:p>
      <w:pPr>
        <w:pStyle w:val="ListParagraph"/>
        <w:numPr>
          <w:ilvl w:val="0"/>
          <w:numId w:val="100"/>
        </w:numPr>
        <w:tabs>
          <w:tab w:pos="2126" w:val="left" w:leader="none"/>
          <w:tab w:pos="2127" w:val="left" w:leader="none"/>
        </w:tabs>
        <w:spacing w:line="480" w:lineRule="auto" w:before="0" w:after="0"/>
        <w:ind w:left="2138" w:right="1423" w:hanging="720"/>
        <w:jc w:val="left"/>
        <w:rPr>
          <w:i/>
          <w:sz w:val="24"/>
        </w:rPr>
      </w:pPr>
      <w:r>
        <w:rPr>
          <w:i/>
          <w:sz w:val="24"/>
        </w:rPr>
        <w:t>al fine di dare evidenza della copertura degli impegni di cui alla presente lettera di impegno, il sottoscritto </w:t>
      </w:r>
      <w:r>
        <w:rPr>
          <w:i/>
          <w:sz w:val="24"/>
        </w:rPr>
        <w:t>Dott. Marco</w:t>
      </w:r>
      <w:r>
        <w:rPr>
          <w:i/>
          <w:spacing w:val="-8"/>
          <w:sz w:val="24"/>
        </w:rPr>
        <w:t> </w:t>
      </w:r>
      <w:r>
        <w:rPr>
          <w:i/>
          <w:sz w:val="24"/>
        </w:rPr>
        <w:t>Ghisolfi</w:t>
      </w:r>
    </w:p>
    <w:p>
      <w:pPr>
        <w:spacing w:after="0" w:line="480" w:lineRule="auto"/>
        <w:jc w:val="left"/>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pStyle w:val="ListParagraph"/>
        <w:numPr>
          <w:ilvl w:val="1"/>
          <w:numId w:val="100"/>
        </w:numPr>
        <w:tabs>
          <w:tab w:pos="2127" w:val="left" w:leader="none"/>
        </w:tabs>
        <w:spacing w:line="480" w:lineRule="auto" w:before="100" w:after="0"/>
        <w:ind w:left="2498" w:right="1422" w:hanging="720"/>
        <w:jc w:val="left"/>
        <w:rPr>
          <w:i/>
          <w:sz w:val="24"/>
        </w:rPr>
      </w:pPr>
      <w:r>
        <w:rPr>
          <w:i/>
          <w:sz w:val="24"/>
        </w:rPr>
        <w:t>allega la dichiarazione di referenza bancaria resa dalla banca Credito Valtellinese, filiale di Tortona </w:t>
      </w:r>
      <w:r>
        <w:rPr>
          <w:i/>
          <w:sz w:val="24"/>
        </w:rPr>
        <w:t>(AL) sub </w:t>
      </w:r>
      <w:r>
        <w:rPr>
          <w:i/>
          <w:sz w:val="24"/>
          <w:u w:val="single"/>
        </w:rPr>
        <w:t>doc.</w:t>
      </w:r>
      <w:r>
        <w:rPr>
          <w:i/>
          <w:spacing w:val="-1"/>
          <w:sz w:val="24"/>
          <w:u w:val="single"/>
        </w:rPr>
        <w:t> </w:t>
      </w:r>
      <w:r>
        <w:rPr>
          <w:i/>
          <w:sz w:val="24"/>
          <w:u w:val="single"/>
        </w:rPr>
        <w:t>1</w:t>
      </w:r>
      <w:r>
        <w:rPr>
          <w:i/>
          <w:sz w:val="24"/>
        </w:rPr>
        <w:t>,</w:t>
      </w:r>
    </w:p>
    <w:p>
      <w:pPr>
        <w:pStyle w:val="ListParagraph"/>
        <w:numPr>
          <w:ilvl w:val="1"/>
          <w:numId w:val="100"/>
        </w:numPr>
        <w:tabs>
          <w:tab w:pos="2127" w:val="left" w:leader="none"/>
        </w:tabs>
        <w:spacing w:line="480" w:lineRule="auto" w:before="0" w:after="0"/>
        <w:ind w:left="2498" w:right="1409" w:hanging="720"/>
        <w:jc w:val="left"/>
        <w:rPr>
          <w:i/>
          <w:sz w:val="24"/>
        </w:rPr>
      </w:pPr>
      <w:r>
        <w:rPr>
          <w:i/>
          <w:sz w:val="24"/>
        </w:rPr>
        <w:t>si impegna a costituire, entro 30 (trenta) giorni dalla data odierna, un vincolo di destinazione e di </w:t>
      </w:r>
      <w:r>
        <w:rPr>
          <w:i/>
          <w:sz w:val="24"/>
        </w:rPr>
        <w:t>garanzia per un importo massimo aggregato </w:t>
      </w:r>
      <w:r>
        <w:rPr>
          <w:i/>
          <w:spacing w:val="3"/>
          <w:sz w:val="24"/>
        </w:rPr>
        <w:t>di </w:t>
      </w:r>
      <w:r>
        <w:rPr>
          <w:i/>
          <w:sz w:val="24"/>
        </w:rPr>
        <w:t>€ 1.650.000,00 (un milione seicento cinquanta</w:t>
      </w:r>
      <w:r>
        <w:rPr>
          <w:i/>
          <w:spacing w:val="42"/>
          <w:sz w:val="24"/>
        </w:rPr>
        <w:t> </w:t>
      </w:r>
      <w:r>
        <w:rPr>
          <w:i/>
          <w:sz w:val="24"/>
        </w:rPr>
        <w:t>mila</w:t>
      </w:r>
    </w:p>
    <w:p>
      <w:pPr>
        <w:spacing w:line="480" w:lineRule="auto" w:before="0"/>
        <w:ind w:left="2498" w:right="1412" w:firstLine="0"/>
        <w:jc w:val="both"/>
        <w:rPr>
          <w:i/>
          <w:sz w:val="24"/>
        </w:rPr>
      </w:pPr>
      <w:r>
        <w:rPr>
          <w:i/>
          <w:sz w:val="24"/>
        </w:rPr>
        <w:t>/ 00), restando inteso questo vincolo dovrà riprodurre le condizioni di escussione e/o erogazione </w:t>
      </w:r>
      <w:r>
        <w:rPr>
          <w:i/>
          <w:sz w:val="24"/>
        </w:rPr>
        <w:t>oggetto della presente lettera di impegno e avrà ad oggetto un importo finale che risulti ridotto in misura corrispondente agli importi che dovessero essere stati nel frattempo già erogati in favore di una o più delle</w:t>
      </w:r>
      <w:r>
        <w:rPr>
          <w:i/>
          <w:spacing w:val="-4"/>
          <w:sz w:val="24"/>
        </w:rPr>
        <w:t> </w:t>
      </w:r>
      <w:r>
        <w:rPr>
          <w:i/>
          <w:sz w:val="24"/>
        </w:rPr>
        <w:t>Società.</w:t>
      </w:r>
    </w:p>
    <w:p>
      <w:pPr>
        <w:spacing w:line="480" w:lineRule="auto" w:before="0"/>
        <w:ind w:left="1418" w:right="1411" w:firstLine="0"/>
        <w:jc w:val="both"/>
        <w:rPr>
          <w:i/>
          <w:sz w:val="24"/>
        </w:rPr>
      </w:pPr>
      <w:r>
        <w:rPr>
          <w:i/>
          <w:sz w:val="24"/>
        </w:rPr>
        <w:t>L’efficacia degli impegni di cui ai punti A, da (i) a (iv), è sospensivamente condizionata all’autorizzazione alla </w:t>
      </w:r>
      <w:r>
        <w:rPr>
          <w:i/>
          <w:sz w:val="24"/>
        </w:rPr>
        <w:t>contrazione di finanza ai sensi dell’art. 182-quinquies, comma 1, l. fall., come chiesta da Beta nel proprio Concordato Preventivo (cfr. Finanziamento Novozymes) ed all’emissione dei decreti di omologazione, anche provvisoriamente esecutivi, del Concordato Preventivo di tutte le Società.</w:t>
      </w:r>
    </w:p>
    <w:p>
      <w:pPr>
        <w:spacing w:line="480" w:lineRule="auto" w:before="0"/>
        <w:ind w:left="1418" w:right="1409" w:firstLine="0"/>
        <w:jc w:val="both"/>
        <w:rPr>
          <w:i/>
          <w:sz w:val="24"/>
        </w:rPr>
      </w:pPr>
      <w:r>
        <w:rPr>
          <w:i/>
          <w:sz w:val="24"/>
        </w:rPr>
        <w:t>Nonostante quanto precede e qualora si dovesse registrare uno scostamento sul Piano di Cassa di Beta e sul Piano </w:t>
      </w:r>
      <w:r>
        <w:rPr>
          <w:i/>
          <w:sz w:val="24"/>
        </w:rPr>
        <w:t>di Cassa di Biochemtex (sulla base delle analisi di sensitività operate dagli attestatori e che, per quanto concerne Beta, contemplano l’avvenuta autorizzazione alla contrazione del Finanziamento Novozymes) prima della data di emissione dei decreti di omologazione, anche provvisoriamente esecutivi, del Concordato Preventivo di tutte le Società, il sottoscritto Dott. Marco Ghisolfi si impegna ad erogare, sotto forma di finanziamento da assoggettare ad autorizzazione e con riconoscimento della prededuzione del corrispondente credito, un importo massimo aggregato</w:t>
      </w:r>
      <w:r>
        <w:rPr>
          <w:i/>
          <w:spacing w:val="-6"/>
          <w:sz w:val="24"/>
        </w:rPr>
        <w:t> </w:t>
      </w:r>
      <w:r>
        <w:rPr>
          <w:i/>
          <w:sz w:val="24"/>
        </w:rPr>
        <w:t>di</w:t>
      </w:r>
    </w:p>
    <w:p>
      <w:pPr>
        <w:spacing w:line="480" w:lineRule="auto" w:before="0"/>
        <w:ind w:left="1418" w:right="1409" w:firstLine="0"/>
        <w:jc w:val="both"/>
        <w:rPr>
          <w:i/>
          <w:sz w:val="24"/>
        </w:rPr>
      </w:pPr>
      <w:r>
        <w:rPr>
          <w:i/>
          <w:sz w:val="24"/>
        </w:rPr>
        <w:t>€ 650.000,00 (seicento cinquantamila /00), a valere sull’importo complessivo massimo di cui alla lettera (A) che </w:t>
      </w:r>
      <w:r>
        <w:rPr>
          <w:i/>
          <w:sz w:val="24"/>
        </w:rPr>
        <w:t>precede, in favore di Beta e in favore di Biochemtex, impegnandosi ora per allora a rinunciare ad ogni diritto di restituzione sotto condizione dell’emissione dei decreti di omologazione, anche provvisoriamente esecutivi, del Concordato Preventivo di tutte le Società.</w:t>
      </w:r>
    </w:p>
    <w:p>
      <w:pPr>
        <w:spacing w:after="0" w:line="480" w:lineRule="auto"/>
        <w:jc w:val="both"/>
        <w:rPr>
          <w:sz w:val="24"/>
        </w:rPr>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pStyle w:val="Heading2"/>
        <w:numPr>
          <w:ilvl w:val="1"/>
          <w:numId w:val="95"/>
        </w:numPr>
        <w:tabs>
          <w:tab w:pos="2126" w:val="left" w:leader="none"/>
          <w:tab w:pos="2127" w:val="left" w:leader="none"/>
        </w:tabs>
        <w:spacing w:line="240" w:lineRule="auto" w:before="100" w:after="0"/>
        <w:ind w:left="2126" w:right="0" w:hanging="708"/>
        <w:jc w:val="left"/>
      </w:pPr>
      <w:bookmarkStart w:name="_bookmark35" w:id="69"/>
      <w:bookmarkEnd w:id="69"/>
      <w:r>
        <w:rPr>
          <w:b w:val="0"/>
        </w:rPr>
      </w:r>
      <w:bookmarkStart w:name="_bookmark35" w:id="70"/>
      <w:bookmarkEnd w:id="70"/>
      <w:r>
        <w:rPr/>
        <w:t>IL</w:t>
      </w:r>
      <w:r>
        <w:rPr/>
        <w:t> FABBISOGNO</w:t>
      </w:r>
      <w:r>
        <w:rPr>
          <w:spacing w:val="-9"/>
        </w:rPr>
        <w:t> </w:t>
      </w:r>
      <w:r>
        <w:rPr/>
        <w:t>CONCORDATARIO</w:t>
      </w:r>
    </w:p>
    <w:p>
      <w:pPr>
        <w:pStyle w:val="BodyText"/>
        <w:spacing w:before="11"/>
        <w:rPr>
          <w:b/>
          <w:sz w:val="23"/>
        </w:rPr>
      </w:pPr>
    </w:p>
    <w:p>
      <w:pPr>
        <w:pStyle w:val="BodyText"/>
        <w:ind w:left="1418"/>
      </w:pPr>
      <w:r>
        <w:rPr/>
        <w:t>Il piano predisposto dalla società risulta come di seguito articolato:</w:t>
      </w:r>
    </w:p>
    <w:p>
      <w:pPr>
        <w:pStyle w:val="BodyText"/>
        <w:spacing w:before="11"/>
        <w:rPr>
          <w:sz w:val="23"/>
        </w:rPr>
      </w:pPr>
    </w:p>
    <w:p>
      <w:pPr>
        <w:pStyle w:val="BodyText"/>
        <w:spacing w:line="480" w:lineRule="auto"/>
        <w:ind w:left="1418" w:right="1518"/>
      </w:pPr>
      <w:r>
        <w:rPr/>
        <w:t>A fronte dell’attivo realizzabile, analizzato nei paragrafi precedenti, la proposta che Biochemtex intende formulare ai propri creditori prevede il pagamento:</w:t>
      </w:r>
    </w:p>
    <w:p>
      <w:pPr>
        <w:pStyle w:val="ListParagraph"/>
        <w:numPr>
          <w:ilvl w:val="0"/>
          <w:numId w:val="101"/>
        </w:numPr>
        <w:tabs>
          <w:tab w:pos="2127" w:val="left" w:leader="none"/>
        </w:tabs>
        <w:spacing w:line="477" w:lineRule="auto" w:before="0" w:after="0"/>
        <w:ind w:left="2138" w:right="1417" w:hanging="360"/>
        <w:jc w:val="both"/>
        <w:rPr>
          <w:sz w:val="24"/>
        </w:rPr>
      </w:pPr>
      <w:r>
        <w:rPr>
          <w:sz w:val="24"/>
        </w:rPr>
        <w:t>integrale dei debiti in prededuzione previsti per il mantenimento del ramo d’azienda Biochemtex fino alla cessione del ramo medesimo a Versalis o ad eventuale altro aggiudicatario nell’ambito dell’asta competitiva prevista nel luglio</w:t>
      </w:r>
      <w:r>
        <w:rPr>
          <w:spacing w:val="-23"/>
          <w:sz w:val="24"/>
        </w:rPr>
        <w:t> </w:t>
      </w:r>
      <w:r>
        <w:rPr>
          <w:sz w:val="24"/>
        </w:rPr>
        <w:t>2018;</w:t>
      </w:r>
    </w:p>
    <w:p>
      <w:pPr>
        <w:pStyle w:val="ListParagraph"/>
        <w:numPr>
          <w:ilvl w:val="0"/>
          <w:numId w:val="101"/>
        </w:numPr>
        <w:tabs>
          <w:tab w:pos="2127" w:val="left" w:leader="none"/>
        </w:tabs>
        <w:spacing w:line="240" w:lineRule="auto" w:before="3" w:after="0"/>
        <w:ind w:left="2126" w:right="0" w:hanging="348"/>
        <w:jc w:val="left"/>
        <w:rPr>
          <w:sz w:val="24"/>
        </w:rPr>
      </w:pPr>
      <w:r>
        <w:rPr>
          <w:sz w:val="24"/>
        </w:rPr>
        <w:t>integrale degli oneri di ristrutturazione in</w:t>
      </w:r>
      <w:r>
        <w:rPr>
          <w:spacing w:val="-30"/>
          <w:sz w:val="24"/>
        </w:rPr>
        <w:t> </w:t>
      </w:r>
      <w:r>
        <w:rPr>
          <w:sz w:val="24"/>
        </w:rPr>
        <w:t>prededuzione;</w:t>
      </w:r>
    </w:p>
    <w:p>
      <w:pPr>
        <w:pStyle w:val="BodyText"/>
      </w:pPr>
    </w:p>
    <w:p>
      <w:pPr>
        <w:pStyle w:val="ListParagraph"/>
        <w:numPr>
          <w:ilvl w:val="0"/>
          <w:numId w:val="101"/>
        </w:numPr>
        <w:tabs>
          <w:tab w:pos="2127" w:val="left" w:leader="none"/>
        </w:tabs>
        <w:spacing w:line="472" w:lineRule="auto" w:before="1" w:after="0"/>
        <w:ind w:left="2138" w:right="1419" w:hanging="360"/>
        <w:jc w:val="left"/>
        <w:rPr>
          <w:sz w:val="24"/>
        </w:rPr>
      </w:pPr>
      <w:r>
        <w:rPr>
          <w:sz w:val="24"/>
        </w:rPr>
        <w:t>integrale dei debiti verso dipendenti, in parte mediante previsione di accollo da parte del potenziale acquirente Versalis e in parte direttamente dalla</w:t>
      </w:r>
      <w:r>
        <w:rPr>
          <w:spacing w:val="-23"/>
          <w:sz w:val="24"/>
        </w:rPr>
        <w:t> </w:t>
      </w:r>
      <w:r>
        <w:rPr>
          <w:sz w:val="24"/>
        </w:rPr>
        <w:t>Società;</w:t>
      </w:r>
    </w:p>
    <w:p>
      <w:pPr>
        <w:pStyle w:val="ListParagraph"/>
        <w:numPr>
          <w:ilvl w:val="0"/>
          <w:numId w:val="101"/>
        </w:numPr>
        <w:tabs>
          <w:tab w:pos="2127" w:val="left" w:leader="none"/>
        </w:tabs>
        <w:spacing w:line="475" w:lineRule="auto" w:before="6" w:after="0"/>
        <w:ind w:left="2138" w:right="1420" w:hanging="360"/>
        <w:jc w:val="left"/>
        <w:rPr>
          <w:sz w:val="24"/>
        </w:rPr>
      </w:pPr>
      <w:r>
        <w:rPr>
          <w:sz w:val="24"/>
        </w:rPr>
        <w:t>integrale degli altri debiti, anche di natura erariale e previdenziale, muniti di privilegio generale;</w:t>
      </w:r>
    </w:p>
    <w:p>
      <w:pPr>
        <w:pStyle w:val="ListParagraph"/>
        <w:numPr>
          <w:ilvl w:val="0"/>
          <w:numId w:val="101"/>
        </w:numPr>
        <w:tabs>
          <w:tab w:pos="2127" w:val="left" w:leader="none"/>
        </w:tabs>
        <w:spacing w:line="240" w:lineRule="auto" w:before="3" w:after="0"/>
        <w:ind w:left="2126" w:right="0" w:hanging="348"/>
        <w:jc w:val="left"/>
        <w:rPr>
          <w:sz w:val="24"/>
        </w:rPr>
      </w:pPr>
      <w:r>
        <w:rPr>
          <w:sz w:val="24"/>
        </w:rPr>
        <w:t>integrale dei fondi rischi concordatari privilegiati oggetto di accantonamento nel</w:t>
      </w:r>
      <w:r>
        <w:rPr>
          <w:spacing w:val="-40"/>
          <w:sz w:val="24"/>
        </w:rPr>
        <w:t> </w:t>
      </w:r>
      <w:r>
        <w:rPr>
          <w:sz w:val="24"/>
        </w:rPr>
        <w:t>piano.</w:t>
      </w:r>
    </w:p>
    <w:p>
      <w:pPr>
        <w:pStyle w:val="BodyText"/>
      </w:pPr>
    </w:p>
    <w:p>
      <w:pPr>
        <w:pStyle w:val="ListParagraph"/>
        <w:numPr>
          <w:ilvl w:val="0"/>
          <w:numId w:val="101"/>
        </w:numPr>
        <w:tabs>
          <w:tab w:pos="2127" w:val="left" w:leader="none"/>
        </w:tabs>
        <w:spacing w:line="240" w:lineRule="auto" w:before="0" w:after="0"/>
        <w:ind w:left="2126" w:right="0" w:hanging="348"/>
        <w:jc w:val="left"/>
        <w:rPr>
          <w:sz w:val="24"/>
        </w:rPr>
      </w:pPr>
      <w:r>
        <w:rPr>
          <w:sz w:val="24"/>
        </w:rPr>
        <w:t>parziale, nella misura del 20% dei creditori chirografari e dei relativi fondi</w:t>
      </w:r>
      <w:r>
        <w:rPr>
          <w:spacing w:val="-27"/>
          <w:sz w:val="24"/>
        </w:rPr>
        <w:t> </w:t>
      </w:r>
      <w:r>
        <w:rPr>
          <w:sz w:val="24"/>
        </w:rPr>
        <w:t>concordatari.</w:t>
      </w:r>
    </w:p>
    <w:p>
      <w:pPr>
        <w:pStyle w:val="BodyText"/>
      </w:pPr>
    </w:p>
    <w:p>
      <w:pPr>
        <w:pStyle w:val="ListParagraph"/>
        <w:numPr>
          <w:ilvl w:val="0"/>
          <w:numId w:val="101"/>
        </w:numPr>
        <w:tabs>
          <w:tab w:pos="2127" w:val="left" w:leader="none"/>
        </w:tabs>
        <w:spacing w:line="240" w:lineRule="auto" w:before="0" w:after="0"/>
        <w:ind w:left="2126" w:right="0" w:hanging="348"/>
        <w:jc w:val="left"/>
        <w:rPr>
          <w:sz w:val="24"/>
        </w:rPr>
      </w:pPr>
      <w:r>
        <w:rPr>
          <w:sz w:val="24"/>
        </w:rPr>
        <w:t>Parziale, nella misura del 17,92% del creditore postergato</w:t>
      </w:r>
      <w:r>
        <w:rPr>
          <w:spacing w:val="-21"/>
          <w:sz w:val="24"/>
        </w:rPr>
        <w:t> </w:t>
      </w:r>
      <w:r>
        <w:rPr>
          <w:sz w:val="24"/>
        </w:rPr>
        <w:t>volontario.</w:t>
      </w:r>
    </w:p>
    <w:p>
      <w:pPr>
        <w:pStyle w:val="BodyText"/>
        <w:spacing w:before="11"/>
        <w:rPr>
          <w:sz w:val="23"/>
        </w:rPr>
      </w:pPr>
    </w:p>
    <w:p>
      <w:pPr>
        <w:pStyle w:val="BodyText"/>
        <w:ind w:left="1418"/>
      </w:pPr>
      <w:r>
        <w:rPr/>
        <w:pict>
          <v:line style="position:absolute;mso-position-horizontal-relative:page;mso-position-vertical-relative:paragraph;z-index:2176" from="94.550003pt,234.611801pt" to="473.950003pt,39.861801pt" stroked="true" strokeweight=".75pt" strokecolor="#000000">
            <v:stroke dashstyle="solid"/>
            <w10:wrap type="none"/>
          </v:line>
        </w:pict>
      </w:r>
      <w:r>
        <w:rPr/>
        <w:t>La successiva tabella riepiloga quanto innanzi descritto:</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1"/>
        </w:rPr>
      </w:pPr>
    </w:p>
    <w:tbl>
      <w:tblPr>
        <w:tblW w:w="0" w:type="auto"/>
        <w:jc w:val="left"/>
        <w:tblInd w:w="140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672"/>
        <w:gridCol w:w="1269"/>
        <w:gridCol w:w="1595"/>
        <w:gridCol w:w="1567"/>
      </w:tblGrid>
      <w:tr>
        <w:trPr>
          <w:trHeight w:val="331" w:hRule="exact"/>
        </w:trPr>
        <w:tc>
          <w:tcPr>
            <w:tcW w:w="4672" w:type="dxa"/>
          </w:tcPr>
          <w:p>
            <w:pPr>
              <w:pStyle w:val="TableParagraph"/>
              <w:spacing w:line="189" w:lineRule="exact" w:before="0"/>
              <w:ind w:left="51"/>
              <w:jc w:val="left"/>
              <w:rPr>
                <w:rFonts w:ascii="Times New Roman"/>
                <w:b/>
                <w:sz w:val="17"/>
              </w:rPr>
            </w:pPr>
            <w:r>
              <w:rPr>
                <w:rFonts w:ascii="Times New Roman"/>
                <w:b/>
                <w:sz w:val="17"/>
                <w:u w:val="thick"/>
              </w:rPr>
              <w:t>Biochemtex Italia S.p.A.</w:t>
            </w:r>
          </w:p>
        </w:tc>
        <w:tc>
          <w:tcPr>
            <w:tcW w:w="4431" w:type="dxa"/>
            <w:gridSpan w:val="3"/>
          </w:tcPr>
          <w:p>
            <w:pPr/>
          </w:p>
        </w:tc>
      </w:tr>
      <w:tr>
        <w:trPr>
          <w:trHeight w:val="362" w:hRule="exact"/>
        </w:trPr>
        <w:tc>
          <w:tcPr>
            <w:tcW w:w="4672" w:type="dxa"/>
          </w:tcPr>
          <w:p>
            <w:pPr>
              <w:pStyle w:val="TableParagraph"/>
              <w:tabs>
                <w:tab w:pos="4305" w:val="left" w:leader="none"/>
              </w:tabs>
              <w:spacing w:before="134"/>
              <w:ind w:left="21"/>
              <w:jc w:val="left"/>
              <w:rPr>
                <w:rFonts w:ascii="Times New Roman"/>
                <w:b/>
                <w:sz w:val="18"/>
              </w:rPr>
            </w:pPr>
            <w:r>
              <w:rPr>
                <w:rFonts w:ascii="Times New Roman"/>
                <w:b/>
                <w:color w:val="FFFFFF"/>
                <w:spacing w:val="-16"/>
                <w:w w:val="100"/>
                <w:sz w:val="18"/>
                <w:shd w:fill="9F2F33" w:color="auto" w:val="clear"/>
              </w:rPr>
              <w:t> </w:t>
            </w:r>
            <w:r>
              <w:rPr>
                <w:rFonts w:ascii="Times New Roman"/>
                <w:b/>
                <w:color w:val="FFFFFF"/>
                <w:sz w:val="18"/>
                <w:shd w:fill="9F2F33" w:color="auto" w:val="clear"/>
              </w:rPr>
              <w:t>Attivo</w:t>
            </w:r>
            <w:r>
              <w:rPr>
                <w:rFonts w:ascii="Times New Roman"/>
                <w:b/>
                <w:color w:val="FFFFFF"/>
                <w:spacing w:val="7"/>
                <w:sz w:val="18"/>
                <w:shd w:fill="9F2F33" w:color="auto" w:val="clear"/>
              </w:rPr>
              <w:t> </w:t>
            </w:r>
            <w:r>
              <w:rPr>
                <w:rFonts w:ascii="Times New Roman"/>
                <w:b/>
                <w:color w:val="FFFFFF"/>
                <w:sz w:val="18"/>
                <w:shd w:fill="9F2F33" w:color="auto" w:val="clear"/>
              </w:rPr>
              <w:t>concordatario</w:t>
              <w:tab/>
            </w:r>
          </w:p>
        </w:tc>
        <w:tc>
          <w:tcPr>
            <w:tcW w:w="1269" w:type="dxa"/>
          </w:tcPr>
          <w:p>
            <w:pPr/>
          </w:p>
        </w:tc>
        <w:tc>
          <w:tcPr>
            <w:tcW w:w="1595" w:type="dxa"/>
          </w:tcPr>
          <w:p>
            <w:pPr/>
          </w:p>
        </w:tc>
        <w:tc>
          <w:tcPr>
            <w:tcW w:w="1567" w:type="dxa"/>
          </w:tcPr>
          <w:p>
            <w:pPr>
              <w:pStyle w:val="TableParagraph"/>
              <w:tabs>
                <w:tab w:pos="479" w:val="left" w:leader="none"/>
                <w:tab w:pos="1523" w:val="left" w:leader="none"/>
              </w:tabs>
              <w:spacing w:before="134"/>
              <w:ind w:left="28"/>
              <w:jc w:val="center"/>
              <w:rPr>
                <w:rFonts w:ascii="Times New Roman"/>
                <w:b/>
                <w:sz w:val="18"/>
              </w:rPr>
            </w:pPr>
            <w:r>
              <w:rPr>
                <w:rFonts w:ascii="Times New Roman"/>
                <w:b/>
                <w:color w:val="FFFFFF"/>
                <w:w w:val="100"/>
                <w:sz w:val="18"/>
                <w:shd w:fill="9F2F33" w:color="auto" w:val="clear"/>
              </w:rPr>
              <w:t> </w:t>
            </w:r>
            <w:r>
              <w:rPr>
                <w:rFonts w:ascii="Times New Roman"/>
                <w:b/>
                <w:color w:val="FFFFFF"/>
                <w:sz w:val="18"/>
                <w:shd w:fill="9F2F33" w:color="auto" w:val="clear"/>
              </w:rPr>
              <w:tab/>
              <w:t>Importi</w:t>
              <w:tab/>
            </w:r>
          </w:p>
        </w:tc>
      </w:tr>
      <w:tr>
        <w:trPr>
          <w:trHeight w:val="241" w:hRule="exact"/>
        </w:trPr>
        <w:tc>
          <w:tcPr>
            <w:tcW w:w="4672" w:type="dxa"/>
          </w:tcPr>
          <w:p>
            <w:pPr>
              <w:pStyle w:val="TableParagraph"/>
              <w:ind w:left="51"/>
              <w:jc w:val="left"/>
              <w:rPr>
                <w:rFonts w:ascii="Times New Roman"/>
                <w:sz w:val="18"/>
              </w:rPr>
            </w:pPr>
            <w:r>
              <w:rPr>
                <w:rFonts w:ascii="Times New Roman"/>
                <w:sz w:val="18"/>
              </w:rPr>
              <w:t>Incasso quota parte corrispettivo Offerta Versalis</w:t>
            </w:r>
          </w:p>
        </w:tc>
        <w:tc>
          <w:tcPr>
            <w:tcW w:w="1269" w:type="dxa"/>
          </w:tcPr>
          <w:p>
            <w:pPr/>
          </w:p>
        </w:tc>
        <w:tc>
          <w:tcPr>
            <w:tcW w:w="1595" w:type="dxa"/>
          </w:tcPr>
          <w:p>
            <w:pPr/>
          </w:p>
        </w:tc>
        <w:tc>
          <w:tcPr>
            <w:tcW w:w="1567" w:type="dxa"/>
          </w:tcPr>
          <w:p>
            <w:pPr>
              <w:pStyle w:val="TableParagraph"/>
              <w:ind w:left="77"/>
              <w:jc w:val="center"/>
              <w:rPr>
                <w:rFonts w:ascii="Times New Roman"/>
                <w:sz w:val="18"/>
              </w:rPr>
            </w:pPr>
            <w:r>
              <w:rPr>
                <w:rFonts w:ascii="Times New Roman"/>
                <w:sz w:val="18"/>
              </w:rPr>
              <w:t>28.785.813</w:t>
            </w:r>
          </w:p>
        </w:tc>
      </w:tr>
      <w:tr>
        <w:trPr>
          <w:trHeight w:val="241" w:hRule="exact"/>
        </w:trPr>
        <w:tc>
          <w:tcPr>
            <w:tcW w:w="4672" w:type="dxa"/>
          </w:tcPr>
          <w:p>
            <w:pPr>
              <w:pStyle w:val="TableParagraph"/>
              <w:ind w:left="51"/>
              <w:jc w:val="left"/>
              <w:rPr>
                <w:rFonts w:ascii="Times New Roman"/>
                <w:sz w:val="18"/>
              </w:rPr>
            </w:pPr>
            <w:r>
              <w:rPr>
                <w:rFonts w:ascii="Times New Roman"/>
                <w:sz w:val="18"/>
              </w:rPr>
              <w:t>Incasso riparto Beta</w:t>
            </w:r>
          </w:p>
        </w:tc>
        <w:tc>
          <w:tcPr>
            <w:tcW w:w="1269" w:type="dxa"/>
          </w:tcPr>
          <w:p>
            <w:pPr/>
          </w:p>
        </w:tc>
        <w:tc>
          <w:tcPr>
            <w:tcW w:w="1595" w:type="dxa"/>
          </w:tcPr>
          <w:p>
            <w:pPr/>
          </w:p>
        </w:tc>
        <w:tc>
          <w:tcPr>
            <w:tcW w:w="1567" w:type="dxa"/>
          </w:tcPr>
          <w:p>
            <w:pPr>
              <w:pStyle w:val="TableParagraph"/>
              <w:ind w:left="77"/>
              <w:jc w:val="center"/>
              <w:rPr>
                <w:rFonts w:ascii="Times New Roman"/>
                <w:sz w:val="18"/>
              </w:rPr>
            </w:pPr>
            <w:r>
              <w:rPr>
                <w:rFonts w:ascii="Times New Roman"/>
                <w:sz w:val="18"/>
              </w:rPr>
              <w:t>13.586.136</w:t>
            </w:r>
          </w:p>
        </w:tc>
      </w:tr>
      <w:tr>
        <w:trPr>
          <w:trHeight w:val="241" w:hRule="exact"/>
        </w:trPr>
        <w:tc>
          <w:tcPr>
            <w:tcW w:w="4672" w:type="dxa"/>
          </w:tcPr>
          <w:p>
            <w:pPr>
              <w:pStyle w:val="TableParagraph"/>
              <w:ind w:left="51"/>
              <w:jc w:val="left"/>
              <w:rPr>
                <w:rFonts w:ascii="Times New Roman"/>
                <w:sz w:val="18"/>
              </w:rPr>
            </w:pPr>
            <w:r>
              <w:rPr>
                <w:rFonts w:ascii="Times New Roman"/>
                <w:sz w:val="18"/>
              </w:rPr>
              <w:t>Incasso riparto IBPE</w:t>
            </w:r>
          </w:p>
        </w:tc>
        <w:tc>
          <w:tcPr>
            <w:tcW w:w="1269" w:type="dxa"/>
          </w:tcPr>
          <w:p>
            <w:pPr/>
          </w:p>
        </w:tc>
        <w:tc>
          <w:tcPr>
            <w:tcW w:w="1595" w:type="dxa"/>
          </w:tcPr>
          <w:p>
            <w:pPr/>
          </w:p>
        </w:tc>
        <w:tc>
          <w:tcPr>
            <w:tcW w:w="1567" w:type="dxa"/>
          </w:tcPr>
          <w:p>
            <w:pPr>
              <w:pStyle w:val="TableParagraph"/>
              <w:ind w:left="88"/>
              <w:jc w:val="center"/>
              <w:rPr>
                <w:rFonts w:ascii="Times New Roman"/>
                <w:sz w:val="18"/>
              </w:rPr>
            </w:pPr>
            <w:r>
              <w:rPr>
                <w:rFonts w:ascii="Times New Roman"/>
                <w:sz w:val="18"/>
              </w:rPr>
              <w:t>4.016</w:t>
            </w:r>
          </w:p>
        </w:tc>
      </w:tr>
      <w:tr>
        <w:trPr>
          <w:trHeight w:val="241" w:hRule="exact"/>
        </w:trPr>
        <w:tc>
          <w:tcPr>
            <w:tcW w:w="4672" w:type="dxa"/>
          </w:tcPr>
          <w:p>
            <w:pPr>
              <w:pStyle w:val="TableParagraph"/>
              <w:ind w:left="51"/>
              <w:jc w:val="left"/>
              <w:rPr>
                <w:rFonts w:ascii="Times New Roman"/>
                <w:sz w:val="18"/>
              </w:rPr>
            </w:pPr>
            <w:r>
              <w:rPr>
                <w:rFonts w:ascii="Times New Roman"/>
                <w:sz w:val="18"/>
              </w:rPr>
              <w:t>Cessione immobile Modugno</w:t>
            </w:r>
          </w:p>
        </w:tc>
        <w:tc>
          <w:tcPr>
            <w:tcW w:w="1269" w:type="dxa"/>
          </w:tcPr>
          <w:p>
            <w:pPr/>
          </w:p>
        </w:tc>
        <w:tc>
          <w:tcPr>
            <w:tcW w:w="1595" w:type="dxa"/>
          </w:tcPr>
          <w:p>
            <w:pPr/>
          </w:p>
        </w:tc>
        <w:tc>
          <w:tcPr>
            <w:tcW w:w="1567" w:type="dxa"/>
          </w:tcPr>
          <w:p>
            <w:pPr>
              <w:pStyle w:val="TableParagraph"/>
              <w:ind w:left="87"/>
              <w:jc w:val="center"/>
              <w:rPr>
                <w:rFonts w:ascii="Times New Roman"/>
                <w:sz w:val="18"/>
              </w:rPr>
            </w:pPr>
            <w:r>
              <w:rPr>
                <w:rFonts w:ascii="Times New Roman"/>
                <w:sz w:val="18"/>
              </w:rPr>
              <w:t>1.024.600</w:t>
            </w:r>
          </w:p>
        </w:tc>
      </w:tr>
      <w:tr>
        <w:trPr>
          <w:trHeight w:val="241" w:hRule="exact"/>
        </w:trPr>
        <w:tc>
          <w:tcPr>
            <w:tcW w:w="4672" w:type="dxa"/>
          </w:tcPr>
          <w:p>
            <w:pPr>
              <w:pStyle w:val="TableParagraph"/>
              <w:ind w:left="51"/>
              <w:jc w:val="left"/>
              <w:rPr>
                <w:rFonts w:ascii="Times New Roman"/>
                <w:sz w:val="18"/>
              </w:rPr>
            </w:pPr>
            <w:r>
              <w:rPr>
                <w:rFonts w:ascii="Times New Roman"/>
                <w:sz w:val="18"/>
              </w:rPr>
              <w:t>Deposito cauzionale immobile Rivalta</w:t>
            </w:r>
          </w:p>
        </w:tc>
        <w:tc>
          <w:tcPr>
            <w:tcW w:w="1269" w:type="dxa"/>
          </w:tcPr>
          <w:p>
            <w:pPr/>
          </w:p>
        </w:tc>
        <w:tc>
          <w:tcPr>
            <w:tcW w:w="1595" w:type="dxa"/>
          </w:tcPr>
          <w:p>
            <w:pPr/>
          </w:p>
        </w:tc>
        <w:tc>
          <w:tcPr>
            <w:tcW w:w="1567" w:type="dxa"/>
          </w:tcPr>
          <w:p>
            <w:pPr>
              <w:pStyle w:val="TableParagraph"/>
              <w:ind w:left="78"/>
              <w:jc w:val="center"/>
              <w:rPr>
                <w:rFonts w:ascii="Times New Roman"/>
                <w:sz w:val="18"/>
              </w:rPr>
            </w:pPr>
            <w:r>
              <w:rPr>
                <w:rFonts w:ascii="Times New Roman"/>
                <w:sz w:val="18"/>
              </w:rPr>
              <w:t>33.250</w:t>
            </w:r>
          </w:p>
        </w:tc>
      </w:tr>
      <w:tr>
        <w:trPr>
          <w:trHeight w:val="241" w:hRule="exact"/>
        </w:trPr>
        <w:tc>
          <w:tcPr>
            <w:tcW w:w="4672" w:type="dxa"/>
          </w:tcPr>
          <w:p>
            <w:pPr>
              <w:pStyle w:val="TableParagraph"/>
              <w:ind w:left="51"/>
              <w:jc w:val="left"/>
              <w:rPr>
                <w:rFonts w:ascii="Times New Roman"/>
                <w:sz w:val="18"/>
              </w:rPr>
            </w:pPr>
            <w:r>
              <w:rPr>
                <w:rFonts w:ascii="Times New Roman"/>
                <w:sz w:val="18"/>
              </w:rPr>
              <w:t>Altri depositi cauzionali</w:t>
            </w:r>
          </w:p>
        </w:tc>
        <w:tc>
          <w:tcPr>
            <w:tcW w:w="1269" w:type="dxa"/>
          </w:tcPr>
          <w:p>
            <w:pPr/>
          </w:p>
        </w:tc>
        <w:tc>
          <w:tcPr>
            <w:tcW w:w="1595" w:type="dxa"/>
          </w:tcPr>
          <w:p>
            <w:pPr/>
          </w:p>
        </w:tc>
        <w:tc>
          <w:tcPr>
            <w:tcW w:w="1567" w:type="dxa"/>
          </w:tcPr>
          <w:p>
            <w:pPr>
              <w:pStyle w:val="TableParagraph"/>
              <w:ind w:left="88"/>
              <w:jc w:val="center"/>
              <w:rPr>
                <w:rFonts w:ascii="Times New Roman"/>
                <w:sz w:val="18"/>
              </w:rPr>
            </w:pPr>
            <w:r>
              <w:rPr>
                <w:rFonts w:ascii="Times New Roman"/>
                <w:sz w:val="18"/>
              </w:rPr>
              <w:t>8.500</w:t>
            </w:r>
          </w:p>
        </w:tc>
      </w:tr>
      <w:tr>
        <w:trPr>
          <w:trHeight w:val="241" w:hRule="exact"/>
        </w:trPr>
        <w:tc>
          <w:tcPr>
            <w:tcW w:w="4672" w:type="dxa"/>
          </w:tcPr>
          <w:p>
            <w:pPr>
              <w:pStyle w:val="TableParagraph"/>
              <w:ind w:left="51"/>
              <w:jc w:val="left"/>
              <w:rPr>
                <w:rFonts w:ascii="Times New Roman"/>
                <w:sz w:val="18"/>
              </w:rPr>
            </w:pPr>
            <w:r>
              <w:rPr>
                <w:rFonts w:ascii="Times New Roman"/>
                <w:sz w:val="18"/>
              </w:rPr>
              <w:t>Incasso crediti commerciali</w:t>
            </w:r>
          </w:p>
        </w:tc>
        <w:tc>
          <w:tcPr>
            <w:tcW w:w="1269" w:type="dxa"/>
          </w:tcPr>
          <w:p>
            <w:pPr/>
          </w:p>
        </w:tc>
        <w:tc>
          <w:tcPr>
            <w:tcW w:w="1595" w:type="dxa"/>
          </w:tcPr>
          <w:p>
            <w:pPr/>
          </w:p>
        </w:tc>
        <w:tc>
          <w:tcPr>
            <w:tcW w:w="1567" w:type="dxa"/>
          </w:tcPr>
          <w:p>
            <w:pPr>
              <w:pStyle w:val="TableParagraph"/>
              <w:ind w:left="87"/>
              <w:jc w:val="center"/>
              <w:rPr>
                <w:rFonts w:ascii="Times New Roman"/>
                <w:sz w:val="18"/>
              </w:rPr>
            </w:pPr>
            <w:r>
              <w:rPr>
                <w:rFonts w:ascii="Times New Roman"/>
                <w:sz w:val="18"/>
              </w:rPr>
              <w:t>5.454.789</w:t>
            </w:r>
          </w:p>
        </w:tc>
      </w:tr>
      <w:tr>
        <w:trPr>
          <w:trHeight w:val="241" w:hRule="exact"/>
        </w:trPr>
        <w:tc>
          <w:tcPr>
            <w:tcW w:w="4672" w:type="dxa"/>
          </w:tcPr>
          <w:p>
            <w:pPr>
              <w:pStyle w:val="TableParagraph"/>
              <w:ind w:left="51"/>
              <w:jc w:val="left"/>
              <w:rPr>
                <w:rFonts w:ascii="Times New Roman"/>
                <w:sz w:val="18"/>
              </w:rPr>
            </w:pPr>
            <w:r>
              <w:rPr>
                <w:rFonts w:ascii="Times New Roman"/>
                <w:sz w:val="18"/>
              </w:rPr>
              <w:t>Crediti fiscali</w:t>
            </w:r>
          </w:p>
        </w:tc>
        <w:tc>
          <w:tcPr>
            <w:tcW w:w="1269" w:type="dxa"/>
          </w:tcPr>
          <w:p>
            <w:pPr/>
          </w:p>
        </w:tc>
        <w:tc>
          <w:tcPr>
            <w:tcW w:w="1595" w:type="dxa"/>
          </w:tcPr>
          <w:p>
            <w:pPr/>
          </w:p>
        </w:tc>
        <w:tc>
          <w:tcPr>
            <w:tcW w:w="1567" w:type="dxa"/>
          </w:tcPr>
          <w:p>
            <w:pPr>
              <w:pStyle w:val="TableParagraph"/>
              <w:ind w:left="87"/>
              <w:jc w:val="center"/>
              <w:rPr>
                <w:rFonts w:ascii="Times New Roman"/>
                <w:sz w:val="18"/>
              </w:rPr>
            </w:pPr>
            <w:r>
              <w:rPr>
                <w:rFonts w:ascii="Times New Roman"/>
                <w:sz w:val="18"/>
              </w:rPr>
              <w:t>136.903</w:t>
            </w:r>
          </w:p>
        </w:tc>
      </w:tr>
      <w:tr>
        <w:trPr>
          <w:trHeight w:val="241" w:hRule="exact"/>
        </w:trPr>
        <w:tc>
          <w:tcPr>
            <w:tcW w:w="4672" w:type="dxa"/>
          </w:tcPr>
          <w:p>
            <w:pPr>
              <w:pStyle w:val="TableParagraph"/>
              <w:ind w:left="51"/>
              <w:jc w:val="left"/>
              <w:rPr>
                <w:rFonts w:ascii="Times New Roman" w:hAnsi="Times New Roman"/>
                <w:sz w:val="18"/>
              </w:rPr>
            </w:pPr>
            <w:r>
              <w:rPr>
                <w:rFonts w:ascii="Times New Roman" w:hAnsi="Times New Roman"/>
                <w:sz w:val="18"/>
              </w:rPr>
              <w:t>Disponibilità liquide e altro attivo da  realizzare</w:t>
            </w:r>
          </w:p>
        </w:tc>
        <w:tc>
          <w:tcPr>
            <w:tcW w:w="1269" w:type="dxa"/>
          </w:tcPr>
          <w:p>
            <w:pPr/>
          </w:p>
        </w:tc>
        <w:tc>
          <w:tcPr>
            <w:tcW w:w="1595" w:type="dxa"/>
          </w:tcPr>
          <w:p>
            <w:pPr/>
          </w:p>
        </w:tc>
        <w:tc>
          <w:tcPr>
            <w:tcW w:w="1567" w:type="dxa"/>
          </w:tcPr>
          <w:p>
            <w:pPr>
              <w:pStyle w:val="TableParagraph"/>
              <w:ind w:left="87"/>
              <w:jc w:val="center"/>
              <w:rPr>
                <w:rFonts w:ascii="Times New Roman"/>
                <w:sz w:val="18"/>
              </w:rPr>
            </w:pPr>
            <w:r>
              <w:rPr>
                <w:rFonts w:ascii="Times New Roman"/>
                <w:sz w:val="18"/>
              </w:rPr>
              <w:t>1.228.933</w:t>
            </w:r>
          </w:p>
        </w:tc>
      </w:tr>
      <w:tr>
        <w:trPr>
          <w:trHeight w:val="220" w:hRule="exact"/>
        </w:trPr>
        <w:tc>
          <w:tcPr>
            <w:tcW w:w="4672" w:type="dxa"/>
          </w:tcPr>
          <w:p>
            <w:pPr>
              <w:pStyle w:val="TableParagraph"/>
              <w:tabs>
                <w:tab w:pos="4305" w:val="left" w:leader="none"/>
              </w:tabs>
              <w:ind w:left="21"/>
              <w:jc w:val="left"/>
              <w:rPr>
                <w:rFonts w:ascii="Times New Roman"/>
                <w:b/>
                <w:sz w:val="18"/>
              </w:rPr>
            </w:pPr>
            <w:r>
              <w:rPr>
                <w:rFonts w:ascii="Times New Roman"/>
                <w:b/>
                <w:color w:val="FFFFFF"/>
                <w:spacing w:val="-16"/>
                <w:w w:val="100"/>
                <w:sz w:val="18"/>
                <w:shd w:fill="878A8D" w:color="auto" w:val="clear"/>
              </w:rPr>
              <w:t> </w:t>
            </w:r>
            <w:r>
              <w:rPr>
                <w:rFonts w:ascii="Times New Roman"/>
                <w:b/>
                <w:color w:val="FFFFFF"/>
                <w:sz w:val="18"/>
                <w:shd w:fill="878A8D" w:color="auto" w:val="clear"/>
              </w:rPr>
              <w:t>Totale Attivo da</w:t>
            </w:r>
            <w:r>
              <w:rPr>
                <w:rFonts w:ascii="Times New Roman"/>
                <w:b/>
                <w:color w:val="FFFFFF"/>
                <w:spacing w:val="30"/>
                <w:sz w:val="18"/>
                <w:shd w:fill="878A8D" w:color="auto" w:val="clear"/>
              </w:rPr>
              <w:t> </w:t>
            </w:r>
            <w:r>
              <w:rPr>
                <w:rFonts w:ascii="Times New Roman"/>
                <w:b/>
                <w:color w:val="FFFFFF"/>
                <w:spacing w:val="-3"/>
                <w:sz w:val="18"/>
                <w:shd w:fill="878A8D" w:color="auto" w:val="clear"/>
              </w:rPr>
              <w:t>realizzare</w:t>
              <w:tab/>
            </w:r>
          </w:p>
        </w:tc>
        <w:tc>
          <w:tcPr>
            <w:tcW w:w="1269" w:type="dxa"/>
          </w:tcPr>
          <w:p>
            <w:pPr/>
          </w:p>
        </w:tc>
        <w:tc>
          <w:tcPr>
            <w:tcW w:w="1595" w:type="dxa"/>
          </w:tcPr>
          <w:p>
            <w:pPr/>
          </w:p>
        </w:tc>
        <w:tc>
          <w:tcPr>
            <w:tcW w:w="1567" w:type="dxa"/>
          </w:tcPr>
          <w:p>
            <w:pPr>
              <w:pStyle w:val="TableParagraph"/>
              <w:tabs>
                <w:tab w:pos="389" w:val="left" w:leader="none"/>
                <w:tab w:pos="1523" w:val="left" w:leader="none"/>
              </w:tabs>
              <w:ind w:left="28"/>
              <w:jc w:val="center"/>
              <w:rPr>
                <w:rFonts w:ascii="Times New Roman"/>
                <w:b/>
                <w:sz w:val="18"/>
              </w:rPr>
            </w:pPr>
            <w:r>
              <w:rPr>
                <w:rFonts w:ascii="Times New Roman"/>
                <w:b/>
                <w:color w:val="FFFFFF"/>
                <w:w w:val="100"/>
                <w:sz w:val="18"/>
                <w:shd w:fill="878A8D" w:color="auto" w:val="clear"/>
              </w:rPr>
              <w:t> </w:t>
            </w:r>
            <w:r>
              <w:rPr>
                <w:rFonts w:ascii="Times New Roman"/>
                <w:b/>
                <w:color w:val="FFFFFF"/>
                <w:sz w:val="18"/>
                <w:shd w:fill="878A8D" w:color="auto" w:val="clear"/>
              </w:rPr>
              <w:tab/>
              <w:t>50.262.939</w:t>
              <w:tab/>
            </w:r>
          </w:p>
        </w:tc>
      </w:tr>
    </w:tbl>
    <w:p>
      <w:pPr>
        <w:pStyle w:val="BodyText"/>
        <w:rPr>
          <w:sz w:val="20"/>
        </w:rPr>
      </w:pPr>
    </w:p>
    <w:p>
      <w:pPr>
        <w:pStyle w:val="BodyText"/>
        <w:spacing w:before="8"/>
        <w:rPr>
          <w:sz w:val="23"/>
        </w:rPr>
      </w:pPr>
    </w:p>
    <w:tbl>
      <w:tblPr>
        <w:tblW w:w="0" w:type="auto"/>
        <w:jc w:val="left"/>
        <w:tblInd w:w="140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617"/>
        <w:gridCol w:w="1359"/>
        <w:gridCol w:w="1796"/>
        <w:gridCol w:w="1309"/>
      </w:tblGrid>
      <w:tr>
        <w:trPr>
          <w:trHeight w:val="251" w:hRule="exact"/>
        </w:trPr>
        <w:tc>
          <w:tcPr>
            <w:tcW w:w="4617" w:type="dxa"/>
          </w:tcPr>
          <w:p>
            <w:pPr>
              <w:pStyle w:val="TableParagraph"/>
              <w:tabs>
                <w:tab w:pos="4305" w:val="left" w:leader="none"/>
              </w:tabs>
              <w:spacing w:before="22"/>
              <w:ind w:left="21"/>
              <w:jc w:val="left"/>
              <w:rPr>
                <w:rFonts w:ascii="Times New Roman"/>
                <w:b/>
                <w:sz w:val="18"/>
              </w:rPr>
            </w:pPr>
            <w:r>
              <w:rPr>
                <w:rFonts w:ascii="Times New Roman"/>
                <w:b/>
                <w:color w:val="FFFFFF"/>
                <w:spacing w:val="-16"/>
                <w:w w:val="100"/>
                <w:sz w:val="18"/>
                <w:shd w:fill="9F2F33" w:color="auto" w:val="clear"/>
              </w:rPr>
              <w:t> </w:t>
            </w:r>
            <w:r>
              <w:rPr>
                <w:rFonts w:ascii="Times New Roman"/>
                <w:b/>
                <w:color w:val="FFFFFF"/>
                <w:sz w:val="18"/>
                <w:shd w:fill="9F2F33" w:color="auto" w:val="clear"/>
              </w:rPr>
              <w:t>Passivo</w:t>
            </w:r>
            <w:r>
              <w:rPr>
                <w:rFonts w:ascii="Times New Roman"/>
                <w:b/>
                <w:color w:val="FFFFFF"/>
                <w:spacing w:val="8"/>
                <w:sz w:val="18"/>
                <w:shd w:fill="9F2F33" w:color="auto" w:val="clear"/>
              </w:rPr>
              <w:t> </w:t>
            </w:r>
            <w:r>
              <w:rPr>
                <w:rFonts w:ascii="Times New Roman"/>
                <w:b/>
                <w:color w:val="FFFFFF"/>
                <w:sz w:val="18"/>
                <w:shd w:fill="9F2F33" w:color="auto" w:val="clear"/>
              </w:rPr>
              <w:t>concordatario</w:t>
              <w:tab/>
            </w:r>
          </w:p>
        </w:tc>
        <w:tc>
          <w:tcPr>
            <w:tcW w:w="1359" w:type="dxa"/>
            <w:shd w:val="clear" w:color="auto" w:fill="9F2F33"/>
          </w:tcPr>
          <w:p>
            <w:pPr>
              <w:pStyle w:val="TableParagraph"/>
              <w:spacing w:before="22"/>
              <w:ind w:left="421"/>
              <w:jc w:val="left"/>
              <w:rPr>
                <w:rFonts w:ascii="Times New Roman"/>
                <w:b/>
                <w:sz w:val="18"/>
              </w:rPr>
            </w:pPr>
            <w:r>
              <w:rPr>
                <w:rFonts w:ascii="Times New Roman"/>
                <w:b/>
                <w:color w:val="FFFFFF"/>
                <w:sz w:val="18"/>
              </w:rPr>
              <w:t>Importo</w:t>
            </w:r>
          </w:p>
        </w:tc>
        <w:tc>
          <w:tcPr>
            <w:tcW w:w="1796" w:type="dxa"/>
            <w:shd w:val="clear" w:color="auto" w:fill="9F2F33"/>
          </w:tcPr>
          <w:p>
            <w:pPr>
              <w:pStyle w:val="TableParagraph"/>
              <w:spacing w:before="22"/>
              <w:ind w:right="57"/>
              <w:jc w:val="center"/>
              <w:rPr>
                <w:rFonts w:ascii="Times New Roman"/>
                <w:b/>
                <w:sz w:val="18"/>
              </w:rPr>
            </w:pPr>
            <w:r>
              <w:rPr>
                <w:rFonts w:ascii="Times New Roman"/>
                <w:b/>
                <w:color w:val="FFFFFF"/>
                <w:sz w:val="18"/>
              </w:rPr>
              <w:t>Soddisfacimento</w:t>
            </w:r>
          </w:p>
        </w:tc>
        <w:tc>
          <w:tcPr>
            <w:tcW w:w="1309" w:type="dxa"/>
            <w:shd w:val="clear" w:color="auto" w:fill="9F2F33"/>
          </w:tcPr>
          <w:p>
            <w:pPr>
              <w:pStyle w:val="TableParagraph"/>
              <w:spacing w:before="22"/>
              <w:ind w:left="235"/>
              <w:jc w:val="left"/>
              <w:rPr>
                <w:rFonts w:ascii="Times New Roman"/>
                <w:b/>
                <w:sz w:val="18"/>
              </w:rPr>
            </w:pPr>
            <w:r>
              <w:rPr>
                <w:rFonts w:ascii="Times New Roman"/>
                <w:b/>
                <w:color w:val="FFFFFF"/>
                <w:sz w:val="18"/>
              </w:rPr>
              <w:t>Importo</w:t>
            </w:r>
          </w:p>
        </w:tc>
      </w:tr>
      <w:tr>
        <w:trPr>
          <w:trHeight w:val="240" w:hRule="exact"/>
        </w:trPr>
        <w:tc>
          <w:tcPr>
            <w:tcW w:w="4617" w:type="dxa"/>
          </w:tcPr>
          <w:p>
            <w:pPr>
              <w:pStyle w:val="TableParagraph"/>
              <w:spacing w:before="12"/>
              <w:ind w:left="51"/>
              <w:jc w:val="left"/>
              <w:rPr>
                <w:rFonts w:ascii="Times New Roman"/>
                <w:sz w:val="18"/>
              </w:rPr>
            </w:pPr>
            <w:r>
              <w:rPr>
                <w:rFonts w:ascii="Times New Roman"/>
                <w:sz w:val="18"/>
              </w:rPr>
              <w:t>Debiti in prededuzione maturati fino al 31.12.2024</w:t>
            </w:r>
          </w:p>
        </w:tc>
        <w:tc>
          <w:tcPr>
            <w:tcW w:w="1359" w:type="dxa"/>
          </w:tcPr>
          <w:p>
            <w:pPr>
              <w:pStyle w:val="TableParagraph"/>
              <w:spacing w:before="12"/>
              <w:ind w:right="213"/>
              <w:rPr>
                <w:rFonts w:ascii="Times New Roman"/>
                <w:sz w:val="18"/>
              </w:rPr>
            </w:pPr>
            <w:r>
              <w:rPr>
                <w:rFonts w:ascii="Times New Roman"/>
                <w:sz w:val="18"/>
              </w:rPr>
              <w:t>2.499.431</w:t>
            </w:r>
          </w:p>
        </w:tc>
        <w:tc>
          <w:tcPr>
            <w:tcW w:w="1796" w:type="dxa"/>
          </w:tcPr>
          <w:p>
            <w:pPr>
              <w:pStyle w:val="TableParagraph"/>
              <w:spacing w:before="12"/>
              <w:ind w:right="47"/>
              <w:jc w:val="center"/>
              <w:rPr>
                <w:rFonts w:ascii="Times New Roman"/>
                <w:sz w:val="18"/>
              </w:rPr>
            </w:pPr>
            <w:r>
              <w:rPr>
                <w:rFonts w:ascii="Times New Roman"/>
                <w:sz w:val="18"/>
              </w:rPr>
              <w:t>100,00%</w:t>
            </w:r>
          </w:p>
        </w:tc>
        <w:tc>
          <w:tcPr>
            <w:tcW w:w="1309" w:type="dxa"/>
          </w:tcPr>
          <w:p>
            <w:pPr>
              <w:pStyle w:val="TableParagraph"/>
              <w:spacing w:before="12"/>
              <w:ind w:right="349"/>
              <w:rPr>
                <w:rFonts w:ascii="Times New Roman"/>
                <w:sz w:val="18"/>
              </w:rPr>
            </w:pPr>
            <w:r>
              <w:rPr>
                <w:rFonts w:ascii="Times New Roman"/>
                <w:sz w:val="18"/>
              </w:rPr>
              <w:t>2.499.431</w:t>
            </w:r>
          </w:p>
        </w:tc>
      </w:tr>
      <w:tr>
        <w:trPr>
          <w:trHeight w:val="241" w:hRule="exact"/>
        </w:trPr>
        <w:tc>
          <w:tcPr>
            <w:tcW w:w="4617" w:type="dxa"/>
          </w:tcPr>
          <w:p>
            <w:pPr>
              <w:pStyle w:val="TableParagraph"/>
              <w:ind w:left="51"/>
              <w:jc w:val="left"/>
              <w:rPr>
                <w:rFonts w:ascii="Times New Roman"/>
                <w:sz w:val="18"/>
              </w:rPr>
            </w:pPr>
            <w:r>
              <w:rPr>
                <w:rFonts w:ascii="Times New Roman"/>
                <w:sz w:val="18"/>
              </w:rPr>
              <w:t>Costi della ristrutturazione</w:t>
            </w:r>
          </w:p>
        </w:tc>
        <w:tc>
          <w:tcPr>
            <w:tcW w:w="1359" w:type="dxa"/>
          </w:tcPr>
          <w:p>
            <w:pPr>
              <w:pStyle w:val="TableParagraph"/>
              <w:ind w:right="213"/>
              <w:rPr>
                <w:rFonts w:ascii="Times New Roman"/>
                <w:sz w:val="18"/>
              </w:rPr>
            </w:pPr>
            <w:r>
              <w:rPr>
                <w:rFonts w:ascii="Times New Roman"/>
                <w:sz w:val="18"/>
              </w:rPr>
              <w:t>7.648.191</w:t>
            </w:r>
          </w:p>
        </w:tc>
        <w:tc>
          <w:tcPr>
            <w:tcW w:w="1796" w:type="dxa"/>
          </w:tcPr>
          <w:p>
            <w:pPr>
              <w:pStyle w:val="TableParagraph"/>
              <w:ind w:right="47"/>
              <w:jc w:val="center"/>
              <w:rPr>
                <w:rFonts w:ascii="Times New Roman"/>
                <w:sz w:val="18"/>
              </w:rPr>
            </w:pPr>
            <w:r>
              <w:rPr>
                <w:rFonts w:ascii="Times New Roman"/>
                <w:sz w:val="18"/>
              </w:rPr>
              <w:t>100,00%</w:t>
            </w:r>
          </w:p>
        </w:tc>
        <w:tc>
          <w:tcPr>
            <w:tcW w:w="1309" w:type="dxa"/>
          </w:tcPr>
          <w:p>
            <w:pPr>
              <w:pStyle w:val="TableParagraph"/>
              <w:ind w:right="349"/>
              <w:rPr>
                <w:rFonts w:ascii="Times New Roman"/>
                <w:sz w:val="18"/>
              </w:rPr>
            </w:pPr>
            <w:r>
              <w:rPr>
                <w:rFonts w:ascii="Times New Roman"/>
                <w:sz w:val="18"/>
              </w:rPr>
              <w:t>7.648.191</w:t>
            </w:r>
          </w:p>
        </w:tc>
      </w:tr>
      <w:tr>
        <w:trPr>
          <w:trHeight w:val="241" w:hRule="exact"/>
        </w:trPr>
        <w:tc>
          <w:tcPr>
            <w:tcW w:w="4617" w:type="dxa"/>
          </w:tcPr>
          <w:p>
            <w:pPr>
              <w:pStyle w:val="TableParagraph"/>
              <w:ind w:left="51"/>
              <w:jc w:val="left"/>
              <w:rPr>
                <w:rFonts w:ascii="Times New Roman"/>
                <w:sz w:val="18"/>
              </w:rPr>
            </w:pPr>
            <w:r>
              <w:rPr>
                <w:rFonts w:ascii="Times New Roman"/>
                <w:sz w:val="18"/>
              </w:rPr>
              <w:t>Creditori Privilegiati</w:t>
            </w:r>
          </w:p>
        </w:tc>
        <w:tc>
          <w:tcPr>
            <w:tcW w:w="1359" w:type="dxa"/>
          </w:tcPr>
          <w:p>
            <w:pPr>
              <w:pStyle w:val="TableParagraph"/>
              <w:ind w:right="213"/>
              <w:rPr>
                <w:rFonts w:ascii="Times New Roman"/>
                <w:sz w:val="18"/>
              </w:rPr>
            </w:pPr>
            <w:r>
              <w:rPr>
                <w:rFonts w:ascii="Times New Roman"/>
                <w:sz w:val="18"/>
              </w:rPr>
              <w:t>2.264.405</w:t>
            </w:r>
          </w:p>
        </w:tc>
        <w:tc>
          <w:tcPr>
            <w:tcW w:w="1796" w:type="dxa"/>
          </w:tcPr>
          <w:p>
            <w:pPr>
              <w:pStyle w:val="TableParagraph"/>
              <w:ind w:right="47"/>
              <w:jc w:val="center"/>
              <w:rPr>
                <w:rFonts w:ascii="Times New Roman"/>
                <w:sz w:val="18"/>
              </w:rPr>
            </w:pPr>
            <w:r>
              <w:rPr>
                <w:rFonts w:ascii="Times New Roman"/>
                <w:sz w:val="18"/>
              </w:rPr>
              <w:t>100,00%</w:t>
            </w:r>
          </w:p>
        </w:tc>
        <w:tc>
          <w:tcPr>
            <w:tcW w:w="1309" w:type="dxa"/>
          </w:tcPr>
          <w:p>
            <w:pPr>
              <w:pStyle w:val="TableParagraph"/>
              <w:ind w:right="349"/>
              <w:rPr>
                <w:rFonts w:ascii="Times New Roman"/>
                <w:sz w:val="18"/>
              </w:rPr>
            </w:pPr>
            <w:r>
              <w:rPr>
                <w:rFonts w:ascii="Times New Roman"/>
                <w:sz w:val="18"/>
              </w:rPr>
              <w:t>2.264.405</w:t>
            </w:r>
          </w:p>
        </w:tc>
      </w:tr>
      <w:tr>
        <w:trPr>
          <w:trHeight w:val="241" w:hRule="exact"/>
        </w:trPr>
        <w:tc>
          <w:tcPr>
            <w:tcW w:w="4617" w:type="dxa"/>
          </w:tcPr>
          <w:p>
            <w:pPr>
              <w:pStyle w:val="TableParagraph"/>
              <w:ind w:left="51"/>
              <w:jc w:val="left"/>
              <w:rPr>
                <w:rFonts w:ascii="Times New Roman"/>
                <w:sz w:val="18"/>
              </w:rPr>
            </w:pPr>
            <w:r>
              <w:rPr>
                <w:rFonts w:ascii="Times New Roman"/>
                <w:sz w:val="18"/>
              </w:rPr>
              <w:t>Creditori Chirografari</w:t>
            </w:r>
          </w:p>
        </w:tc>
        <w:tc>
          <w:tcPr>
            <w:tcW w:w="1359" w:type="dxa"/>
          </w:tcPr>
          <w:p>
            <w:pPr>
              <w:pStyle w:val="TableParagraph"/>
              <w:ind w:right="124"/>
              <w:rPr>
                <w:rFonts w:ascii="Times New Roman"/>
                <w:sz w:val="18"/>
              </w:rPr>
            </w:pPr>
            <w:r>
              <w:rPr>
                <w:rFonts w:ascii="Times New Roman"/>
                <w:sz w:val="18"/>
              </w:rPr>
              <w:t>146.893.331</w:t>
            </w:r>
          </w:p>
        </w:tc>
        <w:tc>
          <w:tcPr>
            <w:tcW w:w="1796" w:type="dxa"/>
          </w:tcPr>
          <w:p>
            <w:pPr>
              <w:pStyle w:val="TableParagraph"/>
              <w:tabs>
                <w:tab w:pos="461" w:val="left" w:leader="none"/>
                <w:tab w:pos="1494" w:val="left" w:leader="none"/>
              </w:tabs>
              <w:ind w:right="47"/>
              <w:jc w:val="center"/>
              <w:rPr>
                <w:rFonts w:ascii="Times New Roman"/>
                <w:b/>
                <w:sz w:val="18"/>
              </w:rPr>
            </w:pPr>
            <w:r>
              <w:rPr>
                <w:rFonts w:ascii="Times New Roman"/>
                <w:b/>
                <w:w w:val="100"/>
                <w:sz w:val="18"/>
                <w:shd w:fill="F1F1F1" w:color="auto" w:val="clear"/>
              </w:rPr>
              <w:t> </w:t>
            </w:r>
            <w:r>
              <w:rPr>
                <w:rFonts w:ascii="Times New Roman"/>
                <w:b/>
                <w:sz w:val="18"/>
                <w:shd w:fill="F1F1F1" w:color="auto" w:val="clear"/>
              </w:rPr>
              <w:tab/>
              <w:t>20,00%</w:t>
              <w:tab/>
            </w:r>
          </w:p>
        </w:tc>
        <w:tc>
          <w:tcPr>
            <w:tcW w:w="1309" w:type="dxa"/>
          </w:tcPr>
          <w:p>
            <w:pPr>
              <w:pStyle w:val="TableParagraph"/>
              <w:ind w:right="309"/>
              <w:rPr>
                <w:rFonts w:ascii="Times New Roman"/>
                <w:sz w:val="18"/>
              </w:rPr>
            </w:pPr>
            <w:r>
              <w:rPr>
                <w:rFonts w:ascii="Times New Roman"/>
                <w:sz w:val="18"/>
              </w:rPr>
              <w:t>29.378.666</w:t>
            </w:r>
          </w:p>
        </w:tc>
      </w:tr>
      <w:tr>
        <w:trPr>
          <w:trHeight w:val="241" w:hRule="exact"/>
        </w:trPr>
        <w:tc>
          <w:tcPr>
            <w:tcW w:w="4617" w:type="dxa"/>
          </w:tcPr>
          <w:p>
            <w:pPr>
              <w:pStyle w:val="TableParagraph"/>
              <w:ind w:left="51"/>
              <w:jc w:val="left"/>
              <w:rPr>
                <w:rFonts w:ascii="Times New Roman"/>
                <w:sz w:val="18"/>
              </w:rPr>
            </w:pPr>
            <w:r>
              <w:rPr>
                <w:rFonts w:ascii="Times New Roman"/>
                <w:sz w:val="18"/>
              </w:rPr>
              <w:t>Creditori Chirografari Postergati</w:t>
            </w:r>
          </w:p>
        </w:tc>
        <w:tc>
          <w:tcPr>
            <w:tcW w:w="1359" w:type="dxa"/>
          </w:tcPr>
          <w:p>
            <w:pPr>
              <w:pStyle w:val="TableParagraph"/>
              <w:ind w:right="213"/>
              <w:rPr>
                <w:rFonts w:ascii="Times New Roman"/>
                <w:sz w:val="18"/>
              </w:rPr>
            </w:pPr>
            <w:r>
              <w:rPr>
                <w:rFonts w:ascii="Times New Roman"/>
                <w:sz w:val="18"/>
              </w:rPr>
              <w:t>7.366.557</w:t>
            </w:r>
          </w:p>
        </w:tc>
        <w:tc>
          <w:tcPr>
            <w:tcW w:w="1796" w:type="dxa"/>
          </w:tcPr>
          <w:p>
            <w:pPr>
              <w:pStyle w:val="TableParagraph"/>
              <w:ind w:right="47"/>
              <w:jc w:val="center"/>
              <w:rPr>
                <w:rFonts w:ascii="Times New Roman"/>
                <w:sz w:val="18"/>
              </w:rPr>
            </w:pPr>
            <w:r>
              <w:rPr>
                <w:rFonts w:ascii="Times New Roman"/>
                <w:sz w:val="18"/>
              </w:rPr>
              <w:t>0,00%</w:t>
            </w:r>
          </w:p>
        </w:tc>
        <w:tc>
          <w:tcPr>
            <w:tcW w:w="1309" w:type="dxa"/>
          </w:tcPr>
          <w:p>
            <w:pPr>
              <w:pStyle w:val="TableParagraph"/>
              <w:ind w:right="173"/>
              <w:jc w:val="center"/>
              <w:rPr>
                <w:rFonts w:ascii="Times New Roman"/>
                <w:sz w:val="18"/>
              </w:rPr>
            </w:pPr>
            <w:r>
              <w:rPr>
                <w:rFonts w:ascii="Times New Roman"/>
                <w:w w:val="100"/>
                <w:sz w:val="18"/>
              </w:rPr>
              <w:t>-</w:t>
            </w:r>
          </w:p>
        </w:tc>
      </w:tr>
      <w:tr>
        <w:trPr>
          <w:trHeight w:val="241" w:hRule="exact"/>
        </w:trPr>
        <w:tc>
          <w:tcPr>
            <w:tcW w:w="4617" w:type="dxa"/>
          </w:tcPr>
          <w:p>
            <w:pPr>
              <w:pStyle w:val="TableParagraph"/>
              <w:ind w:left="51"/>
              <w:jc w:val="left"/>
              <w:rPr>
                <w:rFonts w:ascii="Times New Roman"/>
                <w:sz w:val="18"/>
              </w:rPr>
            </w:pPr>
            <w:r>
              <w:rPr>
                <w:rFonts w:ascii="Times New Roman"/>
                <w:sz w:val="18"/>
              </w:rPr>
              <w:t>Creditore Chirografario Postergato volontario</w:t>
            </w:r>
          </w:p>
        </w:tc>
        <w:tc>
          <w:tcPr>
            <w:tcW w:w="1359" w:type="dxa"/>
          </w:tcPr>
          <w:p>
            <w:pPr>
              <w:pStyle w:val="TableParagraph"/>
              <w:ind w:right="173"/>
              <w:rPr>
                <w:rFonts w:ascii="Times New Roman"/>
                <w:sz w:val="18"/>
              </w:rPr>
            </w:pPr>
            <w:r>
              <w:rPr>
                <w:rFonts w:ascii="Times New Roman"/>
                <w:sz w:val="18"/>
              </w:rPr>
              <w:t>20.000.000</w:t>
            </w:r>
          </w:p>
        </w:tc>
        <w:tc>
          <w:tcPr>
            <w:tcW w:w="1796" w:type="dxa"/>
          </w:tcPr>
          <w:p>
            <w:pPr>
              <w:pStyle w:val="TableParagraph"/>
              <w:tabs>
                <w:tab w:pos="461" w:val="left" w:leader="none"/>
                <w:tab w:pos="1494" w:val="left" w:leader="none"/>
              </w:tabs>
              <w:ind w:right="47"/>
              <w:jc w:val="center"/>
              <w:rPr>
                <w:rFonts w:ascii="Times New Roman"/>
                <w:b/>
                <w:sz w:val="18"/>
              </w:rPr>
            </w:pPr>
            <w:r>
              <w:rPr>
                <w:rFonts w:ascii="Times New Roman"/>
                <w:b/>
                <w:w w:val="100"/>
                <w:sz w:val="18"/>
                <w:shd w:fill="F1F1F1" w:color="auto" w:val="clear"/>
              </w:rPr>
              <w:t> </w:t>
            </w:r>
            <w:r>
              <w:rPr>
                <w:rFonts w:ascii="Times New Roman"/>
                <w:b/>
                <w:sz w:val="18"/>
                <w:shd w:fill="F1F1F1" w:color="auto" w:val="clear"/>
              </w:rPr>
              <w:tab/>
              <w:t>17,92%</w:t>
              <w:tab/>
            </w:r>
          </w:p>
        </w:tc>
        <w:tc>
          <w:tcPr>
            <w:tcW w:w="1309" w:type="dxa"/>
          </w:tcPr>
          <w:p>
            <w:pPr>
              <w:pStyle w:val="TableParagraph"/>
              <w:ind w:right="349"/>
              <w:rPr>
                <w:rFonts w:ascii="Times New Roman"/>
                <w:sz w:val="18"/>
              </w:rPr>
            </w:pPr>
            <w:r>
              <w:rPr>
                <w:rFonts w:ascii="Times New Roman"/>
                <w:sz w:val="18"/>
              </w:rPr>
              <w:t>3.584.207</w:t>
            </w:r>
          </w:p>
        </w:tc>
      </w:tr>
      <w:tr>
        <w:trPr>
          <w:trHeight w:val="241" w:hRule="exact"/>
        </w:trPr>
        <w:tc>
          <w:tcPr>
            <w:tcW w:w="4617" w:type="dxa"/>
          </w:tcPr>
          <w:p>
            <w:pPr>
              <w:pStyle w:val="TableParagraph"/>
              <w:ind w:left="51"/>
              <w:jc w:val="left"/>
              <w:rPr>
                <w:rFonts w:ascii="Times New Roman"/>
                <w:sz w:val="18"/>
              </w:rPr>
            </w:pPr>
            <w:r>
              <w:rPr>
                <w:rFonts w:ascii="Times New Roman"/>
                <w:sz w:val="18"/>
              </w:rPr>
              <w:t>Fondi rischi in prededuzione</w:t>
            </w:r>
          </w:p>
        </w:tc>
        <w:tc>
          <w:tcPr>
            <w:tcW w:w="1359" w:type="dxa"/>
          </w:tcPr>
          <w:p>
            <w:pPr>
              <w:pStyle w:val="TableParagraph"/>
              <w:ind w:right="213"/>
              <w:rPr>
                <w:rFonts w:ascii="Times New Roman"/>
                <w:sz w:val="18"/>
              </w:rPr>
            </w:pPr>
            <w:r>
              <w:rPr>
                <w:rFonts w:ascii="Times New Roman"/>
                <w:sz w:val="18"/>
              </w:rPr>
              <w:t>1.591.479</w:t>
            </w:r>
          </w:p>
        </w:tc>
        <w:tc>
          <w:tcPr>
            <w:tcW w:w="1796" w:type="dxa"/>
          </w:tcPr>
          <w:p>
            <w:pPr>
              <w:pStyle w:val="TableParagraph"/>
              <w:ind w:right="47"/>
              <w:jc w:val="center"/>
              <w:rPr>
                <w:rFonts w:ascii="Times New Roman"/>
                <w:sz w:val="18"/>
              </w:rPr>
            </w:pPr>
            <w:r>
              <w:rPr>
                <w:rFonts w:ascii="Times New Roman"/>
                <w:sz w:val="18"/>
              </w:rPr>
              <w:t>100,00%</w:t>
            </w:r>
          </w:p>
        </w:tc>
        <w:tc>
          <w:tcPr>
            <w:tcW w:w="1309" w:type="dxa"/>
          </w:tcPr>
          <w:p>
            <w:pPr>
              <w:pStyle w:val="TableParagraph"/>
              <w:ind w:right="349"/>
              <w:rPr>
                <w:rFonts w:ascii="Times New Roman"/>
                <w:sz w:val="18"/>
              </w:rPr>
            </w:pPr>
            <w:r>
              <w:rPr>
                <w:rFonts w:ascii="Times New Roman"/>
                <w:sz w:val="18"/>
              </w:rPr>
              <w:t>1.591.479</w:t>
            </w:r>
          </w:p>
        </w:tc>
      </w:tr>
      <w:tr>
        <w:trPr>
          <w:trHeight w:val="241" w:hRule="exact"/>
        </w:trPr>
        <w:tc>
          <w:tcPr>
            <w:tcW w:w="4617" w:type="dxa"/>
          </w:tcPr>
          <w:p>
            <w:pPr>
              <w:pStyle w:val="TableParagraph"/>
              <w:ind w:left="51"/>
              <w:jc w:val="left"/>
              <w:rPr>
                <w:rFonts w:ascii="Times New Roman"/>
                <w:sz w:val="18"/>
              </w:rPr>
            </w:pPr>
            <w:r>
              <w:rPr>
                <w:rFonts w:ascii="Times New Roman"/>
                <w:sz w:val="18"/>
              </w:rPr>
              <w:t>Fondi rischi privilegiati</w:t>
            </w:r>
          </w:p>
        </w:tc>
        <w:tc>
          <w:tcPr>
            <w:tcW w:w="1359" w:type="dxa"/>
          </w:tcPr>
          <w:p>
            <w:pPr>
              <w:pStyle w:val="TableParagraph"/>
              <w:ind w:right="213"/>
              <w:rPr>
                <w:rFonts w:ascii="Times New Roman"/>
                <w:sz w:val="18"/>
              </w:rPr>
            </w:pPr>
            <w:r>
              <w:rPr>
                <w:rFonts w:ascii="Times New Roman"/>
                <w:sz w:val="18"/>
              </w:rPr>
              <w:t>1.365.088</w:t>
            </w:r>
          </w:p>
        </w:tc>
        <w:tc>
          <w:tcPr>
            <w:tcW w:w="1796" w:type="dxa"/>
          </w:tcPr>
          <w:p>
            <w:pPr>
              <w:pStyle w:val="TableParagraph"/>
              <w:ind w:right="47"/>
              <w:jc w:val="center"/>
              <w:rPr>
                <w:rFonts w:ascii="Times New Roman"/>
                <w:sz w:val="18"/>
              </w:rPr>
            </w:pPr>
            <w:r>
              <w:rPr>
                <w:rFonts w:ascii="Times New Roman"/>
                <w:sz w:val="18"/>
              </w:rPr>
              <w:t>100,00%</w:t>
            </w:r>
          </w:p>
        </w:tc>
        <w:tc>
          <w:tcPr>
            <w:tcW w:w="1309" w:type="dxa"/>
          </w:tcPr>
          <w:p>
            <w:pPr>
              <w:pStyle w:val="TableParagraph"/>
              <w:ind w:right="349"/>
              <w:rPr>
                <w:rFonts w:ascii="Times New Roman"/>
                <w:sz w:val="18"/>
              </w:rPr>
            </w:pPr>
            <w:r>
              <w:rPr>
                <w:rFonts w:ascii="Times New Roman"/>
                <w:sz w:val="18"/>
              </w:rPr>
              <w:t>1.365.088</w:t>
            </w:r>
          </w:p>
        </w:tc>
      </w:tr>
      <w:tr>
        <w:trPr>
          <w:trHeight w:val="241" w:hRule="exact"/>
        </w:trPr>
        <w:tc>
          <w:tcPr>
            <w:tcW w:w="4617" w:type="dxa"/>
          </w:tcPr>
          <w:p>
            <w:pPr>
              <w:pStyle w:val="TableParagraph"/>
              <w:ind w:left="51"/>
              <w:jc w:val="left"/>
              <w:rPr>
                <w:rFonts w:ascii="Times New Roman"/>
                <w:sz w:val="18"/>
              </w:rPr>
            </w:pPr>
            <w:r>
              <w:rPr>
                <w:rFonts w:ascii="Times New Roman"/>
                <w:sz w:val="18"/>
              </w:rPr>
              <w:t>Fondi rischi chirografari</w:t>
            </w:r>
          </w:p>
        </w:tc>
        <w:tc>
          <w:tcPr>
            <w:tcW w:w="1359" w:type="dxa"/>
          </w:tcPr>
          <w:p>
            <w:pPr>
              <w:pStyle w:val="TableParagraph"/>
              <w:ind w:right="213"/>
              <w:rPr>
                <w:rFonts w:ascii="Times New Roman"/>
                <w:sz w:val="18"/>
              </w:rPr>
            </w:pPr>
            <w:r>
              <w:rPr>
                <w:rFonts w:ascii="Times New Roman"/>
                <w:sz w:val="18"/>
              </w:rPr>
              <w:t>9.657.358</w:t>
            </w:r>
          </w:p>
        </w:tc>
        <w:tc>
          <w:tcPr>
            <w:tcW w:w="1796" w:type="dxa"/>
          </w:tcPr>
          <w:p>
            <w:pPr>
              <w:pStyle w:val="TableParagraph"/>
              <w:tabs>
                <w:tab w:pos="461" w:val="left" w:leader="none"/>
                <w:tab w:pos="1494" w:val="left" w:leader="none"/>
              </w:tabs>
              <w:ind w:right="47"/>
              <w:jc w:val="center"/>
              <w:rPr>
                <w:rFonts w:ascii="Times New Roman"/>
                <w:b/>
                <w:sz w:val="18"/>
              </w:rPr>
            </w:pPr>
            <w:r>
              <w:rPr>
                <w:rFonts w:ascii="Times New Roman"/>
                <w:b/>
                <w:w w:val="100"/>
                <w:sz w:val="18"/>
                <w:shd w:fill="F1F1F1" w:color="auto" w:val="clear"/>
              </w:rPr>
              <w:t> </w:t>
            </w:r>
            <w:r>
              <w:rPr>
                <w:rFonts w:ascii="Times New Roman"/>
                <w:b/>
                <w:sz w:val="18"/>
                <w:shd w:fill="F1F1F1" w:color="auto" w:val="clear"/>
              </w:rPr>
              <w:tab/>
              <w:t>20,00%</w:t>
              <w:tab/>
            </w:r>
          </w:p>
        </w:tc>
        <w:tc>
          <w:tcPr>
            <w:tcW w:w="1309" w:type="dxa"/>
          </w:tcPr>
          <w:p>
            <w:pPr>
              <w:pStyle w:val="TableParagraph"/>
              <w:ind w:right="349"/>
              <w:rPr>
                <w:rFonts w:ascii="Times New Roman"/>
                <w:sz w:val="18"/>
              </w:rPr>
            </w:pPr>
            <w:r>
              <w:rPr>
                <w:rFonts w:ascii="Times New Roman"/>
                <w:sz w:val="18"/>
              </w:rPr>
              <w:t>1.931.472</w:t>
            </w:r>
          </w:p>
        </w:tc>
      </w:tr>
      <w:tr>
        <w:trPr>
          <w:trHeight w:val="231" w:hRule="exact"/>
        </w:trPr>
        <w:tc>
          <w:tcPr>
            <w:tcW w:w="4617" w:type="dxa"/>
          </w:tcPr>
          <w:p>
            <w:pPr>
              <w:pStyle w:val="TableParagraph"/>
              <w:ind w:left="51"/>
              <w:jc w:val="left"/>
              <w:rPr>
                <w:rFonts w:ascii="Times New Roman"/>
                <w:sz w:val="18"/>
              </w:rPr>
            </w:pPr>
            <w:r>
              <w:rPr>
                <w:rFonts w:ascii="Times New Roman"/>
                <w:sz w:val="18"/>
              </w:rPr>
              <w:t>Fondi rischi chirografari Postergato</w:t>
            </w:r>
          </w:p>
        </w:tc>
        <w:tc>
          <w:tcPr>
            <w:tcW w:w="1359" w:type="dxa"/>
          </w:tcPr>
          <w:p>
            <w:pPr>
              <w:pStyle w:val="TableParagraph"/>
              <w:ind w:right="213"/>
              <w:rPr>
                <w:rFonts w:ascii="Times New Roman"/>
                <w:sz w:val="18"/>
              </w:rPr>
            </w:pPr>
            <w:r>
              <w:rPr>
                <w:rFonts w:ascii="Times New Roman"/>
                <w:sz w:val="18"/>
              </w:rPr>
              <w:t>6.477.189</w:t>
            </w:r>
          </w:p>
        </w:tc>
        <w:tc>
          <w:tcPr>
            <w:tcW w:w="1796" w:type="dxa"/>
          </w:tcPr>
          <w:p>
            <w:pPr>
              <w:pStyle w:val="TableParagraph"/>
              <w:ind w:right="47"/>
              <w:jc w:val="center"/>
              <w:rPr>
                <w:rFonts w:ascii="Times New Roman"/>
                <w:sz w:val="18"/>
              </w:rPr>
            </w:pPr>
            <w:r>
              <w:rPr>
                <w:rFonts w:ascii="Times New Roman"/>
                <w:sz w:val="18"/>
              </w:rPr>
              <w:t>0,00%</w:t>
            </w:r>
          </w:p>
        </w:tc>
        <w:tc>
          <w:tcPr>
            <w:tcW w:w="1309" w:type="dxa"/>
          </w:tcPr>
          <w:p>
            <w:pPr>
              <w:pStyle w:val="TableParagraph"/>
              <w:ind w:right="173"/>
              <w:jc w:val="center"/>
              <w:rPr>
                <w:rFonts w:ascii="Times New Roman"/>
                <w:sz w:val="18"/>
              </w:rPr>
            </w:pPr>
            <w:r>
              <w:rPr>
                <w:rFonts w:ascii="Times New Roman"/>
                <w:w w:val="100"/>
                <w:sz w:val="18"/>
              </w:rPr>
              <w:t>-</w:t>
            </w:r>
          </w:p>
        </w:tc>
      </w:tr>
      <w:tr>
        <w:trPr>
          <w:trHeight w:val="251" w:hRule="exact"/>
        </w:trPr>
        <w:tc>
          <w:tcPr>
            <w:tcW w:w="4617" w:type="dxa"/>
          </w:tcPr>
          <w:p>
            <w:pPr>
              <w:pStyle w:val="TableParagraph"/>
              <w:tabs>
                <w:tab w:pos="4305" w:val="left" w:leader="none"/>
              </w:tabs>
              <w:spacing w:before="22"/>
              <w:ind w:left="21"/>
              <w:jc w:val="left"/>
              <w:rPr>
                <w:rFonts w:ascii="Times New Roman"/>
                <w:b/>
                <w:sz w:val="18"/>
              </w:rPr>
            </w:pPr>
            <w:r>
              <w:rPr>
                <w:rFonts w:ascii="Times New Roman"/>
                <w:b/>
                <w:color w:val="FFFFFF"/>
                <w:spacing w:val="-16"/>
                <w:w w:val="100"/>
                <w:sz w:val="18"/>
                <w:shd w:fill="878A8D" w:color="auto" w:val="clear"/>
              </w:rPr>
              <w:t> </w:t>
            </w:r>
            <w:r>
              <w:rPr>
                <w:rFonts w:ascii="Times New Roman"/>
                <w:b/>
                <w:color w:val="FFFFFF"/>
                <w:sz w:val="18"/>
                <w:shd w:fill="878A8D" w:color="auto" w:val="clear"/>
              </w:rPr>
              <w:t>Totale Passivo da</w:t>
            </w:r>
            <w:r>
              <w:rPr>
                <w:rFonts w:ascii="Times New Roman"/>
                <w:b/>
                <w:color w:val="FFFFFF"/>
                <w:spacing w:val="18"/>
                <w:sz w:val="18"/>
                <w:shd w:fill="878A8D" w:color="auto" w:val="clear"/>
              </w:rPr>
              <w:t> </w:t>
            </w:r>
            <w:r>
              <w:rPr>
                <w:rFonts w:ascii="Times New Roman"/>
                <w:b/>
                <w:color w:val="FFFFFF"/>
                <w:sz w:val="18"/>
                <w:shd w:fill="878A8D" w:color="auto" w:val="clear"/>
              </w:rPr>
              <w:t>soddisfare</w:t>
              <w:tab/>
            </w:r>
          </w:p>
        </w:tc>
        <w:tc>
          <w:tcPr>
            <w:tcW w:w="1359" w:type="dxa"/>
            <w:shd w:val="clear" w:color="auto" w:fill="878A8D"/>
          </w:tcPr>
          <w:p>
            <w:pPr>
              <w:pStyle w:val="TableParagraph"/>
              <w:spacing w:before="22"/>
              <w:ind w:right="124"/>
              <w:rPr>
                <w:rFonts w:ascii="Times New Roman"/>
                <w:b/>
                <w:sz w:val="18"/>
              </w:rPr>
            </w:pPr>
            <w:r>
              <w:rPr>
                <w:rFonts w:ascii="Times New Roman"/>
                <w:b/>
                <w:color w:val="FFFFFF"/>
                <w:sz w:val="18"/>
              </w:rPr>
              <w:t>205.763.029</w:t>
            </w:r>
          </w:p>
        </w:tc>
        <w:tc>
          <w:tcPr>
            <w:tcW w:w="1796" w:type="dxa"/>
            <w:shd w:val="clear" w:color="auto" w:fill="878A8D"/>
          </w:tcPr>
          <w:p>
            <w:pPr/>
          </w:p>
        </w:tc>
        <w:tc>
          <w:tcPr>
            <w:tcW w:w="1309" w:type="dxa"/>
            <w:shd w:val="clear" w:color="auto" w:fill="878A8D"/>
          </w:tcPr>
          <w:p>
            <w:pPr>
              <w:pStyle w:val="TableParagraph"/>
              <w:spacing w:before="22"/>
              <w:ind w:right="309"/>
              <w:rPr>
                <w:rFonts w:ascii="Times New Roman"/>
                <w:b/>
                <w:sz w:val="18"/>
              </w:rPr>
            </w:pPr>
            <w:r>
              <w:rPr>
                <w:rFonts w:ascii="Times New Roman"/>
                <w:b/>
                <w:color w:val="FFFFFF"/>
                <w:sz w:val="18"/>
              </w:rPr>
              <w:t>50.262.939</w:t>
            </w:r>
          </w:p>
        </w:tc>
      </w:tr>
    </w:tbl>
    <w:p>
      <w:pPr>
        <w:pStyle w:val="BodyText"/>
        <w:spacing w:before="5"/>
        <w:rPr>
          <w:sz w:val="15"/>
        </w:rPr>
      </w:pPr>
    </w:p>
    <w:p>
      <w:pPr>
        <w:pStyle w:val="BodyText"/>
        <w:spacing w:line="480" w:lineRule="auto" w:before="100"/>
        <w:ind w:left="1418" w:right="1411"/>
        <w:jc w:val="both"/>
      </w:pPr>
      <w:r>
        <w:rPr/>
        <w:t>Nello specifico il passivo include i debiti in prededuzione maturati e che matureranno fino alla conclusione della liquidazione, pari a complessivi Euro 2,5 Milioni, i quali comprendono i costi  del liquidatore sociale, prevedendo la trasformazione della società in Srl e la cessazione degli organi di controllo, i costi del personale e altri costi fissi di gestione, nonché le spese per i legali che seguiranno i contenziosi in essere fino alla cessione del ramo</w:t>
      </w:r>
      <w:r>
        <w:rPr>
          <w:spacing w:val="-14"/>
        </w:rPr>
        <w:t> </w:t>
      </w:r>
      <w:r>
        <w:rPr/>
        <w:t>d’azienda.</w:t>
      </w:r>
    </w:p>
    <w:p>
      <w:pPr>
        <w:pStyle w:val="BodyText"/>
        <w:ind w:left="1418"/>
        <w:jc w:val="both"/>
      </w:pPr>
      <w:r>
        <w:rPr/>
        <w:t>La tabella seguente riporta l’evoluzione di detti costi in arco piano:</w:t>
      </w:r>
    </w:p>
    <w:p>
      <w:pPr>
        <w:spacing w:after="0"/>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17"/>
        </w:rPr>
      </w:pPr>
    </w:p>
    <w:tbl>
      <w:tblPr>
        <w:tblW w:w="0" w:type="auto"/>
        <w:jc w:val="left"/>
        <w:tblInd w:w="996"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709"/>
        <w:gridCol w:w="544"/>
        <w:gridCol w:w="564"/>
        <w:gridCol w:w="577"/>
        <w:gridCol w:w="530"/>
        <w:gridCol w:w="553"/>
        <w:gridCol w:w="577"/>
        <w:gridCol w:w="530"/>
        <w:gridCol w:w="553"/>
        <w:gridCol w:w="601"/>
        <w:gridCol w:w="514"/>
        <w:gridCol w:w="553"/>
        <w:gridCol w:w="553"/>
        <w:gridCol w:w="568"/>
        <w:gridCol w:w="648"/>
      </w:tblGrid>
      <w:tr>
        <w:trPr>
          <w:trHeight w:val="362" w:hRule="exact"/>
        </w:trPr>
        <w:tc>
          <w:tcPr>
            <w:tcW w:w="2709" w:type="dxa"/>
            <w:shd w:val="clear" w:color="auto" w:fill="9F2F33"/>
          </w:tcPr>
          <w:p>
            <w:pPr>
              <w:pStyle w:val="TableParagraph"/>
              <w:spacing w:before="97"/>
              <w:ind w:left="1226" w:right="1247"/>
              <w:jc w:val="center"/>
              <w:rPr>
                <w:rFonts w:ascii="Times New Roman"/>
                <w:i/>
                <w:sz w:val="14"/>
              </w:rPr>
            </w:pPr>
            <w:r>
              <w:rPr>
                <w:rFonts w:ascii="Times New Roman"/>
                <w:i/>
                <w:color w:val="FFFFFF"/>
                <w:w w:val="70"/>
                <w:sz w:val="14"/>
              </w:rPr>
              <w:t>Euro</w:t>
            </w:r>
          </w:p>
        </w:tc>
        <w:tc>
          <w:tcPr>
            <w:tcW w:w="544" w:type="dxa"/>
            <w:shd w:val="clear" w:color="auto" w:fill="9F2F33"/>
          </w:tcPr>
          <w:p>
            <w:pPr>
              <w:pStyle w:val="TableParagraph"/>
              <w:spacing w:before="97"/>
              <w:ind w:left="170"/>
              <w:jc w:val="left"/>
              <w:rPr>
                <w:rFonts w:ascii="Times New Roman"/>
                <w:b/>
                <w:sz w:val="14"/>
              </w:rPr>
            </w:pPr>
            <w:r>
              <w:rPr>
                <w:rFonts w:ascii="Times New Roman"/>
                <w:b/>
                <w:color w:val="FFFFFF"/>
                <w:w w:val="70"/>
                <w:sz w:val="14"/>
              </w:rPr>
              <w:t>apr-18</w:t>
            </w:r>
          </w:p>
        </w:tc>
        <w:tc>
          <w:tcPr>
            <w:tcW w:w="564" w:type="dxa"/>
            <w:shd w:val="clear" w:color="auto" w:fill="9F2F33"/>
          </w:tcPr>
          <w:p>
            <w:pPr>
              <w:pStyle w:val="TableParagraph"/>
              <w:spacing w:line="268" w:lineRule="auto" w:before="11"/>
              <w:ind w:left="212" w:right="39" w:hanging="128"/>
              <w:jc w:val="left"/>
              <w:rPr>
                <w:rFonts w:ascii="Times New Roman"/>
                <w:b/>
                <w:sz w:val="14"/>
              </w:rPr>
            </w:pPr>
            <w:r>
              <w:rPr>
                <w:rFonts w:ascii="Times New Roman"/>
                <w:b/>
                <w:color w:val="FFFFFF"/>
                <w:w w:val="60"/>
                <w:sz w:val="14"/>
              </w:rPr>
              <w:t>II quadrim. </w:t>
            </w:r>
            <w:r>
              <w:rPr>
                <w:rFonts w:ascii="Times New Roman"/>
                <w:b/>
                <w:color w:val="FFFFFF"/>
                <w:w w:val="70"/>
                <w:sz w:val="14"/>
              </w:rPr>
              <w:t>2018</w:t>
            </w:r>
          </w:p>
        </w:tc>
        <w:tc>
          <w:tcPr>
            <w:tcW w:w="577" w:type="dxa"/>
            <w:shd w:val="clear" w:color="auto" w:fill="9F2F33"/>
          </w:tcPr>
          <w:p>
            <w:pPr>
              <w:pStyle w:val="TableParagraph"/>
              <w:spacing w:line="268" w:lineRule="auto" w:before="11"/>
              <w:ind w:left="202" w:right="48" w:hanging="147"/>
              <w:jc w:val="left"/>
              <w:rPr>
                <w:rFonts w:ascii="Times New Roman"/>
                <w:b/>
                <w:sz w:val="14"/>
              </w:rPr>
            </w:pPr>
            <w:r>
              <w:rPr>
                <w:rFonts w:ascii="Times New Roman"/>
                <w:b/>
                <w:color w:val="FFFFFF"/>
                <w:w w:val="60"/>
                <w:sz w:val="14"/>
              </w:rPr>
              <w:t>III quadrim. </w:t>
            </w:r>
            <w:r>
              <w:rPr>
                <w:rFonts w:ascii="Times New Roman"/>
                <w:b/>
                <w:color w:val="FFFFFF"/>
                <w:w w:val="70"/>
                <w:sz w:val="14"/>
              </w:rPr>
              <w:t>2018</w:t>
            </w:r>
          </w:p>
        </w:tc>
        <w:tc>
          <w:tcPr>
            <w:tcW w:w="530" w:type="dxa"/>
            <w:shd w:val="clear" w:color="auto" w:fill="9F2F33"/>
          </w:tcPr>
          <w:p>
            <w:pPr>
              <w:pStyle w:val="TableParagraph"/>
              <w:spacing w:line="268" w:lineRule="auto" w:before="11"/>
              <w:ind w:left="178" w:right="58" w:hanging="114"/>
              <w:jc w:val="left"/>
              <w:rPr>
                <w:rFonts w:ascii="Times New Roman"/>
                <w:b/>
                <w:sz w:val="14"/>
              </w:rPr>
            </w:pPr>
            <w:r>
              <w:rPr>
                <w:rFonts w:ascii="Times New Roman"/>
                <w:b/>
                <w:color w:val="FFFFFF"/>
                <w:w w:val="60"/>
                <w:sz w:val="14"/>
              </w:rPr>
              <w:t>I quadrim. </w:t>
            </w:r>
            <w:r>
              <w:rPr>
                <w:rFonts w:ascii="Times New Roman"/>
                <w:b/>
                <w:color w:val="FFFFFF"/>
                <w:w w:val="70"/>
                <w:sz w:val="14"/>
              </w:rPr>
              <w:t>2019</w:t>
            </w:r>
          </w:p>
        </w:tc>
        <w:tc>
          <w:tcPr>
            <w:tcW w:w="553" w:type="dxa"/>
            <w:shd w:val="clear" w:color="auto" w:fill="9F2F33"/>
          </w:tcPr>
          <w:p>
            <w:pPr>
              <w:pStyle w:val="TableParagraph"/>
              <w:spacing w:line="268" w:lineRule="auto" w:before="11"/>
              <w:ind w:left="202" w:right="39" w:hanging="128"/>
              <w:jc w:val="left"/>
              <w:rPr>
                <w:rFonts w:ascii="Times New Roman"/>
                <w:b/>
                <w:sz w:val="14"/>
              </w:rPr>
            </w:pPr>
            <w:r>
              <w:rPr>
                <w:rFonts w:ascii="Times New Roman"/>
                <w:b/>
                <w:color w:val="FFFFFF"/>
                <w:w w:val="60"/>
                <w:sz w:val="14"/>
              </w:rPr>
              <w:t>II quadrim. </w:t>
            </w:r>
            <w:r>
              <w:rPr>
                <w:rFonts w:ascii="Times New Roman"/>
                <w:b/>
                <w:color w:val="FFFFFF"/>
                <w:w w:val="70"/>
                <w:sz w:val="14"/>
              </w:rPr>
              <w:t>2019</w:t>
            </w:r>
          </w:p>
        </w:tc>
        <w:tc>
          <w:tcPr>
            <w:tcW w:w="577" w:type="dxa"/>
            <w:shd w:val="clear" w:color="auto" w:fill="9F2F33"/>
          </w:tcPr>
          <w:p>
            <w:pPr>
              <w:pStyle w:val="TableParagraph"/>
              <w:spacing w:line="268" w:lineRule="auto" w:before="11"/>
              <w:ind w:left="202" w:right="49" w:hanging="147"/>
              <w:jc w:val="left"/>
              <w:rPr>
                <w:rFonts w:ascii="Times New Roman"/>
                <w:b/>
                <w:sz w:val="14"/>
              </w:rPr>
            </w:pPr>
            <w:r>
              <w:rPr>
                <w:rFonts w:ascii="Times New Roman"/>
                <w:b/>
                <w:color w:val="FFFFFF"/>
                <w:w w:val="60"/>
                <w:sz w:val="14"/>
              </w:rPr>
              <w:t>III quadrim. </w:t>
            </w:r>
            <w:r>
              <w:rPr>
                <w:rFonts w:ascii="Times New Roman"/>
                <w:b/>
                <w:color w:val="FFFFFF"/>
                <w:w w:val="70"/>
                <w:sz w:val="14"/>
              </w:rPr>
              <w:t>2019</w:t>
            </w:r>
          </w:p>
        </w:tc>
        <w:tc>
          <w:tcPr>
            <w:tcW w:w="530" w:type="dxa"/>
            <w:shd w:val="clear" w:color="auto" w:fill="9F2F33"/>
          </w:tcPr>
          <w:p>
            <w:pPr>
              <w:pStyle w:val="TableParagraph"/>
              <w:spacing w:line="268" w:lineRule="auto" w:before="11"/>
              <w:ind w:left="178" w:right="58" w:hanging="114"/>
              <w:jc w:val="left"/>
              <w:rPr>
                <w:rFonts w:ascii="Times New Roman"/>
                <w:b/>
                <w:sz w:val="14"/>
              </w:rPr>
            </w:pPr>
            <w:r>
              <w:rPr>
                <w:rFonts w:ascii="Times New Roman"/>
                <w:b/>
                <w:color w:val="FFFFFF"/>
                <w:w w:val="60"/>
                <w:sz w:val="14"/>
              </w:rPr>
              <w:t>I quadrim. </w:t>
            </w:r>
            <w:r>
              <w:rPr>
                <w:rFonts w:ascii="Times New Roman"/>
                <w:b/>
                <w:color w:val="FFFFFF"/>
                <w:w w:val="70"/>
                <w:sz w:val="14"/>
              </w:rPr>
              <w:t>2020</w:t>
            </w:r>
          </w:p>
        </w:tc>
        <w:tc>
          <w:tcPr>
            <w:tcW w:w="553" w:type="dxa"/>
            <w:shd w:val="clear" w:color="auto" w:fill="9F2F33"/>
          </w:tcPr>
          <w:p>
            <w:pPr>
              <w:pStyle w:val="TableParagraph"/>
              <w:spacing w:line="268" w:lineRule="auto" w:before="11"/>
              <w:ind w:left="202" w:right="39" w:hanging="128"/>
              <w:jc w:val="left"/>
              <w:rPr>
                <w:rFonts w:ascii="Times New Roman"/>
                <w:b/>
                <w:sz w:val="14"/>
              </w:rPr>
            </w:pPr>
            <w:r>
              <w:rPr>
                <w:rFonts w:ascii="Times New Roman"/>
                <w:b/>
                <w:color w:val="FFFFFF"/>
                <w:w w:val="60"/>
                <w:sz w:val="14"/>
              </w:rPr>
              <w:t>II quadrim. </w:t>
            </w:r>
            <w:r>
              <w:rPr>
                <w:rFonts w:ascii="Times New Roman"/>
                <w:b/>
                <w:color w:val="FFFFFF"/>
                <w:w w:val="70"/>
                <w:sz w:val="14"/>
              </w:rPr>
              <w:t>2020</w:t>
            </w:r>
          </w:p>
        </w:tc>
        <w:tc>
          <w:tcPr>
            <w:tcW w:w="601" w:type="dxa"/>
            <w:shd w:val="clear" w:color="auto" w:fill="9F2F33"/>
          </w:tcPr>
          <w:p>
            <w:pPr>
              <w:pStyle w:val="TableParagraph"/>
              <w:spacing w:line="268" w:lineRule="auto" w:before="11"/>
              <w:ind w:left="202" w:right="72" w:hanging="147"/>
              <w:jc w:val="left"/>
              <w:rPr>
                <w:rFonts w:ascii="Times New Roman"/>
                <w:b/>
                <w:sz w:val="14"/>
              </w:rPr>
            </w:pPr>
            <w:r>
              <w:rPr>
                <w:rFonts w:ascii="Times New Roman"/>
                <w:b/>
                <w:color w:val="FFFFFF"/>
                <w:w w:val="60"/>
                <w:sz w:val="14"/>
              </w:rPr>
              <w:t>III quadrim. </w:t>
            </w:r>
            <w:r>
              <w:rPr>
                <w:rFonts w:ascii="Times New Roman"/>
                <w:b/>
                <w:color w:val="FFFFFF"/>
                <w:w w:val="70"/>
                <w:sz w:val="14"/>
              </w:rPr>
              <w:t>2020</w:t>
            </w:r>
          </w:p>
        </w:tc>
        <w:tc>
          <w:tcPr>
            <w:tcW w:w="514" w:type="dxa"/>
            <w:shd w:val="clear" w:color="auto" w:fill="9F2F33"/>
          </w:tcPr>
          <w:p>
            <w:pPr>
              <w:pStyle w:val="TableParagraph"/>
              <w:spacing w:before="97"/>
              <w:ind w:right="187"/>
              <w:rPr>
                <w:rFonts w:ascii="Times New Roman"/>
                <w:b/>
                <w:sz w:val="14"/>
              </w:rPr>
            </w:pPr>
            <w:r>
              <w:rPr>
                <w:rFonts w:ascii="Times New Roman"/>
                <w:b/>
                <w:color w:val="FFFFFF"/>
                <w:w w:val="60"/>
                <w:sz w:val="14"/>
              </w:rPr>
              <w:t>2021</w:t>
            </w:r>
          </w:p>
        </w:tc>
        <w:tc>
          <w:tcPr>
            <w:tcW w:w="553" w:type="dxa"/>
            <w:shd w:val="clear" w:color="auto" w:fill="9F2F33"/>
          </w:tcPr>
          <w:p>
            <w:pPr>
              <w:pStyle w:val="TableParagraph"/>
              <w:spacing w:before="97"/>
              <w:ind w:right="187"/>
              <w:rPr>
                <w:rFonts w:ascii="Times New Roman"/>
                <w:b/>
                <w:sz w:val="14"/>
              </w:rPr>
            </w:pPr>
            <w:r>
              <w:rPr>
                <w:rFonts w:ascii="Times New Roman"/>
                <w:b/>
                <w:color w:val="FFFFFF"/>
                <w:w w:val="60"/>
                <w:sz w:val="14"/>
              </w:rPr>
              <w:t>2022</w:t>
            </w:r>
          </w:p>
        </w:tc>
        <w:tc>
          <w:tcPr>
            <w:tcW w:w="553" w:type="dxa"/>
            <w:shd w:val="clear" w:color="auto" w:fill="9F2F33"/>
          </w:tcPr>
          <w:p>
            <w:pPr>
              <w:pStyle w:val="TableParagraph"/>
              <w:spacing w:before="97"/>
              <w:ind w:left="88" w:right="83"/>
              <w:jc w:val="center"/>
              <w:rPr>
                <w:rFonts w:ascii="Times New Roman"/>
                <w:b/>
                <w:sz w:val="14"/>
              </w:rPr>
            </w:pPr>
            <w:r>
              <w:rPr>
                <w:rFonts w:ascii="Times New Roman"/>
                <w:b/>
                <w:color w:val="FFFFFF"/>
                <w:w w:val="70"/>
                <w:sz w:val="14"/>
              </w:rPr>
              <w:t>2023</w:t>
            </w:r>
          </w:p>
        </w:tc>
        <w:tc>
          <w:tcPr>
            <w:tcW w:w="568" w:type="dxa"/>
            <w:shd w:val="clear" w:color="auto" w:fill="9F2F33"/>
          </w:tcPr>
          <w:p>
            <w:pPr>
              <w:pStyle w:val="TableParagraph"/>
              <w:spacing w:before="97"/>
              <w:ind w:left="193"/>
              <w:jc w:val="left"/>
              <w:rPr>
                <w:rFonts w:ascii="Times New Roman"/>
                <w:b/>
                <w:sz w:val="14"/>
              </w:rPr>
            </w:pPr>
            <w:r>
              <w:rPr>
                <w:rFonts w:ascii="Times New Roman"/>
                <w:b/>
                <w:color w:val="FFFFFF"/>
                <w:w w:val="70"/>
                <w:sz w:val="14"/>
              </w:rPr>
              <w:t>2024</w:t>
            </w:r>
          </w:p>
        </w:tc>
        <w:tc>
          <w:tcPr>
            <w:tcW w:w="648" w:type="dxa"/>
            <w:shd w:val="clear" w:color="auto" w:fill="9F2F33"/>
          </w:tcPr>
          <w:p>
            <w:pPr>
              <w:pStyle w:val="TableParagraph"/>
              <w:spacing w:before="97"/>
              <w:ind w:left="141"/>
              <w:jc w:val="left"/>
              <w:rPr>
                <w:rFonts w:ascii="Times New Roman"/>
                <w:b/>
                <w:sz w:val="14"/>
              </w:rPr>
            </w:pPr>
            <w:r>
              <w:rPr>
                <w:rFonts w:ascii="Times New Roman"/>
                <w:b/>
                <w:color w:val="FFFFFF"/>
                <w:w w:val="70"/>
                <w:sz w:val="14"/>
              </w:rPr>
              <w:t>Cumulato</w:t>
            </w:r>
          </w:p>
        </w:tc>
      </w:tr>
      <w:tr>
        <w:trPr>
          <w:trHeight w:val="184" w:hRule="exact"/>
        </w:trPr>
        <w:tc>
          <w:tcPr>
            <w:tcW w:w="2709" w:type="dxa"/>
          </w:tcPr>
          <w:p>
            <w:pPr>
              <w:pStyle w:val="TableParagraph"/>
              <w:spacing w:before="10"/>
              <w:ind w:left="14"/>
              <w:jc w:val="left"/>
              <w:rPr>
                <w:rFonts w:ascii="Times New Roman"/>
                <w:sz w:val="14"/>
              </w:rPr>
            </w:pPr>
            <w:r>
              <w:rPr>
                <w:rFonts w:ascii="Times New Roman"/>
                <w:w w:val="60"/>
                <w:sz w:val="14"/>
              </w:rPr>
              <w:t>- Costi della gestione ordinaria</w:t>
            </w:r>
          </w:p>
        </w:tc>
        <w:tc>
          <w:tcPr>
            <w:tcW w:w="544" w:type="dxa"/>
          </w:tcPr>
          <w:p>
            <w:pPr>
              <w:pStyle w:val="TableParagraph"/>
              <w:spacing w:before="10"/>
              <w:ind w:left="33"/>
              <w:jc w:val="center"/>
              <w:rPr>
                <w:rFonts w:ascii="Times New Roman"/>
                <w:sz w:val="14"/>
              </w:rPr>
            </w:pPr>
            <w:r>
              <w:rPr>
                <w:rFonts w:ascii="Times New Roman"/>
                <w:w w:val="60"/>
                <w:sz w:val="14"/>
              </w:rPr>
              <w:t>-</w:t>
            </w:r>
          </w:p>
        </w:tc>
        <w:tc>
          <w:tcPr>
            <w:tcW w:w="564" w:type="dxa"/>
          </w:tcPr>
          <w:p>
            <w:pPr>
              <w:pStyle w:val="TableParagraph"/>
              <w:spacing w:before="10"/>
              <w:ind w:left="67" w:right="31"/>
              <w:jc w:val="center"/>
              <w:rPr>
                <w:rFonts w:ascii="Times New Roman"/>
                <w:sz w:val="14"/>
              </w:rPr>
            </w:pPr>
            <w:r>
              <w:rPr>
                <w:rFonts w:ascii="Times New Roman"/>
                <w:w w:val="70"/>
                <w:sz w:val="14"/>
              </w:rPr>
              <w:t>(1.000)</w:t>
            </w:r>
          </w:p>
        </w:tc>
        <w:tc>
          <w:tcPr>
            <w:tcW w:w="577" w:type="dxa"/>
          </w:tcPr>
          <w:p>
            <w:pPr>
              <w:pStyle w:val="TableParagraph"/>
              <w:spacing w:before="10"/>
              <w:ind w:left="69" w:right="67"/>
              <w:jc w:val="center"/>
              <w:rPr>
                <w:rFonts w:ascii="Times New Roman"/>
                <w:sz w:val="14"/>
              </w:rPr>
            </w:pPr>
            <w:r>
              <w:rPr>
                <w:rFonts w:ascii="Times New Roman"/>
                <w:w w:val="70"/>
                <w:sz w:val="14"/>
              </w:rPr>
              <w:t>(157.299)</w:t>
            </w:r>
          </w:p>
        </w:tc>
        <w:tc>
          <w:tcPr>
            <w:tcW w:w="530" w:type="dxa"/>
          </w:tcPr>
          <w:p>
            <w:pPr>
              <w:pStyle w:val="TableParagraph"/>
              <w:spacing w:before="10"/>
              <w:ind w:left="72" w:right="72"/>
              <w:jc w:val="center"/>
              <w:rPr>
                <w:rFonts w:ascii="Times New Roman"/>
                <w:sz w:val="14"/>
              </w:rPr>
            </w:pPr>
            <w:r>
              <w:rPr>
                <w:rFonts w:ascii="Times New Roman"/>
                <w:w w:val="70"/>
                <w:sz w:val="14"/>
              </w:rPr>
              <w:t>(31.000)</w:t>
            </w:r>
          </w:p>
        </w:tc>
        <w:tc>
          <w:tcPr>
            <w:tcW w:w="1130" w:type="dxa"/>
            <w:gridSpan w:val="2"/>
          </w:tcPr>
          <w:p>
            <w:pPr>
              <w:pStyle w:val="TableParagraph"/>
              <w:tabs>
                <w:tab w:pos="693" w:val="left" w:leader="none"/>
              </w:tabs>
              <w:spacing w:before="10"/>
              <w:ind w:left="273"/>
              <w:jc w:val="left"/>
              <w:rPr>
                <w:rFonts w:ascii="Times New Roman"/>
                <w:sz w:val="14"/>
              </w:rPr>
            </w:pPr>
            <w:r>
              <w:rPr>
                <w:rFonts w:ascii="Times New Roman"/>
                <w:w w:val="70"/>
                <w:sz w:val="14"/>
              </w:rPr>
              <w:t>-</w:t>
              <w:tab/>
              <w:t>(12.688)</w:t>
            </w:r>
          </w:p>
        </w:tc>
        <w:tc>
          <w:tcPr>
            <w:tcW w:w="530" w:type="dxa"/>
          </w:tcPr>
          <w:p>
            <w:pPr>
              <w:pStyle w:val="TableParagraph"/>
              <w:spacing w:before="10"/>
              <w:ind w:left="72" w:right="72"/>
              <w:jc w:val="center"/>
              <w:rPr>
                <w:rFonts w:ascii="Times New Roman"/>
                <w:sz w:val="14"/>
              </w:rPr>
            </w:pPr>
            <w:r>
              <w:rPr>
                <w:rFonts w:ascii="Times New Roman"/>
                <w:w w:val="70"/>
                <w:sz w:val="14"/>
              </w:rPr>
              <w:t>(31.000)</w:t>
            </w:r>
          </w:p>
        </w:tc>
        <w:tc>
          <w:tcPr>
            <w:tcW w:w="1154" w:type="dxa"/>
            <w:gridSpan w:val="2"/>
          </w:tcPr>
          <w:p>
            <w:pPr>
              <w:pStyle w:val="TableParagraph"/>
              <w:tabs>
                <w:tab w:pos="693" w:val="left" w:leader="none"/>
              </w:tabs>
              <w:spacing w:before="10"/>
              <w:ind w:left="273"/>
              <w:jc w:val="left"/>
              <w:rPr>
                <w:rFonts w:ascii="Times New Roman"/>
                <w:sz w:val="14"/>
              </w:rPr>
            </w:pPr>
            <w:r>
              <w:rPr>
                <w:rFonts w:ascii="Times New Roman"/>
                <w:w w:val="70"/>
                <w:sz w:val="14"/>
              </w:rPr>
              <w:t>-</w:t>
              <w:tab/>
              <w:t>(12.688)</w:t>
            </w:r>
          </w:p>
        </w:tc>
        <w:tc>
          <w:tcPr>
            <w:tcW w:w="514" w:type="dxa"/>
          </w:tcPr>
          <w:p>
            <w:pPr>
              <w:pStyle w:val="TableParagraph"/>
              <w:spacing w:before="10"/>
              <w:ind w:right="125"/>
              <w:rPr>
                <w:rFonts w:ascii="Times New Roman"/>
                <w:sz w:val="14"/>
              </w:rPr>
            </w:pPr>
            <w:r>
              <w:rPr>
                <w:rFonts w:ascii="Times New Roman"/>
                <w:w w:val="60"/>
                <w:sz w:val="14"/>
              </w:rPr>
              <w:t>(43.688)</w:t>
            </w:r>
          </w:p>
        </w:tc>
        <w:tc>
          <w:tcPr>
            <w:tcW w:w="553" w:type="dxa"/>
          </w:tcPr>
          <w:p>
            <w:pPr>
              <w:pStyle w:val="TableParagraph"/>
              <w:spacing w:before="10"/>
              <w:ind w:right="125"/>
              <w:rPr>
                <w:rFonts w:ascii="Times New Roman"/>
                <w:sz w:val="14"/>
              </w:rPr>
            </w:pPr>
            <w:r>
              <w:rPr>
                <w:rFonts w:ascii="Times New Roman"/>
                <w:w w:val="60"/>
                <w:sz w:val="14"/>
              </w:rPr>
              <w:t>(43.688)</w:t>
            </w:r>
          </w:p>
        </w:tc>
        <w:tc>
          <w:tcPr>
            <w:tcW w:w="553" w:type="dxa"/>
          </w:tcPr>
          <w:p>
            <w:pPr>
              <w:pStyle w:val="TableParagraph"/>
              <w:spacing w:before="10"/>
              <w:ind w:left="88" w:right="84"/>
              <w:jc w:val="center"/>
              <w:rPr>
                <w:rFonts w:ascii="Times New Roman"/>
                <w:sz w:val="14"/>
              </w:rPr>
            </w:pPr>
            <w:r>
              <w:rPr>
                <w:rFonts w:ascii="Times New Roman"/>
                <w:w w:val="70"/>
                <w:sz w:val="14"/>
              </w:rPr>
              <w:t>(43.688)</w:t>
            </w:r>
          </w:p>
        </w:tc>
        <w:tc>
          <w:tcPr>
            <w:tcW w:w="568" w:type="dxa"/>
          </w:tcPr>
          <w:p>
            <w:pPr>
              <w:pStyle w:val="TableParagraph"/>
              <w:spacing w:before="10"/>
              <w:ind w:left="132"/>
              <w:jc w:val="left"/>
              <w:rPr>
                <w:rFonts w:ascii="Times New Roman"/>
                <w:sz w:val="14"/>
              </w:rPr>
            </w:pPr>
            <w:r>
              <w:rPr>
                <w:rFonts w:ascii="Times New Roman"/>
                <w:w w:val="70"/>
                <w:sz w:val="14"/>
              </w:rPr>
              <w:t>(43.688)</w:t>
            </w:r>
          </w:p>
        </w:tc>
        <w:tc>
          <w:tcPr>
            <w:tcW w:w="648" w:type="dxa"/>
          </w:tcPr>
          <w:p>
            <w:pPr>
              <w:pStyle w:val="TableParagraph"/>
              <w:spacing w:before="10"/>
              <w:ind w:left="160"/>
              <w:jc w:val="left"/>
              <w:rPr>
                <w:rFonts w:ascii="Times New Roman"/>
                <w:b/>
                <w:sz w:val="14"/>
              </w:rPr>
            </w:pPr>
            <w:r>
              <w:rPr>
                <w:rFonts w:ascii="Times New Roman"/>
                <w:b/>
                <w:w w:val="70"/>
                <w:sz w:val="14"/>
              </w:rPr>
              <w:t>(420.427)</w:t>
            </w:r>
          </w:p>
        </w:tc>
      </w:tr>
      <w:tr>
        <w:trPr>
          <w:trHeight w:val="181" w:hRule="exact"/>
        </w:trPr>
        <w:tc>
          <w:tcPr>
            <w:tcW w:w="2709" w:type="dxa"/>
          </w:tcPr>
          <w:p>
            <w:pPr>
              <w:pStyle w:val="TableParagraph"/>
              <w:spacing w:before="7"/>
              <w:ind w:left="241"/>
              <w:jc w:val="left"/>
              <w:rPr>
                <w:rFonts w:ascii="Times New Roman"/>
                <w:i/>
                <w:sz w:val="14"/>
              </w:rPr>
            </w:pPr>
            <w:r>
              <w:rPr>
                <w:rFonts w:ascii="Times New Roman"/>
                <w:i/>
                <w:w w:val="60"/>
                <w:sz w:val="14"/>
              </w:rPr>
              <w:t>Liquidatore  sociale</w:t>
            </w:r>
          </w:p>
        </w:tc>
        <w:tc>
          <w:tcPr>
            <w:tcW w:w="544" w:type="dxa"/>
          </w:tcPr>
          <w:p>
            <w:pPr>
              <w:pStyle w:val="TableParagraph"/>
              <w:spacing w:before="7"/>
              <w:ind w:left="23"/>
              <w:jc w:val="center"/>
              <w:rPr>
                <w:rFonts w:ascii="Times New Roman"/>
                <w:i/>
                <w:sz w:val="14"/>
              </w:rPr>
            </w:pPr>
            <w:r>
              <w:rPr>
                <w:rFonts w:ascii="Times New Roman"/>
                <w:i/>
                <w:w w:val="60"/>
                <w:sz w:val="14"/>
              </w:rPr>
              <w:t>-</w:t>
            </w:r>
          </w:p>
        </w:tc>
        <w:tc>
          <w:tcPr>
            <w:tcW w:w="564" w:type="dxa"/>
          </w:tcPr>
          <w:p>
            <w:pPr>
              <w:pStyle w:val="TableParagraph"/>
              <w:spacing w:before="7"/>
              <w:ind w:left="22"/>
              <w:jc w:val="center"/>
              <w:rPr>
                <w:rFonts w:ascii="Times New Roman"/>
                <w:i/>
                <w:sz w:val="14"/>
              </w:rPr>
            </w:pPr>
            <w:r>
              <w:rPr>
                <w:rFonts w:ascii="Times New Roman"/>
                <w:i/>
                <w:w w:val="60"/>
                <w:sz w:val="14"/>
              </w:rPr>
              <w:t>-</w:t>
            </w:r>
          </w:p>
        </w:tc>
        <w:tc>
          <w:tcPr>
            <w:tcW w:w="577" w:type="dxa"/>
          </w:tcPr>
          <w:p>
            <w:pPr>
              <w:pStyle w:val="TableParagraph"/>
              <w:spacing w:before="7"/>
              <w:ind w:right="10"/>
              <w:jc w:val="center"/>
              <w:rPr>
                <w:rFonts w:ascii="Times New Roman"/>
                <w:i/>
                <w:sz w:val="14"/>
              </w:rPr>
            </w:pPr>
            <w:r>
              <w:rPr>
                <w:rFonts w:ascii="Times New Roman"/>
                <w:i/>
                <w:w w:val="60"/>
                <w:sz w:val="14"/>
              </w:rPr>
              <w:t>-</w:t>
            </w:r>
          </w:p>
        </w:tc>
        <w:tc>
          <w:tcPr>
            <w:tcW w:w="530" w:type="dxa"/>
          </w:tcPr>
          <w:p>
            <w:pPr>
              <w:pStyle w:val="TableParagraph"/>
              <w:spacing w:before="7"/>
              <w:ind w:left="67" w:right="77"/>
              <w:jc w:val="center"/>
              <w:rPr>
                <w:rFonts w:ascii="Times New Roman"/>
                <w:i/>
                <w:sz w:val="14"/>
              </w:rPr>
            </w:pPr>
            <w:r>
              <w:rPr>
                <w:rFonts w:ascii="Times New Roman"/>
                <w:i/>
                <w:w w:val="70"/>
                <w:sz w:val="14"/>
              </w:rPr>
              <w:t>(30.000)</w:t>
            </w:r>
          </w:p>
        </w:tc>
        <w:tc>
          <w:tcPr>
            <w:tcW w:w="1130"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30" w:type="dxa"/>
          </w:tcPr>
          <w:p>
            <w:pPr>
              <w:pStyle w:val="TableParagraph"/>
              <w:spacing w:before="7"/>
              <w:ind w:left="67" w:right="77"/>
              <w:jc w:val="center"/>
              <w:rPr>
                <w:rFonts w:ascii="Times New Roman"/>
                <w:i/>
                <w:sz w:val="14"/>
              </w:rPr>
            </w:pPr>
            <w:r>
              <w:rPr>
                <w:rFonts w:ascii="Times New Roman"/>
                <w:i/>
                <w:w w:val="70"/>
                <w:sz w:val="14"/>
              </w:rPr>
              <w:t>(30.000)</w:t>
            </w:r>
          </w:p>
        </w:tc>
        <w:tc>
          <w:tcPr>
            <w:tcW w:w="1154"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14" w:type="dxa"/>
          </w:tcPr>
          <w:p>
            <w:pPr>
              <w:pStyle w:val="TableParagraph"/>
              <w:spacing w:before="7"/>
              <w:ind w:right="130"/>
              <w:rPr>
                <w:rFonts w:ascii="Times New Roman"/>
                <w:i/>
                <w:sz w:val="14"/>
              </w:rPr>
            </w:pPr>
            <w:r>
              <w:rPr>
                <w:rFonts w:ascii="Times New Roman"/>
                <w:i/>
                <w:w w:val="60"/>
                <w:sz w:val="14"/>
              </w:rPr>
              <w:t>(30.000)</w:t>
            </w:r>
          </w:p>
        </w:tc>
        <w:tc>
          <w:tcPr>
            <w:tcW w:w="553" w:type="dxa"/>
          </w:tcPr>
          <w:p>
            <w:pPr>
              <w:pStyle w:val="TableParagraph"/>
              <w:spacing w:before="7"/>
              <w:ind w:right="130"/>
              <w:rPr>
                <w:rFonts w:ascii="Times New Roman"/>
                <w:i/>
                <w:sz w:val="14"/>
              </w:rPr>
            </w:pPr>
            <w:r>
              <w:rPr>
                <w:rFonts w:ascii="Times New Roman"/>
                <w:i/>
                <w:w w:val="60"/>
                <w:sz w:val="14"/>
              </w:rPr>
              <w:t>(30.000)</w:t>
            </w:r>
          </w:p>
        </w:tc>
        <w:tc>
          <w:tcPr>
            <w:tcW w:w="553" w:type="dxa"/>
          </w:tcPr>
          <w:p>
            <w:pPr>
              <w:pStyle w:val="TableParagraph"/>
              <w:spacing w:before="7"/>
              <w:ind w:left="85" w:right="87"/>
              <w:jc w:val="center"/>
              <w:rPr>
                <w:rFonts w:ascii="Times New Roman"/>
                <w:i/>
                <w:sz w:val="14"/>
              </w:rPr>
            </w:pPr>
            <w:r>
              <w:rPr>
                <w:rFonts w:ascii="Times New Roman"/>
                <w:i/>
                <w:w w:val="70"/>
                <w:sz w:val="14"/>
              </w:rPr>
              <w:t>(30.000)</w:t>
            </w:r>
          </w:p>
        </w:tc>
        <w:tc>
          <w:tcPr>
            <w:tcW w:w="568" w:type="dxa"/>
          </w:tcPr>
          <w:p>
            <w:pPr>
              <w:pStyle w:val="TableParagraph"/>
              <w:spacing w:before="7"/>
              <w:ind w:left="127"/>
              <w:jc w:val="left"/>
              <w:rPr>
                <w:rFonts w:ascii="Times New Roman"/>
                <w:i/>
                <w:sz w:val="14"/>
              </w:rPr>
            </w:pPr>
            <w:r>
              <w:rPr>
                <w:rFonts w:ascii="Times New Roman"/>
                <w:i/>
                <w:w w:val="70"/>
                <w:sz w:val="14"/>
              </w:rPr>
              <w:t>(30.000)</w:t>
            </w:r>
          </w:p>
        </w:tc>
        <w:tc>
          <w:tcPr>
            <w:tcW w:w="648" w:type="dxa"/>
          </w:tcPr>
          <w:p>
            <w:pPr>
              <w:pStyle w:val="TableParagraph"/>
              <w:spacing w:before="7"/>
              <w:ind w:left="160"/>
              <w:jc w:val="left"/>
              <w:rPr>
                <w:rFonts w:ascii="Times New Roman"/>
                <w:b/>
                <w:sz w:val="14"/>
              </w:rPr>
            </w:pPr>
            <w:r>
              <w:rPr>
                <w:rFonts w:ascii="Times New Roman"/>
                <w:b/>
                <w:w w:val="70"/>
                <w:sz w:val="14"/>
              </w:rPr>
              <w:t>(180.000)</w:t>
            </w:r>
          </w:p>
        </w:tc>
      </w:tr>
      <w:tr>
        <w:trPr>
          <w:trHeight w:val="181" w:hRule="exact"/>
        </w:trPr>
        <w:tc>
          <w:tcPr>
            <w:tcW w:w="2709" w:type="dxa"/>
          </w:tcPr>
          <w:p>
            <w:pPr>
              <w:pStyle w:val="TableParagraph"/>
              <w:spacing w:before="7"/>
              <w:ind w:left="241"/>
              <w:jc w:val="left"/>
              <w:rPr>
                <w:rFonts w:ascii="Times New Roman"/>
                <w:i/>
                <w:sz w:val="14"/>
              </w:rPr>
            </w:pPr>
            <w:r>
              <w:rPr>
                <w:rFonts w:ascii="Times New Roman"/>
                <w:i/>
                <w:w w:val="60"/>
                <w:sz w:val="14"/>
              </w:rPr>
              <w:t>Collegio Sindacale</w:t>
            </w:r>
          </w:p>
        </w:tc>
        <w:tc>
          <w:tcPr>
            <w:tcW w:w="544" w:type="dxa"/>
          </w:tcPr>
          <w:p>
            <w:pPr>
              <w:pStyle w:val="TableParagraph"/>
              <w:spacing w:before="7"/>
              <w:ind w:left="23"/>
              <w:jc w:val="center"/>
              <w:rPr>
                <w:rFonts w:ascii="Times New Roman"/>
                <w:i/>
                <w:sz w:val="14"/>
              </w:rPr>
            </w:pPr>
            <w:r>
              <w:rPr>
                <w:rFonts w:ascii="Times New Roman"/>
                <w:i/>
                <w:w w:val="60"/>
                <w:sz w:val="14"/>
              </w:rPr>
              <w:t>-</w:t>
            </w:r>
          </w:p>
        </w:tc>
        <w:tc>
          <w:tcPr>
            <w:tcW w:w="564" w:type="dxa"/>
          </w:tcPr>
          <w:p>
            <w:pPr>
              <w:pStyle w:val="TableParagraph"/>
              <w:spacing w:before="7"/>
              <w:ind w:left="22"/>
              <w:jc w:val="center"/>
              <w:rPr>
                <w:rFonts w:ascii="Times New Roman"/>
                <w:i/>
                <w:sz w:val="14"/>
              </w:rPr>
            </w:pPr>
            <w:r>
              <w:rPr>
                <w:rFonts w:ascii="Times New Roman"/>
                <w:i/>
                <w:w w:val="60"/>
                <w:sz w:val="14"/>
              </w:rPr>
              <w:t>-</w:t>
            </w:r>
          </w:p>
        </w:tc>
        <w:tc>
          <w:tcPr>
            <w:tcW w:w="577" w:type="dxa"/>
          </w:tcPr>
          <w:p>
            <w:pPr>
              <w:pStyle w:val="TableParagraph"/>
              <w:spacing w:before="7"/>
              <w:ind w:left="61" w:right="75"/>
              <w:jc w:val="center"/>
              <w:rPr>
                <w:rFonts w:ascii="Times New Roman"/>
                <w:i/>
                <w:sz w:val="14"/>
              </w:rPr>
            </w:pPr>
            <w:r>
              <w:rPr>
                <w:rFonts w:ascii="Times New Roman"/>
                <w:i/>
                <w:w w:val="70"/>
                <w:sz w:val="14"/>
              </w:rPr>
              <w:t>(122.651)</w:t>
            </w:r>
          </w:p>
        </w:tc>
        <w:tc>
          <w:tcPr>
            <w:tcW w:w="530" w:type="dxa"/>
          </w:tcPr>
          <w:p>
            <w:pPr>
              <w:pStyle w:val="TableParagraph"/>
              <w:spacing w:before="7"/>
              <w:ind w:right="9"/>
              <w:jc w:val="center"/>
              <w:rPr>
                <w:rFonts w:ascii="Times New Roman"/>
                <w:i/>
                <w:sz w:val="14"/>
              </w:rPr>
            </w:pPr>
            <w:r>
              <w:rPr>
                <w:rFonts w:ascii="Times New Roman"/>
                <w:i/>
                <w:w w:val="60"/>
                <w:sz w:val="14"/>
              </w:rPr>
              <w:t>-</w:t>
            </w:r>
          </w:p>
        </w:tc>
        <w:tc>
          <w:tcPr>
            <w:tcW w:w="1130"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30" w:type="dxa"/>
          </w:tcPr>
          <w:p>
            <w:pPr>
              <w:pStyle w:val="TableParagraph"/>
              <w:spacing w:before="7"/>
              <w:ind w:right="9"/>
              <w:jc w:val="center"/>
              <w:rPr>
                <w:rFonts w:ascii="Times New Roman"/>
                <w:i/>
                <w:sz w:val="14"/>
              </w:rPr>
            </w:pPr>
            <w:r>
              <w:rPr>
                <w:rFonts w:ascii="Times New Roman"/>
                <w:i/>
                <w:w w:val="60"/>
                <w:sz w:val="14"/>
              </w:rPr>
              <w:t>-</w:t>
            </w:r>
          </w:p>
        </w:tc>
        <w:tc>
          <w:tcPr>
            <w:tcW w:w="1154"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14" w:type="dxa"/>
          </w:tcPr>
          <w:p>
            <w:pPr>
              <w:pStyle w:val="TableParagraph"/>
              <w:spacing w:before="7"/>
              <w:ind w:right="41"/>
              <w:jc w:val="center"/>
              <w:rPr>
                <w:rFonts w:ascii="Times New Roman"/>
                <w:i/>
                <w:sz w:val="14"/>
              </w:rPr>
            </w:pPr>
            <w:r>
              <w:rPr>
                <w:rFonts w:ascii="Times New Roman"/>
                <w:i/>
                <w:w w:val="60"/>
                <w:sz w:val="14"/>
              </w:rPr>
              <w:t>-</w:t>
            </w:r>
          </w:p>
        </w:tc>
        <w:tc>
          <w:tcPr>
            <w:tcW w:w="553" w:type="dxa"/>
          </w:tcPr>
          <w:p>
            <w:pPr>
              <w:pStyle w:val="TableParagraph"/>
              <w:spacing w:before="7"/>
              <w:ind w:right="2"/>
              <w:jc w:val="center"/>
              <w:rPr>
                <w:rFonts w:ascii="Times New Roman"/>
                <w:i/>
                <w:sz w:val="14"/>
              </w:rPr>
            </w:pPr>
            <w:r>
              <w:rPr>
                <w:rFonts w:ascii="Times New Roman"/>
                <w:i/>
                <w:w w:val="60"/>
                <w:sz w:val="14"/>
              </w:rPr>
              <w:t>-</w:t>
            </w:r>
          </w:p>
        </w:tc>
        <w:tc>
          <w:tcPr>
            <w:tcW w:w="553" w:type="dxa"/>
          </w:tcPr>
          <w:p>
            <w:pPr>
              <w:pStyle w:val="TableParagraph"/>
              <w:spacing w:before="7"/>
              <w:ind w:right="2"/>
              <w:jc w:val="center"/>
              <w:rPr>
                <w:rFonts w:ascii="Times New Roman"/>
                <w:i/>
                <w:sz w:val="14"/>
              </w:rPr>
            </w:pPr>
            <w:r>
              <w:rPr>
                <w:rFonts w:ascii="Times New Roman"/>
                <w:i/>
                <w:w w:val="60"/>
                <w:sz w:val="14"/>
              </w:rPr>
              <w:t>-</w:t>
            </w:r>
          </w:p>
        </w:tc>
        <w:tc>
          <w:tcPr>
            <w:tcW w:w="568" w:type="dxa"/>
          </w:tcPr>
          <w:p>
            <w:pPr>
              <w:pStyle w:val="TableParagraph"/>
              <w:spacing w:before="7"/>
              <w:ind w:right="16"/>
              <w:jc w:val="center"/>
              <w:rPr>
                <w:rFonts w:ascii="Times New Roman"/>
                <w:i/>
                <w:sz w:val="14"/>
              </w:rPr>
            </w:pPr>
            <w:r>
              <w:rPr>
                <w:rFonts w:ascii="Times New Roman"/>
                <w:i/>
                <w:w w:val="60"/>
                <w:sz w:val="14"/>
              </w:rPr>
              <w:t>-</w:t>
            </w:r>
          </w:p>
        </w:tc>
        <w:tc>
          <w:tcPr>
            <w:tcW w:w="648" w:type="dxa"/>
          </w:tcPr>
          <w:p>
            <w:pPr>
              <w:pStyle w:val="TableParagraph"/>
              <w:spacing w:before="7"/>
              <w:ind w:left="160"/>
              <w:jc w:val="left"/>
              <w:rPr>
                <w:rFonts w:ascii="Times New Roman"/>
                <w:b/>
                <w:sz w:val="14"/>
              </w:rPr>
            </w:pPr>
            <w:r>
              <w:rPr>
                <w:rFonts w:ascii="Times New Roman"/>
                <w:b/>
                <w:w w:val="70"/>
                <w:sz w:val="14"/>
              </w:rPr>
              <w:t>(122.651)</w:t>
            </w:r>
          </w:p>
        </w:tc>
      </w:tr>
      <w:tr>
        <w:trPr>
          <w:trHeight w:val="181" w:hRule="exact"/>
        </w:trPr>
        <w:tc>
          <w:tcPr>
            <w:tcW w:w="2709" w:type="dxa"/>
          </w:tcPr>
          <w:p>
            <w:pPr>
              <w:pStyle w:val="TableParagraph"/>
              <w:spacing w:before="7"/>
              <w:ind w:left="241"/>
              <w:jc w:val="left"/>
              <w:rPr>
                <w:rFonts w:ascii="Times New Roman" w:hAnsi="Times New Roman"/>
                <w:i/>
                <w:sz w:val="14"/>
              </w:rPr>
            </w:pPr>
            <w:r>
              <w:rPr>
                <w:rFonts w:ascii="Times New Roman" w:hAnsi="Times New Roman"/>
                <w:i/>
                <w:w w:val="65"/>
                <w:sz w:val="14"/>
              </w:rPr>
              <w:t>Società di revisione</w:t>
            </w:r>
          </w:p>
        </w:tc>
        <w:tc>
          <w:tcPr>
            <w:tcW w:w="544" w:type="dxa"/>
          </w:tcPr>
          <w:p>
            <w:pPr>
              <w:pStyle w:val="TableParagraph"/>
              <w:spacing w:before="7"/>
              <w:ind w:left="23"/>
              <w:jc w:val="center"/>
              <w:rPr>
                <w:rFonts w:ascii="Times New Roman"/>
                <w:i/>
                <w:sz w:val="14"/>
              </w:rPr>
            </w:pPr>
            <w:r>
              <w:rPr>
                <w:rFonts w:ascii="Times New Roman"/>
                <w:i/>
                <w:w w:val="60"/>
                <w:sz w:val="14"/>
              </w:rPr>
              <w:t>-</w:t>
            </w:r>
          </w:p>
        </w:tc>
        <w:tc>
          <w:tcPr>
            <w:tcW w:w="564" w:type="dxa"/>
          </w:tcPr>
          <w:p>
            <w:pPr>
              <w:pStyle w:val="TableParagraph"/>
              <w:spacing w:before="7"/>
              <w:ind w:left="22"/>
              <w:jc w:val="center"/>
              <w:rPr>
                <w:rFonts w:ascii="Times New Roman"/>
                <w:i/>
                <w:sz w:val="14"/>
              </w:rPr>
            </w:pPr>
            <w:r>
              <w:rPr>
                <w:rFonts w:ascii="Times New Roman"/>
                <w:i/>
                <w:w w:val="60"/>
                <w:sz w:val="14"/>
              </w:rPr>
              <w:t>-</w:t>
            </w:r>
          </w:p>
        </w:tc>
        <w:tc>
          <w:tcPr>
            <w:tcW w:w="577" w:type="dxa"/>
          </w:tcPr>
          <w:p>
            <w:pPr>
              <w:pStyle w:val="TableParagraph"/>
              <w:spacing w:before="7"/>
              <w:ind w:left="66" w:right="75"/>
              <w:jc w:val="center"/>
              <w:rPr>
                <w:rFonts w:ascii="Times New Roman"/>
                <w:i/>
                <w:sz w:val="14"/>
              </w:rPr>
            </w:pPr>
            <w:r>
              <w:rPr>
                <w:rFonts w:ascii="Times New Roman"/>
                <w:i/>
                <w:w w:val="70"/>
                <w:sz w:val="14"/>
              </w:rPr>
              <w:t>(21.960)</w:t>
            </w:r>
          </w:p>
        </w:tc>
        <w:tc>
          <w:tcPr>
            <w:tcW w:w="530" w:type="dxa"/>
          </w:tcPr>
          <w:p>
            <w:pPr>
              <w:pStyle w:val="TableParagraph"/>
              <w:spacing w:before="7"/>
              <w:ind w:right="9"/>
              <w:jc w:val="center"/>
              <w:rPr>
                <w:rFonts w:ascii="Times New Roman"/>
                <w:i/>
                <w:sz w:val="14"/>
              </w:rPr>
            </w:pPr>
            <w:r>
              <w:rPr>
                <w:rFonts w:ascii="Times New Roman"/>
                <w:i/>
                <w:w w:val="60"/>
                <w:sz w:val="14"/>
              </w:rPr>
              <w:t>-</w:t>
            </w:r>
          </w:p>
        </w:tc>
        <w:tc>
          <w:tcPr>
            <w:tcW w:w="1130"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30" w:type="dxa"/>
          </w:tcPr>
          <w:p>
            <w:pPr>
              <w:pStyle w:val="TableParagraph"/>
              <w:spacing w:before="7"/>
              <w:ind w:right="9"/>
              <w:jc w:val="center"/>
              <w:rPr>
                <w:rFonts w:ascii="Times New Roman"/>
                <w:i/>
                <w:sz w:val="14"/>
              </w:rPr>
            </w:pPr>
            <w:r>
              <w:rPr>
                <w:rFonts w:ascii="Times New Roman"/>
                <w:i/>
                <w:w w:val="60"/>
                <w:sz w:val="14"/>
              </w:rPr>
              <w:t>-</w:t>
            </w:r>
          </w:p>
        </w:tc>
        <w:tc>
          <w:tcPr>
            <w:tcW w:w="1154"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14" w:type="dxa"/>
          </w:tcPr>
          <w:p>
            <w:pPr>
              <w:pStyle w:val="TableParagraph"/>
              <w:spacing w:before="7"/>
              <w:ind w:right="41"/>
              <w:jc w:val="center"/>
              <w:rPr>
                <w:rFonts w:ascii="Times New Roman"/>
                <w:i/>
                <w:sz w:val="14"/>
              </w:rPr>
            </w:pPr>
            <w:r>
              <w:rPr>
                <w:rFonts w:ascii="Times New Roman"/>
                <w:i/>
                <w:w w:val="60"/>
                <w:sz w:val="14"/>
              </w:rPr>
              <w:t>-</w:t>
            </w:r>
          </w:p>
        </w:tc>
        <w:tc>
          <w:tcPr>
            <w:tcW w:w="553" w:type="dxa"/>
          </w:tcPr>
          <w:p>
            <w:pPr>
              <w:pStyle w:val="TableParagraph"/>
              <w:spacing w:before="7"/>
              <w:ind w:right="2"/>
              <w:jc w:val="center"/>
              <w:rPr>
                <w:rFonts w:ascii="Times New Roman"/>
                <w:i/>
                <w:sz w:val="14"/>
              </w:rPr>
            </w:pPr>
            <w:r>
              <w:rPr>
                <w:rFonts w:ascii="Times New Roman"/>
                <w:i/>
                <w:w w:val="60"/>
                <w:sz w:val="14"/>
              </w:rPr>
              <w:t>-</w:t>
            </w:r>
          </w:p>
        </w:tc>
        <w:tc>
          <w:tcPr>
            <w:tcW w:w="553" w:type="dxa"/>
          </w:tcPr>
          <w:p>
            <w:pPr>
              <w:pStyle w:val="TableParagraph"/>
              <w:spacing w:before="7"/>
              <w:ind w:right="2"/>
              <w:jc w:val="center"/>
              <w:rPr>
                <w:rFonts w:ascii="Times New Roman"/>
                <w:i/>
                <w:sz w:val="14"/>
              </w:rPr>
            </w:pPr>
            <w:r>
              <w:rPr>
                <w:rFonts w:ascii="Times New Roman"/>
                <w:i/>
                <w:w w:val="60"/>
                <w:sz w:val="14"/>
              </w:rPr>
              <w:t>-</w:t>
            </w:r>
          </w:p>
        </w:tc>
        <w:tc>
          <w:tcPr>
            <w:tcW w:w="568" w:type="dxa"/>
          </w:tcPr>
          <w:p>
            <w:pPr>
              <w:pStyle w:val="TableParagraph"/>
              <w:spacing w:before="7"/>
              <w:ind w:right="16"/>
              <w:jc w:val="center"/>
              <w:rPr>
                <w:rFonts w:ascii="Times New Roman"/>
                <w:i/>
                <w:sz w:val="14"/>
              </w:rPr>
            </w:pPr>
            <w:r>
              <w:rPr>
                <w:rFonts w:ascii="Times New Roman"/>
                <w:i/>
                <w:w w:val="60"/>
                <w:sz w:val="14"/>
              </w:rPr>
              <w:t>-</w:t>
            </w:r>
          </w:p>
        </w:tc>
        <w:tc>
          <w:tcPr>
            <w:tcW w:w="648" w:type="dxa"/>
          </w:tcPr>
          <w:p>
            <w:pPr>
              <w:pStyle w:val="TableParagraph"/>
              <w:spacing w:before="7"/>
              <w:ind w:left="184"/>
              <w:jc w:val="left"/>
              <w:rPr>
                <w:rFonts w:ascii="Times New Roman"/>
                <w:b/>
                <w:sz w:val="14"/>
              </w:rPr>
            </w:pPr>
            <w:r>
              <w:rPr>
                <w:rFonts w:ascii="Times New Roman"/>
                <w:b/>
                <w:w w:val="70"/>
                <w:sz w:val="14"/>
              </w:rPr>
              <w:t>(21.960)</w:t>
            </w:r>
          </w:p>
        </w:tc>
      </w:tr>
      <w:tr>
        <w:trPr>
          <w:trHeight w:val="181" w:hRule="exact"/>
        </w:trPr>
        <w:tc>
          <w:tcPr>
            <w:tcW w:w="2709" w:type="dxa"/>
          </w:tcPr>
          <w:p>
            <w:pPr>
              <w:pStyle w:val="TableParagraph"/>
              <w:spacing w:before="7"/>
              <w:ind w:left="241"/>
              <w:jc w:val="left"/>
              <w:rPr>
                <w:rFonts w:ascii="Times New Roman" w:hAnsi="Times New Roman"/>
                <w:i/>
                <w:sz w:val="14"/>
              </w:rPr>
            </w:pPr>
            <w:r>
              <w:rPr>
                <w:rFonts w:ascii="Times New Roman" w:hAnsi="Times New Roman"/>
                <w:i/>
                <w:w w:val="60"/>
                <w:sz w:val="14"/>
              </w:rPr>
              <w:t>Costi tenuta contabilità ed adempimenti  fiscali</w:t>
            </w:r>
          </w:p>
        </w:tc>
        <w:tc>
          <w:tcPr>
            <w:tcW w:w="544" w:type="dxa"/>
          </w:tcPr>
          <w:p>
            <w:pPr>
              <w:pStyle w:val="TableParagraph"/>
              <w:spacing w:before="7"/>
              <w:ind w:left="23"/>
              <w:jc w:val="center"/>
              <w:rPr>
                <w:rFonts w:ascii="Times New Roman"/>
                <w:i/>
                <w:sz w:val="14"/>
              </w:rPr>
            </w:pPr>
            <w:r>
              <w:rPr>
                <w:rFonts w:ascii="Times New Roman"/>
                <w:i/>
                <w:w w:val="60"/>
                <w:sz w:val="14"/>
              </w:rPr>
              <w:t>-</w:t>
            </w:r>
          </w:p>
        </w:tc>
        <w:tc>
          <w:tcPr>
            <w:tcW w:w="564" w:type="dxa"/>
          </w:tcPr>
          <w:p>
            <w:pPr>
              <w:pStyle w:val="TableParagraph"/>
              <w:spacing w:before="7"/>
              <w:ind w:left="22"/>
              <w:jc w:val="center"/>
              <w:rPr>
                <w:rFonts w:ascii="Times New Roman"/>
                <w:i/>
                <w:sz w:val="14"/>
              </w:rPr>
            </w:pPr>
            <w:r>
              <w:rPr>
                <w:rFonts w:ascii="Times New Roman"/>
                <w:i/>
                <w:w w:val="60"/>
                <w:sz w:val="14"/>
              </w:rPr>
              <w:t>-</w:t>
            </w:r>
          </w:p>
        </w:tc>
        <w:tc>
          <w:tcPr>
            <w:tcW w:w="577" w:type="dxa"/>
          </w:tcPr>
          <w:p>
            <w:pPr>
              <w:pStyle w:val="TableParagraph"/>
              <w:spacing w:before="7"/>
              <w:ind w:left="66" w:right="75"/>
              <w:jc w:val="center"/>
              <w:rPr>
                <w:rFonts w:ascii="Times New Roman"/>
                <w:i/>
                <w:sz w:val="14"/>
              </w:rPr>
            </w:pPr>
            <w:r>
              <w:rPr>
                <w:rFonts w:ascii="Times New Roman"/>
                <w:i/>
                <w:w w:val="70"/>
                <w:sz w:val="14"/>
              </w:rPr>
              <w:t>(12.688)</w:t>
            </w:r>
          </w:p>
        </w:tc>
        <w:tc>
          <w:tcPr>
            <w:tcW w:w="530" w:type="dxa"/>
          </w:tcPr>
          <w:p>
            <w:pPr>
              <w:pStyle w:val="TableParagraph"/>
              <w:spacing w:before="7"/>
              <w:ind w:right="9"/>
              <w:jc w:val="center"/>
              <w:rPr>
                <w:rFonts w:ascii="Times New Roman"/>
                <w:i/>
                <w:sz w:val="14"/>
              </w:rPr>
            </w:pPr>
            <w:r>
              <w:rPr>
                <w:rFonts w:ascii="Times New Roman"/>
                <w:i/>
                <w:w w:val="60"/>
                <w:sz w:val="14"/>
              </w:rPr>
              <w:t>-</w:t>
            </w:r>
          </w:p>
        </w:tc>
        <w:tc>
          <w:tcPr>
            <w:tcW w:w="1130" w:type="dxa"/>
            <w:gridSpan w:val="2"/>
          </w:tcPr>
          <w:p>
            <w:pPr>
              <w:pStyle w:val="TableParagraph"/>
              <w:tabs>
                <w:tab w:pos="689" w:val="left" w:leader="none"/>
              </w:tabs>
              <w:spacing w:before="7"/>
              <w:ind w:left="268"/>
              <w:jc w:val="left"/>
              <w:rPr>
                <w:rFonts w:ascii="Times New Roman"/>
                <w:i/>
                <w:sz w:val="14"/>
              </w:rPr>
            </w:pPr>
            <w:r>
              <w:rPr>
                <w:rFonts w:ascii="Times New Roman"/>
                <w:i/>
                <w:w w:val="70"/>
                <w:sz w:val="14"/>
              </w:rPr>
              <w:t>-</w:t>
              <w:tab/>
              <w:t>(12.688)</w:t>
            </w:r>
          </w:p>
        </w:tc>
        <w:tc>
          <w:tcPr>
            <w:tcW w:w="530" w:type="dxa"/>
          </w:tcPr>
          <w:p>
            <w:pPr>
              <w:pStyle w:val="TableParagraph"/>
              <w:spacing w:before="7"/>
              <w:ind w:right="9"/>
              <w:jc w:val="center"/>
              <w:rPr>
                <w:rFonts w:ascii="Times New Roman"/>
                <w:i/>
                <w:sz w:val="14"/>
              </w:rPr>
            </w:pPr>
            <w:r>
              <w:rPr>
                <w:rFonts w:ascii="Times New Roman"/>
                <w:i/>
                <w:w w:val="60"/>
                <w:sz w:val="14"/>
              </w:rPr>
              <w:t>-</w:t>
            </w:r>
          </w:p>
        </w:tc>
        <w:tc>
          <w:tcPr>
            <w:tcW w:w="1154" w:type="dxa"/>
            <w:gridSpan w:val="2"/>
          </w:tcPr>
          <w:p>
            <w:pPr>
              <w:pStyle w:val="TableParagraph"/>
              <w:tabs>
                <w:tab w:pos="689" w:val="left" w:leader="none"/>
              </w:tabs>
              <w:spacing w:before="7"/>
              <w:ind w:left="268"/>
              <w:jc w:val="left"/>
              <w:rPr>
                <w:rFonts w:ascii="Times New Roman"/>
                <w:i/>
                <w:sz w:val="14"/>
              </w:rPr>
            </w:pPr>
            <w:r>
              <w:rPr>
                <w:rFonts w:ascii="Times New Roman"/>
                <w:i/>
                <w:w w:val="70"/>
                <w:sz w:val="14"/>
              </w:rPr>
              <w:t>-</w:t>
              <w:tab/>
              <w:t>(12.688)</w:t>
            </w:r>
          </w:p>
        </w:tc>
        <w:tc>
          <w:tcPr>
            <w:tcW w:w="514" w:type="dxa"/>
          </w:tcPr>
          <w:p>
            <w:pPr>
              <w:pStyle w:val="TableParagraph"/>
              <w:spacing w:before="7"/>
              <w:ind w:right="130"/>
              <w:rPr>
                <w:rFonts w:ascii="Times New Roman"/>
                <w:i/>
                <w:sz w:val="14"/>
              </w:rPr>
            </w:pPr>
            <w:r>
              <w:rPr>
                <w:rFonts w:ascii="Times New Roman"/>
                <w:i/>
                <w:w w:val="60"/>
                <w:sz w:val="14"/>
              </w:rPr>
              <w:t>(12.688)</w:t>
            </w:r>
          </w:p>
        </w:tc>
        <w:tc>
          <w:tcPr>
            <w:tcW w:w="553" w:type="dxa"/>
          </w:tcPr>
          <w:p>
            <w:pPr>
              <w:pStyle w:val="TableParagraph"/>
              <w:spacing w:before="7"/>
              <w:ind w:right="130"/>
              <w:rPr>
                <w:rFonts w:ascii="Times New Roman"/>
                <w:i/>
                <w:sz w:val="14"/>
              </w:rPr>
            </w:pPr>
            <w:r>
              <w:rPr>
                <w:rFonts w:ascii="Times New Roman"/>
                <w:i/>
                <w:w w:val="60"/>
                <w:sz w:val="14"/>
              </w:rPr>
              <w:t>(12.688)</w:t>
            </w:r>
          </w:p>
        </w:tc>
        <w:tc>
          <w:tcPr>
            <w:tcW w:w="553" w:type="dxa"/>
          </w:tcPr>
          <w:p>
            <w:pPr>
              <w:pStyle w:val="TableParagraph"/>
              <w:spacing w:before="7"/>
              <w:ind w:left="85" w:right="87"/>
              <w:jc w:val="center"/>
              <w:rPr>
                <w:rFonts w:ascii="Times New Roman"/>
                <w:i/>
                <w:sz w:val="14"/>
              </w:rPr>
            </w:pPr>
            <w:r>
              <w:rPr>
                <w:rFonts w:ascii="Times New Roman"/>
                <w:i/>
                <w:w w:val="70"/>
                <w:sz w:val="14"/>
              </w:rPr>
              <w:t>(12.688)</w:t>
            </w:r>
          </w:p>
        </w:tc>
        <w:tc>
          <w:tcPr>
            <w:tcW w:w="568" w:type="dxa"/>
          </w:tcPr>
          <w:p>
            <w:pPr>
              <w:pStyle w:val="TableParagraph"/>
              <w:spacing w:before="7"/>
              <w:ind w:left="127"/>
              <w:jc w:val="left"/>
              <w:rPr>
                <w:rFonts w:ascii="Times New Roman"/>
                <w:i/>
                <w:sz w:val="14"/>
              </w:rPr>
            </w:pPr>
            <w:r>
              <w:rPr>
                <w:rFonts w:ascii="Times New Roman"/>
                <w:i/>
                <w:w w:val="70"/>
                <w:sz w:val="14"/>
              </w:rPr>
              <w:t>(12.688)</w:t>
            </w:r>
          </w:p>
        </w:tc>
        <w:tc>
          <w:tcPr>
            <w:tcW w:w="648" w:type="dxa"/>
          </w:tcPr>
          <w:p>
            <w:pPr>
              <w:pStyle w:val="TableParagraph"/>
              <w:spacing w:before="7"/>
              <w:ind w:left="184"/>
              <w:jc w:val="left"/>
              <w:rPr>
                <w:rFonts w:ascii="Times New Roman"/>
                <w:b/>
                <w:sz w:val="14"/>
              </w:rPr>
            </w:pPr>
            <w:r>
              <w:rPr>
                <w:rFonts w:ascii="Times New Roman"/>
                <w:b/>
                <w:w w:val="70"/>
                <w:sz w:val="14"/>
              </w:rPr>
              <w:t>(88.816)</w:t>
            </w:r>
          </w:p>
        </w:tc>
      </w:tr>
      <w:tr>
        <w:trPr>
          <w:trHeight w:val="181" w:hRule="exact"/>
        </w:trPr>
        <w:tc>
          <w:tcPr>
            <w:tcW w:w="2709" w:type="dxa"/>
          </w:tcPr>
          <w:p>
            <w:pPr>
              <w:pStyle w:val="TableParagraph"/>
              <w:spacing w:before="7"/>
              <w:ind w:left="241"/>
              <w:jc w:val="left"/>
              <w:rPr>
                <w:rFonts w:ascii="Times New Roman" w:hAnsi="Times New Roman"/>
                <w:i/>
                <w:sz w:val="14"/>
              </w:rPr>
            </w:pPr>
            <w:r>
              <w:rPr>
                <w:rFonts w:ascii="Times New Roman" w:hAnsi="Times New Roman"/>
                <w:i/>
                <w:w w:val="65"/>
                <w:sz w:val="14"/>
              </w:rPr>
              <w:t>Altri costi società (vidimazione libri, diritti camerali, etc.)</w:t>
            </w:r>
          </w:p>
        </w:tc>
        <w:tc>
          <w:tcPr>
            <w:tcW w:w="544" w:type="dxa"/>
          </w:tcPr>
          <w:p>
            <w:pPr>
              <w:pStyle w:val="TableParagraph"/>
              <w:spacing w:before="7"/>
              <w:ind w:left="23"/>
              <w:jc w:val="center"/>
              <w:rPr>
                <w:rFonts w:ascii="Times New Roman"/>
                <w:i/>
                <w:sz w:val="14"/>
              </w:rPr>
            </w:pPr>
            <w:r>
              <w:rPr>
                <w:rFonts w:ascii="Times New Roman"/>
                <w:i/>
                <w:w w:val="60"/>
                <w:sz w:val="14"/>
              </w:rPr>
              <w:t>-</w:t>
            </w:r>
          </w:p>
        </w:tc>
        <w:tc>
          <w:tcPr>
            <w:tcW w:w="564" w:type="dxa"/>
          </w:tcPr>
          <w:p>
            <w:pPr>
              <w:pStyle w:val="TableParagraph"/>
              <w:spacing w:before="7"/>
              <w:ind w:left="48" w:right="31"/>
              <w:jc w:val="center"/>
              <w:rPr>
                <w:rFonts w:ascii="Times New Roman"/>
                <w:i/>
                <w:sz w:val="14"/>
              </w:rPr>
            </w:pPr>
            <w:r>
              <w:rPr>
                <w:rFonts w:ascii="Times New Roman"/>
                <w:i/>
                <w:w w:val="70"/>
                <w:sz w:val="14"/>
              </w:rPr>
              <w:t>(1.000)</w:t>
            </w:r>
          </w:p>
        </w:tc>
        <w:tc>
          <w:tcPr>
            <w:tcW w:w="577" w:type="dxa"/>
          </w:tcPr>
          <w:p>
            <w:pPr>
              <w:pStyle w:val="TableParagraph"/>
              <w:spacing w:before="7"/>
              <w:ind w:right="10"/>
              <w:jc w:val="center"/>
              <w:rPr>
                <w:rFonts w:ascii="Times New Roman"/>
                <w:i/>
                <w:sz w:val="14"/>
              </w:rPr>
            </w:pPr>
            <w:r>
              <w:rPr>
                <w:rFonts w:ascii="Times New Roman"/>
                <w:i/>
                <w:w w:val="60"/>
                <w:sz w:val="14"/>
              </w:rPr>
              <w:t>-</w:t>
            </w:r>
          </w:p>
        </w:tc>
        <w:tc>
          <w:tcPr>
            <w:tcW w:w="530" w:type="dxa"/>
          </w:tcPr>
          <w:p>
            <w:pPr>
              <w:pStyle w:val="TableParagraph"/>
              <w:spacing w:before="7"/>
              <w:ind w:left="63" w:right="77"/>
              <w:jc w:val="center"/>
              <w:rPr>
                <w:rFonts w:ascii="Times New Roman"/>
                <w:i/>
                <w:sz w:val="14"/>
              </w:rPr>
            </w:pPr>
            <w:r>
              <w:rPr>
                <w:rFonts w:ascii="Times New Roman"/>
                <w:i/>
                <w:w w:val="70"/>
                <w:sz w:val="14"/>
              </w:rPr>
              <w:t>(1.000)</w:t>
            </w:r>
          </w:p>
        </w:tc>
        <w:tc>
          <w:tcPr>
            <w:tcW w:w="1130"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30" w:type="dxa"/>
          </w:tcPr>
          <w:p>
            <w:pPr>
              <w:pStyle w:val="TableParagraph"/>
              <w:spacing w:before="7"/>
              <w:ind w:left="63" w:right="77"/>
              <w:jc w:val="center"/>
              <w:rPr>
                <w:rFonts w:ascii="Times New Roman"/>
                <w:i/>
                <w:sz w:val="14"/>
              </w:rPr>
            </w:pPr>
            <w:r>
              <w:rPr>
                <w:rFonts w:ascii="Times New Roman"/>
                <w:i/>
                <w:w w:val="70"/>
                <w:sz w:val="14"/>
              </w:rPr>
              <w:t>(1.000)</w:t>
            </w:r>
          </w:p>
        </w:tc>
        <w:tc>
          <w:tcPr>
            <w:tcW w:w="1154" w:type="dxa"/>
            <w:gridSpan w:val="2"/>
          </w:tcPr>
          <w:p>
            <w:pPr>
              <w:pStyle w:val="TableParagraph"/>
              <w:tabs>
                <w:tab w:pos="821" w:val="left" w:leader="none"/>
              </w:tabs>
              <w:spacing w:before="7"/>
              <w:ind w:left="268"/>
              <w:jc w:val="left"/>
              <w:rPr>
                <w:rFonts w:ascii="Times New Roman"/>
                <w:i/>
                <w:sz w:val="14"/>
              </w:rPr>
            </w:pPr>
            <w:r>
              <w:rPr>
                <w:rFonts w:ascii="Times New Roman"/>
                <w:i/>
                <w:w w:val="70"/>
                <w:sz w:val="14"/>
              </w:rPr>
              <w:t>-</w:t>
              <w:tab/>
              <w:t>-</w:t>
            </w:r>
          </w:p>
        </w:tc>
        <w:tc>
          <w:tcPr>
            <w:tcW w:w="514" w:type="dxa"/>
          </w:tcPr>
          <w:p>
            <w:pPr>
              <w:pStyle w:val="TableParagraph"/>
              <w:spacing w:before="7"/>
              <w:ind w:right="154"/>
              <w:rPr>
                <w:rFonts w:ascii="Times New Roman"/>
                <w:i/>
                <w:sz w:val="14"/>
              </w:rPr>
            </w:pPr>
            <w:r>
              <w:rPr>
                <w:rFonts w:ascii="Times New Roman"/>
                <w:i/>
                <w:w w:val="60"/>
                <w:sz w:val="14"/>
              </w:rPr>
              <w:t>(1.000)</w:t>
            </w:r>
          </w:p>
        </w:tc>
        <w:tc>
          <w:tcPr>
            <w:tcW w:w="553" w:type="dxa"/>
          </w:tcPr>
          <w:p>
            <w:pPr>
              <w:pStyle w:val="TableParagraph"/>
              <w:spacing w:before="7"/>
              <w:ind w:right="155"/>
              <w:rPr>
                <w:rFonts w:ascii="Times New Roman"/>
                <w:i/>
                <w:sz w:val="14"/>
              </w:rPr>
            </w:pPr>
            <w:r>
              <w:rPr>
                <w:rFonts w:ascii="Times New Roman"/>
                <w:i/>
                <w:w w:val="60"/>
                <w:sz w:val="14"/>
              </w:rPr>
              <w:t>(1.000)</w:t>
            </w:r>
          </w:p>
        </w:tc>
        <w:tc>
          <w:tcPr>
            <w:tcW w:w="553" w:type="dxa"/>
          </w:tcPr>
          <w:p>
            <w:pPr>
              <w:pStyle w:val="TableParagraph"/>
              <w:spacing w:before="7"/>
              <w:ind w:left="80" w:right="87"/>
              <w:jc w:val="center"/>
              <w:rPr>
                <w:rFonts w:ascii="Times New Roman"/>
                <w:i/>
                <w:sz w:val="14"/>
              </w:rPr>
            </w:pPr>
            <w:r>
              <w:rPr>
                <w:rFonts w:ascii="Times New Roman"/>
                <w:i/>
                <w:w w:val="70"/>
                <w:sz w:val="14"/>
              </w:rPr>
              <w:t>(1.000)</w:t>
            </w:r>
          </w:p>
        </w:tc>
        <w:tc>
          <w:tcPr>
            <w:tcW w:w="568" w:type="dxa"/>
          </w:tcPr>
          <w:p>
            <w:pPr>
              <w:pStyle w:val="TableParagraph"/>
              <w:spacing w:before="7"/>
              <w:ind w:left="146"/>
              <w:jc w:val="left"/>
              <w:rPr>
                <w:rFonts w:ascii="Times New Roman"/>
                <w:i/>
                <w:sz w:val="14"/>
              </w:rPr>
            </w:pPr>
            <w:r>
              <w:rPr>
                <w:rFonts w:ascii="Times New Roman"/>
                <w:i/>
                <w:w w:val="70"/>
                <w:sz w:val="14"/>
              </w:rPr>
              <w:t>(1.000)</w:t>
            </w:r>
          </w:p>
        </w:tc>
        <w:tc>
          <w:tcPr>
            <w:tcW w:w="648" w:type="dxa"/>
          </w:tcPr>
          <w:p>
            <w:pPr>
              <w:pStyle w:val="TableParagraph"/>
              <w:spacing w:before="7"/>
              <w:ind w:left="203"/>
              <w:jc w:val="left"/>
              <w:rPr>
                <w:rFonts w:ascii="Times New Roman"/>
                <w:b/>
                <w:sz w:val="14"/>
              </w:rPr>
            </w:pPr>
            <w:r>
              <w:rPr>
                <w:rFonts w:ascii="Times New Roman"/>
                <w:b/>
                <w:w w:val="70"/>
                <w:sz w:val="14"/>
              </w:rPr>
              <w:t>(7.000)</w:t>
            </w:r>
          </w:p>
        </w:tc>
      </w:tr>
      <w:tr>
        <w:trPr>
          <w:trHeight w:val="181" w:hRule="exact"/>
        </w:trPr>
        <w:tc>
          <w:tcPr>
            <w:tcW w:w="2709" w:type="dxa"/>
          </w:tcPr>
          <w:p>
            <w:pPr>
              <w:pStyle w:val="TableParagraph"/>
              <w:spacing w:before="7"/>
              <w:ind w:left="14"/>
              <w:jc w:val="left"/>
              <w:rPr>
                <w:rFonts w:ascii="Times New Roman"/>
                <w:sz w:val="14"/>
              </w:rPr>
            </w:pPr>
            <w:r>
              <w:rPr>
                <w:rFonts w:ascii="Times New Roman"/>
                <w:w w:val="60"/>
                <w:sz w:val="14"/>
              </w:rPr>
              <w:t>- Costo del personale</w:t>
            </w:r>
          </w:p>
        </w:tc>
        <w:tc>
          <w:tcPr>
            <w:tcW w:w="544" w:type="dxa"/>
          </w:tcPr>
          <w:p>
            <w:pPr>
              <w:pStyle w:val="TableParagraph"/>
              <w:spacing w:before="7"/>
              <w:ind w:left="122"/>
              <w:jc w:val="left"/>
              <w:rPr>
                <w:rFonts w:ascii="Times New Roman"/>
                <w:sz w:val="14"/>
              </w:rPr>
            </w:pPr>
            <w:r>
              <w:rPr>
                <w:rFonts w:ascii="Times New Roman"/>
                <w:w w:val="70"/>
                <w:sz w:val="14"/>
              </w:rPr>
              <w:t>(369.400)</w:t>
            </w:r>
          </w:p>
        </w:tc>
        <w:tc>
          <w:tcPr>
            <w:tcW w:w="564" w:type="dxa"/>
          </w:tcPr>
          <w:p>
            <w:pPr>
              <w:pStyle w:val="TableParagraph"/>
              <w:spacing w:before="7"/>
              <w:ind w:left="67" w:right="31"/>
              <w:jc w:val="center"/>
              <w:rPr>
                <w:rFonts w:ascii="Times New Roman"/>
                <w:sz w:val="14"/>
              </w:rPr>
            </w:pPr>
            <w:r>
              <w:rPr>
                <w:rFonts w:ascii="Times New Roman"/>
                <w:w w:val="70"/>
                <w:sz w:val="14"/>
              </w:rPr>
              <w:t>(577.200)</w:t>
            </w:r>
          </w:p>
        </w:tc>
        <w:tc>
          <w:tcPr>
            <w:tcW w:w="577" w:type="dxa"/>
          </w:tcPr>
          <w:p>
            <w:pPr>
              <w:pStyle w:val="TableParagraph"/>
              <w:spacing w:before="7"/>
              <w:jc w:val="center"/>
              <w:rPr>
                <w:rFonts w:ascii="Times New Roman"/>
                <w:sz w:val="14"/>
              </w:rPr>
            </w:pPr>
            <w:r>
              <w:rPr>
                <w:rFonts w:ascii="Times New Roman"/>
                <w:w w:val="60"/>
                <w:sz w:val="14"/>
              </w:rPr>
              <w:t>-</w:t>
            </w:r>
          </w:p>
        </w:tc>
        <w:tc>
          <w:tcPr>
            <w:tcW w:w="530" w:type="dxa"/>
          </w:tcPr>
          <w:p>
            <w:pPr>
              <w:pStyle w:val="TableParagraph"/>
              <w:spacing w:before="7"/>
              <w:jc w:val="center"/>
              <w:rPr>
                <w:rFonts w:ascii="Times New Roman"/>
                <w:sz w:val="14"/>
              </w:rPr>
            </w:pPr>
            <w:r>
              <w:rPr>
                <w:rFonts w:ascii="Times New Roman"/>
                <w:w w:val="60"/>
                <w:sz w:val="14"/>
              </w:rPr>
              <w:t>-</w:t>
            </w:r>
          </w:p>
        </w:tc>
        <w:tc>
          <w:tcPr>
            <w:tcW w:w="1130"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30" w:type="dxa"/>
          </w:tcPr>
          <w:p>
            <w:pPr>
              <w:pStyle w:val="TableParagraph"/>
              <w:spacing w:before="7"/>
              <w:jc w:val="center"/>
              <w:rPr>
                <w:rFonts w:ascii="Times New Roman"/>
                <w:sz w:val="14"/>
              </w:rPr>
            </w:pPr>
            <w:r>
              <w:rPr>
                <w:rFonts w:ascii="Times New Roman"/>
                <w:w w:val="60"/>
                <w:sz w:val="14"/>
              </w:rPr>
              <w:t>-</w:t>
            </w:r>
          </w:p>
        </w:tc>
        <w:tc>
          <w:tcPr>
            <w:tcW w:w="1154"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14" w:type="dxa"/>
          </w:tcPr>
          <w:p>
            <w:pPr>
              <w:pStyle w:val="TableParagraph"/>
              <w:spacing w:before="7"/>
              <w:ind w:right="32"/>
              <w:jc w:val="center"/>
              <w:rPr>
                <w:rFonts w:ascii="Times New Roman"/>
                <w:sz w:val="14"/>
              </w:rPr>
            </w:pPr>
            <w:r>
              <w:rPr>
                <w:rFonts w:ascii="Times New Roman"/>
                <w:w w:val="60"/>
                <w:sz w:val="14"/>
              </w:rPr>
              <w:t>-</w:t>
            </w:r>
          </w:p>
        </w:tc>
        <w:tc>
          <w:tcPr>
            <w:tcW w:w="553" w:type="dxa"/>
          </w:tcPr>
          <w:p>
            <w:pPr>
              <w:pStyle w:val="TableParagraph"/>
              <w:spacing w:before="7"/>
              <w:ind w:left="4"/>
              <w:jc w:val="center"/>
              <w:rPr>
                <w:rFonts w:ascii="Times New Roman"/>
                <w:sz w:val="14"/>
              </w:rPr>
            </w:pPr>
            <w:r>
              <w:rPr>
                <w:rFonts w:ascii="Times New Roman"/>
                <w:w w:val="60"/>
                <w:sz w:val="14"/>
              </w:rPr>
              <w:t>-</w:t>
            </w:r>
          </w:p>
        </w:tc>
        <w:tc>
          <w:tcPr>
            <w:tcW w:w="553" w:type="dxa"/>
          </w:tcPr>
          <w:p>
            <w:pPr>
              <w:pStyle w:val="TableParagraph"/>
              <w:spacing w:before="7"/>
              <w:ind w:left="5"/>
              <w:jc w:val="center"/>
              <w:rPr>
                <w:rFonts w:ascii="Times New Roman"/>
                <w:sz w:val="14"/>
              </w:rPr>
            </w:pPr>
            <w:r>
              <w:rPr>
                <w:rFonts w:ascii="Times New Roman"/>
                <w:w w:val="60"/>
                <w:sz w:val="14"/>
              </w:rPr>
              <w:t>-</w:t>
            </w:r>
          </w:p>
        </w:tc>
        <w:tc>
          <w:tcPr>
            <w:tcW w:w="568" w:type="dxa"/>
          </w:tcPr>
          <w:p>
            <w:pPr>
              <w:pStyle w:val="TableParagraph"/>
              <w:spacing w:before="7"/>
              <w:ind w:right="7"/>
              <w:jc w:val="center"/>
              <w:rPr>
                <w:rFonts w:ascii="Times New Roman"/>
                <w:sz w:val="14"/>
              </w:rPr>
            </w:pPr>
            <w:r>
              <w:rPr>
                <w:rFonts w:ascii="Times New Roman"/>
                <w:w w:val="60"/>
                <w:sz w:val="14"/>
              </w:rPr>
              <w:t>-</w:t>
            </w:r>
          </w:p>
        </w:tc>
        <w:tc>
          <w:tcPr>
            <w:tcW w:w="648" w:type="dxa"/>
          </w:tcPr>
          <w:p>
            <w:pPr>
              <w:pStyle w:val="TableParagraph"/>
              <w:spacing w:before="7"/>
              <w:ind w:left="160"/>
              <w:jc w:val="left"/>
              <w:rPr>
                <w:rFonts w:ascii="Times New Roman"/>
                <w:b/>
                <w:sz w:val="14"/>
              </w:rPr>
            </w:pPr>
            <w:r>
              <w:rPr>
                <w:rFonts w:ascii="Times New Roman"/>
                <w:b/>
                <w:w w:val="70"/>
                <w:sz w:val="14"/>
              </w:rPr>
              <w:t>(946.600)</w:t>
            </w:r>
          </w:p>
        </w:tc>
      </w:tr>
      <w:tr>
        <w:trPr>
          <w:trHeight w:val="181" w:hRule="exact"/>
        </w:trPr>
        <w:tc>
          <w:tcPr>
            <w:tcW w:w="2709" w:type="dxa"/>
          </w:tcPr>
          <w:p>
            <w:pPr>
              <w:pStyle w:val="TableParagraph"/>
              <w:spacing w:before="7"/>
              <w:ind w:left="14"/>
              <w:jc w:val="left"/>
              <w:rPr>
                <w:rFonts w:ascii="Times New Roman"/>
                <w:sz w:val="14"/>
              </w:rPr>
            </w:pPr>
            <w:r>
              <w:rPr>
                <w:rFonts w:ascii="Times New Roman"/>
                <w:w w:val="60"/>
                <w:sz w:val="14"/>
              </w:rPr>
              <w:t>- Costi fissi</w:t>
            </w:r>
          </w:p>
        </w:tc>
        <w:tc>
          <w:tcPr>
            <w:tcW w:w="544" w:type="dxa"/>
          </w:tcPr>
          <w:p>
            <w:pPr>
              <w:pStyle w:val="TableParagraph"/>
              <w:spacing w:before="7"/>
              <w:ind w:left="122"/>
              <w:jc w:val="left"/>
              <w:rPr>
                <w:rFonts w:ascii="Times New Roman"/>
                <w:sz w:val="14"/>
              </w:rPr>
            </w:pPr>
            <w:r>
              <w:rPr>
                <w:rFonts w:ascii="Times New Roman"/>
                <w:w w:val="70"/>
                <w:sz w:val="14"/>
              </w:rPr>
              <w:t>(234.604)</w:t>
            </w:r>
          </w:p>
        </w:tc>
        <w:tc>
          <w:tcPr>
            <w:tcW w:w="564" w:type="dxa"/>
          </w:tcPr>
          <w:p>
            <w:pPr>
              <w:pStyle w:val="TableParagraph"/>
              <w:spacing w:before="7"/>
              <w:ind w:left="67" w:right="31"/>
              <w:jc w:val="center"/>
              <w:rPr>
                <w:rFonts w:ascii="Times New Roman"/>
                <w:sz w:val="14"/>
              </w:rPr>
            </w:pPr>
            <w:r>
              <w:rPr>
                <w:rFonts w:ascii="Times New Roman"/>
                <w:w w:val="70"/>
                <w:sz w:val="14"/>
              </w:rPr>
              <w:t>(277.300)</w:t>
            </w:r>
          </w:p>
        </w:tc>
        <w:tc>
          <w:tcPr>
            <w:tcW w:w="577" w:type="dxa"/>
          </w:tcPr>
          <w:p>
            <w:pPr>
              <w:pStyle w:val="TableParagraph"/>
              <w:spacing w:before="7"/>
              <w:jc w:val="center"/>
              <w:rPr>
                <w:rFonts w:ascii="Times New Roman"/>
                <w:sz w:val="14"/>
              </w:rPr>
            </w:pPr>
            <w:r>
              <w:rPr>
                <w:rFonts w:ascii="Times New Roman"/>
                <w:w w:val="60"/>
                <w:sz w:val="14"/>
              </w:rPr>
              <w:t>-</w:t>
            </w:r>
          </w:p>
        </w:tc>
        <w:tc>
          <w:tcPr>
            <w:tcW w:w="530" w:type="dxa"/>
          </w:tcPr>
          <w:p>
            <w:pPr>
              <w:pStyle w:val="TableParagraph"/>
              <w:spacing w:before="7"/>
              <w:jc w:val="center"/>
              <w:rPr>
                <w:rFonts w:ascii="Times New Roman"/>
                <w:sz w:val="14"/>
              </w:rPr>
            </w:pPr>
            <w:r>
              <w:rPr>
                <w:rFonts w:ascii="Times New Roman"/>
                <w:w w:val="60"/>
                <w:sz w:val="14"/>
              </w:rPr>
              <w:t>-</w:t>
            </w:r>
          </w:p>
        </w:tc>
        <w:tc>
          <w:tcPr>
            <w:tcW w:w="1130"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30" w:type="dxa"/>
          </w:tcPr>
          <w:p>
            <w:pPr>
              <w:pStyle w:val="TableParagraph"/>
              <w:spacing w:before="7"/>
              <w:jc w:val="center"/>
              <w:rPr>
                <w:rFonts w:ascii="Times New Roman"/>
                <w:sz w:val="14"/>
              </w:rPr>
            </w:pPr>
            <w:r>
              <w:rPr>
                <w:rFonts w:ascii="Times New Roman"/>
                <w:w w:val="60"/>
                <w:sz w:val="14"/>
              </w:rPr>
              <w:t>-</w:t>
            </w:r>
          </w:p>
        </w:tc>
        <w:tc>
          <w:tcPr>
            <w:tcW w:w="1154"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14" w:type="dxa"/>
          </w:tcPr>
          <w:p>
            <w:pPr>
              <w:pStyle w:val="TableParagraph"/>
              <w:spacing w:before="7"/>
              <w:ind w:right="32"/>
              <w:jc w:val="center"/>
              <w:rPr>
                <w:rFonts w:ascii="Times New Roman"/>
                <w:sz w:val="14"/>
              </w:rPr>
            </w:pPr>
            <w:r>
              <w:rPr>
                <w:rFonts w:ascii="Times New Roman"/>
                <w:w w:val="60"/>
                <w:sz w:val="14"/>
              </w:rPr>
              <w:t>-</w:t>
            </w:r>
          </w:p>
        </w:tc>
        <w:tc>
          <w:tcPr>
            <w:tcW w:w="553" w:type="dxa"/>
          </w:tcPr>
          <w:p>
            <w:pPr>
              <w:pStyle w:val="TableParagraph"/>
              <w:spacing w:before="7"/>
              <w:ind w:left="4"/>
              <w:jc w:val="center"/>
              <w:rPr>
                <w:rFonts w:ascii="Times New Roman"/>
                <w:sz w:val="14"/>
              </w:rPr>
            </w:pPr>
            <w:r>
              <w:rPr>
                <w:rFonts w:ascii="Times New Roman"/>
                <w:w w:val="60"/>
                <w:sz w:val="14"/>
              </w:rPr>
              <w:t>-</w:t>
            </w:r>
          </w:p>
        </w:tc>
        <w:tc>
          <w:tcPr>
            <w:tcW w:w="553" w:type="dxa"/>
          </w:tcPr>
          <w:p>
            <w:pPr>
              <w:pStyle w:val="TableParagraph"/>
              <w:spacing w:before="7"/>
              <w:ind w:left="5"/>
              <w:jc w:val="center"/>
              <w:rPr>
                <w:rFonts w:ascii="Times New Roman"/>
                <w:sz w:val="14"/>
              </w:rPr>
            </w:pPr>
            <w:r>
              <w:rPr>
                <w:rFonts w:ascii="Times New Roman"/>
                <w:w w:val="60"/>
                <w:sz w:val="14"/>
              </w:rPr>
              <w:t>-</w:t>
            </w:r>
          </w:p>
        </w:tc>
        <w:tc>
          <w:tcPr>
            <w:tcW w:w="568" w:type="dxa"/>
          </w:tcPr>
          <w:p>
            <w:pPr>
              <w:pStyle w:val="TableParagraph"/>
              <w:spacing w:before="7"/>
              <w:ind w:right="7"/>
              <w:jc w:val="center"/>
              <w:rPr>
                <w:rFonts w:ascii="Times New Roman"/>
                <w:sz w:val="14"/>
              </w:rPr>
            </w:pPr>
            <w:r>
              <w:rPr>
                <w:rFonts w:ascii="Times New Roman"/>
                <w:w w:val="60"/>
                <w:sz w:val="14"/>
              </w:rPr>
              <w:t>-</w:t>
            </w:r>
          </w:p>
        </w:tc>
        <w:tc>
          <w:tcPr>
            <w:tcW w:w="648" w:type="dxa"/>
          </w:tcPr>
          <w:p>
            <w:pPr>
              <w:pStyle w:val="TableParagraph"/>
              <w:spacing w:before="7"/>
              <w:ind w:left="160"/>
              <w:jc w:val="left"/>
              <w:rPr>
                <w:rFonts w:ascii="Times New Roman"/>
                <w:b/>
                <w:sz w:val="14"/>
              </w:rPr>
            </w:pPr>
            <w:r>
              <w:rPr>
                <w:rFonts w:ascii="Times New Roman"/>
                <w:b/>
                <w:w w:val="70"/>
                <w:sz w:val="14"/>
              </w:rPr>
              <w:t>(511.904)</w:t>
            </w:r>
          </w:p>
        </w:tc>
      </w:tr>
      <w:tr>
        <w:trPr>
          <w:trHeight w:val="181" w:hRule="exact"/>
        </w:trPr>
        <w:tc>
          <w:tcPr>
            <w:tcW w:w="2709" w:type="dxa"/>
          </w:tcPr>
          <w:p>
            <w:pPr>
              <w:pStyle w:val="TableParagraph"/>
              <w:spacing w:before="7"/>
              <w:ind w:left="14"/>
              <w:jc w:val="left"/>
              <w:rPr>
                <w:rFonts w:ascii="Times New Roman"/>
                <w:sz w:val="14"/>
              </w:rPr>
            </w:pPr>
            <w:r>
              <w:rPr>
                <w:rFonts w:ascii="Times New Roman"/>
                <w:w w:val="60"/>
                <w:sz w:val="14"/>
              </w:rPr>
              <w:t>- Mantenimento brevetti</w:t>
            </w:r>
          </w:p>
        </w:tc>
        <w:tc>
          <w:tcPr>
            <w:tcW w:w="544" w:type="dxa"/>
          </w:tcPr>
          <w:p>
            <w:pPr>
              <w:pStyle w:val="TableParagraph"/>
              <w:spacing w:before="7"/>
              <w:ind w:left="33"/>
              <w:jc w:val="center"/>
              <w:rPr>
                <w:rFonts w:ascii="Times New Roman"/>
                <w:sz w:val="14"/>
              </w:rPr>
            </w:pPr>
            <w:r>
              <w:rPr>
                <w:rFonts w:ascii="Times New Roman"/>
                <w:w w:val="60"/>
                <w:sz w:val="14"/>
              </w:rPr>
              <w:t>-</w:t>
            </w:r>
          </w:p>
        </w:tc>
        <w:tc>
          <w:tcPr>
            <w:tcW w:w="564" w:type="dxa"/>
          </w:tcPr>
          <w:p>
            <w:pPr>
              <w:pStyle w:val="TableParagraph"/>
              <w:spacing w:before="7"/>
              <w:ind w:left="62" w:right="31"/>
              <w:jc w:val="center"/>
              <w:rPr>
                <w:rFonts w:ascii="Times New Roman"/>
                <w:sz w:val="14"/>
              </w:rPr>
            </w:pPr>
            <w:r>
              <w:rPr>
                <w:rFonts w:ascii="Times New Roman"/>
                <w:w w:val="70"/>
                <w:sz w:val="14"/>
              </w:rPr>
              <w:t>(67.000)</w:t>
            </w:r>
          </w:p>
        </w:tc>
        <w:tc>
          <w:tcPr>
            <w:tcW w:w="577" w:type="dxa"/>
          </w:tcPr>
          <w:p>
            <w:pPr>
              <w:pStyle w:val="TableParagraph"/>
              <w:spacing w:before="7"/>
              <w:jc w:val="center"/>
              <w:rPr>
                <w:rFonts w:ascii="Times New Roman"/>
                <w:sz w:val="14"/>
              </w:rPr>
            </w:pPr>
            <w:r>
              <w:rPr>
                <w:rFonts w:ascii="Times New Roman"/>
                <w:w w:val="60"/>
                <w:sz w:val="14"/>
              </w:rPr>
              <w:t>-</w:t>
            </w:r>
          </w:p>
        </w:tc>
        <w:tc>
          <w:tcPr>
            <w:tcW w:w="530" w:type="dxa"/>
          </w:tcPr>
          <w:p>
            <w:pPr>
              <w:pStyle w:val="TableParagraph"/>
              <w:spacing w:before="7"/>
              <w:jc w:val="center"/>
              <w:rPr>
                <w:rFonts w:ascii="Times New Roman"/>
                <w:sz w:val="14"/>
              </w:rPr>
            </w:pPr>
            <w:r>
              <w:rPr>
                <w:rFonts w:ascii="Times New Roman"/>
                <w:w w:val="60"/>
                <w:sz w:val="14"/>
              </w:rPr>
              <w:t>-</w:t>
            </w:r>
          </w:p>
        </w:tc>
        <w:tc>
          <w:tcPr>
            <w:tcW w:w="1130"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30" w:type="dxa"/>
          </w:tcPr>
          <w:p>
            <w:pPr>
              <w:pStyle w:val="TableParagraph"/>
              <w:spacing w:before="7"/>
              <w:jc w:val="center"/>
              <w:rPr>
                <w:rFonts w:ascii="Times New Roman"/>
                <w:sz w:val="14"/>
              </w:rPr>
            </w:pPr>
            <w:r>
              <w:rPr>
                <w:rFonts w:ascii="Times New Roman"/>
                <w:w w:val="60"/>
                <w:sz w:val="14"/>
              </w:rPr>
              <w:t>-</w:t>
            </w:r>
          </w:p>
        </w:tc>
        <w:tc>
          <w:tcPr>
            <w:tcW w:w="1154"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14" w:type="dxa"/>
          </w:tcPr>
          <w:p>
            <w:pPr>
              <w:pStyle w:val="TableParagraph"/>
              <w:spacing w:before="7"/>
              <w:ind w:right="32"/>
              <w:jc w:val="center"/>
              <w:rPr>
                <w:rFonts w:ascii="Times New Roman"/>
                <w:sz w:val="14"/>
              </w:rPr>
            </w:pPr>
            <w:r>
              <w:rPr>
                <w:rFonts w:ascii="Times New Roman"/>
                <w:w w:val="60"/>
                <w:sz w:val="14"/>
              </w:rPr>
              <w:t>-</w:t>
            </w:r>
          </w:p>
        </w:tc>
        <w:tc>
          <w:tcPr>
            <w:tcW w:w="553" w:type="dxa"/>
          </w:tcPr>
          <w:p>
            <w:pPr>
              <w:pStyle w:val="TableParagraph"/>
              <w:spacing w:before="7"/>
              <w:ind w:left="4"/>
              <w:jc w:val="center"/>
              <w:rPr>
                <w:rFonts w:ascii="Times New Roman"/>
                <w:sz w:val="14"/>
              </w:rPr>
            </w:pPr>
            <w:r>
              <w:rPr>
                <w:rFonts w:ascii="Times New Roman"/>
                <w:w w:val="60"/>
                <w:sz w:val="14"/>
              </w:rPr>
              <w:t>-</w:t>
            </w:r>
          </w:p>
        </w:tc>
        <w:tc>
          <w:tcPr>
            <w:tcW w:w="553" w:type="dxa"/>
          </w:tcPr>
          <w:p>
            <w:pPr>
              <w:pStyle w:val="TableParagraph"/>
              <w:spacing w:before="7"/>
              <w:ind w:left="5"/>
              <w:jc w:val="center"/>
              <w:rPr>
                <w:rFonts w:ascii="Times New Roman"/>
                <w:sz w:val="14"/>
              </w:rPr>
            </w:pPr>
            <w:r>
              <w:rPr>
                <w:rFonts w:ascii="Times New Roman"/>
                <w:w w:val="60"/>
                <w:sz w:val="14"/>
              </w:rPr>
              <w:t>-</w:t>
            </w:r>
          </w:p>
        </w:tc>
        <w:tc>
          <w:tcPr>
            <w:tcW w:w="568" w:type="dxa"/>
          </w:tcPr>
          <w:p>
            <w:pPr>
              <w:pStyle w:val="TableParagraph"/>
              <w:spacing w:before="7"/>
              <w:ind w:right="7"/>
              <w:jc w:val="center"/>
              <w:rPr>
                <w:rFonts w:ascii="Times New Roman"/>
                <w:sz w:val="14"/>
              </w:rPr>
            </w:pPr>
            <w:r>
              <w:rPr>
                <w:rFonts w:ascii="Times New Roman"/>
                <w:w w:val="60"/>
                <w:sz w:val="14"/>
              </w:rPr>
              <w:t>-</w:t>
            </w:r>
          </w:p>
        </w:tc>
        <w:tc>
          <w:tcPr>
            <w:tcW w:w="648" w:type="dxa"/>
          </w:tcPr>
          <w:p>
            <w:pPr>
              <w:pStyle w:val="TableParagraph"/>
              <w:spacing w:before="7"/>
              <w:ind w:left="184"/>
              <w:jc w:val="left"/>
              <w:rPr>
                <w:rFonts w:ascii="Times New Roman"/>
                <w:b/>
                <w:sz w:val="14"/>
              </w:rPr>
            </w:pPr>
            <w:r>
              <w:rPr>
                <w:rFonts w:ascii="Times New Roman"/>
                <w:b/>
                <w:w w:val="70"/>
                <w:sz w:val="14"/>
              </w:rPr>
              <w:t>(67.000)</w:t>
            </w:r>
          </w:p>
        </w:tc>
      </w:tr>
      <w:tr>
        <w:trPr>
          <w:trHeight w:val="181" w:hRule="exact"/>
        </w:trPr>
        <w:tc>
          <w:tcPr>
            <w:tcW w:w="2709" w:type="dxa"/>
          </w:tcPr>
          <w:p>
            <w:pPr>
              <w:pStyle w:val="TableParagraph"/>
              <w:spacing w:before="7"/>
              <w:ind w:left="14"/>
              <w:jc w:val="left"/>
              <w:rPr>
                <w:rFonts w:ascii="Times New Roman"/>
                <w:sz w:val="14"/>
              </w:rPr>
            </w:pPr>
            <w:r>
              <w:rPr>
                <w:rFonts w:ascii="Times New Roman"/>
                <w:w w:val="60"/>
                <w:sz w:val="14"/>
              </w:rPr>
              <w:t>- Servizi MG Finanziaria</w:t>
            </w:r>
          </w:p>
        </w:tc>
        <w:tc>
          <w:tcPr>
            <w:tcW w:w="544" w:type="dxa"/>
          </w:tcPr>
          <w:p>
            <w:pPr>
              <w:pStyle w:val="TableParagraph"/>
              <w:spacing w:before="7"/>
              <w:ind w:left="33"/>
              <w:jc w:val="center"/>
              <w:rPr>
                <w:rFonts w:ascii="Times New Roman"/>
                <w:sz w:val="14"/>
              </w:rPr>
            </w:pPr>
            <w:r>
              <w:rPr>
                <w:rFonts w:ascii="Times New Roman"/>
                <w:w w:val="60"/>
                <w:sz w:val="14"/>
              </w:rPr>
              <w:t>-</w:t>
            </w:r>
          </w:p>
        </w:tc>
        <w:tc>
          <w:tcPr>
            <w:tcW w:w="564" w:type="dxa"/>
          </w:tcPr>
          <w:p>
            <w:pPr>
              <w:pStyle w:val="TableParagraph"/>
              <w:spacing w:before="7"/>
              <w:ind w:left="67" w:right="31"/>
              <w:jc w:val="center"/>
              <w:rPr>
                <w:rFonts w:ascii="Times New Roman"/>
                <w:sz w:val="14"/>
              </w:rPr>
            </w:pPr>
            <w:r>
              <w:rPr>
                <w:rFonts w:ascii="Times New Roman"/>
                <w:w w:val="70"/>
                <w:sz w:val="14"/>
              </w:rPr>
              <w:t>(343.000)</w:t>
            </w:r>
          </w:p>
        </w:tc>
        <w:tc>
          <w:tcPr>
            <w:tcW w:w="577" w:type="dxa"/>
          </w:tcPr>
          <w:p>
            <w:pPr>
              <w:pStyle w:val="TableParagraph"/>
              <w:spacing w:before="7"/>
              <w:jc w:val="center"/>
              <w:rPr>
                <w:rFonts w:ascii="Times New Roman"/>
                <w:sz w:val="14"/>
              </w:rPr>
            </w:pPr>
            <w:r>
              <w:rPr>
                <w:rFonts w:ascii="Times New Roman"/>
                <w:w w:val="60"/>
                <w:sz w:val="14"/>
              </w:rPr>
              <w:t>-</w:t>
            </w:r>
          </w:p>
        </w:tc>
        <w:tc>
          <w:tcPr>
            <w:tcW w:w="530" w:type="dxa"/>
          </w:tcPr>
          <w:p>
            <w:pPr>
              <w:pStyle w:val="TableParagraph"/>
              <w:spacing w:before="7"/>
              <w:jc w:val="center"/>
              <w:rPr>
                <w:rFonts w:ascii="Times New Roman"/>
                <w:sz w:val="14"/>
              </w:rPr>
            </w:pPr>
            <w:r>
              <w:rPr>
                <w:rFonts w:ascii="Times New Roman"/>
                <w:w w:val="60"/>
                <w:sz w:val="14"/>
              </w:rPr>
              <w:t>-</w:t>
            </w:r>
          </w:p>
        </w:tc>
        <w:tc>
          <w:tcPr>
            <w:tcW w:w="1130"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30" w:type="dxa"/>
          </w:tcPr>
          <w:p>
            <w:pPr>
              <w:pStyle w:val="TableParagraph"/>
              <w:spacing w:before="7"/>
              <w:jc w:val="center"/>
              <w:rPr>
                <w:rFonts w:ascii="Times New Roman"/>
                <w:sz w:val="14"/>
              </w:rPr>
            </w:pPr>
            <w:r>
              <w:rPr>
                <w:rFonts w:ascii="Times New Roman"/>
                <w:w w:val="60"/>
                <w:sz w:val="14"/>
              </w:rPr>
              <w:t>-</w:t>
            </w:r>
          </w:p>
        </w:tc>
        <w:tc>
          <w:tcPr>
            <w:tcW w:w="1154"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14" w:type="dxa"/>
          </w:tcPr>
          <w:p>
            <w:pPr>
              <w:pStyle w:val="TableParagraph"/>
              <w:spacing w:before="7"/>
              <w:ind w:right="32"/>
              <w:jc w:val="center"/>
              <w:rPr>
                <w:rFonts w:ascii="Times New Roman"/>
                <w:sz w:val="14"/>
              </w:rPr>
            </w:pPr>
            <w:r>
              <w:rPr>
                <w:rFonts w:ascii="Times New Roman"/>
                <w:w w:val="60"/>
                <w:sz w:val="14"/>
              </w:rPr>
              <w:t>-</w:t>
            </w:r>
          </w:p>
        </w:tc>
        <w:tc>
          <w:tcPr>
            <w:tcW w:w="553" w:type="dxa"/>
          </w:tcPr>
          <w:p>
            <w:pPr>
              <w:pStyle w:val="TableParagraph"/>
              <w:spacing w:before="7"/>
              <w:ind w:left="4"/>
              <w:jc w:val="center"/>
              <w:rPr>
                <w:rFonts w:ascii="Times New Roman"/>
                <w:sz w:val="14"/>
              </w:rPr>
            </w:pPr>
            <w:r>
              <w:rPr>
                <w:rFonts w:ascii="Times New Roman"/>
                <w:w w:val="60"/>
                <w:sz w:val="14"/>
              </w:rPr>
              <w:t>-</w:t>
            </w:r>
          </w:p>
        </w:tc>
        <w:tc>
          <w:tcPr>
            <w:tcW w:w="553" w:type="dxa"/>
          </w:tcPr>
          <w:p>
            <w:pPr>
              <w:pStyle w:val="TableParagraph"/>
              <w:spacing w:before="7"/>
              <w:ind w:left="5"/>
              <w:jc w:val="center"/>
              <w:rPr>
                <w:rFonts w:ascii="Times New Roman"/>
                <w:sz w:val="14"/>
              </w:rPr>
            </w:pPr>
            <w:r>
              <w:rPr>
                <w:rFonts w:ascii="Times New Roman"/>
                <w:w w:val="60"/>
                <w:sz w:val="14"/>
              </w:rPr>
              <w:t>-</w:t>
            </w:r>
          </w:p>
        </w:tc>
        <w:tc>
          <w:tcPr>
            <w:tcW w:w="568" w:type="dxa"/>
          </w:tcPr>
          <w:p>
            <w:pPr>
              <w:pStyle w:val="TableParagraph"/>
              <w:spacing w:before="7"/>
              <w:ind w:right="7"/>
              <w:jc w:val="center"/>
              <w:rPr>
                <w:rFonts w:ascii="Times New Roman"/>
                <w:sz w:val="14"/>
              </w:rPr>
            </w:pPr>
            <w:r>
              <w:rPr>
                <w:rFonts w:ascii="Times New Roman"/>
                <w:w w:val="60"/>
                <w:sz w:val="14"/>
              </w:rPr>
              <w:t>-</w:t>
            </w:r>
          </w:p>
        </w:tc>
        <w:tc>
          <w:tcPr>
            <w:tcW w:w="648" w:type="dxa"/>
          </w:tcPr>
          <w:p>
            <w:pPr>
              <w:pStyle w:val="TableParagraph"/>
              <w:spacing w:before="7"/>
              <w:ind w:left="160"/>
              <w:jc w:val="left"/>
              <w:rPr>
                <w:rFonts w:ascii="Times New Roman"/>
                <w:b/>
                <w:sz w:val="14"/>
              </w:rPr>
            </w:pPr>
            <w:r>
              <w:rPr>
                <w:rFonts w:ascii="Times New Roman"/>
                <w:b/>
                <w:w w:val="70"/>
                <w:sz w:val="14"/>
              </w:rPr>
              <w:t>(343.000)</w:t>
            </w:r>
          </w:p>
        </w:tc>
      </w:tr>
      <w:tr>
        <w:trPr>
          <w:trHeight w:val="181" w:hRule="exact"/>
        </w:trPr>
        <w:tc>
          <w:tcPr>
            <w:tcW w:w="2709" w:type="dxa"/>
          </w:tcPr>
          <w:p>
            <w:pPr>
              <w:pStyle w:val="TableParagraph"/>
              <w:spacing w:before="7"/>
              <w:ind w:left="14"/>
              <w:jc w:val="left"/>
              <w:rPr>
                <w:rFonts w:ascii="Times New Roman"/>
                <w:sz w:val="14"/>
              </w:rPr>
            </w:pPr>
            <w:r>
              <w:rPr>
                <w:rFonts w:ascii="Times New Roman"/>
                <w:w w:val="60"/>
                <w:sz w:val="14"/>
              </w:rPr>
              <w:t>- Assicurazioni</w:t>
            </w:r>
          </w:p>
        </w:tc>
        <w:tc>
          <w:tcPr>
            <w:tcW w:w="544" w:type="dxa"/>
          </w:tcPr>
          <w:p>
            <w:pPr>
              <w:pStyle w:val="TableParagraph"/>
              <w:spacing w:before="7"/>
              <w:ind w:left="33"/>
              <w:jc w:val="center"/>
              <w:rPr>
                <w:rFonts w:ascii="Times New Roman"/>
                <w:sz w:val="14"/>
              </w:rPr>
            </w:pPr>
            <w:r>
              <w:rPr>
                <w:rFonts w:ascii="Times New Roman"/>
                <w:w w:val="60"/>
                <w:sz w:val="14"/>
              </w:rPr>
              <w:t>-</w:t>
            </w:r>
          </w:p>
        </w:tc>
        <w:tc>
          <w:tcPr>
            <w:tcW w:w="564" w:type="dxa"/>
          </w:tcPr>
          <w:p>
            <w:pPr>
              <w:pStyle w:val="TableParagraph"/>
              <w:spacing w:before="7"/>
              <w:ind w:left="62" w:right="31"/>
              <w:jc w:val="center"/>
              <w:rPr>
                <w:rFonts w:ascii="Times New Roman"/>
                <w:sz w:val="14"/>
              </w:rPr>
            </w:pPr>
            <w:r>
              <w:rPr>
                <w:rFonts w:ascii="Times New Roman"/>
                <w:w w:val="70"/>
                <w:sz w:val="14"/>
              </w:rPr>
              <w:t>(12.000)</w:t>
            </w:r>
          </w:p>
        </w:tc>
        <w:tc>
          <w:tcPr>
            <w:tcW w:w="577" w:type="dxa"/>
          </w:tcPr>
          <w:p>
            <w:pPr>
              <w:pStyle w:val="TableParagraph"/>
              <w:spacing w:before="7"/>
              <w:jc w:val="center"/>
              <w:rPr>
                <w:rFonts w:ascii="Times New Roman"/>
                <w:sz w:val="14"/>
              </w:rPr>
            </w:pPr>
            <w:r>
              <w:rPr>
                <w:rFonts w:ascii="Times New Roman"/>
                <w:w w:val="60"/>
                <w:sz w:val="14"/>
              </w:rPr>
              <w:t>-</w:t>
            </w:r>
          </w:p>
        </w:tc>
        <w:tc>
          <w:tcPr>
            <w:tcW w:w="530" w:type="dxa"/>
          </w:tcPr>
          <w:p>
            <w:pPr>
              <w:pStyle w:val="TableParagraph"/>
              <w:spacing w:before="7"/>
              <w:jc w:val="center"/>
              <w:rPr>
                <w:rFonts w:ascii="Times New Roman"/>
                <w:sz w:val="14"/>
              </w:rPr>
            </w:pPr>
            <w:r>
              <w:rPr>
                <w:rFonts w:ascii="Times New Roman"/>
                <w:w w:val="60"/>
                <w:sz w:val="14"/>
              </w:rPr>
              <w:t>-</w:t>
            </w:r>
          </w:p>
        </w:tc>
        <w:tc>
          <w:tcPr>
            <w:tcW w:w="1130"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30" w:type="dxa"/>
          </w:tcPr>
          <w:p>
            <w:pPr>
              <w:pStyle w:val="TableParagraph"/>
              <w:spacing w:before="7"/>
              <w:jc w:val="center"/>
              <w:rPr>
                <w:rFonts w:ascii="Times New Roman"/>
                <w:sz w:val="14"/>
              </w:rPr>
            </w:pPr>
            <w:r>
              <w:rPr>
                <w:rFonts w:ascii="Times New Roman"/>
                <w:w w:val="60"/>
                <w:sz w:val="14"/>
              </w:rPr>
              <w:t>-</w:t>
            </w:r>
          </w:p>
        </w:tc>
        <w:tc>
          <w:tcPr>
            <w:tcW w:w="1154"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14" w:type="dxa"/>
          </w:tcPr>
          <w:p>
            <w:pPr>
              <w:pStyle w:val="TableParagraph"/>
              <w:spacing w:before="7"/>
              <w:ind w:right="32"/>
              <w:jc w:val="center"/>
              <w:rPr>
                <w:rFonts w:ascii="Times New Roman"/>
                <w:sz w:val="14"/>
              </w:rPr>
            </w:pPr>
            <w:r>
              <w:rPr>
                <w:rFonts w:ascii="Times New Roman"/>
                <w:w w:val="60"/>
                <w:sz w:val="14"/>
              </w:rPr>
              <w:t>-</w:t>
            </w:r>
          </w:p>
        </w:tc>
        <w:tc>
          <w:tcPr>
            <w:tcW w:w="553" w:type="dxa"/>
          </w:tcPr>
          <w:p>
            <w:pPr>
              <w:pStyle w:val="TableParagraph"/>
              <w:spacing w:before="7"/>
              <w:ind w:left="4"/>
              <w:jc w:val="center"/>
              <w:rPr>
                <w:rFonts w:ascii="Times New Roman"/>
                <w:sz w:val="14"/>
              </w:rPr>
            </w:pPr>
            <w:r>
              <w:rPr>
                <w:rFonts w:ascii="Times New Roman"/>
                <w:w w:val="60"/>
                <w:sz w:val="14"/>
              </w:rPr>
              <w:t>-</w:t>
            </w:r>
          </w:p>
        </w:tc>
        <w:tc>
          <w:tcPr>
            <w:tcW w:w="553" w:type="dxa"/>
          </w:tcPr>
          <w:p>
            <w:pPr>
              <w:pStyle w:val="TableParagraph"/>
              <w:spacing w:before="7"/>
              <w:ind w:left="5"/>
              <w:jc w:val="center"/>
              <w:rPr>
                <w:rFonts w:ascii="Times New Roman"/>
                <w:sz w:val="14"/>
              </w:rPr>
            </w:pPr>
            <w:r>
              <w:rPr>
                <w:rFonts w:ascii="Times New Roman"/>
                <w:w w:val="60"/>
                <w:sz w:val="14"/>
              </w:rPr>
              <w:t>-</w:t>
            </w:r>
          </w:p>
        </w:tc>
        <w:tc>
          <w:tcPr>
            <w:tcW w:w="568" w:type="dxa"/>
          </w:tcPr>
          <w:p>
            <w:pPr>
              <w:pStyle w:val="TableParagraph"/>
              <w:spacing w:before="7"/>
              <w:ind w:right="7"/>
              <w:jc w:val="center"/>
              <w:rPr>
                <w:rFonts w:ascii="Times New Roman"/>
                <w:sz w:val="14"/>
              </w:rPr>
            </w:pPr>
            <w:r>
              <w:rPr>
                <w:rFonts w:ascii="Times New Roman"/>
                <w:w w:val="60"/>
                <w:sz w:val="14"/>
              </w:rPr>
              <w:t>-</w:t>
            </w:r>
          </w:p>
        </w:tc>
        <w:tc>
          <w:tcPr>
            <w:tcW w:w="648" w:type="dxa"/>
          </w:tcPr>
          <w:p>
            <w:pPr>
              <w:pStyle w:val="TableParagraph"/>
              <w:spacing w:before="7"/>
              <w:ind w:left="184"/>
              <w:jc w:val="left"/>
              <w:rPr>
                <w:rFonts w:ascii="Times New Roman"/>
                <w:b/>
                <w:sz w:val="14"/>
              </w:rPr>
            </w:pPr>
            <w:r>
              <w:rPr>
                <w:rFonts w:ascii="Times New Roman"/>
                <w:b/>
                <w:w w:val="70"/>
                <w:sz w:val="14"/>
              </w:rPr>
              <w:t>(12.000)</w:t>
            </w:r>
          </w:p>
        </w:tc>
      </w:tr>
      <w:tr>
        <w:trPr>
          <w:trHeight w:val="181" w:hRule="exact"/>
        </w:trPr>
        <w:tc>
          <w:tcPr>
            <w:tcW w:w="2709" w:type="dxa"/>
          </w:tcPr>
          <w:p>
            <w:pPr>
              <w:pStyle w:val="TableParagraph"/>
              <w:spacing w:before="7"/>
              <w:ind w:left="14"/>
              <w:jc w:val="left"/>
              <w:rPr>
                <w:rFonts w:ascii="Times New Roman"/>
                <w:sz w:val="14"/>
              </w:rPr>
            </w:pPr>
            <w:r>
              <w:rPr>
                <w:rFonts w:ascii="Times New Roman"/>
                <w:w w:val="65"/>
                <w:sz w:val="14"/>
              </w:rPr>
              <w:t>- Tasse</w:t>
            </w:r>
          </w:p>
        </w:tc>
        <w:tc>
          <w:tcPr>
            <w:tcW w:w="544" w:type="dxa"/>
          </w:tcPr>
          <w:p>
            <w:pPr>
              <w:pStyle w:val="TableParagraph"/>
              <w:spacing w:before="7"/>
              <w:ind w:left="33"/>
              <w:jc w:val="center"/>
              <w:rPr>
                <w:rFonts w:ascii="Times New Roman"/>
                <w:sz w:val="14"/>
              </w:rPr>
            </w:pPr>
            <w:r>
              <w:rPr>
                <w:rFonts w:ascii="Times New Roman"/>
                <w:w w:val="60"/>
                <w:sz w:val="14"/>
              </w:rPr>
              <w:t>-</w:t>
            </w:r>
          </w:p>
        </w:tc>
        <w:tc>
          <w:tcPr>
            <w:tcW w:w="564" w:type="dxa"/>
          </w:tcPr>
          <w:p>
            <w:pPr>
              <w:pStyle w:val="TableParagraph"/>
              <w:spacing w:before="7"/>
              <w:ind w:left="62" w:right="31"/>
              <w:jc w:val="center"/>
              <w:rPr>
                <w:rFonts w:ascii="Times New Roman"/>
                <w:sz w:val="14"/>
              </w:rPr>
            </w:pPr>
            <w:r>
              <w:rPr>
                <w:rFonts w:ascii="Times New Roman"/>
                <w:w w:val="70"/>
                <w:sz w:val="14"/>
              </w:rPr>
              <w:t>(71.500)</w:t>
            </w:r>
          </w:p>
        </w:tc>
        <w:tc>
          <w:tcPr>
            <w:tcW w:w="577" w:type="dxa"/>
          </w:tcPr>
          <w:p>
            <w:pPr>
              <w:pStyle w:val="TableParagraph"/>
              <w:spacing w:before="7"/>
              <w:jc w:val="center"/>
              <w:rPr>
                <w:rFonts w:ascii="Times New Roman"/>
                <w:sz w:val="14"/>
              </w:rPr>
            </w:pPr>
            <w:r>
              <w:rPr>
                <w:rFonts w:ascii="Times New Roman"/>
                <w:w w:val="60"/>
                <w:sz w:val="14"/>
              </w:rPr>
              <w:t>-</w:t>
            </w:r>
          </w:p>
        </w:tc>
        <w:tc>
          <w:tcPr>
            <w:tcW w:w="530" w:type="dxa"/>
          </w:tcPr>
          <w:p>
            <w:pPr>
              <w:pStyle w:val="TableParagraph"/>
              <w:spacing w:before="7"/>
              <w:jc w:val="center"/>
              <w:rPr>
                <w:rFonts w:ascii="Times New Roman"/>
                <w:sz w:val="14"/>
              </w:rPr>
            </w:pPr>
            <w:r>
              <w:rPr>
                <w:rFonts w:ascii="Times New Roman"/>
                <w:w w:val="60"/>
                <w:sz w:val="14"/>
              </w:rPr>
              <w:t>-</w:t>
            </w:r>
          </w:p>
        </w:tc>
        <w:tc>
          <w:tcPr>
            <w:tcW w:w="1130"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30" w:type="dxa"/>
          </w:tcPr>
          <w:p>
            <w:pPr>
              <w:pStyle w:val="TableParagraph"/>
              <w:spacing w:before="7"/>
              <w:jc w:val="center"/>
              <w:rPr>
                <w:rFonts w:ascii="Times New Roman"/>
                <w:sz w:val="14"/>
              </w:rPr>
            </w:pPr>
            <w:r>
              <w:rPr>
                <w:rFonts w:ascii="Times New Roman"/>
                <w:w w:val="60"/>
                <w:sz w:val="14"/>
              </w:rPr>
              <w:t>-</w:t>
            </w:r>
          </w:p>
        </w:tc>
        <w:tc>
          <w:tcPr>
            <w:tcW w:w="1154" w:type="dxa"/>
            <w:gridSpan w:val="2"/>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14" w:type="dxa"/>
          </w:tcPr>
          <w:p>
            <w:pPr>
              <w:pStyle w:val="TableParagraph"/>
              <w:spacing w:before="7"/>
              <w:ind w:right="32"/>
              <w:jc w:val="center"/>
              <w:rPr>
                <w:rFonts w:ascii="Times New Roman"/>
                <w:sz w:val="14"/>
              </w:rPr>
            </w:pPr>
            <w:r>
              <w:rPr>
                <w:rFonts w:ascii="Times New Roman"/>
                <w:w w:val="60"/>
                <w:sz w:val="14"/>
              </w:rPr>
              <w:t>-</w:t>
            </w:r>
          </w:p>
        </w:tc>
        <w:tc>
          <w:tcPr>
            <w:tcW w:w="553" w:type="dxa"/>
          </w:tcPr>
          <w:p>
            <w:pPr>
              <w:pStyle w:val="TableParagraph"/>
              <w:spacing w:before="7"/>
              <w:ind w:left="4"/>
              <w:jc w:val="center"/>
              <w:rPr>
                <w:rFonts w:ascii="Times New Roman"/>
                <w:sz w:val="14"/>
              </w:rPr>
            </w:pPr>
            <w:r>
              <w:rPr>
                <w:rFonts w:ascii="Times New Roman"/>
                <w:w w:val="60"/>
                <w:sz w:val="14"/>
              </w:rPr>
              <w:t>-</w:t>
            </w:r>
          </w:p>
        </w:tc>
        <w:tc>
          <w:tcPr>
            <w:tcW w:w="553" w:type="dxa"/>
          </w:tcPr>
          <w:p>
            <w:pPr>
              <w:pStyle w:val="TableParagraph"/>
              <w:spacing w:before="7"/>
              <w:ind w:left="5"/>
              <w:jc w:val="center"/>
              <w:rPr>
                <w:rFonts w:ascii="Times New Roman"/>
                <w:sz w:val="14"/>
              </w:rPr>
            </w:pPr>
            <w:r>
              <w:rPr>
                <w:rFonts w:ascii="Times New Roman"/>
                <w:w w:val="60"/>
                <w:sz w:val="14"/>
              </w:rPr>
              <w:t>-</w:t>
            </w:r>
          </w:p>
        </w:tc>
        <w:tc>
          <w:tcPr>
            <w:tcW w:w="568" w:type="dxa"/>
          </w:tcPr>
          <w:p>
            <w:pPr>
              <w:pStyle w:val="TableParagraph"/>
              <w:spacing w:before="7"/>
              <w:ind w:right="7"/>
              <w:jc w:val="center"/>
              <w:rPr>
                <w:rFonts w:ascii="Times New Roman"/>
                <w:sz w:val="14"/>
              </w:rPr>
            </w:pPr>
            <w:r>
              <w:rPr>
                <w:rFonts w:ascii="Times New Roman"/>
                <w:w w:val="60"/>
                <w:sz w:val="14"/>
              </w:rPr>
              <w:t>-</w:t>
            </w:r>
          </w:p>
        </w:tc>
        <w:tc>
          <w:tcPr>
            <w:tcW w:w="648" w:type="dxa"/>
          </w:tcPr>
          <w:p>
            <w:pPr>
              <w:pStyle w:val="TableParagraph"/>
              <w:spacing w:before="7"/>
              <w:ind w:left="184"/>
              <w:jc w:val="left"/>
              <w:rPr>
                <w:rFonts w:ascii="Times New Roman"/>
                <w:b/>
                <w:sz w:val="14"/>
              </w:rPr>
            </w:pPr>
            <w:r>
              <w:rPr>
                <w:rFonts w:ascii="Times New Roman"/>
                <w:b/>
                <w:w w:val="70"/>
                <w:sz w:val="14"/>
              </w:rPr>
              <w:t>(71.500)</w:t>
            </w:r>
          </w:p>
        </w:tc>
      </w:tr>
      <w:tr>
        <w:trPr>
          <w:trHeight w:val="174" w:hRule="exact"/>
        </w:trPr>
        <w:tc>
          <w:tcPr>
            <w:tcW w:w="2709" w:type="dxa"/>
            <w:tcBorders>
              <w:bottom w:val="single" w:sz="3" w:space="0" w:color="000000"/>
            </w:tcBorders>
          </w:tcPr>
          <w:p>
            <w:pPr>
              <w:pStyle w:val="TableParagraph"/>
              <w:spacing w:before="7"/>
              <w:ind w:left="14"/>
              <w:jc w:val="left"/>
              <w:rPr>
                <w:rFonts w:ascii="Times New Roman"/>
                <w:sz w:val="14"/>
              </w:rPr>
            </w:pPr>
            <w:r>
              <w:rPr>
                <w:rFonts w:ascii="Times New Roman"/>
                <w:w w:val="60"/>
                <w:sz w:val="14"/>
              </w:rPr>
              <w:t>- Spese legali contenziosi</w:t>
            </w:r>
          </w:p>
        </w:tc>
        <w:tc>
          <w:tcPr>
            <w:tcW w:w="544" w:type="dxa"/>
            <w:tcBorders>
              <w:bottom w:val="single" w:sz="3" w:space="0" w:color="000000"/>
            </w:tcBorders>
          </w:tcPr>
          <w:p>
            <w:pPr>
              <w:pStyle w:val="TableParagraph"/>
              <w:spacing w:before="7"/>
              <w:ind w:left="33"/>
              <w:jc w:val="center"/>
              <w:rPr>
                <w:rFonts w:ascii="Times New Roman"/>
                <w:sz w:val="14"/>
              </w:rPr>
            </w:pPr>
            <w:r>
              <w:rPr>
                <w:rFonts w:ascii="Times New Roman"/>
                <w:w w:val="60"/>
                <w:sz w:val="14"/>
              </w:rPr>
              <w:t>-</w:t>
            </w:r>
          </w:p>
        </w:tc>
        <w:tc>
          <w:tcPr>
            <w:tcW w:w="564" w:type="dxa"/>
            <w:tcBorders>
              <w:bottom w:val="single" w:sz="3" w:space="0" w:color="000000"/>
            </w:tcBorders>
          </w:tcPr>
          <w:p>
            <w:pPr>
              <w:pStyle w:val="TableParagraph"/>
              <w:spacing w:before="7"/>
              <w:ind w:left="67" w:right="31"/>
              <w:jc w:val="center"/>
              <w:rPr>
                <w:rFonts w:ascii="Times New Roman"/>
                <w:sz w:val="14"/>
              </w:rPr>
            </w:pPr>
            <w:r>
              <w:rPr>
                <w:rFonts w:ascii="Times New Roman"/>
                <w:w w:val="70"/>
                <w:sz w:val="14"/>
              </w:rPr>
              <w:t>(127.000)</w:t>
            </w:r>
          </w:p>
        </w:tc>
        <w:tc>
          <w:tcPr>
            <w:tcW w:w="577" w:type="dxa"/>
            <w:tcBorders>
              <w:bottom w:val="single" w:sz="3" w:space="0" w:color="000000"/>
            </w:tcBorders>
          </w:tcPr>
          <w:p>
            <w:pPr>
              <w:pStyle w:val="TableParagraph"/>
              <w:spacing w:before="7"/>
              <w:jc w:val="center"/>
              <w:rPr>
                <w:rFonts w:ascii="Times New Roman"/>
                <w:sz w:val="14"/>
              </w:rPr>
            </w:pPr>
            <w:r>
              <w:rPr>
                <w:rFonts w:ascii="Times New Roman"/>
                <w:w w:val="60"/>
                <w:sz w:val="14"/>
              </w:rPr>
              <w:t>-</w:t>
            </w:r>
          </w:p>
        </w:tc>
        <w:tc>
          <w:tcPr>
            <w:tcW w:w="530" w:type="dxa"/>
            <w:tcBorders>
              <w:bottom w:val="single" w:sz="3" w:space="0" w:color="000000"/>
            </w:tcBorders>
          </w:tcPr>
          <w:p>
            <w:pPr>
              <w:pStyle w:val="TableParagraph"/>
              <w:spacing w:before="7"/>
              <w:jc w:val="center"/>
              <w:rPr>
                <w:rFonts w:ascii="Times New Roman"/>
                <w:sz w:val="14"/>
              </w:rPr>
            </w:pPr>
            <w:r>
              <w:rPr>
                <w:rFonts w:ascii="Times New Roman"/>
                <w:w w:val="60"/>
                <w:sz w:val="14"/>
              </w:rPr>
              <w:t>-</w:t>
            </w:r>
          </w:p>
        </w:tc>
        <w:tc>
          <w:tcPr>
            <w:tcW w:w="1130" w:type="dxa"/>
            <w:gridSpan w:val="2"/>
            <w:tcBorders>
              <w:bottom w:val="single" w:sz="3" w:space="0" w:color="000000"/>
            </w:tcBorders>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30" w:type="dxa"/>
            <w:tcBorders>
              <w:bottom w:val="single" w:sz="3" w:space="0" w:color="000000"/>
            </w:tcBorders>
          </w:tcPr>
          <w:p>
            <w:pPr>
              <w:pStyle w:val="TableParagraph"/>
              <w:spacing w:before="7"/>
              <w:jc w:val="center"/>
              <w:rPr>
                <w:rFonts w:ascii="Times New Roman"/>
                <w:sz w:val="14"/>
              </w:rPr>
            </w:pPr>
            <w:r>
              <w:rPr>
                <w:rFonts w:ascii="Times New Roman"/>
                <w:w w:val="60"/>
                <w:sz w:val="14"/>
              </w:rPr>
              <w:t>-</w:t>
            </w:r>
          </w:p>
        </w:tc>
        <w:tc>
          <w:tcPr>
            <w:tcW w:w="1154" w:type="dxa"/>
            <w:gridSpan w:val="2"/>
            <w:tcBorders>
              <w:bottom w:val="single" w:sz="3" w:space="0" w:color="000000"/>
            </w:tcBorders>
          </w:tcPr>
          <w:p>
            <w:pPr>
              <w:pStyle w:val="TableParagraph"/>
              <w:tabs>
                <w:tab w:pos="826" w:val="left" w:leader="none"/>
              </w:tabs>
              <w:spacing w:before="7"/>
              <w:ind w:left="273"/>
              <w:jc w:val="left"/>
              <w:rPr>
                <w:rFonts w:ascii="Times New Roman"/>
                <w:sz w:val="14"/>
              </w:rPr>
            </w:pPr>
            <w:r>
              <w:rPr>
                <w:rFonts w:ascii="Times New Roman"/>
                <w:w w:val="70"/>
                <w:sz w:val="14"/>
              </w:rPr>
              <w:t>-</w:t>
              <w:tab/>
              <w:t>-</w:t>
            </w:r>
          </w:p>
        </w:tc>
        <w:tc>
          <w:tcPr>
            <w:tcW w:w="514" w:type="dxa"/>
            <w:tcBorders>
              <w:bottom w:val="single" w:sz="3" w:space="0" w:color="000000"/>
            </w:tcBorders>
          </w:tcPr>
          <w:p>
            <w:pPr>
              <w:pStyle w:val="TableParagraph"/>
              <w:spacing w:before="7"/>
              <w:ind w:right="32"/>
              <w:jc w:val="center"/>
              <w:rPr>
                <w:rFonts w:ascii="Times New Roman"/>
                <w:sz w:val="14"/>
              </w:rPr>
            </w:pPr>
            <w:r>
              <w:rPr>
                <w:rFonts w:ascii="Times New Roman"/>
                <w:w w:val="60"/>
                <w:sz w:val="14"/>
              </w:rPr>
              <w:t>-</w:t>
            </w:r>
          </w:p>
        </w:tc>
        <w:tc>
          <w:tcPr>
            <w:tcW w:w="553" w:type="dxa"/>
            <w:tcBorders>
              <w:bottom w:val="single" w:sz="3" w:space="0" w:color="000000"/>
            </w:tcBorders>
          </w:tcPr>
          <w:p>
            <w:pPr>
              <w:pStyle w:val="TableParagraph"/>
              <w:spacing w:before="7"/>
              <w:ind w:left="4"/>
              <w:jc w:val="center"/>
              <w:rPr>
                <w:rFonts w:ascii="Times New Roman"/>
                <w:sz w:val="14"/>
              </w:rPr>
            </w:pPr>
            <w:r>
              <w:rPr>
                <w:rFonts w:ascii="Times New Roman"/>
                <w:w w:val="60"/>
                <w:sz w:val="14"/>
              </w:rPr>
              <w:t>-</w:t>
            </w:r>
          </w:p>
        </w:tc>
        <w:tc>
          <w:tcPr>
            <w:tcW w:w="553" w:type="dxa"/>
            <w:tcBorders>
              <w:bottom w:val="single" w:sz="3" w:space="0" w:color="000000"/>
            </w:tcBorders>
          </w:tcPr>
          <w:p>
            <w:pPr>
              <w:pStyle w:val="TableParagraph"/>
              <w:spacing w:before="7"/>
              <w:ind w:left="5"/>
              <w:jc w:val="center"/>
              <w:rPr>
                <w:rFonts w:ascii="Times New Roman"/>
                <w:sz w:val="14"/>
              </w:rPr>
            </w:pPr>
            <w:r>
              <w:rPr>
                <w:rFonts w:ascii="Times New Roman"/>
                <w:w w:val="60"/>
                <w:sz w:val="14"/>
              </w:rPr>
              <w:t>-</w:t>
            </w:r>
          </w:p>
        </w:tc>
        <w:tc>
          <w:tcPr>
            <w:tcW w:w="568" w:type="dxa"/>
            <w:tcBorders>
              <w:bottom w:val="single" w:sz="3" w:space="0" w:color="000000"/>
            </w:tcBorders>
          </w:tcPr>
          <w:p>
            <w:pPr>
              <w:pStyle w:val="TableParagraph"/>
              <w:spacing w:before="7"/>
              <w:ind w:right="7"/>
              <w:jc w:val="center"/>
              <w:rPr>
                <w:rFonts w:ascii="Times New Roman"/>
                <w:sz w:val="14"/>
              </w:rPr>
            </w:pPr>
            <w:r>
              <w:rPr>
                <w:rFonts w:ascii="Times New Roman"/>
                <w:w w:val="60"/>
                <w:sz w:val="14"/>
              </w:rPr>
              <w:t>-</w:t>
            </w:r>
          </w:p>
        </w:tc>
        <w:tc>
          <w:tcPr>
            <w:tcW w:w="648" w:type="dxa"/>
            <w:tcBorders>
              <w:bottom w:val="single" w:sz="3" w:space="0" w:color="000000"/>
            </w:tcBorders>
          </w:tcPr>
          <w:p>
            <w:pPr>
              <w:pStyle w:val="TableParagraph"/>
              <w:spacing w:before="7"/>
              <w:ind w:left="160"/>
              <w:jc w:val="left"/>
              <w:rPr>
                <w:rFonts w:ascii="Times New Roman"/>
                <w:b/>
                <w:sz w:val="14"/>
              </w:rPr>
            </w:pPr>
            <w:r>
              <w:rPr>
                <w:rFonts w:ascii="Times New Roman"/>
                <w:b/>
                <w:w w:val="70"/>
                <w:sz w:val="14"/>
              </w:rPr>
              <w:t>(127.000)</w:t>
            </w:r>
          </w:p>
        </w:tc>
      </w:tr>
      <w:tr>
        <w:trPr>
          <w:trHeight w:val="176" w:hRule="exact"/>
        </w:trPr>
        <w:tc>
          <w:tcPr>
            <w:tcW w:w="2709" w:type="dxa"/>
            <w:tcBorders>
              <w:top w:val="single" w:sz="3" w:space="0" w:color="000000"/>
            </w:tcBorders>
          </w:tcPr>
          <w:p>
            <w:pPr>
              <w:pStyle w:val="TableParagraph"/>
              <w:spacing w:before="10"/>
              <w:ind w:left="14"/>
              <w:jc w:val="left"/>
              <w:rPr>
                <w:rFonts w:ascii="Times New Roman"/>
                <w:b/>
                <w:sz w:val="14"/>
              </w:rPr>
            </w:pPr>
            <w:r>
              <w:rPr>
                <w:rFonts w:ascii="Times New Roman"/>
                <w:b/>
                <w:w w:val="60"/>
                <w:sz w:val="14"/>
              </w:rPr>
              <w:t>Totale Uscite</w:t>
            </w:r>
          </w:p>
        </w:tc>
        <w:tc>
          <w:tcPr>
            <w:tcW w:w="544" w:type="dxa"/>
            <w:tcBorders>
              <w:top w:val="single" w:sz="3" w:space="0" w:color="000000"/>
            </w:tcBorders>
          </w:tcPr>
          <w:p>
            <w:pPr>
              <w:pStyle w:val="TableParagraph"/>
              <w:spacing w:before="10"/>
              <w:ind w:left="122"/>
              <w:jc w:val="left"/>
              <w:rPr>
                <w:rFonts w:ascii="Times New Roman"/>
                <w:b/>
                <w:sz w:val="14"/>
              </w:rPr>
            </w:pPr>
            <w:r>
              <w:rPr>
                <w:rFonts w:ascii="Times New Roman"/>
                <w:b/>
                <w:w w:val="70"/>
                <w:sz w:val="14"/>
              </w:rPr>
              <w:t>(604.004)</w:t>
            </w:r>
          </w:p>
        </w:tc>
        <w:tc>
          <w:tcPr>
            <w:tcW w:w="564" w:type="dxa"/>
            <w:tcBorders>
              <w:top w:val="single" w:sz="3" w:space="0" w:color="000000"/>
            </w:tcBorders>
          </w:tcPr>
          <w:p>
            <w:pPr>
              <w:pStyle w:val="TableParagraph"/>
              <w:spacing w:before="10"/>
              <w:ind w:left="67" w:right="31"/>
              <w:jc w:val="center"/>
              <w:rPr>
                <w:rFonts w:ascii="Times New Roman"/>
                <w:b/>
                <w:sz w:val="14"/>
              </w:rPr>
            </w:pPr>
            <w:r>
              <w:rPr>
                <w:rFonts w:ascii="Times New Roman"/>
                <w:b/>
                <w:w w:val="65"/>
                <w:sz w:val="14"/>
              </w:rPr>
              <w:t>(1.476.000)</w:t>
            </w:r>
          </w:p>
        </w:tc>
        <w:tc>
          <w:tcPr>
            <w:tcW w:w="577" w:type="dxa"/>
            <w:tcBorders>
              <w:top w:val="single" w:sz="3" w:space="0" w:color="000000"/>
            </w:tcBorders>
          </w:tcPr>
          <w:p>
            <w:pPr>
              <w:pStyle w:val="TableParagraph"/>
              <w:spacing w:before="10"/>
              <w:ind w:left="69" w:right="67"/>
              <w:jc w:val="center"/>
              <w:rPr>
                <w:rFonts w:ascii="Times New Roman"/>
                <w:b/>
                <w:sz w:val="14"/>
              </w:rPr>
            </w:pPr>
            <w:r>
              <w:rPr>
                <w:rFonts w:ascii="Times New Roman"/>
                <w:b/>
                <w:w w:val="70"/>
                <w:sz w:val="14"/>
              </w:rPr>
              <w:t>(157.299)</w:t>
            </w:r>
          </w:p>
        </w:tc>
        <w:tc>
          <w:tcPr>
            <w:tcW w:w="530" w:type="dxa"/>
            <w:tcBorders>
              <w:top w:val="single" w:sz="3" w:space="0" w:color="000000"/>
            </w:tcBorders>
          </w:tcPr>
          <w:p>
            <w:pPr>
              <w:pStyle w:val="TableParagraph"/>
              <w:spacing w:before="10"/>
              <w:ind w:left="72" w:right="72"/>
              <w:jc w:val="center"/>
              <w:rPr>
                <w:rFonts w:ascii="Times New Roman"/>
                <w:b/>
                <w:sz w:val="14"/>
              </w:rPr>
            </w:pPr>
            <w:r>
              <w:rPr>
                <w:rFonts w:ascii="Times New Roman"/>
                <w:b/>
                <w:w w:val="70"/>
                <w:sz w:val="14"/>
              </w:rPr>
              <w:t>(31.000)</w:t>
            </w:r>
          </w:p>
        </w:tc>
        <w:tc>
          <w:tcPr>
            <w:tcW w:w="1130" w:type="dxa"/>
            <w:gridSpan w:val="2"/>
            <w:tcBorders>
              <w:top w:val="single" w:sz="3" w:space="0" w:color="000000"/>
            </w:tcBorders>
          </w:tcPr>
          <w:p>
            <w:pPr>
              <w:pStyle w:val="TableParagraph"/>
              <w:tabs>
                <w:tab w:pos="693" w:val="left" w:leader="none"/>
              </w:tabs>
              <w:spacing w:before="10"/>
              <w:ind w:left="273"/>
              <w:jc w:val="left"/>
              <w:rPr>
                <w:rFonts w:ascii="Times New Roman"/>
                <w:b/>
                <w:sz w:val="14"/>
              </w:rPr>
            </w:pPr>
            <w:r>
              <w:rPr>
                <w:rFonts w:ascii="Times New Roman"/>
                <w:b/>
                <w:w w:val="70"/>
                <w:sz w:val="14"/>
              </w:rPr>
              <w:t>-</w:t>
              <w:tab/>
              <w:t>(12.688)</w:t>
            </w:r>
          </w:p>
        </w:tc>
        <w:tc>
          <w:tcPr>
            <w:tcW w:w="530" w:type="dxa"/>
            <w:tcBorders>
              <w:top w:val="single" w:sz="3" w:space="0" w:color="000000"/>
            </w:tcBorders>
          </w:tcPr>
          <w:p>
            <w:pPr>
              <w:pStyle w:val="TableParagraph"/>
              <w:spacing w:before="10"/>
              <w:ind w:left="72" w:right="72"/>
              <w:jc w:val="center"/>
              <w:rPr>
                <w:rFonts w:ascii="Times New Roman"/>
                <w:b/>
                <w:sz w:val="14"/>
              </w:rPr>
            </w:pPr>
            <w:r>
              <w:rPr>
                <w:rFonts w:ascii="Times New Roman"/>
                <w:b/>
                <w:w w:val="70"/>
                <w:sz w:val="14"/>
              </w:rPr>
              <w:t>(31.000)</w:t>
            </w:r>
          </w:p>
        </w:tc>
        <w:tc>
          <w:tcPr>
            <w:tcW w:w="1154" w:type="dxa"/>
            <w:gridSpan w:val="2"/>
            <w:tcBorders>
              <w:top w:val="single" w:sz="3" w:space="0" w:color="000000"/>
            </w:tcBorders>
          </w:tcPr>
          <w:p>
            <w:pPr>
              <w:pStyle w:val="TableParagraph"/>
              <w:tabs>
                <w:tab w:pos="693" w:val="left" w:leader="none"/>
              </w:tabs>
              <w:spacing w:before="10"/>
              <w:ind w:left="273"/>
              <w:jc w:val="left"/>
              <w:rPr>
                <w:rFonts w:ascii="Times New Roman"/>
                <w:b/>
                <w:sz w:val="14"/>
              </w:rPr>
            </w:pPr>
            <w:r>
              <w:rPr>
                <w:rFonts w:ascii="Times New Roman"/>
                <w:b/>
                <w:w w:val="70"/>
                <w:sz w:val="14"/>
              </w:rPr>
              <w:t>-</w:t>
              <w:tab/>
              <w:t>(12.688)</w:t>
            </w:r>
          </w:p>
        </w:tc>
        <w:tc>
          <w:tcPr>
            <w:tcW w:w="514" w:type="dxa"/>
            <w:tcBorders>
              <w:top w:val="single" w:sz="3" w:space="0" w:color="000000"/>
            </w:tcBorders>
          </w:tcPr>
          <w:p>
            <w:pPr>
              <w:pStyle w:val="TableParagraph"/>
              <w:spacing w:before="10"/>
              <w:ind w:right="125"/>
              <w:rPr>
                <w:rFonts w:ascii="Times New Roman"/>
                <w:b/>
                <w:sz w:val="14"/>
              </w:rPr>
            </w:pPr>
            <w:r>
              <w:rPr>
                <w:rFonts w:ascii="Times New Roman"/>
                <w:b/>
                <w:w w:val="60"/>
                <w:sz w:val="14"/>
              </w:rPr>
              <w:t>(43.688)</w:t>
            </w:r>
          </w:p>
        </w:tc>
        <w:tc>
          <w:tcPr>
            <w:tcW w:w="553" w:type="dxa"/>
            <w:tcBorders>
              <w:top w:val="single" w:sz="3" w:space="0" w:color="000000"/>
            </w:tcBorders>
          </w:tcPr>
          <w:p>
            <w:pPr>
              <w:pStyle w:val="TableParagraph"/>
              <w:spacing w:before="10"/>
              <w:ind w:right="125"/>
              <w:rPr>
                <w:rFonts w:ascii="Times New Roman"/>
                <w:b/>
                <w:sz w:val="14"/>
              </w:rPr>
            </w:pPr>
            <w:r>
              <w:rPr>
                <w:rFonts w:ascii="Times New Roman"/>
                <w:b/>
                <w:w w:val="60"/>
                <w:sz w:val="14"/>
              </w:rPr>
              <w:t>(43.688)</w:t>
            </w:r>
          </w:p>
        </w:tc>
        <w:tc>
          <w:tcPr>
            <w:tcW w:w="553" w:type="dxa"/>
            <w:tcBorders>
              <w:top w:val="single" w:sz="3" w:space="0" w:color="000000"/>
            </w:tcBorders>
          </w:tcPr>
          <w:p>
            <w:pPr>
              <w:pStyle w:val="TableParagraph"/>
              <w:spacing w:before="10"/>
              <w:ind w:left="88" w:right="84"/>
              <w:jc w:val="center"/>
              <w:rPr>
                <w:rFonts w:ascii="Times New Roman"/>
                <w:b/>
                <w:sz w:val="14"/>
              </w:rPr>
            </w:pPr>
            <w:r>
              <w:rPr>
                <w:rFonts w:ascii="Times New Roman"/>
                <w:b/>
                <w:w w:val="70"/>
                <w:sz w:val="14"/>
              </w:rPr>
              <w:t>(43.688)</w:t>
            </w:r>
          </w:p>
        </w:tc>
        <w:tc>
          <w:tcPr>
            <w:tcW w:w="568" w:type="dxa"/>
            <w:tcBorders>
              <w:top w:val="single" w:sz="3" w:space="0" w:color="000000"/>
            </w:tcBorders>
          </w:tcPr>
          <w:p>
            <w:pPr>
              <w:pStyle w:val="TableParagraph"/>
              <w:spacing w:before="10"/>
              <w:ind w:left="132"/>
              <w:jc w:val="left"/>
              <w:rPr>
                <w:rFonts w:ascii="Times New Roman"/>
                <w:b/>
                <w:sz w:val="14"/>
              </w:rPr>
            </w:pPr>
            <w:r>
              <w:rPr>
                <w:rFonts w:ascii="Times New Roman"/>
                <w:b/>
                <w:w w:val="70"/>
                <w:sz w:val="14"/>
              </w:rPr>
              <w:t>(43.688)</w:t>
            </w:r>
          </w:p>
        </w:tc>
        <w:tc>
          <w:tcPr>
            <w:tcW w:w="648" w:type="dxa"/>
            <w:tcBorders>
              <w:top w:val="single" w:sz="3" w:space="0" w:color="000000"/>
            </w:tcBorders>
          </w:tcPr>
          <w:p>
            <w:pPr>
              <w:pStyle w:val="TableParagraph"/>
              <w:spacing w:before="10"/>
              <w:ind w:left="127"/>
              <w:jc w:val="left"/>
              <w:rPr>
                <w:rFonts w:ascii="Times New Roman"/>
                <w:b/>
                <w:sz w:val="14"/>
              </w:rPr>
            </w:pPr>
            <w:r>
              <w:rPr>
                <w:rFonts w:ascii="Times New Roman"/>
                <w:b/>
                <w:w w:val="70"/>
                <w:sz w:val="14"/>
              </w:rPr>
              <w:t>(2.499.431)</w:t>
            </w:r>
          </w:p>
        </w:tc>
      </w:tr>
    </w:tbl>
    <w:p>
      <w:pPr>
        <w:pStyle w:val="BodyText"/>
        <w:spacing w:before="10"/>
        <w:rPr>
          <w:sz w:val="15"/>
        </w:rPr>
      </w:pPr>
    </w:p>
    <w:p>
      <w:pPr>
        <w:pStyle w:val="BodyText"/>
        <w:spacing w:line="480" w:lineRule="auto" w:before="100"/>
        <w:ind w:left="1418" w:right="1415"/>
        <w:jc w:val="both"/>
      </w:pPr>
      <w:r>
        <w:rPr/>
        <w:t>Per quanto concerne i costi del personale e gli altri costi della gestione ordinaria essi si sviluppano fino all’acquisizione da parte di Versalis del ramo d’azienda previsto nel luglio 2018, come evidenziati dal piano di cassa di seguito rappresentato:</w:t>
      </w:r>
    </w:p>
    <w:p>
      <w:pPr>
        <w:pStyle w:val="BodyText"/>
        <w:rPr>
          <w:sz w:val="20"/>
        </w:rPr>
      </w:pPr>
    </w:p>
    <w:p>
      <w:pPr>
        <w:pStyle w:val="BodyText"/>
        <w:spacing w:before="4"/>
        <w:rPr>
          <w:sz w:val="10"/>
        </w:rPr>
      </w:pPr>
      <w:r>
        <w:rPr/>
        <w:pict>
          <v:line style="position:absolute;mso-position-horizontal-relative:page;mso-position-vertical-relative:paragraph;z-index:2200;mso-wrap-distance-left:0;mso-wrap-distance-right:0" from="92.050003pt,244.201916pt" to="490.850003pt,8.151916pt" stroked="true" strokeweight=".75pt" strokecolor="#000000">
            <v:stroke dashstyle="solid"/>
            <w10:wrap type="topAndBottom"/>
          </v:line>
        </w:pict>
      </w:r>
    </w:p>
    <w:p>
      <w:pPr>
        <w:spacing w:after="0"/>
        <w:rPr>
          <w:sz w:val="10"/>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6"/>
        </w:rPr>
      </w:pPr>
    </w:p>
    <w:tbl>
      <w:tblPr>
        <w:tblW w:w="0" w:type="auto"/>
        <w:jc w:val="left"/>
        <w:tblInd w:w="1422"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205"/>
        <w:gridCol w:w="935"/>
        <w:gridCol w:w="1111"/>
        <w:gridCol w:w="1091"/>
        <w:gridCol w:w="804"/>
        <w:gridCol w:w="897"/>
      </w:tblGrid>
      <w:tr>
        <w:trPr>
          <w:trHeight w:val="153" w:hRule="exact"/>
        </w:trPr>
        <w:tc>
          <w:tcPr>
            <w:tcW w:w="4205" w:type="dxa"/>
            <w:shd w:val="clear" w:color="auto" w:fill="9F2F33"/>
          </w:tcPr>
          <w:p>
            <w:pPr>
              <w:pStyle w:val="TableParagraph"/>
              <w:spacing w:before="8"/>
              <w:ind w:left="19"/>
              <w:jc w:val="left"/>
              <w:rPr>
                <w:rFonts w:ascii="Times New Roman" w:hAnsi="Times New Roman"/>
                <w:i/>
                <w:sz w:val="12"/>
              </w:rPr>
            </w:pPr>
            <w:r>
              <w:rPr>
                <w:rFonts w:ascii="Times New Roman" w:hAnsi="Times New Roman"/>
                <w:i/>
                <w:color w:val="FFFFFF"/>
                <w:sz w:val="12"/>
              </w:rPr>
              <w:t>€/000</w:t>
            </w:r>
          </w:p>
        </w:tc>
        <w:tc>
          <w:tcPr>
            <w:tcW w:w="935" w:type="dxa"/>
            <w:shd w:val="clear" w:color="auto" w:fill="9F2F33"/>
          </w:tcPr>
          <w:p>
            <w:pPr>
              <w:pStyle w:val="TableParagraph"/>
              <w:spacing w:before="8"/>
              <w:ind w:right="375"/>
              <w:rPr>
                <w:rFonts w:ascii="Times New Roman"/>
                <w:b/>
                <w:sz w:val="12"/>
              </w:rPr>
            </w:pPr>
            <w:r>
              <w:rPr>
                <w:rFonts w:ascii="Times New Roman"/>
                <w:b/>
                <w:color w:val="FFFFFF"/>
                <w:sz w:val="12"/>
              </w:rPr>
              <w:t>Aprile</w:t>
            </w:r>
          </w:p>
        </w:tc>
        <w:tc>
          <w:tcPr>
            <w:tcW w:w="1111" w:type="dxa"/>
            <w:shd w:val="clear" w:color="auto" w:fill="9F2F33"/>
          </w:tcPr>
          <w:p>
            <w:pPr>
              <w:pStyle w:val="TableParagraph"/>
              <w:spacing w:before="8"/>
              <w:ind w:left="357" w:right="327"/>
              <w:jc w:val="center"/>
              <w:rPr>
                <w:rFonts w:ascii="Times New Roman"/>
                <w:b/>
                <w:sz w:val="12"/>
              </w:rPr>
            </w:pPr>
            <w:r>
              <w:rPr>
                <w:rFonts w:ascii="Times New Roman"/>
                <w:b/>
                <w:color w:val="FFFFFF"/>
                <w:sz w:val="12"/>
              </w:rPr>
              <w:t>Maggio</w:t>
            </w:r>
          </w:p>
        </w:tc>
        <w:tc>
          <w:tcPr>
            <w:tcW w:w="1091" w:type="dxa"/>
            <w:shd w:val="clear" w:color="auto" w:fill="9F2F33"/>
          </w:tcPr>
          <w:p>
            <w:pPr>
              <w:pStyle w:val="TableParagraph"/>
              <w:spacing w:before="8"/>
              <w:ind w:left="328" w:right="342"/>
              <w:jc w:val="center"/>
              <w:rPr>
                <w:rFonts w:ascii="Times New Roman"/>
                <w:b/>
                <w:sz w:val="12"/>
              </w:rPr>
            </w:pPr>
            <w:r>
              <w:rPr>
                <w:rFonts w:ascii="Times New Roman"/>
                <w:b/>
                <w:color w:val="FFFFFF"/>
                <w:sz w:val="12"/>
              </w:rPr>
              <w:t>Giugno</w:t>
            </w:r>
          </w:p>
        </w:tc>
        <w:tc>
          <w:tcPr>
            <w:tcW w:w="804" w:type="dxa"/>
            <w:shd w:val="clear" w:color="auto" w:fill="9F2F33"/>
          </w:tcPr>
          <w:p>
            <w:pPr>
              <w:pStyle w:val="TableParagraph"/>
              <w:spacing w:before="8"/>
              <w:ind w:left="363"/>
              <w:jc w:val="left"/>
              <w:rPr>
                <w:rFonts w:ascii="Times New Roman"/>
                <w:b/>
                <w:sz w:val="12"/>
              </w:rPr>
            </w:pPr>
            <w:r>
              <w:rPr>
                <w:rFonts w:ascii="Times New Roman"/>
                <w:b/>
                <w:color w:val="FFFFFF"/>
                <w:sz w:val="12"/>
              </w:rPr>
              <w:t>Luglio</w:t>
            </w:r>
          </w:p>
        </w:tc>
        <w:tc>
          <w:tcPr>
            <w:tcW w:w="897" w:type="dxa"/>
          </w:tcPr>
          <w:p>
            <w:pPr>
              <w:pStyle w:val="TableParagraph"/>
              <w:spacing w:before="8"/>
              <w:ind w:right="-4"/>
              <w:rPr>
                <w:rFonts w:ascii="Times New Roman"/>
                <w:b/>
                <w:sz w:val="12"/>
              </w:rPr>
            </w:pPr>
            <w:r>
              <w:rPr>
                <w:rFonts w:ascii="Times New Roman"/>
                <w:b/>
                <w:color w:val="FFFFFF"/>
                <w:w w:val="100"/>
                <w:sz w:val="12"/>
                <w:shd w:fill="9F2F33" w:color="auto" w:val="clear"/>
              </w:rPr>
              <w:t>      </w:t>
            </w:r>
            <w:r>
              <w:rPr>
                <w:rFonts w:ascii="Times New Roman"/>
                <w:b/>
                <w:color w:val="FFFFFF"/>
                <w:sz w:val="12"/>
                <w:shd w:fill="9F2F33" w:color="auto" w:val="clear"/>
              </w:rPr>
              <w:t>Totale </w:t>
            </w:r>
          </w:p>
        </w:tc>
      </w:tr>
      <w:tr>
        <w:trPr>
          <w:trHeight w:val="300" w:hRule="exact"/>
        </w:trPr>
        <w:tc>
          <w:tcPr>
            <w:tcW w:w="4205" w:type="dxa"/>
          </w:tcPr>
          <w:p>
            <w:pPr>
              <w:pStyle w:val="TableParagraph"/>
              <w:spacing w:before="4"/>
              <w:jc w:val="left"/>
              <w:rPr>
                <w:sz w:val="14"/>
              </w:rPr>
            </w:pPr>
          </w:p>
          <w:p>
            <w:pPr>
              <w:pStyle w:val="TableParagraph"/>
              <w:spacing w:before="0"/>
              <w:ind w:left="19"/>
              <w:jc w:val="left"/>
              <w:rPr>
                <w:rFonts w:ascii="Times New Roman"/>
                <w:b/>
                <w:sz w:val="12"/>
              </w:rPr>
            </w:pPr>
            <w:r>
              <w:rPr>
                <w:rFonts w:ascii="Times New Roman"/>
                <w:b/>
                <w:sz w:val="12"/>
                <w:u w:val="single"/>
              </w:rPr>
              <w:t>Saldo Iniziale - 01/04/2018</w:t>
            </w:r>
          </w:p>
        </w:tc>
        <w:tc>
          <w:tcPr>
            <w:tcW w:w="935" w:type="dxa"/>
          </w:tcPr>
          <w:p>
            <w:pPr>
              <w:pStyle w:val="TableParagraph"/>
              <w:spacing w:before="4"/>
              <w:jc w:val="left"/>
              <w:rPr>
                <w:sz w:val="14"/>
              </w:rPr>
            </w:pPr>
          </w:p>
          <w:p>
            <w:pPr>
              <w:pStyle w:val="TableParagraph"/>
              <w:spacing w:before="0"/>
              <w:ind w:right="401"/>
              <w:rPr>
                <w:rFonts w:ascii="Times New Roman"/>
                <w:b/>
                <w:sz w:val="12"/>
              </w:rPr>
            </w:pPr>
            <w:r>
              <w:rPr>
                <w:rFonts w:ascii="Times New Roman"/>
                <w:b/>
                <w:sz w:val="12"/>
                <w:u w:val="single"/>
              </w:rPr>
              <w:t>1.229</w:t>
            </w:r>
          </w:p>
        </w:tc>
        <w:tc>
          <w:tcPr>
            <w:tcW w:w="1111" w:type="dxa"/>
          </w:tcPr>
          <w:p>
            <w:pPr>
              <w:pStyle w:val="TableParagraph"/>
              <w:spacing w:before="4"/>
              <w:jc w:val="left"/>
              <w:rPr>
                <w:sz w:val="14"/>
              </w:rPr>
            </w:pPr>
          </w:p>
          <w:p>
            <w:pPr>
              <w:pStyle w:val="TableParagraph"/>
              <w:spacing w:before="0"/>
              <w:ind w:left="357" w:right="321"/>
              <w:jc w:val="center"/>
              <w:rPr>
                <w:rFonts w:ascii="Times New Roman"/>
                <w:b/>
                <w:sz w:val="12"/>
              </w:rPr>
            </w:pPr>
            <w:r>
              <w:rPr>
                <w:rFonts w:ascii="Times New Roman"/>
                <w:b/>
                <w:sz w:val="12"/>
                <w:u w:val="single"/>
              </w:rPr>
              <w:t>646</w:t>
            </w:r>
          </w:p>
        </w:tc>
        <w:tc>
          <w:tcPr>
            <w:tcW w:w="1091" w:type="dxa"/>
          </w:tcPr>
          <w:p>
            <w:pPr>
              <w:pStyle w:val="TableParagraph"/>
              <w:spacing w:before="4"/>
              <w:jc w:val="left"/>
              <w:rPr>
                <w:sz w:val="14"/>
              </w:rPr>
            </w:pPr>
          </w:p>
          <w:p>
            <w:pPr>
              <w:pStyle w:val="TableParagraph"/>
              <w:spacing w:before="0"/>
              <w:ind w:left="328" w:right="336"/>
              <w:jc w:val="center"/>
              <w:rPr>
                <w:rFonts w:ascii="Times New Roman"/>
                <w:b/>
                <w:sz w:val="12"/>
              </w:rPr>
            </w:pPr>
            <w:r>
              <w:rPr>
                <w:rFonts w:ascii="Times New Roman"/>
                <w:b/>
                <w:sz w:val="12"/>
                <w:u w:val="single"/>
              </w:rPr>
              <w:t>12</w:t>
            </w:r>
          </w:p>
        </w:tc>
        <w:tc>
          <w:tcPr>
            <w:tcW w:w="804" w:type="dxa"/>
          </w:tcPr>
          <w:p>
            <w:pPr>
              <w:pStyle w:val="TableParagraph"/>
              <w:spacing w:before="4"/>
              <w:jc w:val="left"/>
              <w:rPr>
                <w:sz w:val="14"/>
              </w:rPr>
            </w:pPr>
          </w:p>
          <w:p>
            <w:pPr>
              <w:pStyle w:val="TableParagraph"/>
              <w:spacing w:before="0"/>
              <w:ind w:left="503"/>
              <w:jc w:val="left"/>
              <w:rPr>
                <w:rFonts w:ascii="Times New Roman"/>
                <w:b/>
                <w:sz w:val="12"/>
              </w:rPr>
            </w:pPr>
            <w:r>
              <w:rPr>
                <w:rFonts w:ascii="Times New Roman"/>
                <w:b/>
                <w:w w:val="100"/>
                <w:sz w:val="12"/>
              </w:rPr>
              <w:t>5</w:t>
            </w:r>
          </w:p>
        </w:tc>
        <w:tc>
          <w:tcPr>
            <w:tcW w:w="897" w:type="dxa"/>
          </w:tcPr>
          <w:p>
            <w:pPr>
              <w:pStyle w:val="TableParagraph"/>
              <w:spacing w:before="4"/>
              <w:jc w:val="left"/>
              <w:rPr>
                <w:sz w:val="14"/>
              </w:rPr>
            </w:pPr>
          </w:p>
          <w:p>
            <w:pPr>
              <w:pStyle w:val="TableParagraph"/>
              <w:spacing w:before="0"/>
              <w:ind w:right="21"/>
              <w:rPr>
                <w:rFonts w:ascii="Times New Roman"/>
                <w:b/>
                <w:sz w:val="12"/>
              </w:rPr>
            </w:pPr>
            <w:r>
              <w:rPr>
                <w:rFonts w:ascii="Times New Roman"/>
                <w:b/>
                <w:sz w:val="12"/>
              </w:rPr>
              <w:t>1.229</w:t>
            </w:r>
          </w:p>
        </w:tc>
      </w:tr>
      <w:tr>
        <w:trPr>
          <w:trHeight w:val="624" w:hRule="exact"/>
        </w:trPr>
        <w:tc>
          <w:tcPr>
            <w:tcW w:w="4205" w:type="dxa"/>
          </w:tcPr>
          <w:p>
            <w:pPr>
              <w:pStyle w:val="TableParagraph"/>
              <w:spacing w:before="0"/>
              <w:jc w:val="left"/>
              <w:rPr>
                <w:sz w:val="15"/>
              </w:rPr>
            </w:pPr>
          </w:p>
          <w:p>
            <w:pPr>
              <w:pStyle w:val="TableParagraph"/>
              <w:spacing w:before="0"/>
              <w:ind w:left="19"/>
              <w:jc w:val="left"/>
              <w:rPr>
                <w:rFonts w:ascii="Times New Roman"/>
                <w:b/>
                <w:sz w:val="12"/>
              </w:rPr>
            </w:pPr>
            <w:r>
              <w:rPr>
                <w:rFonts w:ascii="Times New Roman"/>
                <w:b/>
                <w:sz w:val="12"/>
                <w:u w:val="single"/>
              </w:rPr>
              <w:t>Entrate</w:t>
            </w:r>
          </w:p>
          <w:p>
            <w:pPr>
              <w:pStyle w:val="TableParagraph"/>
              <w:spacing w:before="15"/>
              <w:ind w:left="19"/>
              <w:jc w:val="left"/>
              <w:rPr>
                <w:rFonts w:ascii="Times New Roman"/>
                <w:sz w:val="12"/>
              </w:rPr>
            </w:pPr>
            <w:r>
              <w:rPr>
                <w:rFonts w:ascii="Times New Roman"/>
                <w:sz w:val="12"/>
              </w:rPr>
              <w:t>- Flusso netto commesse in corso &amp; progetti agevolati</w:t>
            </w:r>
          </w:p>
          <w:p>
            <w:pPr>
              <w:pStyle w:val="TableParagraph"/>
              <w:spacing w:before="38"/>
              <w:ind w:left="1709" w:right="1717"/>
              <w:jc w:val="center"/>
              <w:rPr>
                <w:rFonts w:ascii="Times New Roman"/>
                <w:i/>
                <w:sz w:val="8"/>
              </w:rPr>
            </w:pPr>
            <w:r>
              <w:rPr>
                <w:rFonts w:ascii="Times New Roman"/>
                <w:i/>
                <w:w w:val="110"/>
                <w:sz w:val="8"/>
              </w:rPr>
              <w:t>ENERGOCHEMICA</w:t>
            </w:r>
          </w:p>
        </w:tc>
        <w:tc>
          <w:tcPr>
            <w:tcW w:w="935" w:type="dxa"/>
          </w:tcPr>
          <w:p>
            <w:pPr>
              <w:pStyle w:val="TableParagraph"/>
              <w:spacing w:before="0"/>
              <w:jc w:val="left"/>
              <w:rPr>
                <w:sz w:val="12"/>
              </w:rPr>
            </w:pPr>
          </w:p>
          <w:p>
            <w:pPr>
              <w:pStyle w:val="TableParagraph"/>
              <w:spacing w:before="0"/>
              <w:jc w:val="left"/>
              <w:rPr>
                <w:sz w:val="12"/>
              </w:rPr>
            </w:pPr>
          </w:p>
          <w:p>
            <w:pPr>
              <w:pStyle w:val="TableParagraph"/>
              <w:spacing w:before="0"/>
              <w:jc w:val="left"/>
              <w:rPr>
                <w:sz w:val="12"/>
              </w:rPr>
            </w:pPr>
          </w:p>
          <w:p>
            <w:pPr>
              <w:pStyle w:val="TableParagraph"/>
              <w:spacing w:before="71"/>
              <w:ind w:right="163"/>
              <w:jc w:val="center"/>
              <w:rPr>
                <w:rFonts w:ascii="Times New Roman"/>
                <w:i/>
                <w:sz w:val="12"/>
              </w:rPr>
            </w:pPr>
            <w:r>
              <w:rPr>
                <w:rFonts w:ascii="Times New Roman"/>
                <w:i/>
                <w:w w:val="100"/>
                <w:sz w:val="12"/>
              </w:rPr>
              <w:t>-</w:t>
            </w:r>
          </w:p>
        </w:tc>
        <w:tc>
          <w:tcPr>
            <w:tcW w:w="1111" w:type="dxa"/>
          </w:tcPr>
          <w:p>
            <w:pPr>
              <w:pStyle w:val="TableParagraph"/>
              <w:spacing w:before="0"/>
              <w:jc w:val="left"/>
              <w:rPr>
                <w:sz w:val="12"/>
              </w:rPr>
            </w:pPr>
          </w:p>
          <w:p>
            <w:pPr>
              <w:pStyle w:val="TableParagraph"/>
              <w:spacing w:before="0"/>
              <w:jc w:val="left"/>
              <w:rPr>
                <w:sz w:val="12"/>
              </w:rPr>
            </w:pPr>
          </w:p>
          <w:p>
            <w:pPr>
              <w:pStyle w:val="TableParagraph"/>
              <w:spacing w:before="0"/>
              <w:jc w:val="left"/>
              <w:rPr>
                <w:sz w:val="12"/>
              </w:rPr>
            </w:pPr>
          </w:p>
          <w:p>
            <w:pPr>
              <w:pStyle w:val="TableParagraph"/>
              <w:spacing w:before="71"/>
              <w:ind w:left="16"/>
              <w:jc w:val="center"/>
              <w:rPr>
                <w:rFonts w:ascii="Times New Roman"/>
                <w:i/>
                <w:sz w:val="12"/>
              </w:rPr>
            </w:pPr>
            <w:r>
              <w:rPr>
                <w:rFonts w:ascii="Times New Roman"/>
                <w:i/>
                <w:w w:val="100"/>
                <w:sz w:val="12"/>
              </w:rPr>
              <w:t>-</w:t>
            </w:r>
          </w:p>
        </w:tc>
        <w:tc>
          <w:tcPr>
            <w:tcW w:w="1091" w:type="dxa"/>
          </w:tcPr>
          <w:p>
            <w:pPr>
              <w:pStyle w:val="TableParagraph"/>
              <w:spacing w:before="0"/>
              <w:jc w:val="left"/>
              <w:rPr>
                <w:sz w:val="12"/>
              </w:rPr>
            </w:pPr>
          </w:p>
          <w:p>
            <w:pPr>
              <w:pStyle w:val="TableParagraph"/>
              <w:spacing w:before="0"/>
              <w:jc w:val="left"/>
              <w:rPr>
                <w:sz w:val="12"/>
              </w:rPr>
            </w:pPr>
          </w:p>
          <w:p>
            <w:pPr>
              <w:pStyle w:val="TableParagraph"/>
              <w:spacing w:before="0"/>
              <w:jc w:val="left"/>
              <w:rPr>
                <w:sz w:val="12"/>
              </w:rPr>
            </w:pPr>
          </w:p>
          <w:p>
            <w:pPr>
              <w:pStyle w:val="TableParagraph"/>
              <w:spacing w:before="71"/>
              <w:ind w:right="21"/>
              <w:jc w:val="center"/>
              <w:rPr>
                <w:rFonts w:ascii="Times New Roman"/>
                <w:i/>
                <w:sz w:val="12"/>
              </w:rPr>
            </w:pPr>
            <w:r>
              <w:rPr>
                <w:rFonts w:ascii="Times New Roman"/>
                <w:i/>
                <w:w w:val="100"/>
                <w:sz w:val="12"/>
              </w:rPr>
              <w:t>-</w:t>
            </w:r>
          </w:p>
        </w:tc>
        <w:tc>
          <w:tcPr>
            <w:tcW w:w="804" w:type="dxa"/>
          </w:tcPr>
          <w:p>
            <w:pPr>
              <w:pStyle w:val="TableParagraph"/>
              <w:spacing w:before="0"/>
              <w:jc w:val="left"/>
              <w:rPr>
                <w:sz w:val="12"/>
              </w:rPr>
            </w:pPr>
          </w:p>
          <w:p>
            <w:pPr>
              <w:pStyle w:val="TableParagraph"/>
              <w:spacing w:before="0"/>
              <w:jc w:val="left"/>
              <w:rPr>
                <w:sz w:val="12"/>
              </w:rPr>
            </w:pPr>
          </w:p>
          <w:p>
            <w:pPr>
              <w:pStyle w:val="TableParagraph"/>
              <w:spacing w:before="0"/>
              <w:jc w:val="left"/>
              <w:rPr>
                <w:sz w:val="12"/>
              </w:rPr>
            </w:pPr>
          </w:p>
          <w:p>
            <w:pPr>
              <w:pStyle w:val="TableParagraph"/>
              <w:spacing w:before="76"/>
              <w:ind w:left="430"/>
              <w:jc w:val="left"/>
              <w:rPr>
                <w:rFonts w:ascii="Times New Roman"/>
                <w:i/>
                <w:sz w:val="12"/>
              </w:rPr>
            </w:pPr>
            <w:r>
              <w:rPr>
                <w:rFonts w:ascii="Times New Roman"/>
                <w:i/>
                <w:sz w:val="12"/>
              </w:rPr>
              <w:t>128</w:t>
            </w:r>
          </w:p>
        </w:tc>
        <w:tc>
          <w:tcPr>
            <w:tcW w:w="897" w:type="dxa"/>
          </w:tcPr>
          <w:p>
            <w:pPr>
              <w:pStyle w:val="TableParagraph"/>
              <w:spacing w:before="0"/>
              <w:jc w:val="left"/>
              <w:rPr>
                <w:sz w:val="12"/>
              </w:rPr>
            </w:pPr>
          </w:p>
          <w:p>
            <w:pPr>
              <w:pStyle w:val="TableParagraph"/>
              <w:spacing w:before="0"/>
              <w:jc w:val="left"/>
              <w:rPr>
                <w:sz w:val="12"/>
              </w:rPr>
            </w:pPr>
          </w:p>
          <w:p>
            <w:pPr>
              <w:pStyle w:val="TableParagraph"/>
              <w:spacing w:before="0"/>
              <w:jc w:val="left"/>
              <w:rPr>
                <w:sz w:val="12"/>
              </w:rPr>
            </w:pPr>
          </w:p>
          <w:p>
            <w:pPr>
              <w:pStyle w:val="TableParagraph"/>
              <w:spacing w:before="71"/>
              <w:ind w:right="21"/>
              <w:rPr>
                <w:rFonts w:ascii="Times New Roman"/>
                <w:sz w:val="12"/>
              </w:rPr>
            </w:pPr>
            <w:r>
              <w:rPr>
                <w:rFonts w:ascii="Times New Roman"/>
                <w:sz w:val="12"/>
              </w:rPr>
              <w:t>128</w:t>
            </w:r>
          </w:p>
        </w:tc>
      </w:tr>
      <w:tr>
        <w:trPr>
          <w:trHeight w:val="153" w:hRule="exact"/>
        </w:trPr>
        <w:tc>
          <w:tcPr>
            <w:tcW w:w="4205" w:type="dxa"/>
          </w:tcPr>
          <w:p>
            <w:pPr>
              <w:pStyle w:val="TableParagraph"/>
              <w:spacing w:before="29"/>
              <w:ind w:left="1481" w:right="1717"/>
              <w:jc w:val="center"/>
              <w:rPr>
                <w:rFonts w:ascii="Times New Roman"/>
                <w:i/>
                <w:sz w:val="8"/>
              </w:rPr>
            </w:pPr>
            <w:r>
              <w:rPr>
                <w:rFonts w:ascii="Times New Roman"/>
                <w:i/>
                <w:w w:val="110"/>
                <w:sz w:val="8"/>
              </w:rPr>
              <w:t>PLASTIPACK</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343" w:right="327"/>
              <w:jc w:val="center"/>
              <w:rPr>
                <w:rFonts w:ascii="Times New Roman"/>
                <w:i/>
                <w:sz w:val="12"/>
              </w:rPr>
            </w:pPr>
            <w:r>
              <w:rPr>
                <w:rFonts w:ascii="Times New Roman"/>
                <w:i/>
                <w:sz w:val="12"/>
              </w:rPr>
              <w:t>59</w:t>
            </w:r>
          </w:p>
        </w:tc>
        <w:tc>
          <w:tcPr>
            <w:tcW w:w="1091" w:type="dxa"/>
          </w:tcPr>
          <w:p>
            <w:pPr>
              <w:pStyle w:val="TableParagraph"/>
              <w:spacing w:before="5"/>
              <w:ind w:left="314" w:right="342"/>
              <w:jc w:val="center"/>
              <w:rPr>
                <w:rFonts w:ascii="Times New Roman"/>
                <w:i/>
                <w:sz w:val="12"/>
              </w:rPr>
            </w:pPr>
            <w:r>
              <w:rPr>
                <w:rFonts w:ascii="Times New Roman"/>
                <w:i/>
                <w:sz w:val="12"/>
              </w:rPr>
              <w:t>244</w:t>
            </w:r>
          </w:p>
        </w:tc>
        <w:tc>
          <w:tcPr>
            <w:tcW w:w="804" w:type="dxa"/>
          </w:tcPr>
          <w:p>
            <w:pPr>
              <w:pStyle w:val="TableParagraph"/>
              <w:spacing w:before="5"/>
              <w:ind w:left="463"/>
              <w:jc w:val="left"/>
              <w:rPr>
                <w:rFonts w:ascii="Times New Roman"/>
                <w:i/>
                <w:sz w:val="12"/>
              </w:rPr>
            </w:pPr>
            <w:r>
              <w:rPr>
                <w:rFonts w:ascii="Times New Roman"/>
                <w:i/>
                <w:sz w:val="12"/>
              </w:rPr>
              <w:t>85</w:t>
            </w:r>
          </w:p>
        </w:tc>
        <w:tc>
          <w:tcPr>
            <w:tcW w:w="897" w:type="dxa"/>
          </w:tcPr>
          <w:p>
            <w:pPr>
              <w:pStyle w:val="TableParagraph"/>
              <w:spacing w:before="5"/>
              <w:ind w:right="21"/>
              <w:rPr>
                <w:rFonts w:ascii="Times New Roman"/>
                <w:sz w:val="12"/>
              </w:rPr>
            </w:pPr>
            <w:r>
              <w:rPr>
                <w:rFonts w:ascii="Times New Roman"/>
                <w:sz w:val="12"/>
              </w:rPr>
              <w:t>388</w:t>
            </w:r>
          </w:p>
        </w:tc>
      </w:tr>
      <w:tr>
        <w:trPr>
          <w:trHeight w:val="153" w:hRule="exact"/>
        </w:trPr>
        <w:tc>
          <w:tcPr>
            <w:tcW w:w="4205" w:type="dxa"/>
          </w:tcPr>
          <w:p>
            <w:pPr>
              <w:pStyle w:val="TableParagraph"/>
              <w:spacing w:before="29"/>
              <w:ind w:left="1293" w:right="1717"/>
              <w:jc w:val="center"/>
              <w:rPr>
                <w:rFonts w:ascii="Times New Roman"/>
                <w:i/>
                <w:sz w:val="8"/>
              </w:rPr>
            </w:pPr>
            <w:r>
              <w:rPr>
                <w:rFonts w:ascii="Times New Roman"/>
                <w:i/>
                <w:w w:val="110"/>
                <w:sz w:val="8"/>
              </w:rPr>
              <w:t>BIOSCO</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30"/>
              <w:jc w:val="left"/>
              <w:rPr>
                <w:rFonts w:ascii="Times New Roman"/>
                <w:i/>
                <w:sz w:val="12"/>
              </w:rPr>
            </w:pPr>
            <w:r>
              <w:rPr>
                <w:rFonts w:ascii="Times New Roman"/>
                <w:i/>
                <w:sz w:val="12"/>
              </w:rPr>
              <w:t>362</w:t>
            </w:r>
          </w:p>
        </w:tc>
        <w:tc>
          <w:tcPr>
            <w:tcW w:w="897" w:type="dxa"/>
          </w:tcPr>
          <w:p>
            <w:pPr>
              <w:pStyle w:val="TableParagraph"/>
              <w:spacing w:before="5"/>
              <w:ind w:right="21"/>
              <w:rPr>
                <w:rFonts w:ascii="Times New Roman"/>
                <w:sz w:val="12"/>
              </w:rPr>
            </w:pPr>
            <w:r>
              <w:rPr>
                <w:rFonts w:ascii="Times New Roman"/>
                <w:sz w:val="12"/>
              </w:rPr>
              <w:t>362</w:t>
            </w:r>
          </w:p>
        </w:tc>
      </w:tr>
      <w:tr>
        <w:trPr>
          <w:trHeight w:val="153" w:hRule="exact"/>
        </w:trPr>
        <w:tc>
          <w:tcPr>
            <w:tcW w:w="4205" w:type="dxa"/>
          </w:tcPr>
          <w:p>
            <w:pPr>
              <w:pStyle w:val="TableParagraph"/>
              <w:spacing w:before="5"/>
              <w:ind w:left="19"/>
              <w:jc w:val="left"/>
              <w:rPr>
                <w:rFonts w:ascii="Times New Roman"/>
                <w:sz w:val="12"/>
              </w:rPr>
            </w:pPr>
            <w:r>
              <w:rPr>
                <w:rFonts w:ascii="Times New Roman"/>
                <w:sz w:val="12"/>
              </w:rPr>
              <w:t>- Progetto ottimizzazione etanolo</w:t>
            </w:r>
          </w:p>
        </w:tc>
        <w:tc>
          <w:tcPr>
            <w:tcW w:w="935" w:type="dxa"/>
          </w:tcPr>
          <w:p>
            <w:pPr>
              <w:pStyle w:val="TableParagraph"/>
              <w:spacing w:before="5"/>
              <w:ind w:left="299" w:right="435"/>
              <w:jc w:val="center"/>
              <w:rPr>
                <w:rFonts w:ascii="Times New Roman"/>
                <w:sz w:val="12"/>
              </w:rPr>
            </w:pPr>
            <w:r>
              <w:rPr>
                <w:rFonts w:ascii="Times New Roman"/>
                <w:sz w:val="12"/>
              </w:rPr>
              <w:t>18</w:t>
            </w:r>
          </w:p>
        </w:tc>
        <w:tc>
          <w:tcPr>
            <w:tcW w:w="1111" w:type="dxa"/>
          </w:tcPr>
          <w:p>
            <w:pPr>
              <w:pStyle w:val="TableParagraph"/>
              <w:spacing w:before="5"/>
              <w:ind w:left="29"/>
              <w:jc w:val="center"/>
              <w:rPr>
                <w:rFonts w:ascii="Times New Roman"/>
                <w:sz w:val="12"/>
              </w:rPr>
            </w:pPr>
            <w:r>
              <w:rPr>
                <w:rFonts w:ascii="Times New Roman"/>
                <w:w w:val="100"/>
                <w:sz w:val="12"/>
              </w:rPr>
              <w:t>-</w:t>
            </w:r>
          </w:p>
        </w:tc>
        <w:tc>
          <w:tcPr>
            <w:tcW w:w="1091" w:type="dxa"/>
          </w:tcPr>
          <w:p>
            <w:pPr>
              <w:pStyle w:val="TableParagraph"/>
              <w:spacing w:before="5"/>
              <w:ind w:right="8"/>
              <w:jc w:val="center"/>
              <w:rPr>
                <w:rFonts w:ascii="Times New Roman"/>
                <w:sz w:val="12"/>
              </w:rPr>
            </w:pPr>
            <w:r>
              <w:rPr>
                <w:rFonts w:ascii="Times New Roman"/>
                <w:w w:val="100"/>
                <w:sz w:val="12"/>
              </w:rPr>
              <w:t>-</w:t>
            </w:r>
          </w:p>
        </w:tc>
        <w:tc>
          <w:tcPr>
            <w:tcW w:w="804" w:type="dxa"/>
          </w:tcPr>
          <w:p>
            <w:pPr>
              <w:pStyle w:val="TableParagraph"/>
              <w:spacing w:before="5"/>
              <w:ind w:left="510"/>
              <w:jc w:val="left"/>
              <w:rPr>
                <w:rFonts w:ascii="Times New Roman"/>
                <w:sz w:val="12"/>
              </w:rPr>
            </w:pPr>
            <w:r>
              <w:rPr>
                <w:rFonts w:ascii="Times New Roman"/>
                <w:w w:val="100"/>
                <w:sz w:val="12"/>
              </w:rPr>
              <w:t>-</w:t>
            </w:r>
          </w:p>
        </w:tc>
        <w:tc>
          <w:tcPr>
            <w:tcW w:w="897" w:type="dxa"/>
          </w:tcPr>
          <w:p>
            <w:pPr>
              <w:pStyle w:val="TableParagraph"/>
              <w:spacing w:before="5"/>
              <w:ind w:right="21"/>
              <w:rPr>
                <w:rFonts w:ascii="Times New Roman"/>
                <w:sz w:val="12"/>
              </w:rPr>
            </w:pPr>
            <w:r>
              <w:rPr>
                <w:rFonts w:ascii="Times New Roman"/>
                <w:sz w:val="12"/>
              </w:rPr>
              <w:t>18</w:t>
            </w:r>
          </w:p>
        </w:tc>
      </w:tr>
      <w:tr>
        <w:trPr>
          <w:trHeight w:val="153" w:hRule="exact"/>
        </w:trPr>
        <w:tc>
          <w:tcPr>
            <w:tcW w:w="4205" w:type="dxa"/>
          </w:tcPr>
          <w:p>
            <w:pPr>
              <w:pStyle w:val="TableParagraph"/>
              <w:spacing w:before="5"/>
              <w:ind w:left="19"/>
              <w:jc w:val="left"/>
              <w:rPr>
                <w:rFonts w:ascii="Times New Roman"/>
                <w:sz w:val="12"/>
              </w:rPr>
            </w:pPr>
            <w:r>
              <w:rPr>
                <w:rFonts w:ascii="Times New Roman"/>
                <w:sz w:val="12"/>
              </w:rPr>
              <w:t>- Rimborsi C5-6</w:t>
            </w:r>
          </w:p>
        </w:tc>
        <w:tc>
          <w:tcPr>
            <w:tcW w:w="935" w:type="dxa"/>
          </w:tcPr>
          <w:p>
            <w:pPr>
              <w:pStyle w:val="TableParagraph"/>
              <w:spacing w:before="5"/>
              <w:ind w:right="136"/>
              <w:jc w:val="center"/>
              <w:rPr>
                <w:rFonts w:ascii="Times New Roman"/>
                <w:sz w:val="12"/>
              </w:rPr>
            </w:pPr>
            <w:r>
              <w:rPr>
                <w:rFonts w:ascii="Times New Roman"/>
                <w:w w:val="100"/>
                <w:sz w:val="12"/>
              </w:rPr>
              <w:t>-</w:t>
            </w:r>
          </w:p>
        </w:tc>
        <w:tc>
          <w:tcPr>
            <w:tcW w:w="1111" w:type="dxa"/>
          </w:tcPr>
          <w:p>
            <w:pPr>
              <w:pStyle w:val="TableParagraph"/>
              <w:spacing w:before="5"/>
              <w:ind w:left="29"/>
              <w:jc w:val="center"/>
              <w:rPr>
                <w:rFonts w:ascii="Times New Roman"/>
                <w:sz w:val="12"/>
              </w:rPr>
            </w:pPr>
            <w:r>
              <w:rPr>
                <w:rFonts w:ascii="Times New Roman"/>
                <w:w w:val="100"/>
                <w:sz w:val="12"/>
              </w:rPr>
              <w:t>-</w:t>
            </w:r>
          </w:p>
        </w:tc>
        <w:tc>
          <w:tcPr>
            <w:tcW w:w="1091" w:type="dxa"/>
          </w:tcPr>
          <w:p>
            <w:pPr>
              <w:pStyle w:val="TableParagraph"/>
              <w:spacing w:before="5"/>
              <w:ind w:right="8"/>
              <w:jc w:val="center"/>
              <w:rPr>
                <w:rFonts w:ascii="Times New Roman"/>
                <w:sz w:val="12"/>
              </w:rPr>
            </w:pPr>
            <w:r>
              <w:rPr>
                <w:rFonts w:ascii="Times New Roman"/>
                <w:w w:val="100"/>
                <w:sz w:val="12"/>
              </w:rPr>
              <w:t>-</w:t>
            </w:r>
          </w:p>
        </w:tc>
        <w:tc>
          <w:tcPr>
            <w:tcW w:w="804" w:type="dxa"/>
          </w:tcPr>
          <w:p>
            <w:pPr>
              <w:pStyle w:val="TableParagraph"/>
              <w:spacing w:before="5"/>
              <w:ind w:left="510"/>
              <w:jc w:val="left"/>
              <w:rPr>
                <w:rFonts w:ascii="Times New Roman"/>
                <w:sz w:val="12"/>
              </w:rPr>
            </w:pPr>
            <w:r>
              <w:rPr>
                <w:rFonts w:ascii="Times New Roman"/>
                <w:w w:val="100"/>
                <w:sz w:val="12"/>
              </w:rPr>
              <w:t>-</w:t>
            </w:r>
          </w:p>
        </w:tc>
        <w:tc>
          <w:tcPr>
            <w:tcW w:w="897" w:type="dxa"/>
          </w:tcPr>
          <w:p>
            <w:pPr>
              <w:pStyle w:val="TableParagraph"/>
              <w:spacing w:before="5"/>
              <w:ind w:right="21"/>
              <w:rPr>
                <w:rFonts w:ascii="Times New Roman"/>
                <w:sz w:val="12"/>
              </w:rPr>
            </w:pPr>
            <w:r>
              <w:rPr>
                <w:rFonts w:ascii="Times New Roman"/>
                <w:w w:val="100"/>
                <w:sz w:val="12"/>
              </w:rPr>
              <w:t>-</w:t>
            </w:r>
          </w:p>
        </w:tc>
      </w:tr>
      <w:tr>
        <w:trPr>
          <w:trHeight w:val="230" w:hRule="exact"/>
        </w:trPr>
        <w:tc>
          <w:tcPr>
            <w:tcW w:w="4205" w:type="dxa"/>
          </w:tcPr>
          <w:p>
            <w:pPr>
              <w:pStyle w:val="TableParagraph"/>
              <w:spacing w:before="5"/>
              <w:ind w:left="19"/>
              <w:jc w:val="left"/>
              <w:rPr>
                <w:rFonts w:ascii="Times New Roman"/>
                <w:sz w:val="12"/>
              </w:rPr>
            </w:pPr>
            <w:r>
              <w:rPr>
                <w:rFonts w:ascii="Times New Roman"/>
                <w:sz w:val="12"/>
              </w:rPr>
              <w:t>- Riaddebito personale IBP e MG Resins</w:t>
            </w:r>
          </w:p>
        </w:tc>
        <w:tc>
          <w:tcPr>
            <w:tcW w:w="935" w:type="dxa"/>
          </w:tcPr>
          <w:p>
            <w:pPr>
              <w:pStyle w:val="TableParagraph"/>
              <w:spacing w:before="5"/>
              <w:ind w:left="299" w:right="435"/>
              <w:jc w:val="center"/>
              <w:rPr>
                <w:rFonts w:ascii="Times New Roman"/>
                <w:sz w:val="12"/>
              </w:rPr>
            </w:pPr>
            <w:r>
              <w:rPr>
                <w:rFonts w:ascii="Times New Roman"/>
                <w:sz w:val="12"/>
              </w:rPr>
              <w:t>63</w:t>
            </w:r>
          </w:p>
        </w:tc>
        <w:tc>
          <w:tcPr>
            <w:tcW w:w="1111" w:type="dxa"/>
          </w:tcPr>
          <w:p>
            <w:pPr>
              <w:pStyle w:val="TableParagraph"/>
              <w:spacing w:before="5"/>
              <w:ind w:left="356" w:right="327"/>
              <w:jc w:val="center"/>
              <w:rPr>
                <w:rFonts w:ascii="Times New Roman"/>
                <w:sz w:val="12"/>
              </w:rPr>
            </w:pPr>
            <w:r>
              <w:rPr>
                <w:rFonts w:ascii="Times New Roman"/>
                <w:sz w:val="12"/>
              </w:rPr>
              <w:t>63</w:t>
            </w:r>
          </w:p>
        </w:tc>
        <w:tc>
          <w:tcPr>
            <w:tcW w:w="1091" w:type="dxa"/>
          </w:tcPr>
          <w:p>
            <w:pPr>
              <w:pStyle w:val="TableParagraph"/>
              <w:spacing w:before="5"/>
              <w:ind w:left="328" w:right="336"/>
              <w:jc w:val="center"/>
              <w:rPr>
                <w:rFonts w:ascii="Times New Roman"/>
                <w:sz w:val="12"/>
              </w:rPr>
            </w:pPr>
            <w:r>
              <w:rPr>
                <w:rFonts w:ascii="Times New Roman"/>
                <w:sz w:val="12"/>
              </w:rPr>
              <w:t>63</w:t>
            </w:r>
          </w:p>
        </w:tc>
        <w:tc>
          <w:tcPr>
            <w:tcW w:w="804" w:type="dxa"/>
          </w:tcPr>
          <w:p>
            <w:pPr>
              <w:pStyle w:val="TableParagraph"/>
              <w:spacing w:before="5"/>
              <w:ind w:left="470"/>
              <w:jc w:val="left"/>
              <w:rPr>
                <w:rFonts w:ascii="Times New Roman"/>
                <w:sz w:val="12"/>
              </w:rPr>
            </w:pPr>
            <w:r>
              <w:rPr>
                <w:rFonts w:ascii="Times New Roman"/>
                <w:sz w:val="12"/>
              </w:rPr>
              <w:t>63</w:t>
            </w:r>
          </w:p>
        </w:tc>
        <w:tc>
          <w:tcPr>
            <w:tcW w:w="897" w:type="dxa"/>
          </w:tcPr>
          <w:p>
            <w:pPr>
              <w:pStyle w:val="TableParagraph"/>
              <w:spacing w:before="5"/>
              <w:ind w:right="21"/>
              <w:rPr>
                <w:rFonts w:ascii="Times New Roman"/>
                <w:sz w:val="12"/>
              </w:rPr>
            </w:pPr>
            <w:r>
              <w:rPr>
                <w:rFonts w:ascii="Times New Roman"/>
                <w:sz w:val="12"/>
              </w:rPr>
              <w:t>251</w:t>
            </w:r>
          </w:p>
        </w:tc>
      </w:tr>
      <w:tr>
        <w:trPr>
          <w:trHeight w:val="377" w:hRule="exact"/>
        </w:trPr>
        <w:tc>
          <w:tcPr>
            <w:tcW w:w="4205" w:type="dxa"/>
            <w:tcBorders>
              <w:bottom w:val="single" w:sz="3" w:space="0" w:color="C00000"/>
            </w:tcBorders>
          </w:tcPr>
          <w:p>
            <w:pPr>
              <w:pStyle w:val="TableParagraph"/>
              <w:spacing w:before="82"/>
              <w:ind w:left="19"/>
              <w:jc w:val="left"/>
              <w:rPr>
                <w:rFonts w:ascii="Times New Roman"/>
                <w:b/>
                <w:sz w:val="12"/>
              </w:rPr>
            </w:pPr>
            <w:r>
              <w:rPr>
                <w:rFonts w:ascii="Times New Roman"/>
                <w:b/>
                <w:sz w:val="12"/>
                <w:u w:val="single"/>
              </w:rPr>
              <w:t>Uscite </w:t>
            </w:r>
          </w:p>
          <w:p>
            <w:pPr>
              <w:pStyle w:val="TableParagraph"/>
              <w:spacing w:before="15"/>
              <w:ind w:left="19"/>
              <w:jc w:val="left"/>
              <w:rPr>
                <w:rFonts w:ascii="Times New Roman"/>
                <w:sz w:val="12"/>
              </w:rPr>
            </w:pPr>
            <w:r>
              <w:rPr>
                <w:rFonts w:ascii="Times New Roman"/>
                <w:sz w:val="12"/>
              </w:rPr>
              <w:t>- Contenziosi legali</w:t>
            </w:r>
          </w:p>
        </w:tc>
        <w:tc>
          <w:tcPr>
            <w:tcW w:w="935" w:type="dxa"/>
            <w:tcBorders>
              <w:bottom w:val="single" w:sz="3" w:space="0" w:color="C00000"/>
            </w:tcBorders>
          </w:tcPr>
          <w:p>
            <w:pPr>
              <w:pStyle w:val="TableParagraph"/>
              <w:spacing w:before="0"/>
              <w:jc w:val="left"/>
              <w:rPr>
                <w:sz w:val="12"/>
              </w:rPr>
            </w:pPr>
          </w:p>
          <w:p>
            <w:pPr>
              <w:pStyle w:val="TableParagraph"/>
              <w:spacing w:before="100"/>
              <w:ind w:right="136"/>
              <w:jc w:val="center"/>
              <w:rPr>
                <w:rFonts w:ascii="Times New Roman"/>
                <w:sz w:val="12"/>
              </w:rPr>
            </w:pPr>
            <w:r>
              <w:rPr>
                <w:rFonts w:ascii="Times New Roman"/>
                <w:w w:val="100"/>
                <w:sz w:val="12"/>
              </w:rPr>
              <w:t>-</w:t>
            </w:r>
          </w:p>
        </w:tc>
        <w:tc>
          <w:tcPr>
            <w:tcW w:w="1111" w:type="dxa"/>
            <w:tcBorders>
              <w:bottom w:val="single" w:sz="3" w:space="0" w:color="C00000"/>
            </w:tcBorders>
          </w:tcPr>
          <w:p>
            <w:pPr>
              <w:pStyle w:val="TableParagraph"/>
              <w:spacing w:before="0"/>
              <w:jc w:val="left"/>
              <w:rPr>
                <w:sz w:val="12"/>
              </w:rPr>
            </w:pPr>
          </w:p>
          <w:p>
            <w:pPr>
              <w:pStyle w:val="TableParagraph"/>
              <w:spacing w:before="100"/>
              <w:ind w:left="29"/>
              <w:jc w:val="center"/>
              <w:rPr>
                <w:rFonts w:ascii="Times New Roman"/>
                <w:sz w:val="12"/>
              </w:rPr>
            </w:pPr>
            <w:r>
              <w:rPr>
                <w:rFonts w:ascii="Times New Roman"/>
                <w:w w:val="100"/>
                <w:sz w:val="12"/>
              </w:rPr>
              <w:t>-</w:t>
            </w:r>
          </w:p>
        </w:tc>
        <w:tc>
          <w:tcPr>
            <w:tcW w:w="1091" w:type="dxa"/>
            <w:tcBorders>
              <w:bottom w:val="single" w:sz="3" w:space="0" w:color="C00000"/>
            </w:tcBorders>
          </w:tcPr>
          <w:p>
            <w:pPr>
              <w:pStyle w:val="TableParagraph"/>
              <w:spacing w:before="0"/>
              <w:jc w:val="left"/>
              <w:rPr>
                <w:sz w:val="12"/>
              </w:rPr>
            </w:pPr>
          </w:p>
          <w:p>
            <w:pPr>
              <w:pStyle w:val="TableParagraph"/>
              <w:spacing w:before="100"/>
              <w:ind w:right="8"/>
              <w:jc w:val="center"/>
              <w:rPr>
                <w:rFonts w:ascii="Times New Roman"/>
                <w:sz w:val="12"/>
              </w:rPr>
            </w:pPr>
            <w:r>
              <w:rPr>
                <w:rFonts w:ascii="Times New Roman"/>
                <w:w w:val="100"/>
                <w:sz w:val="12"/>
              </w:rPr>
              <w:t>-</w:t>
            </w:r>
          </w:p>
        </w:tc>
        <w:tc>
          <w:tcPr>
            <w:tcW w:w="804" w:type="dxa"/>
            <w:tcBorders>
              <w:bottom w:val="single" w:sz="3" w:space="0" w:color="C00000"/>
            </w:tcBorders>
          </w:tcPr>
          <w:p>
            <w:pPr>
              <w:pStyle w:val="TableParagraph"/>
              <w:spacing w:before="0"/>
              <w:jc w:val="left"/>
              <w:rPr>
                <w:sz w:val="12"/>
              </w:rPr>
            </w:pPr>
          </w:p>
          <w:p>
            <w:pPr>
              <w:pStyle w:val="TableParagraph"/>
              <w:spacing w:before="100"/>
              <w:ind w:left="510"/>
              <w:jc w:val="left"/>
              <w:rPr>
                <w:rFonts w:ascii="Times New Roman"/>
                <w:sz w:val="12"/>
              </w:rPr>
            </w:pPr>
            <w:r>
              <w:rPr>
                <w:rFonts w:ascii="Times New Roman"/>
                <w:w w:val="100"/>
                <w:sz w:val="12"/>
              </w:rPr>
              <w:t>-</w:t>
            </w:r>
          </w:p>
        </w:tc>
        <w:tc>
          <w:tcPr>
            <w:tcW w:w="897" w:type="dxa"/>
            <w:tcBorders>
              <w:bottom w:val="single" w:sz="3" w:space="0" w:color="C00000"/>
            </w:tcBorders>
          </w:tcPr>
          <w:p>
            <w:pPr/>
          </w:p>
        </w:tc>
      </w:tr>
      <w:tr>
        <w:trPr>
          <w:trHeight w:val="160" w:hRule="exact"/>
        </w:trPr>
        <w:tc>
          <w:tcPr>
            <w:tcW w:w="4205" w:type="dxa"/>
            <w:tcBorders>
              <w:top w:val="single" w:sz="3" w:space="0" w:color="C00000"/>
              <w:left w:val="single" w:sz="3" w:space="0" w:color="C00000"/>
            </w:tcBorders>
          </w:tcPr>
          <w:p>
            <w:pPr>
              <w:pStyle w:val="TableParagraph"/>
              <w:spacing w:before="8"/>
              <w:ind w:left="19"/>
              <w:jc w:val="left"/>
              <w:rPr>
                <w:rFonts w:ascii="Times New Roman"/>
                <w:sz w:val="12"/>
              </w:rPr>
            </w:pPr>
            <w:r>
              <w:rPr>
                <w:rFonts w:ascii="Times New Roman"/>
                <w:sz w:val="12"/>
              </w:rPr>
              <w:t>- Costo del personale</w:t>
            </w:r>
          </w:p>
        </w:tc>
        <w:tc>
          <w:tcPr>
            <w:tcW w:w="935" w:type="dxa"/>
            <w:tcBorders>
              <w:top w:val="single" w:sz="3" w:space="0" w:color="C00000"/>
            </w:tcBorders>
          </w:tcPr>
          <w:p>
            <w:pPr>
              <w:pStyle w:val="TableParagraph"/>
              <w:spacing w:before="8"/>
              <w:ind w:left="265"/>
              <w:jc w:val="left"/>
              <w:rPr>
                <w:rFonts w:ascii="Times New Roman"/>
                <w:sz w:val="12"/>
              </w:rPr>
            </w:pPr>
            <w:r>
              <w:rPr>
                <w:rFonts w:ascii="Times New Roman"/>
                <w:sz w:val="12"/>
              </w:rPr>
              <w:t>(369)</w:t>
            </w:r>
          </w:p>
        </w:tc>
        <w:tc>
          <w:tcPr>
            <w:tcW w:w="1111" w:type="dxa"/>
            <w:tcBorders>
              <w:top w:val="single" w:sz="3" w:space="0" w:color="C00000"/>
            </w:tcBorders>
          </w:tcPr>
          <w:p>
            <w:pPr>
              <w:pStyle w:val="TableParagraph"/>
              <w:spacing w:before="8"/>
              <w:ind w:left="357" w:right="321"/>
              <w:jc w:val="center"/>
              <w:rPr>
                <w:rFonts w:ascii="Times New Roman"/>
                <w:sz w:val="12"/>
              </w:rPr>
            </w:pPr>
            <w:r>
              <w:rPr>
                <w:rFonts w:ascii="Times New Roman"/>
                <w:sz w:val="12"/>
              </w:rPr>
              <w:t>(162)</w:t>
            </w:r>
          </w:p>
        </w:tc>
        <w:tc>
          <w:tcPr>
            <w:tcW w:w="1091" w:type="dxa"/>
            <w:tcBorders>
              <w:top w:val="single" w:sz="3" w:space="0" w:color="C00000"/>
            </w:tcBorders>
          </w:tcPr>
          <w:p>
            <w:pPr>
              <w:pStyle w:val="TableParagraph"/>
              <w:spacing w:before="8"/>
              <w:ind w:left="328" w:right="329"/>
              <w:jc w:val="center"/>
              <w:rPr>
                <w:rFonts w:ascii="Times New Roman"/>
                <w:sz w:val="12"/>
              </w:rPr>
            </w:pPr>
            <w:r>
              <w:rPr>
                <w:rFonts w:ascii="Times New Roman"/>
                <w:sz w:val="12"/>
              </w:rPr>
              <w:t>(208)</w:t>
            </w:r>
          </w:p>
        </w:tc>
        <w:tc>
          <w:tcPr>
            <w:tcW w:w="804" w:type="dxa"/>
            <w:tcBorders>
              <w:top w:val="single" w:sz="3" w:space="0" w:color="C00000"/>
            </w:tcBorders>
          </w:tcPr>
          <w:p>
            <w:pPr>
              <w:pStyle w:val="TableParagraph"/>
              <w:spacing w:before="8"/>
              <w:ind w:left="403"/>
              <w:jc w:val="left"/>
              <w:rPr>
                <w:rFonts w:ascii="Times New Roman"/>
                <w:sz w:val="12"/>
              </w:rPr>
            </w:pPr>
            <w:r>
              <w:rPr>
                <w:rFonts w:ascii="Times New Roman"/>
                <w:sz w:val="12"/>
              </w:rPr>
              <w:t>(208)</w:t>
            </w:r>
          </w:p>
        </w:tc>
        <w:tc>
          <w:tcPr>
            <w:tcW w:w="897" w:type="dxa"/>
            <w:tcBorders>
              <w:top w:val="single" w:sz="3" w:space="0" w:color="C00000"/>
              <w:right w:val="single" w:sz="3" w:space="0" w:color="C00000"/>
            </w:tcBorders>
          </w:tcPr>
          <w:p>
            <w:pPr>
              <w:pStyle w:val="TableParagraph"/>
              <w:spacing w:before="8"/>
              <w:ind w:right="18"/>
              <w:rPr>
                <w:rFonts w:ascii="Times New Roman"/>
                <w:sz w:val="12"/>
              </w:rPr>
            </w:pPr>
            <w:r>
              <w:rPr>
                <w:rFonts w:ascii="Times New Roman"/>
                <w:sz w:val="12"/>
              </w:rPr>
              <w:t>(947)</w:t>
            </w:r>
          </w:p>
        </w:tc>
      </w:tr>
      <w:tr>
        <w:trPr>
          <w:trHeight w:val="307" w:hRule="exact"/>
        </w:trPr>
        <w:tc>
          <w:tcPr>
            <w:tcW w:w="4205" w:type="dxa"/>
            <w:tcBorders>
              <w:left w:val="single" w:sz="3" w:space="0" w:color="C00000"/>
            </w:tcBorders>
          </w:tcPr>
          <w:p>
            <w:pPr>
              <w:pStyle w:val="TableParagraph"/>
              <w:spacing w:before="5"/>
              <w:ind w:left="19"/>
              <w:jc w:val="left"/>
              <w:rPr>
                <w:rFonts w:ascii="Times New Roman"/>
                <w:sz w:val="12"/>
              </w:rPr>
            </w:pPr>
            <w:r>
              <w:rPr>
                <w:rFonts w:ascii="Times New Roman"/>
                <w:sz w:val="12"/>
              </w:rPr>
              <w:t>- Costi fissi</w:t>
            </w:r>
          </w:p>
          <w:p>
            <w:pPr>
              <w:pStyle w:val="TableParagraph"/>
              <w:spacing w:before="15"/>
              <w:ind w:left="1741"/>
              <w:jc w:val="left"/>
              <w:rPr>
                <w:rFonts w:ascii="Times New Roman"/>
                <w:i/>
                <w:sz w:val="12"/>
              </w:rPr>
            </w:pPr>
            <w:r>
              <w:rPr>
                <w:rFonts w:ascii="Times New Roman"/>
                <w:i/>
                <w:sz w:val="12"/>
              </w:rPr>
              <w:t>auto + carburante (Harval + ALD)</w:t>
            </w:r>
          </w:p>
        </w:tc>
        <w:tc>
          <w:tcPr>
            <w:tcW w:w="935" w:type="dxa"/>
          </w:tcPr>
          <w:p>
            <w:pPr>
              <w:pStyle w:val="TableParagraph"/>
              <w:spacing w:before="1"/>
              <w:jc w:val="left"/>
              <w:rPr>
                <w:sz w:val="14"/>
              </w:rPr>
            </w:pPr>
          </w:p>
          <w:p>
            <w:pPr>
              <w:pStyle w:val="TableParagraph"/>
              <w:spacing w:before="0"/>
              <w:ind w:left="285"/>
              <w:jc w:val="left"/>
              <w:rPr>
                <w:rFonts w:ascii="Times New Roman"/>
                <w:i/>
                <w:sz w:val="12"/>
              </w:rPr>
            </w:pPr>
            <w:r>
              <w:rPr>
                <w:rFonts w:ascii="Times New Roman"/>
                <w:i/>
                <w:sz w:val="12"/>
              </w:rPr>
              <w:t>(16)</w:t>
            </w:r>
          </w:p>
        </w:tc>
        <w:tc>
          <w:tcPr>
            <w:tcW w:w="1111" w:type="dxa"/>
          </w:tcPr>
          <w:p>
            <w:pPr>
              <w:pStyle w:val="TableParagraph"/>
              <w:spacing w:before="1"/>
              <w:jc w:val="left"/>
              <w:rPr>
                <w:sz w:val="14"/>
              </w:rPr>
            </w:pPr>
          </w:p>
          <w:p>
            <w:pPr>
              <w:pStyle w:val="TableParagraph"/>
              <w:spacing w:before="0"/>
              <w:ind w:left="343" w:right="327"/>
              <w:jc w:val="center"/>
              <w:rPr>
                <w:rFonts w:ascii="Times New Roman"/>
                <w:i/>
                <w:sz w:val="12"/>
              </w:rPr>
            </w:pPr>
            <w:r>
              <w:rPr>
                <w:rFonts w:ascii="Times New Roman"/>
                <w:i/>
                <w:sz w:val="12"/>
              </w:rPr>
              <w:t>(14)</w:t>
            </w:r>
          </w:p>
        </w:tc>
        <w:tc>
          <w:tcPr>
            <w:tcW w:w="1091" w:type="dxa"/>
          </w:tcPr>
          <w:p>
            <w:pPr>
              <w:pStyle w:val="TableParagraph"/>
              <w:spacing w:before="1"/>
              <w:jc w:val="left"/>
              <w:rPr>
                <w:sz w:val="14"/>
              </w:rPr>
            </w:pPr>
          </w:p>
          <w:p>
            <w:pPr>
              <w:pStyle w:val="TableParagraph"/>
              <w:spacing w:before="0"/>
              <w:ind w:left="321" w:right="342"/>
              <w:jc w:val="center"/>
              <w:rPr>
                <w:rFonts w:ascii="Times New Roman"/>
                <w:i/>
                <w:sz w:val="12"/>
              </w:rPr>
            </w:pPr>
            <w:r>
              <w:rPr>
                <w:rFonts w:ascii="Times New Roman"/>
                <w:i/>
                <w:sz w:val="12"/>
              </w:rPr>
              <w:t>(13)</w:t>
            </w:r>
          </w:p>
        </w:tc>
        <w:tc>
          <w:tcPr>
            <w:tcW w:w="804" w:type="dxa"/>
          </w:tcPr>
          <w:p>
            <w:pPr>
              <w:pStyle w:val="TableParagraph"/>
              <w:spacing w:before="1"/>
              <w:jc w:val="left"/>
              <w:rPr>
                <w:sz w:val="14"/>
              </w:rPr>
            </w:pPr>
          </w:p>
          <w:p>
            <w:pPr>
              <w:pStyle w:val="TableParagraph"/>
              <w:spacing w:before="0"/>
              <w:ind w:left="423"/>
              <w:jc w:val="left"/>
              <w:rPr>
                <w:rFonts w:ascii="Times New Roman"/>
                <w:i/>
                <w:sz w:val="12"/>
              </w:rPr>
            </w:pPr>
            <w:r>
              <w:rPr>
                <w:rFonts w:ascii="Times New Roman"/>
                <w:i/>
                <w:sz w:val="12"/>
              </w:rPr>
              <w:t>(13)</w:t>
            </w:r>
          </w:p>
        </w:tc>
        <w:tc>
          <w:tcPr>
            <w:tcW w:w="897" w:type="dxa"/>
            <w:tcBorders>
              <w:right w:val="single" w:sz="3" w:space="0" w:color="C00000"/>
            </w:tcBorders>
          </w:tcPr>
          <w:p>
            <w:pPr>
              <w:pStyle w:val="TableParagraph"/>
              <w:spacing w:before="1"/>
              <w:jc w:val="left"/>
              <w:rPr>
                <w:sz w:val="14"/>
              </w:rPr>
            </w:pPr>
          </w:p>
          <w:p>
            <w:pPr>
              <w:pStyle w:val="TableParagraph"/>
              <w:spacing w:before="0"/>
              <w:ind w:right="18"/>
              <w:rPr>
                <w:rFonts w:ascii="Times New Roman"/>
                <w:sz w:val="12"/>
              </w:rPr>
            </w:pPr>
            <w:r>
              <w:rPr>
                <w:rFonts w:ascii="Times New Roman"/>
                <w:sz w:val="12"/>
              </w:rPr>
              <w:t>(56)</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viaggi e spese di trasferta</w:t>
            </w:r>
          </w:p>
        </w:tc>
        <w:tc>
          <w:tcPr>
            <w:tcW w:w="935" w:type="dxa"/>
          </w:tcPr>
          <w:p>
            <w:pPr>
              <w:pStyle w:val="TableParagraph"/>
              <w:spacing w:before="5"/>
              <w:ind w:left="299" w:right="455"/>
              <w:jc w:val="center"/>
              <w:rPr>
                <w:rFonts w:ascii="Times New Roman"/>
                <w:i/>
                <w:sz w:val="12"/>
              </w:rPr>
            </w:pPr>
            <w:r>
              <w:rPr>
                <w:rFonts w:ascii="Times New Roman"/>
                <w:i/>
                <w:sz w:val="12"/>
              </w:rPr>
              <w:t>(4)</w:t>
            </w:r>
          </w:p>
        </w:tc>
        <w:tc>
          <w:tcPr>
            <w:tcW w:w="1111" w:type="dxa"/>
          </w:tcPr>
          <w:p>
            <w:pPr>
              <w:pStyle w:val="TableParagraph"/>
              <w:spacing w:before="5"/>
              <w:ind w:left="337" w:right="327"/>
              <w:jc w:val="center"/>
              <w:rPr>
                <w:rFonts w:ascii="Times New Roman"/>
                <w:i/>
                <w:sz w:val="12"/>
              </w:rPr>
            </w:pPr>
            <w:r>
              <w:rPr>
                <w:rFonts w:ascii="Times New Roman"/>
                <w:i/>
                <w:sz w:val="12"/>
              </w:rPr>
              <w:t>(3)</w:t>
            </w:r>
          </w:p>
        </w:tc>
        <w:tc>
          <w:tcPr>
            <w:tcW w:w="1091" w:type="dxa"/>
          </w:tcPr>
          <w:p>
            <w:pPr>
              <w:pStyle w:val="TableParagraph"/>
              <w:spacing w:before="5"/>
              <w:ind w:left="314" w:right="342"/>
              <w:jc w:val="center"/>
              <w:rPr>
                <w:rFonts w:ascii="Times New Roman"/>
                <w:i/>
                <w:sz w:val="12"/>
              </w:rPr>
            </w:pPr>
            <w:r>
              <w:rPr>
                <w:rFonts w:ascii="Times New Roman"/>
                <w:i/>
                <w:sz w:val="12"/>
              </w:rPr>
              <w:t>(3)</w:t>
            </w:r>
          </w:p>
        </w:tc>
        <w:tc>
          <w:tcPr>
            <w:tcW w:w="804" w:type="dxa"/>
          </w:tcPr>
          <w:p>
            <w:pPr>
              <w:pStyle w:val="TableParagraph"/>
              <w:spacing w:before="5"/>
              <w:ind w:left="450"/>
              <w:jc w:val="left"/>
              <w:rPr>
                <w:rFonts w:ascii="Times New Roman"/>
                <w:i/>
                <w:sz w:val="12"/>
              </w:rPr>
            </w:pPr>
            <w:r>
              <w:rPr>
                <w:rFonts w:ascii="Times New Roman"/>
                <w:i/>
                <w:sz w:val="12"/>
              </w:rPr>
              <w:t>(3)</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(13)</w:t>
            </w:r>
          </w:p>
        </w:tc>
      </w:tr>
      <w:tr>
        <w:trPr>
          <w:trHeight w:val="153" w:hRule="exact"/>
        </w:trPr>
        <w:tc>
          <w:tcPr>
            <w:tcW w:w="4205" w:type="dxa"/>
            <w:tcBorders>
              <w:left w:val="single" w:sz="3" w:space="0" w:color="C00000"/>
            </w:tcBorders>
          </w:tcPr>
          <w:p>
            <w:pPr>
              <w:pStyle w:val="TableParagraph"/>
              <w:spacing w:before="5"/>
              <w:ind w:left="1724" w:right="1450"/>
              <w:jc w:val="center"/>
              <w:rPr>
                <w:rFonts w:ascii="Times New Roman"/>
                <w:i/>
                <w:sz w:val="12"/>
              </w:rPr>
            </w:pPr>
            <w:r>
              <w:rPr>
                <w:rFonts w:ascii="Times New Roman"/>
                <w:i/>
                <w:sz w:val="12"/>
              </w:rPr>
              <w:t>Software (Zucchetti)</w:t>
            </w:r>
          </w:p>
        </w:tc>
        <w:tc>
          <w:tcPr>
            <w:tcW w:w="935" w:type="dxa"/>
          </w:tcPr>
          <w:p>
            <w:pPr>
              <w:pStyle w:val="TableParagraph"/>
              <w:spacing w:before="5"/>
              <w:ind w:left="299" w:right="455"/>
              <w:jc w:val="center"/>
              <w:rPr>
                <w:rFonts w:ascii="Times New Roman"/>
                <w:i/>
                <w:sz w:val="12"/>
              </w:rPr>
            </w:pPr>
            <w:r>
              <w:rPr>
                <w:rFonts w:ascii="Times New Roman"/>
                <w:i/>
                <w:sz w:val="12"/>
              </w:rPr>
              <w:t>(5)</w:t>
            </w:r>
          </w:p>
        </w:tc>
        <w:tc>
          <w:tcPr>
            <w:tcW w:w="1111" w:type="dxa"/>
          </w:tcPr>
          <w:p>
            <w:pPr>
              <w:pStyle w:val="TableParagraph"/>
              <w:spacing w:before="5"/>
              <w:ind w:left="337" w:right="327"/>
              <w:jc w:val="center"/>
              <w:rPr>
                <w:rFonts w:ascii="Times New Roman"/>
                <w:i/>
                <w:sz w:val="12"/>
              </w:rPr>
            </w:pPr>
            <w:r>
              <w:rPr>
                <w:rFonts w:ascii="Times New Roman"/>
                <w:i/>
                <w:sz w:val="12"/>
              </w:rPr>
              <w:t>(2)</w:t>
            </w:r>
          </w:p>
        </w:tc>
        <w:tc>
          <w:tcPr>
            <w:tcW w:w="1091" w:type="dxa"/>
          </w:tcPr>
          <w:p>
            <w:pPr>
              <w:pStyle w:val="TableParagraph"/>
              <w:spacing w:before="5"/>
              <w:ind w:left="314" w:right="342"/>
              <w:jc w:val="center"/>
              <w:rPr>
                <w:rFonts w:ascii="Times New Roman"/>
                <w:i/>
                <w:sz w:val="12"/>
              </w:rPr>
            </w:pPr>
            <w:r>
              <w:rPr>
                <w:rFonts w:ascii="Times New Roman"/>
                <w:i/>
                <w:sz w:val="12"/>
              </w:rPr>
              <w:t>(2)</w:t>
            </w:r>
          </w:p>
        </w:tc>
        <w:tc>
          <w:tcPr>
            <w:tcW w:w="804" w:type="dxa"/>
          </w:tcPr>
          <w:p>
            <w:pPr>
              <w:pStyle w:val="TableParagraph"/>
              <w:spacing w:before="5"/>
              <w:ind w:left="450"/>
              <w:jc w:val="left"/>
              <w:rPr>
                <w:rFonts w:ascii="Times New Roman"/>
                <w:i/>
                <w:sz w:val="12"/>
              </w:rPr>
            </w:pPr>
            <w:r>
              <w:rPr>
                <w:rFonts w:ascii="Times New Roman"/>
                <w:i/>
                <w:sz w:val="12"/>
              </w:rPr>
              <w:t>(3)</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(11)</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Pulizie Tortona, spese postali e piccole  spese</w:t>
            </w:r>
          </w:p>
        </w:tc>
        <w:tc>
          <w:tcPr>
            <w:tcW w:w="935" w:type="dxa"/>
          </w:tcPr>
          <w:p>
            <w:pPr>
              <w:pStyle w:val="TableParagraph"/>
              <w:spacing w:before="5"/>
              <w:ind w:left="299" w:right="455"/>
              <w:jc w:val="center"/>
              <w:rPr>
                <w:rFonts w:ascii="Times New Roman"/>
                <w:i/>
                <w:sz w:val="12"/>
              </w:rPr>
            </w:pPr>
            <w:r>
              <w:rPr>
                <w:rFonts w:ascii="Times New Roman"/>
                <w:i/>
                <w:sz w:val="12"/>
              </w:rPr>
              <w:t>(3)</w:t>
            </w:r>
          </w:p>
        </w:tc>
        <w:tc>
          <w:tcPr>
            <w:tcW w:w="1111" w:type="dxa"/>
          </w:tcPr>
          <w:p>
            <w:pPr>
              <w:pStyle w:val="TableParagraph"/>
              <w:spacing w:before="5"/>
              <w:ind w:left="337" w:right="327"/>
              <w:jc w:val="center"/>
              <w:rPr>
                <w:rFonts w:ascii="Times New Roman"/>
                <w:i/>
                <w:sz w:val="12"/>
              </w:rPr>
            </w:pPr>
            <w:r>
              <w:rPr>
                <w:rFonts w:ascii="Times New Roman"/>
                <w:i/>
                <w:sz w:val="12"/>
              </w:rPr>
              <w:t>(2)</w:t>
            </w:r>
          </w:p>
        </w:tc>
        <w:tc>
          <w:tcPr>
            <w:tcW w:w="1091" w:type="dxa"/>
          </w:tcPr>
          <w:p>
            <w:pPr>
              <w:pStyle w:val="TableParagraph"/>
              <w:spacing w:before="5"/>
              <w:ind w:left="314" w:right="342"/>
              <w:jc w:val="center"/>
              <w:rPr>
                <w:rFonts w:ascii="Times New Roman"/>
                <w:i/>
                <w:sz w:val="12"/>
              </w:rPr>
            </w:pPr>
            <w:r>
              <w:rPr>
                <w:rFonts w:ascii="Times New Roman"/>
                <w:i/>
                <w:sz w:val="12"/>
              </w:rPr>
              <w:t>(2)</w:t>
            </w:r>
          </w:p>
        </w:tc>
        <w:tc>
          <w:tcPr>
            <w:tcW w:w="804" w:type="dxa"/>
          </w:tcPr>
          <w:p>
            <w:pPr>
              <w:pStyle w:val="TableParagraph"/>
              <w:spacing w:before="5"/>
              <w:ind w:left="450"/>
              <w:jc w:val="left"/>
              <w:rPr>
                <w:rFonts w:ascii="Times New Roman"/>
                <w:i/>
                <w:sz w:val="12"/>
              </w:rPr>
            </w:pPr>
            <w:r>
              <w:rPr>
                <w:rFonts w:ascii="Times New Roman"/>
                <w:i/>
                <w:sz w:val="12"/>
              </w:rPr>
              <w:t>(2)</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(8)</w:t>
            </w:r>
          </w:p>
        </w:tc>
      </w:tr>
      <w:tr>
        <w:trPr>
          <w:trHeight w:val="153" w:hRule="exact"/>
        </w:trPr>
        <w:tc>
          <w:tcPr>
            <w:tcW w:w="4205" w:type="dxa"/>
            <w:tcBorders>
              <w:left w:val="single" w:sz="3" w:space="0" w:color="C00000"/>
            </w:tcBorders>
          </w:tcPr>
          <w:p>
            <w:pPr>
              <w:pStyle w:val="TableParagraph"/>
              <w:spacing w:before="5"/>
              <w:ind w:left="1685" w:right="1452"/>
              <w:jc w:val="center"/>
              <w:rPr>
                <w:rFonts w:ascii="Times New Roman"/>
                <w:i/>
                <w:sz w:val="12"/>
              </w:rPr>
            </w:pPr>
            <w:r>
              <w:rPr>
                <w:rFonts w:ascii="Times New Roman"/>
                <w:i/>
                <w:sz w:val="12"/>
              </w:rPr>
              <w:t>Telecom + spese IT</w:t>
            </w:r>
          </w:p>
        </w:tc>
        <w:tc>
          <w:tcPr>
            <w:tcW w:w="935" w:type="dxa"/>
          </w:tcPr>
          <w:p>
            <w:pPr>
              <w:pStyle w:val="TableParagraph"/>
              <w:spacing w:before="5"/>
              <w:ind w:left="299" w:right="455"/>
              <w:jc w:val="center"/>
              <w:rPr>
                <w:rFonts w:ascii="Times New Roman"/>
                <w:i/>
                <w:sz w:val="12"/>
              </w:rPr>
            </w:pPr>
            <w:r>
              <w:rPr>
                <w:rFonts w:ascii="Times New Roman"/>
                <w:i/>
                <w:sz w:val="12"/>
              </w:rPr>
              <w:t>(4)</w:t>
            </w:r>
          </w:p>
        </w:tc>
        <w:tc>
          <w:tcPr>
            <w:tcW w:w="1111" w:type="dxa"/>
          </w:tcPr>
          <w:p>
            <w:pPr>
              <w:pStyle w:val="TableParagraph"/>
              <w:spacing w:before="5"/>
              <w:ind w:left="337" w:right="327"/>
              <w:jc w:val="center"/>
              <w:rPr>
                <w:rFonts w:ascii="Times New Roman"/>
                <w:i/>
                <w:sz w:val="12"/>
              </w:rPr>
            </w:pPr>
            <w:r>
              <w:rPr>
                <w:rFonts w:ascii="Times New Roman"/>
                <w:i/>
                <w:sz w:val="12"/>
              </w:rPr>
              <w:t>(4)</w:t>
            </w:r>
          </w:p>
        </w:tc>
        <w:tc>
          <w:tcPr>
            <w:tcW w:w="1091" w:type="dxa"/>
          </w:tcPr>
          <w:p>
            <w:pPr>
              <w:pStyle w:val="TableParagraph"/>
              <w:spacing w:before="5"/>
              <w:ind w:left="314" w:right="342"/>
              <w:jc w:val="center"/>
              <w:rPr>
                <w:rFonts w:ascii="Times New Roman"/>
                <w:i/>
                <w:sz w:val="12"/>
              </w:rPr>
            </w:pPr>
            <w:r>
              <w:rPr>
                <w:rFonts w:ascii="Times New Roman"/>
                <w:i/>
                <w:sz w:val="12"/>
              </w:rPr>
              <w:t>(4)</w:t>
            </w:r>
          </w:p>
        </w:tc>
        <w:tc>
          <w:tcPr>
            <w:tcW w:w="804" w:type="dxa"/>
          </w:tcPr>
          <w:p>
            <w:pPr>
              <w:pStyle w:val="TableParagraph"/>
              <w:spacing w:before="5"/>
              <w:ind w:left="450"/>
              <w:jc w:val="left"/>
              <w:rPr>
                <w:rFonts w:ascii="Times New Roman"/>
                <w:i/>
                <w:sz w:val="12"/>
              </w:rPr>
            </w:pPr>
            <w:r>
              <w:rPr>
                <w:rFonts w:ascii="Times New Roman"/>
                <w:i/>
                <w:sz w:val="12"/>
              </w:rPr>
              <w:t>(4)</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(16)</w:t>
            </w:r>
          </w:p>
        </w:tc>
      </w:tr>
      <w:tr>
        <w:trPr>
          <w:trHeight w:val="153" w:hRule="exact"/>
        </w:trPr>
        <w:tc>
          <w:tcPr>
            <w:tcW w:w="4205" w:type="dxa"/>
            <w:tcBorders>
              <w:left w:val="single" w:sz="3" w:space="0" w:color="C00000"/>
            </w:tcBorders>
          </w:tcPr>
          <w:p>
            <w:pPr>
              <w:pStyle w:val="TableParagraph"/>
              <w:spacing w:before="5"/>
              <w:ind w:left="1719" w:right="1452"/>
              <w:jc w:val="center"/>
              <w:rPr>
                <w:rFonts w:ascii="Times New Roman"/>
                <w:i/>
                <w:sz w:val="12"/>
              </w:rPr>
            </w:pPr>
            <w:r>
              <w:rPr>
                <w:rFonts w:ascii="Times New Roman"/>
                <w:i/>
                <w:sz w:val="12"/>
              </w:rPr>
              <w:t>Vodafone (cellulari)</w:t>
            </w:r>
          </w:p>
        </w:tc>
        <w:tc>
          <w:tcPr>
            <w:tcW w:w="935" w:type="dxa"/>
          </w:tcPr>
          <w:p>
            <w:pPr>
              <w:pStyle w:val="TableParagraph"/>
              <w:spacing w:before="5"/>
              <w:ind w:left="285"/>
              <w:jc w:val="left"/>
              <w:rPr>
                <w:rFonts w:ascii="Times New Roman"/>
                <w:i/>
                <w:sz w:val="12"/>
              </w:rPr>
            </w:pPr>
            <w:r>
              <w:rPr>
                <w:rFonts w:ascii="Times New Roman"/>
                <w:i/>
                <w:sz w:val="12"/>
              </w:rPr>
              <w:t>(21)</w:t>
            </w:r>
          </w:p>
        </w:tc>
        <w:tc>
          <w:tcPr>
            <w:tcW w:w="1111" w:type="dxa"/>
          </w:tcPr>
          <w:p>
            <w:pPr>
              <w:pStyle w:val="TableParagraph"/>
              <w:spacing w:before="5"/>
              <w:ind w:left="337" w:right="327"/>
              <w:jc w:val="center"/>
              <w:rPr>
                <w:rFonts w:ascii="Times New Roman"/>
                <w:i/>
                <w:sz w:val="12"/>
              </w:rPr>
            </w:pPr>
            <w:r>
              <w:rPr>
                <w:rFonts w:ascii="Times New Roman"/>
                <w:i/>
                <w:sz w:val="12"/>
              </w:rPr>
              <w:t>(7)</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50"/>
              <w:jc w:val="left"/>
              <w:rPr>
                <w:rFonts w:ascii="Times New Roman"/>
                <w:i/>
                <w:sz w:val="12"/>
              </w:rPr>
            </w:pPr>
            <w:r>
              <w:rPr>
                <w:rFonts w:ascii="Times New Roman"/>
                <w:i/>
                <w:sz w:val="12"/>
              </w:rPr>
              <w:t>(7)</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(35)</w:t>
            </w:r>
          </w:p>
        </w:tc>
      </w:tr>
      <w:tr>
        <w:trPr>
          <w:trHeight w:val="153" w:hRule="exact"/>
        </w:trPr>
        <w:tc>
          <w:tcPr>
            <w:tcW w:w="4205" w:type="dxa"/>
            <w:tcBorders>
              <w:left w:val="single" w:sz="3" w:space="0" w:color="C00000"/>
            </w:tcBorders>
          </w:tcPr>
          <w:p>
            <w:pPr>
              <w:pStyle w:val="TableParagraph"/>
              <w:spacing w:before="5"/>
              <w:ind w:left="1189" w:right="1452"/>
              <w:jc w:val="center"/>
              <w:rPr>
                <w:rFonts w:ascii="Times New Roman"/>
                <w:i/>
                <w:sz w:val="12"/>
              </w:rPr>
            </w:pPr>
            <w:r>
              <w:rPr>
                <w:rFonts w:ascii="Times New Roman"/>
                <w:i/>
                <w:sz w:val="12"/>
              </w:rPr>
              <w:t>S4 Green</w:t>
            </w:r>
          </w:p>
        </w:tc>
        <w:tc>
          <w:tcPr>
            <w:tcW w:w="935" w:type="dxa"/>
          </w:tcPr>
          <w:p>
            <w:pPr>
              <w:pStyle w:val="TableParagraph"/>
              <w:spacing w:before="5"/>
              <w:ind w:left="285"/>
              <w:jc w:val="left"/>
              <w:rPr>
                <w:rFonts w:ascii="Times New Roman"/>
                <w:i/>
                <w:sz w:val="12"/>
              </w:rPr>
            </w:pPr>
            <w:r>
              <w:rPr>
                <w:rFonts w:ascii="Times New Roman"/>
                <w:i/>
                <w:sz w:val="12"/>
              </w:rPr>
              <w:t>(54)</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503"/>
              <w:jc w:val="left"/>
              <w:rPr>
                <w:rFonts w:ascii="Times New Roman"/>
                <w:i/>
                <w:sz w:val="12"/>
              </w:rPr>
            </w:pPr>
            <w:r>
              <w:rPr>
                <w:rFonts w:ascii="Times New Roman"/>
                <w:i/>
                <w:w w:val="100"/>
                <w:sz w:val="12"/>
              </w:rPr>
              <w:t>-</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(54)</w:t>
            </w:r>
          </w:p>
        </w:tc>
      </w:tr>
      <w:tr>
        <w:trPr>
          <w:trHeight w:val="153" w:hRule="exact"/>
        </w:trPr>
        <w:tc>
          <w:tcPr>
            <w:tcW w:w="4205" w:type="dxa"/>
            <w:tcBorders>
              <w:left w:val="single" w:sz="3" w:space="0" w:color="C00000"/>
            </w:tcBorders>
          </w:tcPr>
          <w:p>
            <w:pPr>
              <w:pStyle w:val="TableParagraph"/>
              <w:spacing w:before="5"/>
              <w:ind w:left="1322" w:right="1452"/>
              <w:jc w:val="center"/>
              <w:rPr>
                <w:rFonts w:ascii="Times New Roman"/>
                <w:i/>
                <w:sz w:val="12"/>
              </w:rPr>
            </w:pPr>
            <w:r>
              <w:rPr>
                <w:rFonts w:ascii="Times New Roman"/>
                <w:i/>
                <w:sz w:val="12"/>
              </w:rPr>
              <w:t>Buoni pasto</w:t>
            </w:r>
          </w:p>
        </w:tc>
        <w:tc>
          <w:tcPr>
            <w:tcW w:w="935" w:type="dxa"/>
          </w:tcPr>
          <w:p>
            <w:pPr>
              <w:pStyle w:val="TableParagraph"/>
              <w:spacing w:before="5"/>
              <w:ind w:left="285"/>
              <w:jc w:val="left"/>
              <w:rPr>
                <w:rFonts w:ascii="Times New Roman"/>
                <w:i/>
                <w:sz w:val="12"/>
              </w:rPr>
            </w:pPr>
            <w:r>
              <w:rPr>
                <w:rFonts w:ascii="Times New Roman"/>
                <w:i/>
                <w:sz w:val="12"/>
              </w:rPr>
              <w:t>(10)</w:t>
            </w:r>
          </w:p>
        </w:tc>
        <w:tc>
          <w:tcPr>
            <w:tcW w:w="1111" w:type="dxa"/>
          </w:tcPr>
          <w:p>
            <w:pPr>
              <w:pStyle w:val="TableParagraph"/>
              <w:spacing w:before="5"/>
              <w:ind w:left="337" w:right="327"/>
              <w:jc w:val="center"/>
              <w:rPr>
                <w:rFonts w:ascii="Times New Roman"/>
                <w:i/>
                <w:sz w:val="12"/>
              </w:rPr>
            </w:pPr>
            <w:r>
              <w:rPr>
                <w:rFonts w:ascii="Times New Roman"/>
                <w:i/>
                <w:sz w:val="12"/>
              </w:rPr>
              <w:t>(7)</w:t>
            </w:r>
          </w:p>
        </w:tc>
        <w:tc>
          <w:tcPr>
            <w:tcW w:w="1091" w:type="dxa"/>
          </w:tcPr>
          <w:p>
            <w:pPr>
              <w:pStyle w:val="TableParagraph"/>
              <w:spacing w:before="5"/>
              <w:ind w:left="314" w:right="342"/>
              <w:jc w:val="center"/>
              <w:rPr>
                <w:rFonts w:ascii="Times New Roman"/>
                <w:i/>
                <w:sz w:val="12"/>
              </w:rPr>
            </w:pPr>
            <w:r>
              <w:rPr>
                <w:rFonts w:ascii="Times New Roman"/>
                <w:i/>
                <w:sz w:val="12"/>
              </w:rPr>
              <w:t>(7)</w:t>
            </w:r>
          </w:p>
        </w:tc>
        <w:tc>
          <w:tcPr>
            <w:tcW w:w="804" w:type="dxa"/>
          </w:tcPr>
          <w:p>
            <w:pPr>
              <w:pStyle w:val="TableParagraph"/>
              <w:spacing w:before="5"/>
              <w:ind w:left="450"/>
              <w:jc w:val="left"/>
              <w:rPr>
                <w:rFonts w:ascii="Times New Roman"/>
                <w:i/>
                <w:sz w:val="12"/>
              </w:rPr>
            </w:pPr>
            <w:r>
              <w:rPr>
                <w:rFonts w:ascii="Times New Roman"/>
                <w:i/>
                <w:sz w:val="12"/>
              </w:rPr>
              <w:t>(7)</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(31)</w:t>
            </w:r>
          </w:p>
        </w:tc>
      </w:tr>
      <w:tr>
        <w:trPr>
          <w:trHeight w:val="153" w:hRule="exact"/>
        </w:trPr>
        <w:tc>
          <w:tcPr>
            <w:tcW w:w="4205" w:type="dxa"/>
            <w:tcBorders>
              <w:left w:val="single" w:sz="3" w:space="0" w:color="C00000"/>
            </w:tcBorders>
          </w:tcPr>
          <w:p>
            <w:pPr>
              <w:pStyle w:val="TableParagraph"/>
              <w:spacing w:before="5"/>
              <w:ind w:left="1449" w:right="1452"/>
              <w:jc w:val="center"/>
              <w:rPr>
                <w:rFonts w:ascii="Times New Roman"/>
                <w:i/>
                <w:sz w:val="12"/>
              </w:rPr>
            </w:pPr>
            <w:r>
              <w:rPr>
                <w:rFonts w:ascii="Times New Roman"/>
                <w:i/>
                <w:sz w:val="12"/>
              </w:rPr>
              <w:t>PST - ricerche</w:t>
            </w:r>
          </w:p>
        </w:tc>
        <w:tc>
          <w:tcPr>
            <w:tcW w:w="935" w:type="dxa"/>
          </w:tcPr>
          <w:p>
            <w:pPr>
              <w:pStyle w:val="TableParagraph"/>
              <w:spacing w:before="5"/>
              <w:ind w:left="285"/>
              <w:jc w:val="left"/>
              <w:rPr>
                <w:rFonts w:ascii="Times New Roman"/>
                <w:i/>
                <w:sz w:val="12"/>
              </w:rPr>
            </w:pPr>
            <w:r>
              <w:rPr>
                <w:rFonts w:ascii="Times New Roman"/>
                <w:i/>
                <w:sz w:val="12"/>
              </w:rPr>
              <w:t>(60)</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23"/>
              <w:jc w:val="left"/>
              <w:rPr>
                <w:rFonts w:ascii="Times New Roman"/>
                <w:i/>
                <w:sz w:val="12"/>
              </w:rPr>
            </w:pPr>
            <w:r>
              <w:rPr>
                <w:rFonts w:ascii="Times New Roman"/>
                <w:i/>
                <w:sz w:val="12"/>
              </w:rPr>
              <w:t>(60)</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(120)</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Energia Elettrica Rivalta +utenze</w:t>
            </w:r>
          </w:p>
        </w:tc>
        <w:tc>
          <w:tcPr>
            <w:tcW w:w="935" w:type="dxa"/>
          </w:tcPr>
          <w:p>
            <w:pPr>
              <w:pStyle w:val="TableParagraph"/>
              <w:spacing w:before="5"/>
              <w:ind w:left="285"/>
              <w:jc w:val="left"/>
              <w:rPr>
                <w:rFonts w:ascii="Times New Roman"/>
                <w:i/>
                <w:sz w:val="12"/>
              </w:rPr>
            </w:pPr>
            <w:r>
              <w:rPr>
                <w:rFonts w:ascii="Times New Roman"/>
                <w:i/>
                <w:sz w:val="12"/>
              </w:rPr>
              <w:t>(30)</w:t>
            </w:r>
          </w:p>
        </w:tc>
        <w:tc>
          <w:tcPr>
            <w:tcW w:w="1111" w:type="dxa"/>
          </w:tcPr>
          <w:p>
            <w:pPr>
              <w:pStyle w:val="TableParagraph"/>
              <w:spacing w:before="5"/>
              <w:ind w:left="343" w:right="327"/>
              <w:jc w:val="center"/>
              <w:rPr>
                <w:rFonts w:ascii="Times New Roman"/>
                <w:i/>
                <w:sz w:val="12"/>
              </w:rPr>
            </w:pPr>
            <w:r>
              <w:rPr>
                <w:rFonts w:ascii="Times New Roman"/>
                <w:i/>
                <w:sz w:val="12"/>
              </w:rPr>
              <w:t>(10)</w:t>
            </w:r>
          </w:p>
        </w:tc>
        <w:tc>
          <w:tcPr>
            <w:tcW w:w="1091" w:type="dxa"/>
          </w:tcPr>
          <w:p>
            <w:pPr>
              <w:pStyle w:val="TableParagraph"/>
              <w:spacing w:before="5"/>
              <w:ind w:left="321" w:right="342"/>
              <w:jc w:val="center"/>
              <w:rPr>
                <w:rFonts w:ascii="Times New Roman"/>
                <w:i/>
                <w:sz w:val="12"/>
              </w:rPr>
            </w:pPr>
            <w:r>
              <w:rPr>
                <w:rFonts w:ascii="Times New Roman"/>
                <w:i/>
                <w:sz w:val="12"/>
              </w:rPr>
              <w:t>(10)</w:t>
            </w:r>
          </w:p>
        </w:tc>
        <w:tc>
          <w:tcPr>
            <w:tcW w:w="804" w:type="dxa"/>
          </w:tcPr>
          <w:p>
            <w:pPr>
              <w:pStyle w:val="TableParagraph"/>
              <w:spacing w:before="5"/>
              <w:ind w:left="423"/>
              <w:jc w:val="left"/>
              <w:rPr>
                <w:rFonts w:ascii="Times New Roman"/>
                <w:i/>
                <w:sz w:val="12"/>
              </w:rPr>
            </w:pPr>
            <w:r>
              <w:rPr>
                <w:rFonts w:ascii="Times New Roman"/>
                <w:i/>
                <w:sz w:val="12"/>
              </w:rPr>
              <w:t>(10)</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(60)</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SOL (deposito bombole Rivalta)</w:t>
            </w:r>
          </w:p>
        </w:tc>
        <w:tc>
          <w:tcPr>
            <w:tcW w:w="935" w:type="dxa"/>
          </w:tcPr>
          <w:p>
            <w:pPr>
              <w:pStyle w:val="TableParagraph"/>
              <w:spacing w:before="5"/>
              <w:ind w:left="299" w:right="455"/>
              <w:jc w:val="center"/>
              <w:rPr>
                <w:rFonts w:ascii="Times New Roman"/>
                <w:i/>
                <w:sz w:val="12"/>
              </w:rPr>
            </w:pPr>
            <w:r>
              <w:rPr>
                <w:rFonts w:ascii="Times New Roman"/>
                <w:i/>
                <w:sz w:val="12"/>
              </w:rPr>
              <w:t>(1)</w:t>
            </w:r>
          </w:p>
        </w:tc>
        <w:tc>
          <w:tcPr>
            <w:tcW w:w="1111" w:type="dxa"/>
          </w:tcPr>
          <w:p>
            <w:pPr>
              <w:pStyle w:val="TableParagraph"/>
              <w:spacing w:before="5"/>
              <w:ind w:left="337" w:right="327"/>
              <w:jc w:val="center"/>
              <w:rPr>
                <w:rFonts w:ascii="Times New Roman"/>
                <w:i/>
                <w:sz w:val="12"/>
              </w:rPr>
            </w:pPr>
            <w:r>
              <w:rPr>
                <w:rFonts w:ascii="Times New Roman"/>
                <w:i/>
                <w:sz w:val="12"/>
              </w:rPr>
              <w:t>(0)</w:t>
            </w:r>
          </w:p>
        </w:tc>
        <w:tc>
          <w:tcPr>
            <w:tcW w:w="1091" w:type="dxa"/>
          </w:tcPr>
          <w:p>
            <w:pPr>
              <w:pStyle w:val="TableParagraph"/>
              <w:spacing w:before="5"/>
              <w:ind w:left="314" w:right="342"/>
              <w:jc w:val="center"/>
              <w:rPr>
                <w:rFonts w:ascii="Times New Roman"/>
                <w:i/>
                <w:sz w:val="12"/>
              </w:rPr>
            </w:pPr>
            <w:r>
              <w:rPr>
                <w:rFonts w:ascii="Times New Roman"/>
                <w:i/>
                <w:sz w:val="12"/>
              </w:rPr>
              <w:t>(0)</w:t>
            </w:r>
          </w:p>
        </w:tc>
        <w:tc>
          <w:tcPr>
            <w:tcW w:w="804" w:type="dxa"/>
          </w:tcPr>
          <w:p>
            <w:pPr>
              <w:pStyle w:val="TableParagraph"/>
              <w:spacing w:before="5"/>
              <w:ind w:left="450"/>
              <w:jc w:val="left"/>
              <w:rPr>
                <w:rFonts w:ascii="Times New Roman"/>
                <w:i/>
                <w:sz w:val="12"/>
              </w:rPr>
            </w:pPr>
            <w:r>
              <w:rPr>
                <w:rFonts w:ascii="Times New Roman"/>
                <w:i/>
                <w:sz w:val="12"/>
              </w:rPr>
              <w:t>(0)</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(2)</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Sicur 2000 Rivalta sicurezza</w:t>
            </w:r>
          </w:p>
        </w:tc>
        <w:tc>
          <w:tcPr>
            <w:tcW w:w="935" w:type="dxa"/>
          </w:tcPr>
          <w:p>
            <w:pPr>
              <w:pStyle w:val="TableParagraph"/>
              <w:spacing w:before="5"/>
              <w:ind w:left="299" w:right="455"/>
              <w:jc w:val="center"/>
              <w:rPr>
                <w:rFonts w:ascii="Times New Roman"/>
                <w:i/>
                <w:sz w:val="12"/>
              </w:rPr>
            </w:pPr>
            <w:r>
              <w:rPr>
                <w:rFonts w:ascii="Times New Roman"/>
                <w:i/>
                <w:sz w:val="12"/>
              </w:rPr>
              <w:t>(2)</w:t>
            </w:r>
          </w:p>
        </w:tc>
        <w:tc>
          <w:tcPr>
            <w:tcW w:w="1111" w:type="dxa"/>
          </w:tcPr>
          <w:p>
            <w:pPr>
              <w:pStyle w:val="TableParagraph"/>
              <w:spacing w:before="5"/>
              <w:ind w:left="337" w:right="327"/>
              <w:jc w:val="center"/>
              <w:rPr>
                <w:rFonts w:ascii="Times New Roman"/>
                <w:i/>
                <w:sz w:val="12"/>
              </w:rPr>
            </w:pPr>
            <w:r>
              <w:rPr>
                <w:rFonts w:ascii="Times New Roman"/>
                <w:i/>
                <w:sz w:val="12"/>
              </w:rPr>
              <w:t>(1)</w:t>
            </w:r>
          </w:p>
        </w:tc>
        <w:tc>
          <w:tcPr>
            <w:tcW w:w="1091" w:type="dxa"/>
          </w:tcPr>
          <w:p>
            <w:pPr>
              <w:pStyle w:val="TableParagraph"/>
              <w:spacing w:before="5"/>
              <w:ind w:left="314" w:right="342"/>
              <w:jc w:val="center"/>
              <w:rPr>
                <w:rFonts w:ascii="Times New Roman"/>
                <w:i/>
                <w:sz w:val="12"/>
              </w:rPr>
            </w:pPr>
            <w:r>
              <w:rPr>
                <w:rFonts w:ascii="Times New Roman"/>
                <w:i/>
                <w:sz w:val="12"/>
              </w:rPr>
              <w:t>(1)</w:t>
            </w:r>
          </w:p>
        </w:tc>
        <w:tc>
          <w:tcPr>
            <w:tcW w:w="804" w:type="dxa"/>
          </w:tcPr>
          <w:p>
            <w:pPr>
              <w:pStyle w:val="TableParagraph"/>
              <w:spacing w:before="5"/>
              <w:ind w:left="450"/>
              <w:jc w:val="left"/>
              <w:rPr>
                <w:rFonts w:ascii="Times New Roman"/>
                <w:i/>
                <w:sz w:val="12"/>
              </w:rPr>
            </w:pPr>
            <w:r>
              <w:rPr>
                <w:rFonts w:ascii="Times New Roman"/>
                <w:i/>
                <w:sz w:val="12"/>
              </w:rPr>
              <w:t>(1)</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(5)</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Smaltimento rifiuti  Rivalta</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left="321" w:right="342"/>
              <w:jc w:val="center"/>
              <w:rPr>
                <w:rFonts w:ascii="Times New Roman"/>
                <w:i/>
                <w:sz w:val="12"/>
              </w:rPr>
            </w:pPr>
            <w:r>
              <w:rPr>
                <w:rFonts w:ascii="Times New Roman"/>
                <w:i/>
                <w:sz w:val="12"/>
              </w:rPr>
              <w:t>(15)</w:t>
            </w:r>
          </w:p>
        </w:tc>
        <w:tc>
          <w:tcPr>
            <w:tcW w:w="804" w:type="dxa"/>
          </w:tcPr>
          <w:p>
            <w:pPr>
              <w:pStyle w:val="TableParagraph"/>
              <w:spacing w:before="5"/>
              <w:ind w:left="503"/>
              <w:jc w:val="left"/>
              <w:rPr>
                <w:rFonts w:ascii="Times New Roman"/>
                <w:i/>
                <w:sz w:val="12"/>
              </w:rPr>
            </w:pPr>
            <w:r>
              <w:rPr>
                <w:rFonts w:ascii="Times New Roman"/>
                <w:i/>
                <w:w w:val="100"/>
                <w:sz w:val="12"/>
              </w:rPr>
              <w:t>-</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(15)</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CPI Rivalta (Biondi  + professionista)</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337" w:right="327"/>
              <w:jc w:val="center"/>
              <w:rPr>
                <w:rFonts w:ascii="Times New Roman"/>
                <w:i/>
                <w:sz w:val="12"/>
              </w:rPr>
            </w:pPr>
            <w:r>
              <w:rPr>
                <w:rFonts w:ascii="Times New Roman"/>
                <w:i/>
                <w:sz w:val="12"/>
              </w:rPr>
              <w:t>(4)</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503"/>
              <w:jc w:val="left"/>
              <w:rPr>
                <w:rFonts w:ascii="Times New Roman"/>
                <w:i/>
                <w:sz w:val="12"/>
              </w:rPr>
            </w:pPr>
            <w:r>
              <w:rPr>
                <w:rFonts w:ascii="Times New Roman"/>
                <w:i/>
                <w:w w:val="100"/>
                <w:sz w:val="12"/>
              </w:rPr>
              <w:t>-</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(4)</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Manutenzione Caldaia Rivalta  (Restiani)</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337" w:right="327"/>
              <w:jc w:val="center"/>
              <w:rPr>
                <w:rFonts w:ascii="Times New Roman"/>
                <w:i/>
                <w:sz w:val="12"/>
              </w:rPr>
            </w:pPr>
            <w:r>
              <w:rPr>
                <w:rFonts w:ascii="Times New Roman"/>
                <w:i/>
                <w:sz w:val="12"/>
              </w:rPr>
              <w:t>(3)</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503"/>
              <w:jc w:val="left"/>
              <w:rPr>
                <w:rFonts w:ascii="Times New Roman"/>
                <w:i/>
                <w:sz w:val="12"/>
              </w:rPr>
            </w:pPr>
            <w:r>
              <w:rPr>
                <w:rFonts w:ascii="Times New Roman"/>
                <w:i/>
                <w:w w:val="100"/>
                <w:sz w:val="12"/>
              </w:rPr>
              <w:t>-</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(3)</w:t>
            </w:r>
          </w:p>
        </w:tc>
      </w:tr>
      <w:tr>
        <w:trPr>
          <w:trHeight w:val="153" w:hRule="exact"/>
        </w:trPr>
        <w:tc>
          <w:tcPr>
            <w:tcW w:w="4205" w:type="dxa"/>
            <w:tcBorders>
              <w:left w:val="single" w:sz="3" w:space="0" w:color="C00000"/>
            </w:tcBorders>
          </w:tcPr>
          <w:p>
            <w:pPr>
              <w:pStyle w:val="TableParagraph"/>
              <w:spacing w:before="5"/>
              <w:ind w:left="1466" w:right="1452"/>
              <w:jc w:val="center"/>
              <w:rPr>
                <w:rFonts w:ascii="Times New Roman"/>
                <w:i/>
                <w:sz w:val="12"/>
              </w:rPr>
            </w:pPr>
            <w:r>
              <w:rPr>
                <w:rFonts w:ascii="Times New Roman"/>
                <w:i/>
                <w:sz w:val="12"/>
              </w:rPr>
              <w:t>Sogeco Rivalta</w:t>
            </w:r>
          </w:p>
        </w:tc>
        <w:tc>
          <w:tcPr>
            <w:tcW w:w="935" w:type="dxa"/>
          </w:tcPr>
          <w:p>
            <w:pPr>
              <w:pStyle w:val="TableParagraph"/>
              <w:spacing w:before="5"/>
              <w:ind w:left="299" w:right="455"/>
              <w:jc w:val="center"/>
              <w:rPr>
                <w:rFonts w:ascii="Times New Roman"/>
                <w:i/>
                <w:sz w:val="12"/>
              </w:rPr>
            </w:pPr>
            <w:r>
              <w:rPr>
                <w:rFonts w:ascii="Times New Roman"/>
                <w:i/>
                <w:sz w:val="12"/>
              </w:rPr>
              <w:t>(1)</w:t>
            </w:r>
          </w:p>
        </w:tc>
        <w:tc>
          <w:tcPr>
            <w:tcW w:w="1111" w:type="dxa"/>
          </w:tcPr>
          <w:p>
            <w:pPr>
              <w:pStyle w:val="TableParagraph"/>
              <w:spacing w:before="5"/>
              <w:ind w:left="337" w:right="327"/>
              <w:jc w:val="center"/>
              <w:rPr>
                <w:rFonts w:ascii="Times New Roman"/>
                <w:i/>
                <w:sz w:val="12"/>
              </w:rPr>
            </w:pPr>
            <w:r>
              <w:rPr>
                <w:rFonts w:ascii="Times New Roman"/>
                <w:i/>
                <w:sz w:val="12"/>
              </w:rPr>
              <w:t>(1)</w:t>
            </w:r>
          </w:p>
        </w:tc>
        <w:tc>
          <w:tcPr>
            <w:tcW w:w="1091" w:type="dxa"/>
          </w:tcPr>
          <w:p>
            <w:pPr>
              <w:pStyle w:val="TableParagraph"/>
              <w:spacing w:before="5"/>
              <w:ind w:left="314" w:right="342"/>
              <w:jc w:val="center"/>
              <w:rPr>
                <w:rFonts w:ascii="Times New Roman"/>
                <w:i/>
                <w:sz w:val="12"/>
              </w:rPr>
            </w:pPr>
            <w:r>
              <w:rPr>
                <w:rFonts w:ascii="Times New Roman"/>
                <w:i/>
                <w:sz w:val="12"/>
              </w:rPr>
              <w:t>(1)</w:t>
            </w:r>
          </w:p>
        </w:tc>
        <w:tc>
          <w:tcPr>
            <w:tcW w:w="804" w:type="dxa"/>
          </w:tcPr>
          <w:p>
            <w:pPr>
              <w:pStyle w:val="TableParagraph"/>
              <w:spacing w:before="5"/>
              <w:ind w:left="450"/>
              <w:jc w:val="left"/>
              <w:rPr>
                <w:rFonts w:ascii="Times New Roman"/>
                <w:i/>
                <w:sz w:val="12"/>
              </w:rPr>
            </w:pPr>
            <w:r>
              <w:rPr>
                <w:rFonts w:ascii="Times New Roman"/>
                <w:i/>
                <w:sz w:val="12"/>
              </w:rPr>
              <w:t>(1)</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(3)</w:t>
            </w:r>
          </w:p>
        </w:tc>
      </w:tr>
      <w:tr>
        <w:trPr>
          <w:trHeight w:val="153" w:hRule="exact"/>
        </w:trPr>
        <w:tc>
          <w:tcPr>
            <w:tcW w:w="4205" w:type="dxa"/>
            <w:tcBorders>
              <w:left w:val="single" w:sz="3" w:space="0" w:color="C00000"/>
            </w:tcBorders>
          </w:tcPr>
          <w:p>
            <w:pPr>
              <w:pStyle w:val="TableParagraph"/>
              <w:spacing w:before="5"/>
              <w:ind w:left="1492" w:right="1452"/>
              <w:jc w:val="center"/>
              <w:rPr>
                <w:rFonts w:ascii="Times New Roman"/>
                <w:i/>
                <w:sz w:val="12"/>
              </w:rPr>
            </w:pPr>
            <w:r>
              <w:rPr>
                <w:rFonts w:ascii="Times New Roman"/>
                <w:i/>
                <w:sz w:val="12"/>
              </w:rPr>
              <w:t>Rivoira Rivalta</w:t>
            </w:r>
          </w:p>
        </w:tc>
        <w:tc>
          <w:tcPr>
            <w:tcW w:w="935" w:type="dxa"/>
          </w:tcPr>
          <w:p>
            <w:pPr>
              <w:pStyle w:val="TableParagraph"/>
              <w:spacing w:before="5"/>
              <w:ind w:left="299" w:right="455"/>
              <w:jc w:val="center"/>
              <w:rPr>
                <w:rFonts w:ascii="Times New Roman"/>
                <w:i/>
                <w:sz w:val="12"/>
              </w:rPr>
            </w:pPr>
            <w:r>
              <w:rPr>
                <w:rFonts w:ascii="Times New Roman"/>
                <w:i/>
                <w:sz w:val="12"/>
              </w:rPr>
              <w:t>(1)</w:t>
            </w:r>
          </w:p>
        </w:tc>
        <w:tc>
          <w:tcPr>
            <w:tcW w:w="1111" w:type="dxa"/>
          </w:tcPr>
          <w:p>
            <w:pPr>
              <w:pStyle w:val="TableParagraph"/>
              <w:spacing w:before="5"/>
              <w:ind w:left="337" w:right="327"/>
              <w:jc w:val="center"/>
              <w:rPr>
                <w:rFonts w:ascii="Times New Roman"/>
                <w:i/>
                <w:sz w:val="12"/>
              </w:rPr>
            </w:pPr>
            <w:r>
              <w:rPr>
                <w:rFonts w:ascii="Times New Roman"/>
                <w:i/>
                <w:sz w:val="12"/>
              </w:rPr>
              <w:t>(0)</w:t>
            </w:r>
          </w:p>
        </w:tc>
        <w:tc>
          <w:tcPr>
            <w:tcW w:w="1091" w:type="dxa"/>
          </w:tcPr>
          <w:p>
            <w:pPr>
              <w:pStyle w:val="TableParagraph"/>
              <w:spacing w:before="5"/>
              <w:ind w:left="314" w:right="342"/>
              <w:jc w:val="center"/>
              <w:rPr>
                <w:rFonts w:ascii="Times New Roman"/>
                <w:i/>
                <w:sz w:val="12"/>
              </w:rPr>
            </w:pPr>
            <w:r>
              <w:rPr>
                <w:rFonts w:ascii="Times New Roman"/>
                <w:i/>
                <w:sz w:val="12"/>
              </w:rPr>
              <w:t>(0)</w:t>
            </w:r>
          </w:p>
        </w:tc>
        <w:tc>
          <w:tcPr>
            <w:tcW w:w="804" w:type="dxa"/>
          </w:tcPr>
          <w:p>
            <w:pPr>
              <w:pStyle w:val="TableParagraph"/>
              <w:spacing w:before="5"/>
              <w:ind w:left="450"/>
              <w:jc w:val="left"/>
              <w:rPr>
                <w:rFonts w:ascii="Times New Roman"/>
                <w:i/>
                <w:sz w:val="12"/>
              </w:rPr>
            </w:pPr>
            <w:r>
              <w:rPr>
                <w:rFonts w:ascii="Times New Roman"/>
                <w:i/>
                <w:sz w:val="12"/>
              </w:rPr>
              <w:t>(0)</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(2)</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Tasse locali e spese per cassa</w:t>
            </w:r>
          </w:p>
        </w:tc>
        <w:tc>
          <w:tcPr>
            <w:tcW w:w="935" w:type="dxa"/>
          </w:tcPr>
          <w:p>
            <w:pPr>
              <w:pStyle w:val="TableParagraph"/>
              <w:spacing w:before="5"/>
              <w:ind w:left="299" w:right="455"/>
              <w:jc w:val="center"/>
              <w:rPr>
                <w:rFonts w:ascii="Times New Roman"/>
                <w:i/>
                <w:sz w:val="12"/>
              </w:rPr>
            </w:pPr>
            <w:r>
              <w:rPr>
                <w:rFonts w:ascii="Times New Roman"/>
                <w:i/>
                <w:sz w:val="12"/>
              </w:rPr>
              <w:t>(4)</w:t>
            </w:r>
          </w:p>
        </w:tc>
        <w:tc>
          <w:tcPr>
            <w:tcW w:w="1111" w:type="dxa"/>
          </w:tcPr>
          <w:p>
            <w:pPr>
              <w:pStyle w:val="TableParagraph"/>
              <w:spacing w:before="5"/>
              <w:ind w:left="337" w:right="327"/>
              <w:jc w:val="center"/>
              <w:rPr>
                <w:rFonts w:ascii="Times New Roman"/>
                <w:i/>
                <w:sz w:val="12"/>
              </w:rPr>
            </w:pPr>
            <w:r>
              <w:rPr>
                <w:rFonts w:ascii="Times New Roman"/>
                <w:i/>
                <w:sz w:val="12"/>
              </w:rPr>
              <w:t>(4)</w:t>
            </w:r>
          </w:p>
        </w:tc>
        <w:tc>
          <w:tcPr>
            <w:tcW w:w="1091" w:type="dxa"/>
          </w:tcPr>
          <w:p>
            <w:pPr>
              <w:pStyle w:val="TableParagraph"/>
              <w:spacing w:before="5"/>
              <w:ind w:left="314" w:right="342"/>
              <w:jc w:val="center"/>
              <w:rPr>
                <w:rFonts w:ascii="Times New Roman"/>
                <w:i/>
                <w:sz w:val="12"/>
              </w:rPr>
            </w:pPr>
            <w:r>
              <w:rPr>
                <w:rFonts w:ascii="Times New Roman"/>
                <w:i/>
                <w:sz w:val="12"/>
              </w:rPr>
              <w:t>(4)</w:t>
            </w:r>
          </w:p>
        </w:tc>
        <w:tc>
          <w:tcPr>
            <w:tcW w:w="804" w:type="dxa"/>
          </w:tcPr>
          <w:p>
            <w:pPr>
              <w:pStyle w:val="TableParagraph"/>
              <w:spacing w:before="5"/>
              <w:ind w:left="450"/>
              <w:jc w:val="left"/>
              <w:rPr>
                <w:rFonts w:ascii="Times New Roman"/>
                <w:i/>
                <w:sz w:val="12"/>
              </w:rPr>
            </w:pPr>
            <w:r>
              <w:rPr>
                <w:rFonts w:ascii="Times New Roman"/>
                <w:i/>
                <w:sz w:val="12"/>
              </w:rPr>
              <w:t>(4)</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(15)</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Mantenimento Modugno</w:t>
            </w:r>
          </w:p>
        </w:tc>
        <w:tc>
          <w:tcPr>
            <w:tcW w:w="935" w:type="dxa"/>
          </w:tcPr>
          <w:p>
            <w:pPr>
              <w:pStyle w:val="TableParagraph"/>
              <w:spacing w:before="5"/>
              <w:ind w:left="299" w:right="455"/>
              <w:jc w:val="center"/>
              <w:rPr>
                <w:rFonts w:ascii="Times New Roman"/>
                <w:i/>
                <w:sz w:val="12"/>
              </w:rPr>
            </w:pPr>
            <w:r>
              <w:rPr>
                <w:rFonts w:ascii="Times New Roman"/>
                <w:i/>
                <w:sz w:val="12"/>
              </w:rPr>
              <w:t>(7)</w:t>
            </w:r>
          </w:p>
        </w:tc>
        <w:tc>
          <w:tcPr>
            <w:tcW w:w="1111" w:type="dxa"/>
          </w:tcPr>
          <w:p>
            <w:pPr>
              <w:pStyle w:val="TableParagraph"/>
              <w:spacing w:before="5"/>
              <w:ind w:left="337" w:right="327"/>
              <w:jc w:val="center"/>
              <w:rPr>
                <w:rFonts w:ascii="Times New Roman"/>
                <w:i/>
                <w:sz w:val="12"/>
              </w:rPr>
            </w:pPr>
            <w:r>
              <w:rPr>
                <w:rFonts w:ascii="Times New Roman"/>
                <w:i/>
                <w:sz w:val="12"/>
              </w:rPr>
              <w:t>(4)</w:t>
            </w:r>
          </w:p>
        </w:tc>
        <w:tc>
          <w:tcPr>
            <w:tcW w:w="1091" w:type="dxa"/>
          </w:tcPr>
          <w:p>
            <w:pPr>
              <w:pStyle w:val="TableParagraph"/>
              <w:spacing w:before="5"/>
              <w:ind w:left="314" w:right="342"/>
              <w:jc w:val="center"/>
              <w:rPr>
                <w:rFonts w:ascii="Times New Roman"/>
                <w:i/>
                <w:sz w:val="12"/>
              </w:rPr>
            </w:pPr>
            <w:r>
              <w:rPr>
                <w:rFonts w:ascii="Times New Roman"/>
                <w:i/>
                <w:sz w:val="12"/>
              </w:rPr>
              <w:t>(4)</w:t>
            </w:r>
          </w:p>
        </w:tc>
        <w:tc>
          <w:tcPr>
            <w:tcW w:w="804" w:type="dxa"/>
          </w:tcPr>
          <w:p>
            <w:pPr>
              <w:pStyle w:val="TableParagraph"/>
              <w:spacing w:before="5"/>
              <w:ind w:left="423"/>
              <w:jc w:val="left"/>
              <w:rPr>
                <w:rFonts w:ascii="Times New Roman"/>
                <w:i/>
                <w:sz w:val="12"/>
              </w:rPr>
            </w:pPr>
            <w:r>
              <w:rPr>
                <w:rFonts w:ascii="Times New Roman"/>
                <w:i/>
                <w:sz w:val="12"/>
              </w:rPr>
              <w:t>(14)</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(28)</w:t>
            </w:r>
          </w:p>
        </w:tc>
      </w:tr>
      <w:tr>
        <w:trPr>
          <w:trHeight w:val="153" w:hRule="exact"/>
        </w:trPr>
        <w:tc>
          <w:tcPr>
            <w:tcW w:w="4205" w:type="dxa"/>
            <w:tcBorders>
              <w:left w:val="single" w:sz="3" w:space="0" w:color="C00000"/>
            </w:tcBorders>
          </w:tcPr>
          <w:p>
            <w:pPr>
              <w:pStyle w:val="TableParagraph"/>
              <w:spacing w:before="5"/>
              <w:ind w:left="1472" w:right="1452"/>
              <w:jc w:val="center"/>
              <w:rPr>
                <w:rFonts w:ascii="Times New Roman"/>
                <w:i/>
                <w:sz w:val="12"/>
              </w:rPr>
            </w:pPr>
            <w:r>
              <w:rPr>
                <w:rFonts w:ascii="Times New Roman"/>
                <w:i/>
                <w:sz w:val="12"/>
              </w:rPr>
              <w:t>DHL (corrieri)</w:t>
            </w:r>
          </w:p>
        </w:tc>
        <w:tc>
          <w:tcPr>
            <w:tcW w:w="935" w:type="dxa"/>
          </w:tcPr>
          <w:p>
            <w:pPr>
              <w:pStyle w:val="TableParagraph"/>
              <w:spacing w:before="5"/>
              <w:ind w:left="299" w:right="455"/>
              <w:jc w:val="center"/>
              <w:rPr>
                <w:rFonts w:ascii="Times New Roman"/>
                <w:i/>
                <w:sz w:val="12"/>
              </w:rPr>
            </w:pPr>
            <w:r>
              <w:rPr>
                <w:rFonts w:ascii="Times New Roman"/>
                <w:i/>
                <w:sz w:val="12"/>
              </w:rPr>
              <w:t>(0)</w:t>
            </w:r>
          </w:p>
        </w:tc>
        <w:tc>
          <w:tcPr>
            <w:tcW w:w="1111" w:type="dxa"/>
          </w:tcPr>
          <w:p>
            <w:pPr>
              <w:pStyle w:val="TableParagraph"/>
              <w:spacing w:before="5"/>
              <w:ind w:left="337" w:right="327"/>
              <w:jc w:val="center"/>
              <w:rPr>
                <w:rFonts w:ascii="Times New Roman"/>
                <w:i/>
                <w:sz w:val="12"/>
              </w:rPr>
            </w:pPr>
            <w:r>
              <w:rPr>
                <w:rFonts w:ascii="Times New Roman"/>
                <w:i/>
                <w:sz w:val="12"/>
              </w:rPr>
              <w:t>(0)</w:t>
            </w:r>
          </w:p>
        </w:tc>
        <w:tc>
          <w:tcPr>
            <w:tcW w:w="1091" w:type="dxa"/>
          </w:tcPr>
          <w:p>
            <w:pPr>
              <w:pStyle w:val="TableParagraph"/>
              <w:spacing w:before="5"/>
              <w:ind w:left="314" w:right="342"/>
              <w:jc w:val="center"/>
              <w:rPr>
                <w:rFonts w:ascii="Times New Roman"/>
                <w:i/>
                <w:sz w:val="12"/>
              </w:rPr>
            </w:pPr>
            <w:r>
              <w:rPr>
                <w:rFonts w:ascii="Times New Roman"/>
                <w:i/>
                <w:sz w:val="12"/>
              </w:rPr>
              <w:t>(0)</w:t>
            </w:r>
          </w:p>
        </w:tc>
        <w:tc>
          <w:tcPr>
            <w:tcW w:w="804" w:type="dxa"/>
          </w:tcPr>
          <w:p>
            <w:pPr>
              <w:pStyle w:val="TableParagraph"/>
              <w:spacing w:before="5"/>
              <w:ind w:left="450"/>
              <w:jc w:val="left"/>
              <w:rPr>
                <w:rFonts w:ascii="Times New Roman"/>
                <w:i/>
                <w:sz w:val="12"/>
              </w:rPr>
            </w:pPr>
            <w:r>
              <w:rPr>
                <w:rFonts w:ascii="Times New Roman"/>
                <w:i/>
                <w:sz w:val="12"/>
              </w:rPr>
              <w:t>(0)</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(1)</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Durante (IT-Garbelli)</w:t>
            </w:r>
          </w:p>
        </w:tc>
        <w:tc>
          <w:tcPr>
            <w:tcW w:w="935" w:type="dxa"/>
          </w:tcPr>
          <w:p>
            <w:pPr>
              <w:pStyle w:val="TableParagraph"/>
              <w:spacing w:before="5"/>
              <w:ind w:left="299" w:right="455"/>
              <w:jc w:val="center"/>
              <w:rPr>
                <w:rFonts w:ascii="Times New Roman"/>
                <w:i/>
                <w:sz w:val="12"/>
              </w:rPr>
            </w:pPr>
            <w:r>
              <w:rPr>
                <w:rFonts w:ascii="Times New Roman"/>
                <w:i/>
                <w:sz w:val="12"/>
              </w:rPr>
              <w:t>(1)</w:t>
            </w:r>
          </w:p>
        </w:tc>
        <w:tc>
          <w:tcPr>
            <w:tcW w:w="1111" w:type="dxa"/>
          </w:tcPr>
          <w:p>
            <w:pPr>
              <w:pStyle w:val="TableParagraph"/>
              <w:spacing w:before="5"/>
              <w:ind w:left="337" w:right="327"/>
              <w:jc w:val="center"/>
              <w:rPr>
                <w:rFonts w:ascii="Times New Roman"/>
                <w:i/>
                <w:sz w:val="12"/>
              </w:rPr>
            </w:pPr>
            <w:r>
              <w:rPr>
                <w:rFonts w:ascii="Times New Roman"/>
                <w:i/>
                <w:sz w:val="12"/>
              </w:rPr>
              <w:t>(0)</w:t>
            </w:r>
          </w:p>
        </w:tc>
        <w:tc>
          <w:tcPr>
            <w:tcW w:w="1091" w:type="dxa"/>
          </w:tcPr>
          <w:p>
            <w:pPr>
              <w:pStyle w:val="TableParagraph"/>
              <w:spacing w:before="5"/>
              <w:ind w:left="314" w:right="342"/>
              <w:jc w:val="center"/>
              <w:rPr>
                <w:rFonts w:ascii="Times New Roman"/>
                <w:i/>
                <w:sz w:val="12"/>
              </w:rPr>
            </w:pPr>
            <w:r>
              <w:rPr>
                <w:rFonts w:ascii="Times New Roman"/>
                <w:i/>
                <w:sz w:val="12"/>
              </w:rPr>
              <w:t>(0)</w:t>
            </w:r>
          </w:p>
        </w:tc>
        <w:tc>
          <w:tcPr>
            <w:tcW w:w="804" w:type="dxa"/>
          </w:tcPr>
          <w:p>
            <w:pPr>
              <w:pStyle w:val="TableParagraph"/>
              <w:spacing w:before="5"/>
              <w:ind w:left="450"/>
              <w:jc w:val="left"/>
              <w:rPr>
                <w:rFonts w:ascii="Times New Roman"/>
                <w:i/>
                <w:sz w:val="12"/>
              </w:rPr>
            </w:pPr>
            <w:r>
              <w:rPr>
                <w:rFonts w:ascii="Times New Roman"/>
                <w:i/>
                <w:sz w:val="12"/>
              </w:rPr>
              <w:t>(0)</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(2)</w:t>
            </w:r>
          </w:p>
        </w:tc>
      </w:tr>
      <w:tr>
        <w:trPr>
          <w:trHeight w:val="153" w:hRule="exact"/>
        </w:trPr>
        <w:tc>
          <w:tcPr>
            <w:tcW w:w="4205" w:type="dxa"/>
            <w:tcBorders>
              <w:left w:val="single" w:sz="3" w:space="0" w:color="C00000"/>
            </w:tcBorders>
          </w:tcPr>
          <w:p>
            <w:pPr>
              <w:pStyle w:val="TableParagraph"/>
              <w:spacing w:before="5"/>
              <w:ind w:left="1089" w:right="1452"/>
              <w:jc w:val="center"/>
              <w:rPr>
                <w:rFonts w:ascii="Times New Roman"/>
                <w:i/>
                <w:sz w:val="12"/>
              </w:rPr>
            </w:pPr>
            <w:r>
              <w:rPr>
                <w:rFonts w:ascii="Times New Roman"/>
                <w:i/>
                <w:sz w:val="12"/>
              </w:rPr>
              <w:t>EY Tax</w:t>
            </w:r>
          </w:p>
        </w:tc>
        <w:tc>
          <w:tcPr>
            <w:tcW w:w="935" w:type="dxa"/>
          </w:tcPr>
          <w:p>
            <w:pPr>
              <w:pStyle w:val="TableParagraph"/>
              <w:spacing w:before="5"/>
              <w:ind w:left="299" w:right="455"/>
              <w:jc w:val="center"/>
              <w:rPr>
                <w:rFonts w:ascii="Times New Roman"/>
                <w:i/>
                <w:sz w:val="12"/>
              </w:rPr>
            </w:pPr>
            <w:r>
              <w:rPr>
                <w:rFonts w:ascii="Times New Roman"/>
                <w:i/>
                <w:sz w:val="12"/>
              </w:rPr>
              <w:t>(2)</w:t>
            </w:r>
          </w:p>
        </w:tc>
        <w:tc>
          <w:tcPr>
            <w:tcW w:w="1111" w:type="dxa"/>
          </w:tcPr>
          <w:p>
            <w:pPr>
              <w:pStyle w:val="TableParagraph"/>
              <w:spacing w:before="5"/>
              <w:ind w:left="337" w:right="327"/>
              <w:jc w:val="center"/>
              <w:rPr>
                <w:rFonts w:ascii="Times New Roman"/>
                <w:i/>
                <w:sz w:val="12"/>
              </w:rPr>
            </w:pPr>
            <w:r>
              <w:rPr>
                <w:rFonts w:ascii="Times New Roman"/>
                <w:i/>
                <w:sz w:val="12"/>
              </w:rPr>
              <w:t>(1)</w:t>
            </w:r>
          </w:p>
        </w:tc>
        <w:tc>
          <w:tcPr>
            <w:tcW w:w="1091" w:type="dxa"/>
          </w:tcPr>
          <w:p>
            <w:pPr>
              <w:pStyle w:val="TableParagraph"/>
              <w:spacing w:before="5"/>
              <w:ind w:left="314" w:right="342"/>
              <w:jc w:val="center"/>
              <w:rPr>
                <w:rFonts w:ascii="Times New Roman"/>
                <w:i/>
                <w:sz w:val="12"/>
              </w:rPr>
            </w:pPr>
            <w:r>
              <w:rPr>
                <w:rFonts w:ascii="Times New Roman"/>
                <w:i/>
                <w:sz w:val="12"/>
              </w:rPr>
              <w:t>(1)</w:t>
            </w:r>
          </w:p>
        </w:tc>
        <w:tc>
          <w:tcPr>
            <w:tcW w:w="804" w:type="dxa"/>
          </w:tcPr>
          <w:p>
            <w:pPr>
              <w:pStyle w:val="TableParagraph"/>
              <w:spacing w:before="5"/>
              <w:ind w:left="450"/>
              <w:jc w:val="left"/>
              <w:rPr>
                <w:rFonts w:ascii="Times New Roman"/>
                <w:i/>
                <w:sz w:val="12"/>
              </w:rPr>
            </w:pPr>
            <w:r>
              <w:rPr>
                <w:rFonts w:ascii="Times New Roman"/>
                <w:i/>
                <w:sz w:val="12"/>
              </w:rPr>
              <w:t>(1)</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(5)</w:t>
            </w:r>
          </w:p>
        </w:tc>
      </w:tr>
      <w:tr>
        <w:trPr>
          <w:trHeight w:val="153" w:hRule="exact"/>
        </w:trPr>
        <w:tc>
          <w:tcPr>
            <w:tcW w:w="4205" w:type="dxa"/>
            <w:tcBorders>
              <w:left w:val="single" w:sz="3" w:space="0" w:color="C00000"/>
            </w:tcBorders>
          </w:tcPr>
          <w:p>
            <w:pPr>
              <w:pStyle w:val="TableParagraph"/>
              <w:spacing w:before="5"/>
              <w:ind w:left="1741"/>
              <w:jc w:val="left"/>
              <w:rPr>
                <w:rFonts w:ascii="Times New Roman"/>
                <w:i/>
                <w:sz w:val="12"/>
              </w:rPr>
            </w:pPr>
            <w:r>
              <w:rPr>
                <w:rFonts w:ascii="Times New Roman"/>
                <w:i/>
                <w:sz w:val="12"/>
              </w:rPr>
              <w:t>Tecnica (fotocopiatrici)</w:t>
            </w:r>
          </w:p>
        </w:tc>
        <w:tc>
          <w:tcPr>
            <w:tcW w:w="935" w:type="dxa"/>
          </w:tcPr>
          <w:p>
            <w:pPr>
              <w:pStyle w:val="TableParagraph"/>
              <w:spacing w:before="5"/>
              <w:ind w:left="299" w:right="455"/>
              <w:jc w:val="center"/>
              <w:rPr>
                <w:rFonts w:ascii="Times New Roman"/>
                <w:i/>
                <w:sz w:val="12"/>
              </w:rPr>
            </w:pPr>
            <w:r>
              <w:rPr>
                <w:rFonts w:ascii="Times New Roman"/>
                <w:i/>
                <w:sz w:val="12"/>
              </w:rPr>
              <w:t>(4)</w:t>
            </w:r>
          </w:p>
        </w:tc>
        <w:tc>
          <w:tcPr>
            <w:tcW w:w="1111" w:type="dxa"/>
          </w:tcPr>
          <w:p>
            <w:pPr>
              <w:pStyle w:val="TableParagraph"/>
              <w:spacing w:before="5"/>
              <w:ind w:left="337" w:right="327"/>
              <w:jc w:val="center"/>
              <w:rPr>
                <w:rFonts w:ascii="Times New Roman"/>
                <w:i/>
                <w:sz w:val="12"/>
              </w:rPr>
            </w:pPr>
            <w:r>
              <w:rPr>
                <w:rFonts w:ascii="Times New Roman"/>
                <w:i/>
                <w:sz w:val="12"/>
              </w:rPr>
              <w:t>(1)</w:t>
            </w:r>
          </w:p>
        </w:tc>
        <w:tc>
          <w:tcPr>
            <w:tcW w:w="1091" w:type="dxa"/>
          </w:tcPr>
          <w:p>
            <w:pPr>
              <w:pStyle w:val="TableParagraph"/>
              <w:spacing w:before="5"/>
              <w:ind w:left="314" w:right="342"/>
              <w:jc w:val="center"/>
              <w:rPr>
                <w:rFonts w:ascii="Times New Roman"/>
                <w:i/>
                <w:sz w:val="12"/>
              </w:rPr>
            </w:pPr>
            <w:r>
              <w:rPr>
                <w:rFonts w:ascii="Times New Roman"/>
                <w:i/>
                <w:sz w:val="12"/>
              </w:rPr>
              <w:t>(1)</w:t>
            </w:r>
          </w:p>
        </w:tc>
        <w:tc>
          <w:tcPr>
            <w:tcW w:w="804" w:type="dxa"/>
          </w:tcPr>
          <w:p>
            <w:pPr>
              <w:pStyle w:val="TableParagraph"/>
              <w:spacing w:before="5"/>
              <w:ind w:left="450"/>
              <w:jc w:val="left"/>
              <w:rPr>
                <w:rFonts w:ascii="Times New Roman"/>
                <w:i/>
                <w:sz w:val="12"/>
              </w:rPr>
            </w:pPr>
            <w:r>
              <w:rPr>
                <w:rFonts w:ascii="Times New Roman"/>
                <w:i/>
                <w:sz w:val="12"/>
              </w:rPr>
              <w:t>(1)</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(7)</w:t>
            </w:r>
          </w:p>
        </w:tc>
      </w:tr>
      <w:tr>
        <w:trPr>
          <w:trHeight w:val="153" w:hRule="exact"/>
        </w:trPr>
        <w:tc>
          <w:tcPr>
            <w:tcW w:w="4205" w:type="dxa"/>
            <w:tcBorders>
              <w:left w:val="single" w:sz="3" w:space="0" w:color="C00000"/>
            </w:tcBorders>
          </w:tcPr>
          <w:p>
            <w:pPr>
              <w:pStyle w:val="TableParagraph"/>
              <w:spacing w:before="5"/>
              <w:ind w:left="1506" w:right="1452"/>
              <w:jc w:val="center"/>
              <w:rPr>
                <w:rFonts w:ascii="Times New Roman"/>
                <w:i/>
                <w:sz w:val="12"/>
              </w:rPr>
            </w:pPr>
            <w:r>
              <w:rPr>
                <w:rFonts w:ascii="Times New Roman"/>
                <w:i/>
                <w:sz w:val="12"/>
              </w:rPr>
              <w:t>Neen (Garbelli)</w:t>
            </w:r>
          </w:p>
        </w:tc>
        <w:tc>
          <w:tcPr>
            <w:tcW w:w="935" w:type="dxa"/>
          </w:tcPr>
          <w:p>
            <w:pPr>
              <w:pStyle w:val="TableParagraph"/>
              <w:spacing w:before="5"/>
              <w:ind w:left="299" w:right="455"/>
              <w:jc w:val="center"/>
              <w:rPr>
                <w:rFonts w:ascii="Times New Roman"/>
                <w:i/>
                <w:sz w:val="12"/>
              </w:rPr>
            </w:pPr>
            <w:r>
              <w:rPr>
                <w:rFonts w:ascii="Times New Roman"/>
                <w:i/>
                <w:sz w:val="12"/>
              </w:rPr>
              <w:t>(0)</w:t>
            </w:r>
          </w:p>
        </w:tc>
        <w:tc>
          <w:tcPr>
            <w:tcW w:w="1111" w:type="dxa"/>
          </w:tcPr>
          <w:p>
            <w:pPr>
              <w:pStyle w:val="TableParagraph"/>
              <w:spacing w:before="5"/>
              <w:ind w:left="337" w:right="327"/>
              <w:jc w:val="center"/>
              <w:rPr>
                <w:rFonts w:ascii="Times New Roman"/>
                <w:i/>
                <w:sz w:val="12"/>
              </w:rPr>
            </w:pPr>
            <w:r>
              <w:rPr>
                <w:rFonts w:ascii="Times New Roman"/>
                <w:i/>
                <w:sz w:val="12"/>
              </w:rPr>
              <w:t>(0)</w:t>
            </w:r>
          </w:p>
        </w:tc>
        <w:tc>
          <w:tcPr>
            <w:tcW w:w="1091" w:type="dxa"/>
          </w:tcPr>
          <w:p>
            <w:pPr>
              <w:pStyle w:val="TableParagraph"/>
              <w:spacing w:before="5"/>
              <w:ind w:left="314" w:right="342"/>
              <w:jc w:val="center"/>
              <w:rPr>
                <w:rFonts w:ascii="Times New Roman"/>
                <w:i/>
                <w:sz w:val="12"/>
              </w:rPr>
            </w:pPr>
            <w:r>
              <w:rPr>
                <w:rFonts w:ascii="Times New Roman"/>
                <w:i/>
                <w:sz w:val="12"/>
              </w:rPr>
              <w:t>(0)</w:t>
            </w:r>
          </w:p>
        </w:tc>
        <w:tc>
          <w:tcPr>
            <w:tcW w:w="804" w:type="dxa"/>
          </w:tcPr>
          <w:p>
            <w:pPr>
              <w:pStyle w:val="TableParagraph"/>
              <w:spacing w:before="5"/>
              <w:ind w:left="450"/>
              <w:jc w:val="left"/>
              <w:rPr>
                <w:rFonts w:ascii="Times New Roman"/>
                <w:i/>
                <w:sz w:val="12"/>
              </w:rPr>
            </w:pPr>
            <w:r>
              <w:rPr>
                <w:rFonts w:ascii="Times New Roman"/>
                <w:i/>
                <w:sz w:val="12"/>
              </w:rPr>
              <w:t>(0)</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(1)</w:t>
            </w:r>
          </w:p>
        </w:tc>
      </w:tr>
      <w:tr>
        <w:trPr>
          <w:trHeight w:val="153" w:hRule="exact"/>
        </w:trPr>
        <w:tc>
          <w:tcPr>
            <w:tcW w:w="4205" w:type="dxa"/>
            <w:tcBorders>
              <w:left w:val="single" w:sz="3" w:space="0" w:color="C00000"/>
            </w:tcBorders>
          </w:tcPr>
          <w:p>
            <w:pPr>
              <w:pStyle w:val="TableParagraph"/>
              <w:spacing w:before="5"/>
              <w:ind w:left="1089" w:right="1452"/>
              <w:jc w:val="center"/>
              <w:rPr>
                <w:rFonts w:ascii="Times New Roman"/>
                <w:i/>
                <w:sz w:val="12"/>
              </w:rPr>
            </w:pPr>
            <w:r>
              <w:rPr>
                <w:rFonts w:ascii="Times New Roman"/>
                <w:i/>
                <w:sz w:val="12"/>
              </w:rPr>
              <w:t>Merrill</w:t>
            </w:r>
          </w:p>
        </w:tc>
        <w:tc>
          <w:tcPr>
            <w:tcW w:w="935" w:type="dxa"/>
          </w:tcPr>
          <w:p>
            <w:pPr>
              <w:pStyle w:val="TableParagraph"/>
              <w:spacing w:before="5"/>
              <w:ind w:left="299" w:right="455"/>
              <w:jc w:val="center"/>
              <w:rPr>
                <w:rFonts w:ascii="Times New Roman"/>
                <w:i/>
                <w:sz w:val="12"/>
              </w:rPr>
            </w:pPr>
            <w:r>
              <w:rPr>
                <w:rFonts w:ascii="Times New Roman"/>
                <w:i/>
                <w:sz w:val="12"/>
              </w:rPr>
              <w:t>(2)</w:t>
            </w:r>
          </w:p>
        </w:tc>
        <w:tc>
          <w:tcPr>
            <w:tcW w:w="1111" w:type="dxa"/>
          </w:tcPr>
          <w:p>
            <w:pPr>
              <w:pStyle w:val="TableParagraph"/>
              <w:spacing w:before="5"/>
              <w:ind w:left="337" w:right="327"/>
              <w:jc w:val="center"/>
              <w:rPr>
                <w:rFonts w:ascii="Times New Roman"/>
                <w:i/>
                <w:sz w:val="12"/>
              </w:rPr>
            </w:pPr>
            <w:r>
              <w:rPr>
                <w:rFonts w:ascii="Times New Roman"/>
                <w:i/>
                <w:sz w:val="12"/>
              </w:rPr>
              <w:t>(2)</w:t>
            </w:r>
          </w:p>
        </w:tc>
        <w:tc>
          <w:tcPr>
            <w:tcW w:w="1091" w:type="dxa"/>
          </w:tcPr>
          <w:p>
            <w:pPr>
              <w:pStyle w:val="TableParagraph"/>
              <w:spacing w:before="5"/>
              <w:ind w:left="314" w:right="342"/>
              <w:jc w:val="center"/>
              <w:rPr>
                <w:rFonts w:ascii="Times New Roman"/>
                <w:i/>
                <w:sz w:val="12"/>
              </w:rPr>
            </w:pPr>
            <w:r>
              <w:rPr>
                <w:rFonts w:ascii="Times New Roman"/>
                <w:i/>
                <w:sz w:val="12"/>
              </w:rPr>
              <w:t>(2)</w:t>
            </w:r>
          </w:p>
        </w:tc>
        <w:tc>
          <w:tcPr>
            <w:tcW w:w="804" w:type="dxa"/>
          </w:tcPr>
          <w:p>
            <w:pPr>
              <w:pStyle w:val="TableParagraph"/>
              <w:spacing w:before="5"/>
              <w:ind w:left="450"/>
              <w:jc w:val="left"/>
              <w:rPr>
                <w:rFonts w:ascii="Times New Roman"/>
                <w:i/>
                <w:sz w:val="12"/>
              </w:rPr>
            </w:pPr>
            <w:r>
              <w:rPr>
                <w:rFonts w:ascii="Times New Roman"/>
                <w:i/>
                <w:sz w:val="12"/>
              </w:rPr>
              <w:t>(2)</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(8)</w:t>
            </w:r>
          </w:p>
        </w:tc>
      </w:tr>
      <w:tr>
        <w:trPr>
          <w:trHeight w:val="153" w:hRule="exact"/>
        </w:trPr>
        <w:tc>
          <w:tcPr>
            <w:tcW w:w="4205" w:type="dxa"/>
            <w:tcBorders>
              <w:left w:val="single" w:sz="3" w:space="0" w:color="C00000"/>
            </w:tcBorders>
          </w:tcPr>
          <w:p>
            <w:pPr>
              <w:pStyle w:val="TableParagraph"/>
              <w:spacing w:before="5"/>
              <w:ind w:left="1442" w:right="1452"/>
              <w:jc w:val="center"/>
              <w:rPr>
                <w:rFonts w:ascii="Times New Roman"/>
                <w:i/>
                <w:sz w:val="12"/>
              </w:rPr>
            </w:pPr>
            <w:r>
              <w:rPr>
                <w:rFonts w:ascii="Times New Roman"/>
                <w:i/>
                <w:sz w:val="12"/>
              </w:rPr>
              <w:t>IPSI (Caserta)</w:t>
            </w:r>
          </w:p>
        </w:tc>
        <w:tc>
          <w:tcPr>
            <w:tcW w:w="935" w:type="dxa"/>
          </w:tcPr>
          <w:p>
            <w:pPr>
              <w:pStyle w:val="TableParagraph"/>
              <w:spacing w:before="5"/>
              <w:ind w:left="299" w:right="455"/>
              <w:jc w:val="center"/>
              <w:rPr>
                <w:rFonts w:ascii="Times New Roman"/>
                <w:i/>
                <w:sz w:val="12"/>
              </w:rPr>
            </w:pPr>
            <w:r>
              <w:rPr>
                <w:rFonts w:ascii="Times New Roman"/>
                <w:i/>
                <w:sz w:val="12"/>
              </w:rPr>
              <w:t>(1)</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50"/>
              <w:jc w:val="left"/>
              <w:rPr>
                <w:rFonts w:ascii="Times New Roman"/>
                <w:i/>
                <w:sz w:val="12"/>
              </w:rPr>
            </w:pPr>
            <w:r>
              <w:rPr>
                <w:rFonts w:ascii="Times New Roman"/>
                <w:i/>
                <w:sz w:val="12"/>
              </w:rPr>
              <w:t>(1)</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(2)</w:t>
            </w:r>
          </w:p>
        </w:tc>
      </w:tr>
      <w:tr>
        <w:trPr>
          <w:trHeight w:val="153" w:hRule="exact"/>
        </w:trPr>
        <w:tc>
          <w:tcPr>
            <w:tcW w:w="4205" w:type="dxa"/>
            <w:tcBorders>
              <w:left w:val="single" w:sz="3" w:space="0" w:color="C00000"/>
            </w:tcBorders>
          </w:tcPr>
          <w:p>
            <w:pPr>
              <w:pStyle w:val="TableParagraph"/>
              <w:spacing w:before="5"/>
              <w:ind w:left="1009" w:right="1452"/>
              <w:jc w:val="center"/>
              <w:rPr>
                <w:rFonts w:ascii="Times New Roman"/>
                <w:i/>
                <w:sz w:val="12"/>
              </w:rPr>
            </w:pPr>
            <w:r>
              <w:rPr>
                <w:rFonts w:ascii="Times New Roman"/>
                <w:i/>
                <w:sz w:val="12"/>
              </w:rPr>
              <w:t>Varie</w:t>
            </w:r>
          </w:p>
        </w:tc>
        <w:tc>
          <w:tcPr>
            <w:tcW w:w="935" w:type="dxa"/>
          </w:tcPr>
          <w:p>
            <w:pPr>
              <w:pStyle w:val="TableParagraph"/>
              <w:spacing w:before="5"/>
              <w:ind w:left="299" w:right="455"/>
              <w:jc w:val="center"/>
              <w:rPr>
                <w:rFonts w:ascii="Times New Roman"/>
                <w:i/>
                <w:sz w:val="12"/>
              </w:rPr>
            </w:pPr>
            <w:r>
              <w:rPr>
                <w:rFonts w:ascii="Times New Roman"/>
                <w:i/>
                <w:sz w:val="12"/>
              </w:rPr>
              <w:t>(2)</w:t>
            </w:r>
          </w:p>
        </w:tc>
        <w:tc>
          <w:tcPr>
            <w:tcW w:w="1111" w:type="dxa"/>
          </w:tcPr>
          <w:p>
            <w:pPr>
              <w:pStyle w:val="TableParagraph"/>
              <w:spacing w:before="5"/>
              <w:ind w:left="337" w:right="327"/>
              <w:jc w:val="center"/>
              <w:rPr>
                <w:rFonts w:ascii="Times New Roman"/>
                <w:i/>
                <w:sz w:val="12"/>
              </w:rPr>
            </w:pPr>
            <w:r>
              <w:rPr>
                <w:rFonts w:ascii="Times New Roman"/>
                <w:i/>
                <w:sz w:val="12"/>
              </w:rPr>
              <w:t>(2)</w:t>
            </w:r>
          </w:p>
        </w:tc>
        <w:tc>
          <w:tcPr>
            <w:tcW w:w="1091" w:type="dxa"/>
          </w:tcPr>
          <w:p>
            <w:pPr>
              <w:pStyle w:val="TableParagraph"/>
              <w:spacing w:before="5"/>
              <w:ind w:left="314" w:right="342"/>
              <w:jc w:val="center"/>
              <w:rPr>
                <w:rFonts w:ascii="Times New Roman"/>
                <w:i/>
                <w:sz w:val="12"/>
              </w:rPr>
            </w:pPr>
            <w:r>
              <w:rPr>
                <w:rFonts w:ascii="Times New Roman"/>
                <w:i/>
                <w:sz w:val="12"/>
              </w:rPr>
              <w:t>(2)</w:t>
            </w:r>
          </w:p>
        </w:tc>
        <w:tc>
          <w:tcPr>
            <w:tcW w:w="804" w:type="dxa"/>
          </w:tcPr>
          <w:p>
            <w:pPr>
              <w:pStyle w:val="TableParagraph"/>
              <w:spacing w:before="5"/>
              <w:ind w:left="450"/>
              <w:jc w:val="left"/>
              <w:rPr>
                <w:rFonts w:ascii="Times New Roman"/>
                <w:i/>
                <w:sz w:val="12"/>
              </w:rPr>
            </w:pPr>
            <w:r>
              <w:rPr>
                <w:rFonts w:ascii="Times New Roman"/>
                <w:i/>
                <w:sz w:val="12"/>
              </w:rPr>
              <w:t>(2)</w:t>
            </w:r>
          </w:p>
        </w:tc>
        <w:tc>
          <w:tcPr>
            <w:tcW w:w="897" w:type="dxa"/>
            <w:tcBorders>
              <w:right w:val="single" w:sz="3" w:space="0" w:color="C00000"/>
            </w:tcBorders>
          </w:tcPr>
          <w:p>
            <w:pPr>
              <w:pStyle w:val="TableParagraph"/>
              <w:spacing w:before="5"/>
              <w:ind w:right="17"/>
              <w:rPr>
                <w:rFonts w:ascii="Times New Roman"/>
                <w:sz w:val="12"/>
              </w:rPr>
            </w:pPr>
            <w:r>
              <w:rPr>
                <w:rFonts w:ascii="Times New Roman"/>
                <w:sz w:val="12"/>
              </w:rPr>
              <w:t>(8)</w:t>
            </w:r>
          </w:p>
        </w:tc>
      </w:tr>
      <w:tr>
        <w:trPr>
          <w:trHeight w:val="153" w:hRule="exact"/>
        </w:trPr>
        <w:tc>
          <w:tcPr>
            <w:tcW w:w="4205" w:type="dxa"/>
            <w:tcBorders>
              <w:left w:val="single" w:sz="3" w:space="0" w:color="C00000"/>
            </w:tcBorders>
          </w:tcPr>
          <w:p>
            <w:pPr>
              <w:pStyle w:val="TableParagraph"/>
              <w:spacing w:before="5"/>
              <w:ind w:left="19"/>
              <w:jc w:val="left"/>
              <w:rPr>
                <w:rFonts w:ascii="Times New Roman"/>
                <w:sz w:val="12"/>
              </w:rPr>
            </w:pPr>
            <w:r>
              <w:rPr>
                <w:rFonts w:ascii="Times New Roman"/>
                <w:sz w:val="12"/>
              </w:rPr>
              <w:t>- Mantenimento brevetti</w:t>
            </w:r>
          </w:p>
        </w:tc>
        <w:tc>
          <w:tcPr>
            <w:tcW w:w="935" w:type="dxa"/>
          </w:tcPr>
          <w:p>
            <w:pPr>
              <w:pStyle w:val="TableParagraph"/>
              <w:spacing w:before="5"/>
              <w:ind w:right="136"/>
              <w:jc w:val="center"/>
              <w:rPr>
                <w:rFonts w:ascii="Times New Roman"/>
                <w:sz w:val="12"/>
              </w:rPr>
            </w:pPr>
            <w:r>
              <w:rPr>
                <w:rFonts w:ascii="Times New Roman"/>
                <w:w w:val="100"/>
                <w:sz w:val="12"/>
              </w:rPr>
              <w:t>-</w:t>
            </w:r>
          </w:p>
        </w:tc>
        <w:tc>
          <w:tcPr>
            <w:tcW w:w="1111" w:type="dxa"/>
          </w:tcPr>
          <w:p>
            <w:pPr>
              <w:pStyle w:val="TableParagraph"/>
              <w:spacing w:before="5"/>
              <w:ind w:left="357" w:right="321"/>
              <w:jc w:val="center"/>
              <w:rPr>
                <w:rFonts w:ascii="Times New Roman"/>
                <w:sz w:val="12"/>
              </w:rPr>
            </w:pPr>
            <w:r>
              <w:rPr>
                <w:rFonts w:ascii="Times New Roman"/>
                <w:sz w:val="12"/>
              </w:rPr>
              <w:t>(2)</w:t>
            </w:r>
          </w:p>
        </w:tc>
        <w:tc>
          <w:tcPr>
            <w:tcW w:w="1091" w:type="dxa"/>
          </w:tcPr>
          <w:p>
            <w:pPr>
              <w:pStyle w:val="TableParagraph"/>
              <w:spacing w:before="5"/>
              <w:ind w:left="328" w:right="336"/>
              <w:jc w:val="center"/>
              <w:rPr>
                <w:rFonts w:ascii="Times New Roman"/>
                <w:sz w:val="12"/>
              </w:rPr>
            </w:pPr>
            <w:r>
              <w:rPr>
                <w:rFonts w:ascii="Times New Roman"/>
                <w:sz w:val="12"/>
              </w:rPr>
              <w:t>(14)</w:t>
            </w:r>
          </w:p>
        </w:tc>
        <w:tc>
          <w:tcPr>
            <w:tcW w:w="804" w:type="dxa"/>
          </w:tcPr>
          <w:p>
            <w:pPr>
              <w:pStyle w:val="TableParagraph"/>
              <w:spacing w:before="5"/>
              <w:ind w:left="430"/>
              <w:jc w:val="left"/>
              <w:rPr>
                <w:rFonts w:ascii="Times New Roman"/>
                <w:sz w:val="12"/>
              </w:rPr>
            </w:pPr>
            <w:r>
              <w:rPr>
                <w:rFonts w:ascii="Times New Roman"/>
                <w:sz w:val="12"/>
              </w:rPr>
              <w:t>(51)</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(67)</w:t>
            </w:r>
          </w:p>
        </w:tc>
      </w:tr>
      <w:tr>
        <w:trPr>
          <w:trHeight w:val="153" w:hRule="exact"/>
        </w:trPr>
        <w:tc>
          <w:tcPr>
            <w:tcW w:w="4205" w:type="dxa"/>
            <w:tcBorders>
              <w:left w:val="single" w:sz="3" w:space="0" w:color="C00000"/>
            </w:tcBorders>
          </w:tcPr>
          <w:p>
            <w:pPr>
              <w:pStyle w:val="TableParagraph"/>
              <w:spacing w:before="5"/>
              <w:ind w:left="19"/>
              <w:jc w:val="left"/>
              <w:rPr>
                <w:rFonts w:ascii="Times New Roman"/>
                <w:sz w:val="12"/>
              </w:rPr>
            </w:pPr>
            <w:r>
              <w:rPr>
                <w:rFonts w:ascii="Times New Roman"/>
                <w:sz w:val="12"/>
              </w:rPr>
              <w:t>- Servizi MG Finanziaria</w:t>
            </w:r>
          </w:p>
        </w:tc>
        <w:tc>
          <w:tcPr>
            <w:tcW w:w="935" w:type="dxa"/>
          </w:tcPr>
          <w:p>
            <w:pPr>
              <w:pStyle w:val="TableParagraph"/>
              <w:spacing w:before="5"/>
              <w:ind w:right="136"/>
              <w:jc w:val="center"/>
              <w:rPr>
                <w:rFonts w:ascii="Times New Roman"/>
                <w:sz w:val="12"/>
              </w:rPr>
            </w:pPr>
            <w:r>
              <w:rPr>
                <w:rFonts w:ascii="Times New Roman"/>
                <w:w w:val="100"/>
                <w:sz w:val="12"/>
              </w:rPr>
              <w:t>-</w:t>
            </w:r>
          </w:p>
        </w:tc>
        <w:tc>
          <w:tcPr>
            <w:tcW w:w="1111" w:type="dxa"/>
          </w:tcPr>
          <w:p>
            <w:pPr>
              <w:pStyle w:val="TableParagraph"/>
              <w:spacing w:before="5"/>
              <w:ind w:left="29"/>
              <w:jc w:val="center"/>
              <w:rPr>
                <w:rFonts w:ascii="Times New Roman"/>
                <w:sz w:val="12"/>
              </w:rPr>
            </w:pPr>
            <w:r>
              <w:rPr>
                <w:rFonts w:ascii="Times New Roman"/>
                <w:w w:val="100"/>
                <w:sz w:val="12"/>
              </w:rPr>
              <w:t>-</w:t>
            </w:r>
          </w:p>
        </w:tc>
        <w:tc>
          <w:tcPr>
            <w:tcW w:w="1091" w:type="dxa"/>
          </w:tcPr>
          <w:p>
            <w:pPr>
              <w:pStyle w:val="TableParagraph"/>
              <w:spacing w:before="5"/>
              <w:ind w:right="8"/>
              <w:jc w:val="center"/>
              <w:rPr>
                <w:rFonts w:ascii="Times New Roman"/>
                <w:sz w:val="12"/>
              </w:rPr>
            </w:pPr>
            <w:r>
              <w:rPr>
                <w:rFonts w:ascii="Times New Roman"/>
                <w:w w:val="100"/>
                <w:sz w:val="12"/>
              </w:rPr>
              <w:t>-</w:t>
            </w:r>
          </w:p>
        </w:tc>
        <w:tc>
          <w:tcPr>
            <w:tcW w:w="804" w:type="dxa"/>
          </w:tcPr>
          <w:p>
            <w:pPr>
              <w:pStyle w:val="TableParagraph"/>
              <w:spacing w:before="5"/>
              <w:ind w:left="510"/>
              <w:jc w:val="left"/>
              <w:rPr>
                <w:rFonts w:ascii="Times New Roman"/>
                <w:sz w:val="12"/>
              </w:rPr>
            </w:pPr>
            <w:r>
              <w:rPr>
                <w:rFonts w:ascii="Times New Roman"/>
                <w:w w:val="100"/>
                <w:sz w:val="12"/>
              </w:rPr>
              <w:t>-</w:t>
            </w:r>
          </w:p>
        </w:tc>
        <w:tc>
          <w:tcPr>
            <w:tcW w:w="897" w:type="dxa"/>
            <w:tcBorders>
              <w:right w:val="single" w:sz="3" w:space="0" w:color="C00000"/>
            </w:tcBorders>
          </w:tcPr>
          <w:p>
            <w:pPr>
              <w:pStyle w:val="TableParagraph"/>
              <w:spacing w:before="5"/>
              <w:ind w:right="18"/>
              <w:rPr>
                <w:rFonts w:ascii="Times New Roman"/>
                <w:sz w:val="12"/>
              </w:rPr>
            </w:pPr>
            <w:r>
              <w:rPr>
                <w:rFonts w:ascii="Times New Roman"/>
                <w:w w:val="100"/>
                <w:sz w:val="12"/>
              </w:rPr>
              <w:t>-</w:t>
            </w:r>
          </w:p>
        </w:tc>
      </w:tr>
      <w:tr>
        <w:trPr>
          <w:trHeight w:val="153" w:hRule="exact"/>
        </w:trPr>
        <w:tc>
          <w:tcPr>
            <w:tcW w:w="4205" w:type="dxa"/>
            <w:tcBorders>
              <w:left w:val="single" w:sz="3" w:space="0" w:color="C00000"/>
            </w:tcBorders>
          </w:tcPr>
          <w:p>
            <w:pPr>
              <w:pStyle w:val="TableParagraph"/>
              <w:spacing w:before="5"/>
              <w:ind w:left="19"/>
              <w:jc w:val="left"/>
              <w:rPr>
                <w:rFonts w:ascii="Times New Roman"/>
                <w:sz w:val="12"/>
              </w:rPr>
            </w:pPr>
            <w:r>
              <w:rPr>
                <w:rFonts w:ascii="Times New Roman"/>
                <w:sz w:val="12"/>
              </w:rPr>
              <w:t>- Assicurazioni</w:t>
            </w:r>
          </w:p>
        </w:tc>
        <w:tc>
          <w:tcPr>
            <w:tcW w:w="935" w:type="dxa"/>
          </w:tcPr>
          <w:p>
            <w:pPr>
              <w:pStyle w:val="TableParagraph"/>
              <w:spacing w:before="5"/>
              <w:ind w:right="136"/>
              <w:jc w:val="center"/>
              <w:rPr>
                <w:rFonts w:ascii="Times New Roman"/>
                <w:sz w:val="12"/>
              </w:rPr>
            </w:pPr>
            <w:r>
              <w:rPr>
                <w:rFonts w:ascii="Times New Roman"/>
                <w:w w:val="100"/>
                <w:sz w:val="12"/>
              </w:rPr>
              <w:t>-</w:t>
            </w:r>
          </w:p>
        </w:tc>
        <w:tc>
          <w:tcPr>
            <w:tcW w:w="1111" w:type="dxa"/>
          </w:tcPr>
          <w:p>
            <w:pPr>
              <w:pStyle w:val="TableParagraph"/>
              <w:spacing w:before="5"/>
              <w:ind w:left="29"/>
              <w:jc w:val="center"/>
              <w:rPr>
                <w:rFonts w:ascii="Times New Roman"/>
                <w:sz w:val="12"/>
              </w:rPr>
            </w:pPr>
            <w:r>
              <w:rPr>
                <w:rFonts w:ascii="Times New Roman"/>
                <w:w w:val="100"/>
                <w:sz w:val="12"/>
              </w:rPr>
              <w:t>-</w:t>
            </w:r>
          </w:p>
        </w:tc>
        <w:tc>
          <w:tcPr>
            <w:tcW w:w="1091" w:type="dxa"/>
          </w:tcPr>
          <w:p>
            <w:pPr>
              <w:pStyle w:val="TableParagraph"/>
              <w:spacing w:before="5"/>
              <w:ind w:right="8"/>
              <w:jc w:val="center"/>
              <w:rPr>
                <w:rFonts w:ascii="Times New Roman"/>
                <w:sz w:val="12"/>
              </w:rPr>
            </w:pPr>
            <w:r>
              <w:rPr>
                <w:rFonts w:ascii="Times New Roman"/>
                <w:w w:val="100"/>
                <w:sz w:val="12"/>
              </w:rPr>
              <w:t>-</w:t>
            </w:r>
          </w:p>
        </w:tc>
        <w:tc>
          <w:tcPr>
            <w:tcW w:w="804" w:type="dxa"/>
          </w:tcPr>
          <w:p>
            <w:pPr>
              <w:pStyle w:val="TableParagraph"/>
              <w:spacing w:before="5"/>
              <w:ind w:left="430"/>
              <w:jc w:val="left"/>
              <w:rPr>
                <w:rFonts w:ascii="Times New Roman"/>
                <w:sz w:val="12"/>
              </w:rPr>
            </w:pPr>
            <w:r>
              <w:rPr>
                <w:rFonts w:ascii="Times New Roman"/>
                <w:sz w:val="12"/>
              </w:rPr>
              <w:t>(12)</w:t>
            </w:r>
          </w:p>
        </w:tc>
        <w:tc>
          <w:tcPr>
            <w:tcW w:w="897" w:type="dxa"/>
            <w:tcBorders>
              <w:right w:val="single" w:sz="3" w:space="0" w:color="C00000"/>
            </w:tcBorders>
          </w:tcPr>
          <w:p>
            <w:pPr>
              <w:pStyle w:val="TableParagraph"/>
              <w:spacing w:before="5"/>
              <w:ind w:right="18"/>
              <w:rPr>
                <w:rFonts w:ascii="Times New Roman"/>
                <w:sz w:val="12"/>
              </w:rPr>
            </w:pPr>
            <w:r>
              <w:rPr>
                <w:rFonts w:ascii="Times New Roman"/>
                <w:sz w:val="12"/>
              </w:rPr>
              <w:t>(12)</w:t>
            </w:r>
          </w:p>
        </w:tc>
      </w:tr>
      <w:tr>
        <w:trPr>
          <w:trHeight w:val="147" w:hRule="exact"/>
        </w:trPr>
        <w:tc>
          <w:tcPr>
            <w:tcW w:w="4205" w:type="dxa"/>
            <w:tcBorders>
              <w:left w:val="single" w:sz="3" w:space="0" w:color="C00000"/>
              <w:bottom w:val="single" w:sz="3" w:space="0" w:color="C00000"/>
            </w:tcBorders>
          </w:tcPr>
          <w:p>
            <w:pPr>
              <w:pStyle w:val="TableParagraph"/>
              <w:spacing w:before="5"/>
              <w:ind w:left="19"/>
              <w:jc w:val="left"/>
              <w:rPr>
                <w:rFonts w:ascii="Times New Roman"/>
                <w:sz w:val="12"/>
              </w:rPr>
            </w:pPr>
            <w:r>
              <w:rPr>
                <w:rFonts w:ascii="Times New Roman"/>
                <w:sz w:val="12"/>
              </w:rPr>
              <w:t>- Tasse</w:t>
            </w:r>
          </w:p>
        </w:tc>
        <w:tc>
          <w:tcPr>
            <w:tcW w:w="935" w:type="dxa"/>
            <w:tcBorders>
              <w:bottom w:val="single" w:sz="3" w:space="0" w:color="C00000"/>
            </w:tcBorders>
          </w:tcPr>
          <w:p>
            <w:pPr>
              <w:pStyle w:val="TableParagraph"/>
              <w:spacing w:before="5"/>
              <w:ind w:right="136"/>
              <w:jc w:val="center"/>
              <w:rPr>
                <w:rFonts w:ascii="Times New Roman"/>
                <w:sz w:val="12"/>
              </w:rPr>
            </w:pPr>
            <w:r>
              <w:rPr>
                <w:rFonts w:ascii="Times New Roman"/>
                <w:w w:val="100"/>
                <w:sz w:val="12"/>
              </w:rPr>
              <w:t>-</w:t>
            </w:r>
          </w:p>
        </w:tc>
        <w:tc>
          <w:tcPr>
            <w:tcW w:w="1111" w:type="dxa"/>
            <w:tcBorders>
              <w:bottom w:val="single" w:sz="3" w:space="0" w:color="C00000"/>
            </w:tcBorders>
          </w:tcPr>
          <w:p>
            <w:pPr>
              <w:pStyle w:val="TableParagraph"/>
              <w:spacing w:before="5"/>
              <w:ind w:left="29"/>
              <w:jc w:val="center"/>
              <w:rPr>
                <w:rFonts w:ascii="Times New Roman"/>
                <w:sz w:val="12"/>
              </w:rPr>
            </w:pPr>
            <w:r>
              <w:rPr>
                <w:rFonts w:ascii="Times New Roman"/>
                <w:w w:val="100"/>
                <w:sz w:val="12"/>
              </w:rPr>
              <w:t>-</w:t>
            </w:r>
          </w:p>
        </w:tc>
        <w:tc>
          <w:tcPr>
            <w:tcW w:w="1091" w:type="dxa"/>
            <w:tcBorders>
              <w:bottom w:val="single" w:sz="3" w:space="0" w:color="C00000"/>
            </w:tcBorders>
          </w:tcPr>
          <w:p>
            <w:pPr>
              <w:pStyle w:val="TableParagraph"/>
              <w:spacing w:before="5"/>
              <w:ind w:left="328" w:right="329"/>
              <w:jc w:val="center"/>
              <w:rPr>
                <w:rFonts w:ascii="Times New Roman"/>
                <w:sz w:val="12"/>
              </w:rPr>
            </w:pPr>
            <w:r>
              <w:rPr>
                <w:rFonts w:ascii="Times New Roman"/>
                <w:sz w:val="12"/>
              </w:rPr>
              <w:t>(7)</w:t>
            </w:r>
          </w:p>
        </w:tc>
        <w:tc>
          <w:tcPr>
            <w:tcW w:w="804" w:type="dxa"/>
            <w:tcBorders>
              <w:bottom w:val="single" w:sz="3" w:space="0" w:color="C00000"/>
            </w:tcBorders>
          </w:tcPr>
          <w:p>
            <w:pPr>
              <w:pStyle w:val="TableParagraph"/>
              <w:spacing w:before="5"/>
              <w:ind w:left="430"/>
              <w:jc w:val="left"/>
              <w:rPr>
                <w:rFonts w:ascii="Times New Roman"/>
                <w:sz w:val="12"/>
              </w:rPr>
            </w:pPr>
            <w:r>
              <w:rPr>
                <w:rFonts w:ascii="Times New Roman"/>
                <w:sz w:val="12"/>
              </w:rPr>
              <w:t>(65)</w:t>
            </w:r>
          </w:p>
        </w:tc>
        <w:tc>
          <w:tcPr>
            <w:tcW w:w="897" w:type="dxa"/>
            <w:tcBorders>
              <w:bottom w:val="single" w:sz="3" w:space="0" w:color="C00000"/>
              <w:right w:val="single" w:sz="3" w:space="0" w:color="C00000"/>
            </w:tcBorders>
          </w:tcPr>
          <w:p>
            <w:pPr>
              <w:pStyle w:val="TableParagraph"/>
              <w:spacing w:before="5"/>
              <w:ind w:right="18"/>
              <w:rPr>
                <w:rFonts w:ascii="Times New Roman"/>
                <w:sz w:val="12"/>
              </w:rPr>
            </w:pPr>
            <w:r>
              <w:rPr>
                <w:rFonts w:ascii="Times New Roman"/>
                <w:sz w:val="12"/>
              </w:rPr>
              <w:t>(72)</w:t>
            </w:r>
          </w:p>
        </w:tc>
      </w:tr>
      <w:tr>
        <w:trPr>
          <w:trHeight w:val="159" w:hRule="exact"/>
        </w:trPr>
        <w:tc>
          <w:tcPr>
            <w:tcW w:w="4205" w:type="dxa"/>
            <w:tcBorders>
              <w:top w:val="single" w:sz="3" w:space="0" w:color="C00000"/>
            </w:tcBorders>
          </w:tcPr>
          <w:p>
            <w:pPr>
              <w:pStyle w:val="TableParagraph"/>
              <w:spacing w:before="8"/>
              <w:ind w:left="19"/>
              <w:jc w:val="left"/>
              <w:rPr>
                <w:rFonts w:ascii="Times New Roman"/>
                <w:sz w:val="12"/>
              </w:rPr>
            </w:pPr>
            <w:r>
              <w:rPr>
                <w:rFonts w:ascii="Times New Roman"/>
                <w:sz w:val="12"/>
              </w:rPr>
              <w:t>- Spese di giustizia (20%)</w:t>
            </w:r>
          </w:p>
        </w:tc>
        <w:tc>
          <w:tcPr>
            <w:tcW w:w="935" w:type="dxa"/>
            <w:tcBorders>
              <w:top w:val="single" w:sz="3" w:space="0" w:color="C00000"/>
            </w:tcBorders>
          </w:tcPr>
          <w:p>
            <w:pPr>
              <w:pStyle w:val="TableParagraph"/>
              <w:spacing w:before="8"/>
              <w:ind w:right="136"/>
              <w:jc w:val="center"/>
              <w:rPr>
                <w:rFonts w:ascii="Times New Roman"/>
                <w:sz w:val="12"/>
              </w:rPr>
            </w:pPr>
            <w:r>
              <w:rPr>
                <w:rFonts w:ascii="Times New Roman"/>
                <w:w w:val="100"/>
                <w:sz w:val="12"/>
              </w:rPr>
              <w:t>-</w:t>
            </w:r>
          </w:p>
        </w:tc>
        <w:tc>
          <w:tcPr>
            <w:tcW w:w="1111" w:type="dxa"/>
            <w:tcBorders>
              <w:top w:val="single" w:sz="3" w:space="0" w:color="C00000"/>
            </w:tcBorders>
          </w:tcPr>
          <w:p>
            <w:pPr>
              <w:pStyle w:val="TableParagraph"/>
              <w:spacing w:before="8"/>
              <w:ind w:left="357" w:right="321"/>
              <w:jc w:val="center"/>
              <w:rPr>
                <w:rFonts w:ascii="Times New Roman"/>
                <w:sz w:val="12"/>
              </w:rPr>
            </w:pPr>
            <w:r>
              <w:rPr>
                <w:rFonts w:ascii="Times New Roman"/>
                <w:sz w:val="12"/>
              </w:rPr>
              <w:t>(521)</w:t>
            </w:r>
          </w:p>
        </w:tc>
        <w:tc>
          <w:tcPr>
            <w:tcW w:w="1091" w:type="dxa"/>
            <w:tcBorders>
              <w:top w:val="single" w:sz="3" w:space="0" w:color="C00000"/>
            </w:tcBorders>
          </w:tcPr>
          <w:p>
            <w:pPr>
              <w:pStyle w:val="TableParagraph"/>
              <w:spacing w:before="8"/>
              <w:ind w:right="8"/>
              <w:jc w:val="center"/>
              <w:rPr>
                <w:rFonts w:ascii="Times New Roman"/>
                <w:sz w:val="12"/>
              </w:rPr>
            </w:pPr>
            <w:r>
              <w:rPr>
                <w:rFonts w:ascii="Times New Roman"/>
                <w:w w:val="100"/>
                <w:sz w:val="12"/>
              </w:rPr>
              <w:t>-</w:t>
            </w:r>
          </w:p>
        </w:tc>
        <w:tc>
          <w:tcPr>
            <w:tcW w:w="804" w:type="dxa"/>
            <w:tcBorders>
              <w:top w:val="single" w:sz="3" w:space="0" w:color="C00000"/>
            </w:tcBorders>
          </w:tcPr>
          <w:p>
            <w:pPr>
              <w:pStyle w:val="TableParagraph"/>
              <w:spacing w:before="8"/>
              <w:ind w:left="510"/>
              <w:jc w:val="left"/>
              <w:rPr>
                <w:rFonts w:ascii="Times New Roman"/>
                <w:sz w:val="12"/>
              </w:rPr>
            </w:pPr>
            <w:r>
              <w:rPr>
                <w:rFonts w:ascii="Times New Roman"/>
                <w:w w:val="100"/>
                <w:sz w:val="12"/>
              </w:rPr>
              <w:t>-</w:t>
            </w:r>
          </w:p>
        </w:tc>
        <w:tc>
          <w:tcPr>
            <w:tcW w:w="897" w:type="dxa"/>
            <w:tcBorders>
              <w:top w:val="single" w:sz="3" w:space="0" w:color="C00000"/>
            </w:tcBorders>
          </w:tcPr>
          <w:p>
            <w:pPr>
              <w:pStyle w:val="TableParagraph"/>
              <w:spacing w:before="8"/>
              <w:ind w:right="21"/>
              <w:rPr>
                <w:rFonts w:ascii="Times New Roman"/>
                <w:sz w:val="12"/>
              </w:rPr>
            </w:pPr>
            <w:r>
              <w:rPr>
                <w:rFonts w:ascii="Times New Roman"/>
                <w:sz w:val="12"/>
              </w:rPr>
              <w:t>(521)</w:t>
            </w:r>
          </w:p>
        </w:tc>
      </w:tr>
      <w:tr>
        <w:trPr>
          <w:trHeight w:val="153" w:hRule="exact"/>
        </w:trPr>
        <w:tc>
          <w:tcPr>
            <w:tcW w:w="4205" w:type="dxa"/>
          </w:tcPr>
          <w:p>
            <w:pPr>
              <w:pStyle w:val="TableParagraph"/>
              <w:spacing w:before="5"/>
              <w:ind w:left="19"/>
              <w:jc w:val="left"/>
              <w:rPr>
                <w:rFonts w:ascii="Times New Roman"/>
                <w:sz w:val="12"/>
              </w:rPr>
            </w:pPr>
            <w:r>
              <w:rPr>
                <w:rFonts w:ascii="Times New Roman"/>
                <w:sz w:val="12"/>
              </w:rPr>
              <w:t>- Acconti professionisti</w:t>
            </w:r>
          </w:p>
        </w:tc>
        <w:tc>
          <w:tcPr>
            <w:tcW w:w="935" w:type="dxa"/>
          </w:tcPr>
          <w:p>
            <w:pPr>
              <w:pStyle w:val="TableParagraph"/>
              <w:spacing w:before="5"/>
              <w:ind w:left="285"/>
              <w:jc w:val="left"/>
              <w:rPr>
                <w:rFonts w:ascii="Times New Roman"/>
                <w:i/>
                <w:sz w:val="12"/>
              </w:rPr>
            </w:pPr>
            <w:r>
              <w:rPr>
                <w:rFonts w:ascii="Times New Roman"/>
                <w:i/>
                <w:sz w:val="12"/>
              </w:rPr>
              <w:t>(60)</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left="321" w:right="342"/>
              <w:jc w:val="center"/>
              <w:rPr>
                <w:rFonts w:ascii="Times New Roman"/>
                <w:i/>
                <w:sz w:val="12"/>
              </w:rPr>
            </w:pPr>
            <w:r>
              <w:rPr>
                <w:rFonts w:ascii="Times New Roman"/>
                <w:i/>
                <w:sz w:val="12"/>
              </w:rPr>
              <w:t>(14)</w:t>
            </w:r>
          </w:p>
        </w:tc>
        <w:tc>
          <w:tcPr>
            <w:tcW w:w="804" w:type="dxa"/>
          </w:tcPr>
          <w:p>
            <w:pPr>
              <w:pStyle w:val="TableParagraph"/>
              <w:spacing w:before="5"/>
              <w:ind w:left="390"/>
              <w:jc w:val="left"/>
              <w:rPr>
                <w:rFonts w:ascii="Times New Roman"/>
                <w:i/>
                <w:sz w:val="12"/>
              </w:rPr>
            </w:pPr>
            <w:r>
              <w:rPr>
                <w:rFonts w:ascii="Times New Roman"/>
                <w:i/>
                <w:sz w:val="12"/>
              </w:rPr>
              <w:t>(172)</w:t>
            </w:r>
          </w:p>
        </w:tc>
        <w:tc>
          <w:tcPr>
            <w:tcW w:w="897" w:type="dxa"/>
          </w:tcPr>
          <w:p>
            <w:pPr>
              <w:pStyle w:val="TableParagraph"/>
              <w:spacing w:before="5"/>
              <w:ind w:right="21"/>
              <w:rPr>
                <w:rFonts w:ascii="Times New Roman"/>
                <w:sz w:val="12"/>
              </w:rPr>
            </w:pPr>
            <w:r>
              <w:rPr>
                <w:rFonts w:ascii="Times New Roman"/>
                <w:sz w:val="12"/>
              </w:rPr>
              <w:t>(246)</w:t>
            </w:r>
          </w:p>
        </w:tc>
      </w:tr>
      <w:tr>
        <w:trPr>
          <w:trHeight w:val="153" w:hRule="exact"/>
        </w:trPr>
        <w:tc>
          <w:tcPr>
            <w:tcW w:w="4205" w:type="dxa"/>
          </w:tcPr>
          <w:p>
            <w:pPr>
              <w:pStyle w:val="TableParagraph"/>
              <w:spacing w:before="29"/>
              <w:ind w:left="1368" w:right="1717"/>
              <w:jc w:val="center"/>
              <w:rPr>
                <w:rFonts w:ascii="Times New Roman"/>
                <w:i/>
                <w:sz w:val="8"/>
              </w:rPr>
            </w:pPr>
            <w:r>
              <w:rPr>
                <w:rFonts w:ascii="Times New Roman"/>
                <w:i/>
                <w:w w:val="110"/>
                <w:sz w:val="8"/>
              </w:rPr>
              <w:t>Attestatori</w:t>
            </w:r>
          </w:p>
        </w:tc>
        <w:tc>
          <w:tcPr>
            <w:tcW w:w="935" w:type="dxa"/>
          </w:tcPr>
          <w:p>
            <w:pPr>
              <w:pStyle w:val="TableParagraph"/>
              <w:spacing w:before="5"/>
              <w:ind w:left="285"/>
              <w:jc w:val="left"/>
              <w:rPr>
                <w:rFonts w:ascii="Times New Roman"/>
                <w:i/>
                <w:sz w:val="12"/>
              </w:rPr>
            </w:pPr>
            <w:r>
              <w:rPr>
                <w:rFonts w:ascii="Times New Roman"/>
                <w:i/>
                <w:sz w:val="12"/>
              </w:rPr>
              <w:t>(20)</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23"/>
              <w:jc w:val="left"/>
              <w:rPr>
                <w:rFonts w:ascii="Times New Roman"/>
                <w:i/>
                <w:sz w:val="12"/>
              </w:rPr>
            </w:pPr>
            <w:r>
              <w:rPr>
                <w:rFonts w:ascii="Times New Roman"/>
                <w:i/>
                <w:sz w:val="12"/>
              </w:rPr>
              <w:t>(51)</w:t>
            </w:r>
          </w:p>
        </w:tc>
        <w:tc>
          <w:tcPr>
            <w:tcW w:w="897" w:type="dxa"/>
          </w:tcPr>
          <w:p>
            <w:pPr>
              <w:pStyle w:val="TableParagraph"/>
              <w:spacing w:before="5"/>
              <w:ind w:right="21"/>
              <w:rPr>
                <w:rFonts w:ascii="Times New Roman"/>
                <w:sz w:val="12"/>
              </w:rPr>
            </w:pPr>
            <w:r>
              <w:rPr>
                <w:rFonts w:ascii="Times New Roman"/>
                <w:sz w:val="12"/>
              </w:rPr>
              <w:t>(71)</w:t>
            </w:r>
          </w:p>
        </w:tc>
      </w:tr>
      <w:tr>
        <w:trPr>
          <w:trHeight w:val="153" w:hRule="exact"/>
        </w:trPr>
        <w:tc>
          <w:tcPr>
            <w:tcW w:w="4205" w:type="dxa"/>
          </w:tcPr>
          <w:p>
            <w:pPr>
              <w:pStyle w:val="TableParagraph"/>
              <w:spacing w:before="29"/>
              <w:ind w:left="1274" w:right="1717"/>
              <w:jc w:val="center"/>
              <w:rPr>
                <w:rFonts w:ascii="Times New Roman"/>
                <w:i/>
                <w:sz w:val="8"/>
              </w:rPr>
            </w:pPr>
            <w:r>
              <w:rPr>
                <w:rFonts w:ascii="Times New Roman"/>
                <w:i/>
                <w:w w:val="110"/>
                <w:sz w:val="8"/>
              </w:rPr>
              <w:t>Deloitte</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23"/>
              <w:jc w:val="left"/>
              <w:rPr>
                <w:rFonts w:ascii="Times New Roman"/>
                <w:i/>
                <w:sz w:val="12"/>
              </w:rPr>
            </w:pPr>
            <w:r>
              <w:rPr>
                <w:rFonts w:ascii="Times New Roman"/>
                <w:i/>
                <w:sz w:val="12"/>
              </w:rPr>
              <w:t>(50)</w:t>
            </w:r>
          </w:p>
        </w:tc>
        <w:tc>
          <w:tcPr>
            <w:tcW w:w="897" w:type="dxa"/>
          </w:tcPr>
          <w:p>
            <w:pPr>
              <w:pStyle w:val="TableParagraph"/>
              <w:spacing w:before="5"/>
              <w:ind w:right="21"/>
              <w:rPr>
                <w:rFonts w:ascii="Times New Roman"/>
                <w:sz w:val="12"/>
              </w:rPr>
            </w:pPr>
            <w:r>
              <w:rPr>
                <w:rFonts w:ascii="Times New Roman"/>
                <w:sz w:val="12"/>
              </w:rPr>
              <w:t>(50)</w:t>
            </w:r>
          </w:p>
        </w:tc>
      </w:tr>
      <w:tr>
        <w:trPr>
          <w:trHeight w:val="153" w:hRule="exact"/>
        </w:trPr>
        <w:tc>
          <w:tcPr>
            <w:tcW w:w="4205" w:type="dxa"/>
          </w:tcPr>
          <w:p>
            <w:pPr>
              <w:pStyle w:val="TableParagraph"/>
              <w:spacing w:before="29"/>
              <w:ind w:left="1154" w:right="1717"/>
              <w:jc w:val="center"/>
              <w:rPr>
                <w:rFonts w:ascii="Times New Roman"/>
                <w:i/>
                <w:sz w:val="8"/>
              </w:rPr>
            </w:pPr>
            <w:r>
              <w:rPr>
                <w:rFonts w:ascii="Times New Roman"/>
                <w:i/>
                <w:w w:val="110"/>
                <w:sz w:val="8"/>
              </w:rPr>
              <w:t>GOP</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23"/>
              <w:jc w:val="left"/>
              <w:rPr>
                <w:rFonts w:ascii="Times New Roman"/>
                <w:i/>
                <w:sz w:val="12"/>
              </w:rPr>
            </w:pPr>
            <w:r>
              <w:rPr>
                <w:rFonts w:ascii="Times New Roman"/>
                <w:i/>
                <w:sz w:val="12"/>
              </w:rPr>
              <w:t>(50)</w:t>
            </w:r>
          </w:p>
        </w:tc>
        <w:tc>
          <w:tcPr>
            <w:tcW w:w="897" w:type="dxa"/>
          </w:tcPr>
          <w:p>
            <w:pPr>
              <w:pStyle w:val="TableParagraph"/>
              <w:spacing w:before="5"/>
              <w:ind w:right="21"/>
              <w:rPr>
                <w:rFonts w:ascii="Times New Roman"/>
                <w:sz w:val="12"/>
              </w:rPr>
            </w:pPr>
            <w:r>
              <w:rPr>
                <w:rFonts w:ascii="Times New Roman"/>
                <w:sz w:val="12"/>
              </w:rPr>
              <w:t>(50)</w:t>
            </w:r>
          </w:p>
        </w:tc>
      </w:tr>
      <w:tr>
        <w:trPr>
          <w:trHeight w:val="153" w:hRule="exact"/>
        </w:trPr>
        <w:tc>
          <w:tcPr>
            <w:tcW w:w="4205" w:type="dxa"/>
          </w:tcPr>
          <w:p>
            <w:pPr>
              <w:pStyle w:val="TableParagraph"/>
              <w:spacing w:before="29"/>
              <w:ind w:left="1394" w:right="1717"/>
              <w:jc w:val="center"/>
              <w:rPr>
                <w:rFonts w:ascii="Times New Roman"/>
                <w:i/>
                <w:sz w:val="8"/>
              </w:rPr>
            </w:pPr>
            <w:r>
              <w:rPr>
                <w:rFonts w:ascii="Times New Roman"/>
                <w:i/>
                <w:w w:val="110"/>
                <w:sz w:val="8"/>
              </w:rPr>
              <w:t>Chiaruttini</w:t>
            </w:r>
          </w:p>
        </w:tc>
        <w:tc>
          <w:tcPr>
            <w:tcW w:w="935" w:type="dxa"/>
          </w:tcPr>
          <w:p>
            <w:pPr>
              <w:pStyle w:val="TableParagraph"/>
              <w:spacing w:before="5"/>
              <w:ind w:right="163"/>
              <w:jc w:val="center"/>
              <w:rPr>
                <w:rFonts w:ascii="Times New Roman"/>
                <w:i/>
                <w:sz w:val="12"/>
              </w:rPr>
            </w:pPr>
            <w:r>
              <w:rPr>
                <w:rFonts w:ascii="Times New Roman"/>
                <w:i/>
                <w:w w:val="100"/>
                <w:sz w:val="12"/>
              </w:rPr>
              <w:t>-</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left="321" w:right="342"/>
              <w:jc w:val="center"/>
              <w:rPr>
                <w:rFonts w:ascii="Times New Roman"/>
                <w:i/>
                <w:sz w:val="12"/>
              </w:rPr>
            </w:pPr>
            <w:r>
              <w:rPr>
                <w:rFonts w:ascii="Times New Roman"/>
                <w:i/>
                <w:sz w:val="12"/>
              </w:rPr>
              <w:t>(14)</w:t>
            </w:r>
          </w:p>
        </w:tc>
        <w:tc>
          <w:tcPr>
            <w:tcW w:w="804" w:type="dxa"/>
          </w:tcPr>
          <w:p>
            <w:pPr>
              <w:pStyle w:val="TableParagraph"/>
              <w:spacing w:before="5"/>
              <w:ind w:left="423"/>
              <w:jc w:val="left"/>
              <w:rPr>
                <w:rFonts w:ascii="Times New Roman"/>
                <w:i/>
                <w:sz w:val="12"/>
              </w:rPr>
            </w:pPr>
            <w:r>
              <w:rPr>
                <w:rFonts w:ascii="Times New Roman"/>
                <w:i/>
                <w:sz w:val="12"/>
              </w:rPr>
              <w:t>(11)</w:t>
            </w:r>
          </w:p>
        </w:tc>
        <w:tc>
          <w:tcPr>
            <w:tcW w:w="897" w:type="dxa"/>
          </w:tcPr>
          <w:p>
            <w:pPr>
              <w:pStyle w:val="TableParagraph"/>
              <w:spacing w:before="5"/>
              <w:ind w:right="21"/>
              <w:rPr>
                <w:rFonts w:ascii="Times New Roman"/>
                <w:sz w:val="12"/>
              </w:rPr>
            </w:pPr>
            <w:r>
              <w:rPr>
                <w:rFonts w:ascii="Times New Roman"/>
                <w:sz w:val="12"/>
              </w:rPr>
              <w:t>(25)</w:t>
            </w:r>
          </w:p>
        </w:tc>
      </w:tr>
      <w:tr>
        <w:trPr>
          <w:trHeight w:val="144" w:hRule="exact"/>
        </w:trPr>
        <w:tc>
          <w:tcPr>
            <w:tcW w:w="4205" w:type="dxa"/>
          </w:tcPr>
          <w:p>
            <w:pPr>
              <w:pStyle w:val="TableParagraph"/>
              <w:spacing w:before="29"/>
              <w:ind w:left="1633" w:right="1717"/>
              <w:jc w:val="center"/>
              <w:rPr>
                <w:rFonts w:ascii="Times New Roman"/>
                <w:i/>
                <w:sz w:val="8"/>
              </w:rPr>
            </w:pPr>
            <w:r>
              <w:rPr>
                <w:rFonts w:ascii="Times New Roman"/>
                <w:i/>
                <w:w w:val="110"/>
                <w:sz w:val="8"/>
              </w:rPr>
              <w:t>Cattaneo/Braccio</w:t>
            </w:r>
          </w:p>
        </w:tc>
        <w:tc>
          <w:tcPr>
            <w:tcW w:w="935" w:type="dxa"/>
          </w:tcPr>
          <w:p>
            <w:pPr>
              <w:pStyle w:val="TableParagraph"/>
              <w:spacing w:before="5"/>
              <w:ind w:left="285"/>
              <w:jc w:val="left"/>
              <w:rPr>
                <w:rFonts w:ascii="Times New Roman"/>
                <w:i/>
                <w:sz w:val="12"/>
              </w:rPr>
            </w:pPr>
            <w:r>
              <w:rPr>
                <w:rFonts w:ascii="Times New Roman"/>
                <w:i/>
                <w:sz w:val="12"/>
              </w:rPr>
              <w:t>(40)</w:t>
            </w:r>
          </w:p>
        </w:tc>
        <w:tc>
          <w:tcPr>
            <w:tcW w:w="1111" w:type="dxa"/>
          </w:tcPr>
          <w:p>
            <w:pPr>
              <w:pStyle w:val="TableParagraph"/>
              <w:spacing w:before="5"/>
              <w:ind w:left="16"/>
              <w:jc w:val="center"/>
              <w:rPr>
                <w:rFonts w:ascii="Times New Roman"/>
                <w:i/>
                <w:sz w:val="12"/>
              </w:rPr>
            </w:pPr>
            <w:r>
              <w:rPr>
                <w:rFonts w:ascii="Times New Roman"/>
                <w:i/>
                <w:w w:val="100"/>
                <w:sz w:val="12"/>
              </w:rPr>
              <w:t>-</w:t>
            </w:r>
          </w:p>
        </w:tc>
        <w:tc>
          <w:tcPr>
            <w:tcW w:w="1091" w:type="dxa"/>
          </w:tcPr>
          <w:p>
            <w:pPr>
              <w:pStyle w:val="TableParagraph"/>
              <w:spacing w:before="5"/>
              <w:ind w:right="21"/>
              <w:jc w:val="center"/>
              <w:rPr>
                <w:rFonts w:ascii="Times New Roman"/>
                <w:i/>
                <w:sz w:val="12"/>
              </w:rPr>
            </w:pPr>
            <w:r>
              <w:rPr>
                <w:rFonts w:ascii="Times New Roman"/>
                <w:i/>
                <w:w w:val="100"/>
                <w:sz w:val="12"/>
              </w:rPr>
              <w:t>-</w:t>
            </w:r>
          </w:p>
        </w:tc>
        <w:tc>
          <w:tcPr>
            <w:tcW w:w="804" w:type="dxa"/>
          </w:tcPr>
          <w:p>
            <w:pPr>
              <w:pStyle w:val="TableParagraph"/>
              <w:spacing w:before="5"/>
              <w:ind w:left="423"/>
              <w:jc w:val="left"/>
              <w:rPr>
                <w:rFonts w:ascii="Times New Roman"/>
                <w:i/>
                <w:sz w:val="12"/>
              </w:rPr>
            </w:pPr>
            <w:r>
              <w:rPr>
                <w:rFonts w:ascii="Times New Roman"/>
                <w:i/>
                <w:sz w:val="12"/>
              </w:rPr>
              <w:t>(10)</w:t>
            </w:r>
          </w:p>
        </w:tc>
        <w:tc>
          <w:tcPr>
            <w:tcW w:w="897" w:type="dxa"/>
          </w:tcPr>
          <w:p>
            <w:pPr>
              <w:pStyle w:val="TableParagraph"/>
              <w:spacing w:before="5"/>
              <w:ind w:right="21"/>
              <w:rPr>
                <w:rFonts w:ascii="Times New Roman"/>
                <w:sz w:val="12"/>
              </w:rPr>
            </w:pPr>
            <w:r>
              <w:rPr>
                <w:rFonts w:ascii="Times New Roman"/>
                <w:sz w:val="12"/>
              </w:rPr>
              <w:t>(50)</w:t>
            </w:r>
          </w:p>
        </w:tc>
      </w:tr>
      <w:tr>
        <w:trPr>
          <w:trHeight w:val="160" w:hRule="exact"/>
        </w:trPr>
        <w:tc>
          <w:tcPr>
            <w:tcW w:w="4205" w:type="dxa"/>
            <w:shd w:val="clear" w:color="auto" w:fill="878A8D"/>
          </w:tcPr>
          <w:p>
            <w:pPr>
              <w:pStyle w:val="TableParagraph"/>
              <w:spacing w:before="14"/>
              <w:ind w:left="19"/>
              <w:jc w:val="left"/>
              <w:rPr>
                <w:rFonts w:ascii="Times New Roman"/>
                <w:b/>
                <w:sz w:val="12"/>
              </w:rPr>
            </w:pPr>
            <w:r>
              <w:rPr>
                <w:rFonts w:ascii="Times New Roman"/>
                <w:b/>
                <w:color w:val="FFFFFF"/>
                <w:sz w:val="12"/>
              </w:rPr>
              <w:t>Saldo Finale - 31/07/2018</w:t>
            </w:r>
          </w:p>
        </w:tc>
        <w:tc>
          <w:tcPr>
            <w:tcW w:w="935" w:type="dxa"/>
            <w:shd w:val="clear" w:color="auto" w:fill="878A8D"/>
          </w:tcPr>
          <w:p>
            <w:pPr>
              <w:pStyle w:val="TableParagraph"/>
              <w:spacing w:before="14"/>
              <w:ind w:left="305"/>
              <w:jc w:val="left"/>
              <w:rPr>
                <w:rFonts w:ascii="Times New Roman"/>
                <w:b/>
                <w:sz w:val="12"/>
              </w:rPr>
            </w:pPr>
            <w:r>
              <w:rPr>
                <w:rFonts w:ascii="Times New Roman"/>
                <w:b/>
                <w:color w:val="FFFFFF"/>
                <w:sz w:val="12"/>
              </w:rPr>
              <w:t>646</w:t>
            </w:r>
          </w:p>
        </w:tc>
        <w:tc>
          <w:tcPr>
            <w:tcW w:w="1111" w:type="dxa"/>
            <w:shd w:val="clear" w:color="auto" w:fill="878A8D"/>
          </w:tcPr>
          <w:p>
            <w:pPr>
              <w:pStyle w:val="TableParagraph"/>
              <w:spacing w:before="14"/>
              <w:ind w:left="356" w:right="327"/>
              <w:jc w:val="center"/>
              <w:rPr>
                <w:rFonts w:ascii="Times New Roman"/>
                <w:b/>
                <w:sz w:val="12"/>
              </w:rPr>
            </w:pPr>
            <w:r>
              <w:rPr>
                <w:rFonts w:ascii="Times New Roman"/>
                <w:b/>
                <w:color w:val="FFFFFF"/>
                <w:sz w:val="12"/>
              </w:rPr>
              <w:t>12</w:t>
            </w:r>
          </w:p>
        </w:tc>
        <w:tc>
          <w:tcPr>
            <w:tcW w:w="1091" w:type="dxa"/>
            <w:shd w:val="clear" w:color="auto" w:fill="878A8D"/>
          </w:tcPr>
          <w:p>
            <w:pPr>
              <w:pStyle w:val="TableParagraph"/>
              <w:spacing w:before="14"/>
              <w:ind w:right="1"/>
              <w:jc w:val="center"/>
              <w:rPr>
                <w:rFonts w:ascii="Times New Roman"/>
                <w:b/>
                <w:sz w:val="12"/>
              </w:rPr>
            </w:pPr>
            <w:r>
              <w:rPr>
                <w:rFonts w:ascii="Times New Roman"/>
                <w:b/>
                <w:color w:val="FFFFFF"/>
                <w:w w:val="100"/>
                <w:sz w:val="12"/>
              </w:rPr>
              <w:t>5</w:t>
            </w:r>
          </w:p>
        </w:tc>
        <w:tc>
          <w:tcPr>
            <w:tcW w:w="804" w:type="dxa"/>
            <w:shd w:val="clear" w:color="auto" w:fill="878A8D"/>
          </w:tcPr>
          <w:p>
            <w:pPr>
              <w:pStyle w:val="TableParagraph"/>
              <w:spacing w:before="14"/>
              <w:ind w:left="463"/>
              <w:jc w:val="left"/>
              <w:rPr>
                <w:rFonts w:ascii="Times New Roman"/>
                <w:b/>
                <w:sz w:val="12"/>
              </w:rPr>
            </w:pPr>
            <w:r>
              <w:rPr>
                <w:rFonts w:ascii="Times New Roman"/>
                <w:b/>
                <w:color w:val="FFFFFF"/>
                <w:sz w:val="12"/>
              </w:rPr>
              <w:t>(0)</w:t>
            </w:r>
          </w:p>
        </w:tc>
        <w:tc>
          <w:tcPr>
            <w:tcW w:w="897" w:type="dxa"/>
          </w:tcPr>
          <w:p>
            <w:pPr>
              <w:pStyle w:val="TableParagraph"/>
              <w:spacing w:before="14"/>
              <w:ind w:right="-4"/>
              <w:rPr>
                <w:rFonts w:ascii="Times New Roman"/>
                <w:b/>
                <w:sz w:val="12"/>
              </w:rPr>
            </w:pPr>
            <w:r>
              <w:rPr>
                <w:rFonts w:ascii="Times New Roman"/>
                <w:b/>
                <w:color w:val="FFFFFF"/>
                <w:w w:val="100"/>
                <w:sz w:val="12"/>
                <w:shd w:fill="878A8D" w:color="auto" w:val="clear"/>
              </w:rPr>
              <w:t>      </w:t>
            </w:r>
            <w:r>
              <w:rPr>
                <w:rFonts w:ascii="Times New Roman"/>
                <w:b/>
                <w:color w:val="FFFFFF"/>
                <w:sz w:val="12"/>
                <w:shd w:fill="878A8D" w:color="auto" w:val="clear"/>
              </w:rPr>
              <w:t>(1.229) </w:t>
            </w:r>
          </w:p>
        </w:tc>
      </w:tr>
    </w:tbl>
    <w:p>
      <w:pPr>
        <w:pStyle w:val="BodyText"/>
        <w:spacing w:before="4"/>
        <w:rPr>
          <w:sz w:val="15"/>
        </w:rPr>
      </w:pPr>
    </w:p>
    <w:p>
      <w:pPr>
        <w:pStyle w:val="BodyText"/>
        <w:spacing w:line="480" w:lineRule="auto" w:before="101"/>
        <w:ind w:left="1418" w:right="1411"/>
        <w:jc w:val="both"/>
      </w:pPr>
      <w:r>
        <w:rPr/>
        <w:t>Nello specifico detti costi risultano principalmente dovuti ai costi del personale pari a Euro 0,9 Milioni calcolati prevedendo il costo di n. 47 unità e la collocazione in C.I.G.S. per n.18 unità. Si precisa che il trattamento di C.I.G.S ad oggi è stato autorizzato fino al 31 ottobre. La tabella seguente riporta l’evoluzione dell’organico e le assunzioni del personale previste a piano.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rPr>
          <w:sz w:val="17"/>
        </w:rPr>
      </w:pPr>
    </w:p>
    <w:tbl>
      <w:tblPr>
        <w:tblW w:w="0" w:type="auto"/>
        <w:jc w:val="left"/>
        <w:tblInd w:w="1832"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288"/>
        <w:gridCol w:w="1040"/>
        <w:gridCol w:w="1008"/>
        <w:gridCol w:w="1014"/>
        <w:gridCol w:w="906"/>
      </w:tblGrid>
      <w:tr>
        <w:trPr>
          <w:trHeight w:val="264" w:hRule="exact"/>
        </w:trPr>
        <w:tc>
          <w:tcPr>
            <w:tcW w:w="4288" w:type="dxa"/>
            <w:shd w:val="clear" w:color="auto" w:fill="9F2F33"/>
          </w:tcPr>
          <w:p>
            <w:pPr>
              <w:pStyle w:val="TableParagraph"/>
              <w:spacing w:before="17"/>
              <w:ind w:left="35"/>
              <w:jc w:val="left"/>
              <w:rPr>
                <w:rFonts w:ascii="Times New Roman" w:hAnsi="Times New Roman"/>
                <w:b/>
                <w:sz w:val="20"/>
              </w:rPr>
            </w:pPr>
            <w:r>
              <w:rPr>
                <w:rFonts w:ascii="Times New Roman" w:hAnsi="Times New Roman"/>
                <w:b/>
                <w:color w:val="FFFFFF"/>
                <w:sz w:val="20"/>
              </w:rPr>
              <w:t>Costi  del  personale (K€)</w:t>
            </w:r>
          </w:p>
        </w:tc>
        <w:tc>
          <w:tcPr>
            <w:tcW w:w="1040" w:type="dxa"/>
            <w:shd w:val="clear" w:color="auto" w:fill="9F2F33"/>
          </w:tcPr>
          <w:p>
            <w:pPr>
              <w:pStyle w:val="TableParagraph"/>
              <w:spacing w:before="17"/>
              <w:ind w:left="212"/>
              <w:jc w:val="left"/>
              <w:rPr>
                <w:rFonts w:ascii="Times New Roman"/>
                <w:b/>
                <w:sz w:val="20"/>
              </w:rPr>
            </w:pPr>
            <w:r>
              <w:rPr>
                <w:rFonts w:ascii="Times New Roman"/>
                <w:b/>
                <w:color w:val="FFFFFF"/>
                <w:sz w:val="20"/>
              </w:rPr>
              <w:t>aprile</w:t>
            </w:r>
          </w:p>
        </w:tc>
        <w:tc>
          <w:tcPr>
            <w:tcW w:w="1008" w:type="dxa"/>
            <w:shd w:val="clear" w:color="auto" w:fill="9F2F33"/>
          </w:tcPr>
          <w:p>
            <w:pPr>
              <w:pStyle w:val="TableParagraph"/>
              <w:spacing w:before="17"/>
              <w:ind w:left="108"/>
              <w:jc w:val="left"/>
              <w:rPr>
                <w:rFonts w:ascii="Times New Roman"/>
                <w:b/>
                <w:sz w:val="20"/>
              </w:rPr>
            </w:pPr>
            <w:r>
              <w:rPr>
                <w:rFonts w:ascii="Times New Roman"/>
                <w:b/>
                <w:color w:val="FFFFFF"/>
                <w:sz w:val="20"/>
              </w:rPr>
              <w:t>maggio</w:t>
            </w:r>
          </w:p>
        </w:tc>
        <w:tc>
          <w:tcPr>
            <w:tcW w:w="1014" w:type="dxa"/>
            <w:shd w:val="clear" w:color="auto" w:fill="9F2F33"/>
          </w:tcPr>
          <w:p>
            <w:pPr>
              <w:pStyle w:val="TableParagraph"/>
              <w:spacing w:before="17"/>
              <w:ind w:left="120"/>
              <w:jc w:val="left"/>
              <w:rPr>
                <w:rFonts w:ascii="Times New Roman"/>
                <w:b/>
                <w:sz w:val="20"/>
              </w:rPr>
            </w:pPr>
            <w:r>
              <w:rPr>
                <w:rFonts w:ascii="Times New Roman"/>
                <w:b/>
                <w:color w:val="FFFFFF"/>
                <w:sz w:val="20"/>
              </w:rPr>
              <w:t>giugno</w:t>
            </w:r>
          </w:p>
        </w:tc>
        <w:tc>
          <w:tcPr>
            <w:tcW w:w="906" w:type="dxa"/>
            <w:shd w:val="clear" w:color="auto" w:fill="9F2F33"/>
          </w:tcPr>
          <w:p>
            <w:pPr>
              <w:pStyle w:val="TableParagraph"/>
              <w:spacing w:before="17"/>
              <w:ind w:left="138"/>
              <w:jc w:val="left"/>
              <w:rPr>
                <w:rFonts w:ascii="Times New Roman"/>
                <w:b/>
                <w:sz w:val="20"/>
              </w:rPr>
            </w:pPr>
            <w:r>
              <w:rPr>
                <w:rFonts w:ascii="Times New Roman"/>
                <w:b/>
                <w:color w:val="FFFFFF"/>
                <w:sz w:val="20"/>
              </w:rPr>
              <w:t>luglio</w:t>
            </w:r>
          </w:p>
        </w:tc>
      </w:tr>
      <w:tr>
        <w:trPr>
          <w:trHeight w:val="267" w:hRule="exact"/>
        </w:trPr>
        <w:tc>
          <w:tcPr>
            <w:tcW w:w="4288" w:type="dxa"/>
          </w:tcPr>
          <w:p>
            <w:pPr>
              <w:pStyle w:val="TableParagraph"/>
              <w:spacing w:before="17"/>
              <w:ind w:left="35"/>
              <w:jc w:val="left"/>
              <w:rPr>
                <w:rFonts w:ascii="Times New Roman"/>
                <w:sz w:val="20"/>
              </w:rPr>
            </w:pPr>
            <w:r>
              <w:rPr>
                <w:rFonts w:ascii="Times New Roman"/>
                <w:sz w:val="20"/>
              </w:rPr>
              <w:t>Numero di persone in forza, di  cui:</w:t>
            </w:r>
          </w:p>
        </w:tc>
        <w:tc>
          <w:tcPr>
            <w:tcW w:w="1040" w:type="dxa"/>
          </w:tcPr>
          <w:p>
            <w:pPr>
              <w:pStyle w:val="TableParagraph"/>
              <w:spacing w:before="17"/>
              <w:ind w:right="106"/>
              <w:rPr>
                <w:rFonts w:ascii="Times New Roman"/>
                <w:sz w:val="20"/>
              </w:rPr>
            </w:pPr>
            <w:r>
              <w:rPr>
                <w:rFonts w:ascii="Times New Roman"/>
                <w:sz w:val="20"/>
              </w:rPr>
              <w:t>47</w:t>
            </w:r>
          </w:p>
        </w:tc>
        <w:tc>
          <w:tcPr>
            <w:tcW w:w="1008" w:type="dxa"/>
          </w:tcPr>
          <w:p>
            <w:pPr>
              <w:pStyle w:val="TableParagraph"/>
              <w:spacing w:before="17"/>
              <w:ind w:right="118"/>
              <w:rPr>
                <w:rFonts w:ascii="Times New Roman"/>
                <w:sz w:val="20"/>
              </w:rPr>
            </w:pPr>
            <w:r>
              <w:rPr>
                <w:rFonts w:ascii="Times New Roman"/>
                <w:sz w:val="20"/>
              </w:rPr>
              <w:t>47</w:t>
            </w:r>
          </w:p>
        </w:tc>
        <w:tc>
          <w:tcPr>
            <w:tcW w:w="1014" w:type="dxa"/>
          </w:tcPr>
          <w:p>
            <w:pPr>
              <w:pStyle w:val="TableParagraph"/>
              <w:spacing w:before="17"/>
              <w:ind w:right="136"/>
              <w:rPr>
                <w:rFonts w:ascii="Times New Roman"/>
                <w:sz w:val="20"/>
              </w:rPr>
            </w:pPr>
            <w:r>
              <w:rPr>
                <w:rFonts w:ascii="Times New Roman"/>
                <w:sz w:val="20"/>
              </w:rPr>
              <w:t>47</w:t>
            </w:r>
          </w:p>
        </w:tc>
        <w:tc>
          <w:tcPr>
            <w:tcW w:w="906" w:type="dxa"/>
          </w:tcPr>
          <w:p>
            <w:pPr>
              <w:pStyle w:val="TableParagraph"/>
              <w:spacing w:before="17"/>
              <w:ind w:right="45"/>
              <w:rPr>
                <w:rFonts w:ascii="Times New Roman"/>
                <w:sz w:val="20"/>
              </w:rPr>
            </w:pPr>
            <w:r>
              <w:rPr>
                <w:rFonts w:ascii="Times New Roman"/>
                <w:sz w:val="20"/>
              </w:rPr>
              <w:t>47</w:t>
            </w:r>
          </w:p>
        </w:tc>
      </w:tr>
      <w:tr>
        <w:trPr>
          <w:trHeight w:val="264" w:hRule="exact"/>
        </w:trPr>
        <w:tc>
          <w:tcPr>
            <w:tcW w:w="4288" w:type="dxa"/>
          </w:tcPr>
          <w:p>
            <w:pPr>
              <w:pStyle w:val="TableParagraph"/>
              <w:spacing w:before="14"/>
              <w:ind w:left="35"/>
              <w:jc w:val="left"/>
              <w:rPr>
                <w:rFonts w:ascii="Times New Roman"/>
                <w:sz w:val="20"/>
              </w:rPr>
            </w:pPr>
            <w:r>
              <w:rPr>
                <w:rFonts w:ascii="Times New Roman"/>
                <w:sz w:val="20"/>
              </w:rPr>
              <w:t>a) numero di persone in  CIGS</w:t>
            </w:r>
          </w:p>
        </w:tc>
        <w:tc>
          <w:tcPr>
            <w:tcW w:w="1040" w:type="dxa"/>
          </w:tcPr>
          <w:p>
            <w:pPr>
              <w:pStyle w:val="TableParagraph"/>
              <w:spacing w:before="14"/>
              <w:ind w:right="106"/>
              <w:rPr>
                <w:rFonts w:ascii="Times New Roman"/>
                <w:sz w:val="20"/>
              </w:rPr>
            </w:pPr>
            <w:r>
              <w:rPr>
                <w:rFonts w:ascii="Times New Roman"/>
                <w:sz w:val="20"/>
              </w:rPr>
              <w:t>18</w:t>
            </w:r>
          </w:p>
        </w:tc>
        <w:tc>
          <w:tcPr>
            <w:tcW w:w="1008" w:type="dxa"/>
          </w:tcPr>
          <w:p>
            <w:pPr>
              <w:pStyle w:val="TableParagraph"/>
              <w:spacing w:before="14"/>
              <w:ind w:right="118"/>
              <w:rPr>
                <w:rFonts w:ascii="Times New Roman"/>
                <w:sz w:val="20"/>
              </w:rPr>
            </w:pPr>
            <w:r>
              <w:rPr>
                <w:rFonts w:ascii="Times New Roman"/>
                <w:sz w:val="20"/>
              </w:rPr>
              <w:t>18</w:t>
            </w:r>
          </w:p>
        </w:tc>
        <w:tc>
          <w:tcPr>
            <w:tcW w:w="1014" w:type="dxa"/>
          </w:tcPr>
          <w:p>
            <w:pPr>
              <w:pStyle w:val="TableParagraph"/>
              <w:spacing w:before="14"/>
              <w:ind w:right="136"/>
              <w:rPr>
                <w:rFonts w:ascii="Times New Roman"/>
                <w:sz w:val="20"/>
              </w:rPr>
            </w:pPr>
            <w:r>
              <w:rPr>
                <w:rFonts w:ascii="Times New Roman"/>
                <w:sz w:val="20"/>
              </w:rPr>
              <w:t>18</w:t>
            </w:r>
          </w:p>
        </w:tc>
        <w:tc>
          <w:tcPr>
            <w:tcW w:w="906" w:type="dxa"/>
          </w:tcPr>
          <w:p>
            <w:pPr>
              <w:pStyle w:val="TableParagraph"/>
              <w:spacing w:before="14"/>
              <w:ind w:right="45"/>
              <w:rPr>
                <w:rFonts w:ascii="Times New Roman"/>
                <w:sz w:val="20"/>
              </w:rPr>
            </w:pPr>
            <w:r>
              <w:rPr>
                <w:rFonts w:ascii="Times New Roman"/>
                <w:sz w:val="20"/>
              </w:rPr>
              <w:t>18</w:t>
            </w:r>
          </w:p>
        </w:tc>
      </w:tr>
      <w:tr>
        <w:trPr>
          <w:trHeight w:val="264" w:hRule="exact"/>
        </w:trPr>
        <w:tc>
          <w:tcPr>
            <w:tcW w:w="4288" w:type="dxa"/>
          </w:tcPr>
          <w:p>
            <w:pPr>
              <w:pStyle w:val="TableParagraph"/>
              <w:spacing w:before="14"/>
              <w:ind w:left="35"/>
              <w:jc w:val="left"/>
              <w:rPr>
                <w:rFonts w:ascii="Times New Roman"/>
                <w:sz w:val="20"/>
              </w:rPr>
            </w:pPr>
            <w:r>
              <w:rPr>
                <w:rFonts w:ascii="Times New Roman"/>
                <w:sz w:val="20"/>
              </w:rPr>
              <w:t>b) numero di persone in Aspettativa non  retribuita</w:t>
            </w:r>
          </w:p>
        </w:tc>
        <w:tc>
          <w:tcPr>
            <w:tcW w:w="1040" w:type="dxa"/>
          </w:tcPr>
          <w:p>
            <w:pPr>
              <w:pStyle w:val="TableParagraph"/>
              <w:spacing w:before="14"/>
              <w:ind w:right="183"/>
              <w:rPr>
                <w:rFonts w:ascii="Times New Roman"/>
                <w:sz w:val="20"/>
              </w:rPr>
            </w:pPr>
            <w:r>
              <w:rPr>
                <w:rFonts w:ascii="Times New Roman"/>
                <w:w w:val="102"/>
                <w:sz w:val="20"/>
              </w:rPr>
              <w:t>4</w:t>
            </w:r>
          </w:p>
        </w:tc>
        <w:tc>
          <w:tcPr>
            <w:tcW w:w="1008" w:type="dxa"/>
          </w:tcPr>
          <w:p>
            <w:pPr>
              <w:pStyle w:val="TableParagraph"/>
              <w:spacing w:before="14"/>
              <w:ind w:right="195"/>
              <w:rPr>
                <w:rFonts w:ascii="Times New Roman"/>
                <w:sz w:val="20"/>
              </w:rPr>
            </w:pPr>
            <w:r>
              <w:rPr>
                <w:rFonts w:ascii="Times New Roman"/>
                <w:w w:val="102"/>
                <w:sz w:val="20"/>
              </w:rPr>
              <w:t>4</w:t>
            </w:r>
          </w:p>
        </w:tc>
        <w:tc>
          <w:tcPr>
            <w:tcW w:w="1014" w:type="dxa"/>
          </w:tcPr>
          <w:p>
            <w:pPr>
              <w:pStyle w:val="TableParagraph"/>
              <w:spacing w:before="14"/>
              <w:ind w:right="213"/>
              <w:rPr>
                <w:rFonts w:ascii="Times New Roman"/>
                <w:sz w:val="20"/>
              </w:rPr>
            </w:pPr>
            <w:r>
              <w:rPr>
                <w:rFonts w:ascii="Times New Roman"/>
                <w:w w:val="102"/>
                <w:sz w:val="20"/>
              </w:rPr>
              <w:t>4</w:t>
            </w:r>
          </w:p>
        </w:tc>
        <w:tc>
          <w:tcPr>
            <w:tcW w:w="906" w:type="dxa"/>
          </w:tcPr>
          <w:p>
            <w:pPr>
              <w:pStyle w:val="TableParagraph"/>
              <w:spacing w:before="14"/>
              <w:ind w:right="123"/>
              <w:rPr>
                <w:rFonts w:ascii="Times New Roman"/>
                <w:sz w:val="20"/>
              </w:rPr>
            </w:pPr>
            <w:r>
              <w:rPr>
                <w:rFonts w:ascii="Times New Roman"/>
                <w:w w:val="102"/>
                <w:sz w:val="20"/>
              </w:rPr>
              <w:t>4</w:t>
            </w:r>
          </w:p>
        </w:tc>
      </w:tr>
      <w:tr>
        <w:trPr>
          <w:trHeight w:val="264" w:hRule="exact"/>
        </w:trPr>
        <w:tc>
          <w:tcPr>
            <w:tcW w:w="4288" w:type="dxa"/>
          </w:tcPr>
          <w:p>
            <w:pPr>
              <w:pStyle w:val="TableParagraph"/>
              <w:spacing w:before="14"/>
              <w:ind w:left="35"/>
              <w:jc w:val="left"/>
              <w:rPr>
                <w:rFonts w:ascii="Times New Roman" w:hAnsi="Times New Roman"/>
                <w:sz w:val="20"/>
              </w:rPr>
            </w:pPr>
            <w:r>
              <w:rPr>
                <w:rFonts w:ascii="Times New Roman" w:hAnsi="Times New Roman"/>
                <w:sz w:val="20"/>
              </w:rPr>
              <w:t>c) numero di persone in  maternità</w:t>
            </w:r>
          </w:p>
        </w:tc>
        <w:tc>
          <w:tcPr>
            <w:tcW w:w="1040" w:type="dxa"/>
          </w:tcPr>
          <w:p>
            <w:pPr>
              <w:pStyle w:val="TableParagraph"/>
              <w:spacing w:before="14"/>
              <w:ind w:right="183"/>
              <w:rPr>
                <w:rFonts w:ascii="Times New Roman"/>
                <w:sz w:val="20"/>
              </w:rPr>
            </w:pPr>
            <w:r>
              <w:rPr>
                <w:rFonts w:ascii="Times New Roman"/>
                <w:w w:val="102"/>
                <w:sz w:val="20"/>
              </w:rPr>
              <w:t>1</w:t>
            </w:r>
          </w:p>
        </w:tc>
        <w:tc>
          <w:tcPr>
            <w:tcW w:w="1008" w:type="dxa"/>
          </w:tcPr>
          <w:p>
            <w:pPr>
              <w:pStyle w:val="TableParagraph"/>
              <w:spacing w:before="14"/>
              <w:ind w:right="195"/>
              <w:rPr>
                <w:rFonts w:ascii="Times New Roman"/>
                <w:sz w:val="20"/>
              </w:rPr>
            </w:pPr>
            <w:r>
              <w:rPr>
                <w:rFonts w:ascii="Times New Roman"/>
                <w:w w:val="102"/>
                <w:sz w:val="20"/>
              </w:rPr>
              <w:t>1</w:t>
            </w:r>
          </w:p>
        </w:tc>
        <w:tc>
          <w:tcPr>
            <w:tcW w:w="1014" w:type="dxa"/>
          </w:tcPr>
          <w:p>
            <w:pPr>
              <w:pStyle w:val="TableParagraph"/>
              <w:spacing w:before="14"/>
              <w:ind w:right="213"/>
              <w:rPr>
                <w:rFonts w:ascii="Times New Roman"/>
                <w:sz w:val="20"/>
              </w:rPr>
            </w:pPr>
            <w:r>
              <w:rPr>
                <w:rFonts w:ascii="Times New Roman"/>
                <w:w w:val="102"/>
                <w:sz w:val="20"/>
              </w:rPr>
              <w:t>1</w:t>
            </w:r>
          </w:p>
        </w:tc>
        <w:tc>
          <w:tcPr>
            <w:tcW w:w="906" w:type="dxa"/>
          </w:tcPr>
          <w:p>
            <w:pPr>
              <w:pStyle w:val="TableParagraph"/>
              <w:spacing w:before="14"/>
              <w:ind w:right="123"/>
              <w:rPr>
                <w:rFonts w:ascii="Times New Roman"/>
                <w:sz w:val="20"/>
              </w:rPr>
            </w:pPr>
            <w:r>
              <w:rPr>
                <w:rFonts w:ascii="Times New Roman"/>
                <w:w w:val="102"/>
                <w:sz w:val="20"/>
              </w:rPr>
              <w:t>1</w:t>
            </w:r>
          </w:p>
        </w:tc>
      </w:tr>
      <w:tr>
        <w:trPr>
          <w:trHeight w:val="264" w:hRule="exact"/>
        </w:trPr>
        <w:tc>
          <w:tcPr>
            <w:tcW w:w="4288" w:type="dxa"/>
          </w:tcPr>
          <w:p>
            <w:pPr>
              <w:pStyle w:val="TableParagraph"/>
              <w:spacing w:before="14"/>
              <w:ind w:left="35"/>
              <w:jc w:val="left"/>
              <w:rPr>
                <w:rFonts w:ascii="Times New Roman"/>
                <w:sz w:val="20"/>
              </w:rPr>
            </w:pPr>
            <w:r>
              <w:rPr>
                <w:rFonts w:ascii="Times New Roman"/>
                <w:sz w:val="20"/>
              </w:rPr>
              <w:t>Retribuzioni nette</w:t>
            </w:r>
          </w:p>
        </w:tc>
        <w:tc>
          <w:tcPr>
            <w:tcW w:w="1040" w:type="dxa"/>
          </w:tcPr>
          <w:p>
            <w:pPr>
              <w:pStyle w:val="TableParagraph"/>
              <w:spacing w:before="14"/>
              <w:ind w:right="111"/>
              <w:rPr>
                <w:rFonts w:ascii="Times New Roman"/>
                <w:sz w:val="20"/>
              </w:rPr>
            </w:pPr>
            <w:r>
              <w:rPr>
                <w:rFonts w:ascii="Times New Roman"/>
                <w:sz w:val="20"/>
              </w:rPr>
              <w:t>(190,4)</w:t>
            </w:r>
          </w:p>
        </w:tc>
        <w:tc>
          <w:tcPr>
            <w:tcW w:w="1008" w:type="dxa"/>
          </w:tcPr>
          <w:p>
            <w:pPr>
              <w:pStyle w:val="TableParagraph"/>
              <w:spacing w:before="14"/>
              <w:ind w:right="123"/>
              <w:rPr>
                <w:rFonts w:ascii="Times New Roman"/>
                <w:sz w:val="20"/>
              </w:rPr>
            </w:pPr>
            <w:r>
              <w:rPr>
                <w:rFonts w:ascii="Times New Roman"/>
                <w:sz w:val="20"/>
              </w:rPr>
              <w:t>(92,2)</w:t>
            </w:r>
          </w:p>
        </w:tc>
        <w:tc>
          <w:tcPr>
            <w:tcW w:w="1014" w:type="dxa"/>
          </w:tcPr>
          <w:p>
            <w:pPr>
              <w:pStyle w:val="TableParagraph"/>
              <w:spacing w:before="14"/>
              <w:ind w:right="141"/>
              <w:rPr>
                <w:rFonts w:ascii="Times New Roman"/>
                <w:sz w:val="20"/>
              </w:rPr>
            </w:pPr>
            <w:r>
              <w:rPr>
                <w:rFonts w:ascii="Times New Roman"/>
                <w:sz w:val="20"/>
              </w:rPr>
              <w:t>(92,2)</w:t>
            </w:r>
          </w:p>
        </w:tc>
        <w:tc>
          <w:tcPr>
            <w:tcW w:w="906" w:type="dxa"/>
          </w:tcPr>
          <w:p>
            <w:pPr>
              <w:pStyle w:val="TableParagraph"/>
              <w:spacing w:before="14"/>
              <w:ind w:right="50"/>
              <w:rPr>
                <w:rFonts w:ascii="Times New Roman"/>
                <w:sz w:val="20"/>
              </w:rPr>
            </w:pPr>
            <w:r>
              <w:rPr>
                <w:rFonts w:ascii="Times New Roman"/>
                <w:sz w:val="20"/>
              </w:rPr>
              <w:t>(92,2)</w:t>
            </w:r>
          </w:p>
        </w:tc>
      </w:tr>
      <w:tr>
        <w:trPr>
          <w:trHeight w:val="264" w:hRule="exact"/>
        </w:trPr>
        <w:tc>
          <w:tcPr>
            <w:tcW w:w="4288" w:type="dxa"/>
          </w:tcPr>
          <w:p>
            <w:pPr>
              <w:pStyle w:val="TableParagraph"/>
              <w:spacing w:before="14"/>
              <w:ind w:left="35"/>
              <w:jc w:val="left"/>
              <w:rPr>
                <w:rFonts w:ascii="Times New Roman"/>
                <w:sz w:val="20"/>
              </w:rPr>
            </w:pPr>
            <w:r>
              <w:rPr>
                <w:rFonts w:ascii="Times New Roman"/>
                <w:sz w:val="20"/>
              </w:rPr>
              <w:t>Fiscale e previdenziale</w:t>
            </w:r>
          </w:p>
        </w:tc>
        <w:tc>
          <w:tcPr>
            <w:tcW w:w="1040" w:type="dxa"/>
          </w:tcPr>
          <w:p>
            <w:pPr>
              <w:pStyle w:val="TableParagraph"/>
              <w:spacing w:before="14"/>
              <w:ind w:right="111"/>
              <w:rPr>
                <w:rFonts w:ascii="Times New Roman"/>
                <w:sz w:val="20"/>
              </w:rPr>
            </w:pPr>
            <w:r>
              <w:rPr>
                <w:rFonts w:ascii="Times New Roman"/>
                <w:sz w:val="20"/>
              </w:rPr>
              <w:t>(159,6)</w:t>
            </w:r>
          </w:p>
        </w:tc>
        <w:tc>
          <w:tcPr>
            <w:tcW w:w="1008" w:type="dxa"/>
          </w:tcPr>
          <w:p>
            <w:pPr>
              <w:pStyle w:val="TableParagraph"/>
              <w:spacing w:before="14"/>
              <w:ind w:right="123"/>
              <w:rPr>
                <w:rFonts w:ascii="Times New Roman"/>
                <w:sz w:val="20"/>
              </w:rPr>
            </w:pPr>
            <w:r>
              <w:rPr>
                <w:rFonts w:ascii="Times New Roman"/>
                <w:sz w:val="20"/>
              </w:rPr>
              <w:t>(117,7)</w:t>
            </w:r>
          </w:p>
        </w:tc>
        <w:tc>
          <w:tcPr>
            <w:tcW w:w="1014" w:type="dxa"/>
          </w:tcPr>
          <w:p>
            <w:pPr>
              <w:pStyle w:val="TableParagraph"/>
              <w:spacing w:before="14"/>
              <w:ind w:right="141"/>
              <w:rPr>
                <w:rFonts w:ascii="Times New Roman"/>
                <w:sz w:val="20"/>
              </w:rPr>
            </w:pPr>
            <w:r>
              <w:rPr>
                <w:rFonts w:ascii="Times New Roman"/>
                <w:sz w:val="20"/>
              </w:rPr>
              <w:t>(97,7)</w:t>
            </w:r>
          </w:p>
        </w:tc>
        <w:tc>
          <w:tcPr>
            <w:tcW w:w="906" w:type="dxa"/>
          </w:tcPr>
          <w:p>
            <w:pPr>
              <w:pStyle w:val="TableParagraph"/>
              <w:spacing w:before="14"/>
              <w:ind w:right="50"/>
              <w:rPr>
                <w:rFonts w:ascii="Times New Roman"/>
                <w:sz w:val="20"/>
              </w:rPr>
            </w:pPr>
            <w:r>
              <w:rPr>
                <w:rFonts w:ascii="Times New Roman"/>
                <w:sz w:val="20"/>
              </w:rPr>
              <w:t>(97,7)</w:t>
            </w:r>
          </w:p>
        </w:tc>
      </w:tr>
      <w:tr>
        <w:trPr>
          <w:trHeight w:val="264" w:hRule="exact"/>
        </w:trPr>
        <w:tc>
          <w:tcPr>
            <w:tcW w:w="4288" w:type="dxa"/>
          </w:tcPr>
          <w:p>
            <w:pPr>
              <w:pStyle w:val="TableParagraph"/>
              <w:spacing w:before="14"/>
              <w:ind w:left="35"/>
              <w:jc w:val="left"/>
              <w:rPr>
                <w:rFonts w:ascii="Times New Roman"/>
                <w:sz w:val="20"/>
              </w:rPr>
            </w:pPr>
            <w:r>
              <w:rPr>
                <w:rFonts w:ascii="Times New Roman"/>
                <w:sz w:val="20"/>
              </w:rPr>
              <w:t>Anticipo CIGS</w:t>
            </w:r>
          </w:p>
        </w:tc>
        <w:tc>
          <w:tcPr>
            <w:tcW w:w="1040" w:type="dxa"/>
          </w:tcPr>
          <w:p>
            <w:pPr>
              <w:pStyle w:val="TableParagraph"/>
              <w:spacing w:before="14"/>
              <w:ind w:right="111"/>
              <w:rPr>
                <w:rFonts w:ascii="Times New Roman"/>
                <w:sz w:val="20"/>
              </w:rPr>
            </w:pPr>
            <w:r>
              <w:rPr>
                <w:rFonts w:ascii="Times New Roman"/>
                <w:sz w:val="20"/>
              </w:rPr>
              <w:t>(19,5)</w:t>
            </w:r>
          </w:p>
        </w:tc>
        <w:tc>
          <w:tcPr>
            <w:tcW w:w="1008" w:type="dxa"/>
          </w:tcPr>
          <w:p>
            <w:pPr>
              <w:pStyle w:val="TableParagraph"/>
              <w:spacing w:before="14"/>
              <w:ind w:right="123"/>
              <w:rPr>
                <w:rFonts w:ascii="Times New Roman"/>
                <w:sz w:val="20"/>
              </w:rPr>
            </w:pPr>
            <w:r>
              <w:rPr>
                <w:rFonts w:ascii="Times New Roman"/>
                <w:sz w:val="20"/>
              </w:rPr>
              <w:t>(19,5)</w:t>
            </w:r>
          </w:p>
        </w:tc>
        <w:tc>
          <w:tcPr>
            <w:tcW w:w="1014" w:type="dxa"/>
          </w:tcPr>
          <w:p>
            <w:pPr>
              <w:pStyle w:val="TableParagraph"/>
              <w:spacing w:before="14"/>
              <w:ind w:right="141"/>
              <w:rPr>
                <w:rFonts w:ascii="Times New Roman"/>
                <w:sz w:val="20"/>
              </w:rPr>
            </w:pPr>
            <w:r>
              <w:rPr>
                <w:rFonts w:ascii="Times New Roman"/>
                <w:sz w:val="20"/>
              </w:rPr>
              <w:t>(19,5)</w:t>
            </w:r>
          </w:p>
        </w:tc>
        <w:tc>
          <w:tcPr>
            <w:tcW w:w="906" w:type="dxa"/>
          </w:tcPr>
          <w:p>
            <w:pPr>
              <w:pStyle w:val="TableParagraph"/>
              <w:spacing w:before="14"/>
              <w:ind w:right="50"/>
              <w:rPr>
                <w:rFonts w:ascii="Times New Roman"/>
                <w:sz w:val="20"/>
              </w:rPr>
            </w:pPr>
            <w:r>
              <w:rPr>
                <w:rFonts w:ascii="Times New Roman"/>
                <w:sz w:val="20"/>
              </w:rPr>
              <w:t>(19,5)</w:t>
            </w:r>
          </w:p>
        </w:tc>
      </w:tr>
      <w:tr>
        <w:trPr>
          <w:trHeight w:val="264" w:hRule="exact"/>
        </w:trPr>
        <w:tc>
          <w:tcPr>
            <w:tcW w:w="4288" w:type="dxa"/>
          </w:tcPr>
          <w:p>
            <w:pPr>
              <w:pStyle w:val="TableParagraph"/>
              <w:spacing w:before="14"/>
              <w:ind w:left="35"/>
              <w:jc w:val="left"/>
              <w:rPr>
                <w:rFonts w:ascii="Times New Roman"/>
                <w:sz w:val="20"/>
              </w:rPr>
            </w:pPr>
            <w:r>
              <w:rPr>
                <w:rFonts w:ascii="Times New Roman"/>
                <w:sz w:val="20"/>
              </w:rPr>
              <w:t>Recupero CIGS</w:t>
            </w:r>
          </w:p>
        </w:tc>
        <w:tc>
          <w:tcPr>
            <w:tcW w:w="1040" w:type="dxa"/>
          </w:tcPr>
          <w:p>
            <w:pPr/>
          </w:p>
        </w:tc>
        <w:tc>
          <w:tcPr>
            <w:tcW w:w="1008" w:type="dxa"/>
          </w:tcPr>
          <w:p>
            <w:pPr>
              <w:pStyle w:val="TableParagraph"/>
              <w:spacing w:before="14"/>
              <w:ind w:right="124"/>
              <w:rPr>
                <w:rFonts w:ascii="Times New Roman"/>
                <w:sz w:val="20"/>
              </w:rPr>
            </w:pPr>
            <w:r>
              <w:rPr>
                <w:rFonts w:ascii="Times New Roman"/>
                <w:sz w:val="20"/>
              </w:rPr>
              <w:t>85,4</w:t>
            </w:r>
          </w:p>
        </w:tc>
        <w:tc>
          <w:tcPr>
            <w:tcW w:w="1014" w:type="dxa"/>
          </w:tcPr>
          <w:p>
            <w:pPr>
              <w:pStyle w:val="TableParagraph"/>
              <w:spacing w:before="14"/>
              <w:ind w:right="142"/>
              <w:rPr>
                <w:rFonts w:ascii="Times New Roman"/>
                <w:sz w:val="20"/>
              </w:rPr>
            </w:pPr>
            <w:r>
              <w:rPr>
                <w:rFonts w:ascii="Times New Roman"/>
                <w:sz w:val="20"/>
              </w:rPr>
              <w:t>19,5</w:t>
            </w:r>
          </w:p>
        </w:tc>
        <w:tc>
          <w:tcPr>
            <w:tcW w:w="906" w:type="dxa"/>
          </w:tcPr>
          <w:p>
            <w:pPr>
              <w:pStyle w:val="TableParagraph"/>
              <w:spacing w:before="14"/>
              <w:ind w:right="52"/>
              <w:rPr>
                <w:rFonts w:ascii="Times New Roman"/>
                <w:sz w:val="20"/>
              </w:rPr>
            </w:pPr>
            <w:r>
              <w:rPr>
                <w:rFonts w:ascii="Times New Roman"/>
                <w:sz w:val="20"/>
              </w:rPr>
              <w:t>19,5</w:t>
            </w:r>
          </w:p>
        </w:tc>
      </w:tr>
      <w:tr>
        <w:trPr>
          <w:trHeight w:val="245" w:hRule="exact"/>
        </w:trPr>
        <w:tc>
          <w:tcPr>
            <w:tcW w:w="4288" w:type="dxa"/>
          </w:tcPr>
          <w:p>
            <w:pPr>
              <w:pStyle w:val="TableParagraph"/>
              <w:spacing w:before="14"/>
              <w:ind w:left="35"/>
              <w:jc w:val="left"/>
              <w:rPr>
                <w:rFonts w:ascii="Times New Roman"/>
                <w:sz w:val="20"/>
              </w:rPr>
            </w:pPr>
            <w:r>
              <w:rPr>
                <w:rFonts w:ascii="Times New Roman"/>
                <w:sz w:val="20"/>
              </w:rPr>
              <w:t>Fiscale, previdenziale  e contributi CIGS</w:t>
            </w:r>
          </w:p>
        </w:tc>
        <w:tc>
          <w:tcPr>
            <w:tcW w:w="1040" w:type="dxa"/>
          </w:tcPr>
          <w:p>
            <w:pPr/>
          </w:p>
        </w:tc>
        <w:tc>
          <w:tcPr>
            <w:tcW w:w="1008" w:type="dxa"/>
          </w:tcPr>
          <w:p>
            <w:pPr>
              <w:pStyle w:val="TableParagraph"/>
              <w:spacing w:before="14"/>
              <w:ind w:right="123"/>
              <w:rPr>
                <w:rFonts w:ascii="Times New Roman"/>
                <w:sz w:val="20"/>
              </w:rPr>
            </w:pPr>
            <w:r>
              <w:rPr>
                <w:rFonts w:ascii="Times New Roman"/>
                <w:sz w:val="20"/>
              </w:rPr>
              <w:t>(17,8)</w:t>
            </w:r>
          </w:p>
        </w:tc>
        <w:tc>
          <w:tcPr>
            <w:tcW w:w="1014" w:type="dxa"/>
          </w:tcPr>
          <w:p>
            <w:pPr>
              <w:pStyle w:val="TableParagraph"/>
              <w:spacing w:before="14"/>
              <w:ind w:right="141"/>
              <w:rPr>
                <w:rFonts w:ascii="Times New Roman"/>
                <w:sz w:val="20"/>
              </w:rPr>
            </w:pPr>
            <w:r>
              <w:rPr>
                <w:rFonts w:ascii="Times New Roman"/>
                <w:sz w:val="20"/>
              </w:rPr>
              <w:t>(17,8)</w:t>
            </w:r>
          </w:p>
        </w:tc>
        <w:tc>
          <w:tcPr>
            <w:tcW w:w="906" w:type="dxa"/>
          </w:tcPr>
          <w:p>
            <w:pPr>
              <w:pStyle w:val="TableParagraph"/>
              <w:spacing w:before="14"/>
              <w:ind w:right="50"/>
              <w:rPr>
                <w:rFonts w:ascii="Times New Roman"/>
                <w:sz w:val="20"/>
              </w:rPr>
            </w:pPr>
            <w:r>
              <w:rPr>
                <w:rFonts w:ascii="Times New Roman"/>
                <w:sz w:val="20"/>
              </w:rPr>
              <w:t>(17,8)</w:t>
            </w:r>
          </w:p>
        </w:tc>
      </w:tr>
    </w:tbl>
    <w:p>
      <w:pPr>
        <w:pStyle w:val="BodyText"/>
        <w:spacing w:before="8"/>
        <w:rPr>
          <w:sz w:val="16"/>
        </w:rPr>
      </w:pPr>
    </w:p>
    <w:p>
      <w:pPr>
        <w:pStyle w:val="BodyText"/>
        <w:spacing w:line="480" w:lineRule="auto" w:before="100"/>
        <w:ind w:left="1418" w:right="1411"/>
        <w:jc w:val="both"/>
      </w:pPr>
      <w:r>
        <w:rPr/>
        <w:t>In merito a detti costi gli scriventi hanno analizzato le stime che si fondano su un calcolo derivante dal report dell’ufficio del personale e raffrontato tali dati con alcuni cedolini paga presi  a campione, nonché preso visione della documentazione inerente la cassa integrazione straordinaria. La società ha riferito agli scriventi che al momento non ha ancora usufruito del beneficio finanziario legato al recupero della C.I.G.S. a causa di un problema tecnico di trasmissione dati all’ente previdenziale, riferendo tuttavia che quest’ultimo non ha fatto rilevare note di</w:t>
      </w:r>
      <w:r>
        <w:rPr>
          <w:spacing w:val="-9"/>
        </w:rPr>
        <w:t> </w:t>
      </w:r>
      <w:r>
        <w:rPr/>
        <w:t>rettifica.</w:t>
      </w:r>
    </w:p>
    <w:p>
      <w:pPr>
        <w:pStyle w:val="BodyText"/>
        <w:spacing w:line="480" w:lineRule="auto"/>
        <w:ind w:left="1418" w:right="1415"/>
        <w:jc w:val="both"/>
      </w:pPr>
      <w:r>
        <w:rPr/>
        <w:t>In riferimento agli altri costi fissi essi risultano complessivamente pari a Euro 0,7 Milioni e risultano costituiti principalmente dai costi afferenti il contratto di servizi di fornitura con S4 Green in relazione ai quale il piano prevede la sospensione temporanea delle forniture, pari a Euro 50 Mila, dai costi per l’affitto dello stabilimento di Rivalta Scrivia, di cui se ne prevede il subentro da parte di Versalis a partire dal mese di agosto 2018, pari a Euro 120 Mila, ed ai costi per il noleggio delle auto e carburanti pari a Euro 56</w:t>
      </w:r>
      <w:r>
        <w:rPr>
          <w:spacing w:val="-21"/>
        </w:rPr>
        <w:t> </w:t>
      </w:r>
      <w:r>
        <w:rPr/>
        <w:t>mila.</w:t>
      </w:r>
    </w:p>
    <w:p>
      <w:pPr>
        <w:pStyle w:val="BodyText"/>
        <w:spacing w:line="480" w:lineRule="auto" w:before="1"/>
        <w:ind w:left="1418" w:right="1414"/>
        <w:jc w:val="both"/>
      </w:pPr>
      <w:r>
        <w:rPr/>
        <w:t>Le uscite finanziarie accolgono infine i costi di mantenimento dei brevetti e le imposte (saldo 2017) pari rispettivamente a complessivi Euro 67 mila ed Euro 72 mila.</w:t>
      </w:r>
    </w:p>
    <w:p>
      <w:pPr>
        <w:pStyle w:val="BodyText"/>
        <w:spacing w:line="480" w:lineRule="auto"/>
        <w:ind w:left="1418" w:right="1418"/>
        <w:jc w:val="both"/>
      </w:pPr>
      <w:r>
        <w:rPr/>
        <w:t>I costi della ristrutturazione risultano pari a Euro 7,6 Milioni (inclusivi di spese forfettarie, cassa previdenziale ed Iva) e comprendono i costi rappresentati nella tabella seguente: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6"/>
        </w:rPr>
      </w:pPr>
    </w:p>
    <w:p>
      <w:pPr>
        <w:pStyle w:val="BodyText"/>
        <w:spacing w:line="170" w:lineRule="exact"/>
        <w:ind w:left="1426"/>
        <w:rPr>
          <w:sz w:val="17"/>
        </w:rPr>
      </w:pPr>
      <w:r>
        <w:rPr>
          <w:position w:val="-2"/>
          <w:sz w:val="17"/>
        </w:rPr>
        <w:pict>
          <v:shape style="width:452.8pt;height:8.550pt;mso-position-horizontal-relative:char;mso-position-vertical-relative:line" type="#_x0000_t202" filled="true" fillcolor="#9f2f33" stroked="false">
            <w10:anchorlock/>
            <v:textbox inset="0,0,0,0">
              <w:txbxContent>
                <w:p>
                  <w:pPr>
                    <w:tabs>
                      <w:tab w:pos="3095" w:val="left" w:leader="none"/>
                      <w:tab w:pos="5286" w:val="left" w:leader="none"/>
                      <w:tab w:pos="6284" w:val="left" w:leader="none"/>
                      <w:tab w:pos="7050" w:val="left" w:leader="none"/>
                      <w:tab w:pos="7716" w:val="left" w:leader="none"/>
                      <w:tab w:pos="8374" w:val="left" w:leader="none"/>
                    </w:tabs>
                    <w:spacing w:before="10"/>
                    <w:ind w:left="23" w:right="0" w:firstLine="0"/>
                    <w:jc w:val="left"/>
                    <w:rPr>
                      <w:rFonts w:ascii="Times New Roman" w:hAnsi="Times New Roman"/>
                      <w:b/>
                      <w:sz w:val="13"/>
                    </w:rPr>
                  </w:pPr>
                  <w:r>
                    <w:rPr>
                      <w:rFonts w:ascii="Times New Roman" w:hAnsi="Times New Roman"/>
                      <w:i/>
                      <w:color w:val="FFFFFF"/>
                      <w:sz w:val="13"/>
                    </w:rPr>
                    <w:t>€</w:t>
                    <w:tab/>
                  </w:r>
                  <w:r>
                    <w:rPr>
                      <w:rFonts w:ascii="Times New Roman" w:hAnsi="Times New Roman"/>
                      <w:b/>
                      <w:color w:val="FFFFFF"/>
                      <w:sz w:val="13"/>
                    </w:rPr>
                    <w:t>Professionista</w:t>
                    <w:tab/>
                    <w:t>Compenso</w:t>
                    <w:tab/>
                    <w:t>Spese</w:t>
                    <w:tab/>
                    <w:t>Cassa</w:t>
                    <w:tab/>
                  </w:r>
                  <w:r>
                    <w:rPr>
                      <w:rFonts w:ascii="Times New Roman" w:hAnsi="Times New Roman"/>
                      <w:b/>
                      <w:color w:val="FFFFFF"/>
                      <w:spacing w:val="-6"/>
                      <w:sz w:val="13"/>
                    </w:rPr>
                    <w:t>IVA</w:t>
                    <w:tab/>
                  </w:r>
                  <w:r>
                    <w:rPr>
                      <w:rFonts w:ascii="Times New Roman" w:hAnsi="Times New Roman"/>
                      <w:b/>
                      <w:color w:val="FFFFFF"/>
                      <w:sz w:val="13"/>
                    </w:rPr>
                    <w:t>Importo</w:t>
                  </w:r>
                </w:p>
              </w:txbxContent>
            </v:textbox>
            <v:fill type="solid"/>
          </v:shape>
        </w:pict>
      </w:r>
      <w:r>
        <w:rPr>
          <w:position w:val="-2"/>
          <w:sz w:val="17"/>
        </w:rPr>
      </w:r>
    </w:p>
    <w:p>
      <w:pPr>
        <w:pStyle w:val="BodyText"/>
        <w:spacing w:before="6"/>
        <w:rPr>
          <w:sz w:val="7"/>
        </w:rPr>
      </w:pPr>
    </w:p>
    <w:p>
      <w:pPr>
        <w:pStyle w:val="ListParagraph"/>
        <w:numPr>
          <w:ilvl w:val="0"/>
          <w:numId w:val="102"/>
        </w:numPr>
        <w:tabs>
          <w:tab w:pos="1598" w:val="left" w:leader="none"/>
        </w:tabs>
        <w:spacing w:line="240" w:lineRule="auto" w:before="96" w:after="0"/>
        <w:ind w:left="1597" w:right="0" w:hanging="147"/>
        <w:jc w:val="left"/>
        <w:rPr>
          <w:rFonts w:ascii="Times New Roman"/>
          <w:b/>
          <w:sz w:val="13"/>
        </w:rPr>
      </w:pPr>
      <w:r>
        <w:rPr>
          <w:rFonts w:ascii="Times New Roman"/>
          <w:b/>
          <w:color w:val="9F2F33"/>
          <w:spacing w:val="2"/>
          <w:sz w:val="13"/>
          <w:u w:val="single" w:color="9F2F33"/>
        </w:rPr>
        <w:t>Professionisti</w:t>
      </w:r>
    </w:p>
    <w:p>
      <w:pPr>
        <w:pStyle w:val="BodyText"/>
        <w:rPr>
          <w:rFonts w:ascii="Times New Roman"/>
          <w:b/>
          <w:sz w:val="15"/>
        </w:rPr>
      </w:pPr>
    </w:p>
    <w:tbl>
      <w:tblPr>
        <w:tblW w:w="0" w:type="auto"/>
        <w:jc w:val="left"/>
        <w:tblInd w:w="1419"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757"/>
        <w:gridCol w:w="3482"/>
        <w:gridCol w:w="829"/>
        <w:gridCol w:w="770"/>
        <w:gridCol w:w="645"/>
        <w:gridCol w:w="717"/>
        <w:gridCol w:w="862"/>
      </w:tblGrid>
      <w:tr>
        <w:trPr>
          <w:trHeight w:val="184" w:hRule="exact"/>
        </w:trPr>
        <w:tc>
          <w:tcPr>
            <w:tcW w:w="1757" w:type="dxa"/>
          </w:tcPr>
          <w:p>
            <w:pPr>
              <w:pStyle w:val="TableParagraph"/>
              <w:spacing w:before="18"/>
              <w:ind w:left="30"/>
              <w:jc w:val="left"/>
              <w:rPr>
                <w:rFonts w:ascii="Times New Roman"/>
                <w:b/>
                <w:sz w:val="13"/>
              </w:rPr>
            </w:pPr>
            <w:r>
              <w:rPr>
                <w:rFonts w:ascii="Times New Roman"/>
                <w:b/>
                <w:i/>
                <w:sz w:val="13"/>
              </w:rPr>
              <w:t>Advisor  </w:t>
            </w:r>
            <w:r>
              <w:rPr>
                <w:rFonts w:ascii="Times New Roman"/>
                <w:b/>
                <w:sz w:val="13"/>
              </w:rPr>
              <w:t>Legale</w:t>
            </w:r>
          </w:p>
        </w:tc>
        <w:tc>
          <w:tcPr>
            <w:tcW w:w="3482" w:type="dxa"/>
          </w:tcPr>
          <w:p>
            <w:pPr>
              <w:pStyle w:val="TableParagraph"/>
              <w:spacing w:before="18"/>
              <w:ind w:left="53"/>
              <w:jc w:val="left"/>
              <w:rPr>
                <w:rFonts w:ascii="Times New Roman"/>
                <w:sz w:val="13"/>
              </w:rPr>
            </w:pPr>
            <w:r>
              <w:rPr>
                <w:rFonts w:ascii="Times New Roman"/>
                <w:sz w:val="13"/>
              </w:rPr>
              <w:t>Gianni, Origoni, Grippo, Cappelli &amp; Partners</w:t>
            </w:r>
          </w:p>
        </w:tc>
        <w:tc>
          <w:tcPr>
            <w:tcW w:w="829" w:type="dxa"/>
            <w:shd w:val="clear" w:color="auto" w:fill="F1F1F1"/>
          </w:tcPr>
          <w:p>
            <w:pPr>
              <w:pStyle w:val="TableParagraph"/>
              <w:spacing w:before="18"/>
              <w:ind w:left="70" w:right="190"/>
              <w:jc w:val="center"/>
              <w:rPr>
                <w:rFonts w:ascii="Times New Roman"/>
                <w:sz w:val="13"/>
              </w:rPr>
            </w:pPr>
            <w:r>
              <w:rPr>
                <w:rFonts w:ascii="Times New Roman"/>
                <w:sz w:val="13"/>
              </w:rPr>
              <w:t>255.040</w:t>
            </w:r>
          </w:p>
        </w:tc>
        <w:tc>
          <w:tcPr>
            <w:tcW w:w="770" w:type="dxa"/>
            <w:shd w:val="clear" w:color="auto" w:fill="F1F1F1"/>
          </w:tcPr>
          <w:p>
            <w:pPr>
              <w:pStyle w:val="TableParagraph"/>
              <w:spacing w:before="18"/>
              <w:ind w:right="1"/>
              <w:jc w:val="center"/>
              <w:rPr>
                <w:rFonts w:ascii="Times New Roman"/>
                <w:sz w:val="13"/>
              </w:rPr>
            </w:pPr>
            <w:r>
              <w:rPr>
                <w:rFonts w:ascii="Times New Roman"/>
                <w:w w:val="101"/>
                <w:sz w:val="13"/>
              </w:rPr>
              <w:t>-</w:t>
            </w:r>
          </w:p>
        </w:tc>
        <w:tc>
          <w:tcPr>
            <w:tcW w:w="645" w:type="dxa"/>
            <w:shd w:val="clear" w:color="auto" w:fill="F1F1F1"/>
          </w:tcPr>
          <w:p>
            <w:pPr>
              <w:pStyle w:val="TableParagraph"/>
              <w:spacing w:before="18"/>
              <w:ind w:left="184" w:right="63"/>
              <w:jc w:val="center"/>
              <w:rPr>
                <w:rFonts w:ascii="Times New Roman"/>
                <w:sz w:val="13"/>
              </w:rPr>
            </w:pPr>
            <w:r>
              <w:rPr>
                <w:rFonts w:ascii="Times New Roman"/>
                <w:sz w:val="13"/>
              </w:rPr>
              <w:t>10.202</w:t>
            </w:r>
          </w:p>
        </w:tc>
        <w:tc>
          <w:tcPr>
            <w:tcW w:w="717" w:type="dxa"/>
          </w:tcPr>
          <w:p>
            <w:pPr>
              <w:pStyle w:val="TableParagraph"/>
              <w:spacing w:before="18"/>
              <w:ind w:left="115" w:right="130"/>
              <w:jc w:val="center"/>
              <w:rPr>
                <w:rFonts w:ascii="Times New Roman"/>
                <w:sz w:val="13"/>
              </w:rPr>
            </w:pPr>
            <w:r>
              <w:rPr>
                <w:rFonts w:ascii="Times New Roman"/>
                <w:sz w:val="13"/>
              </w:rPr>
              <w:t>58.353</w:t>
            </w:r>
          </w:p>
        </w:tc>
        <w:tc>
          <w:tcPr>
            <w:tcW w:w="862" w:type="dxa"/>
          </w:tcPr>
          <w:p>
            <w:pPr>
              <w:pStyle w:val="TableParagraph"/>
              <w:spacing w:before="18"/>
              <w:ind w:right="219"/>
              <w:rPr>
                <w:rFonts w:ascii="Times New Roman"/>
                <w:sz w:val="13"/>
              </w:rPr>
            </w:pPr>
            <w:r>
              <w:rPr>
                <w:rFonts w:ascii="Times New Roman"/>
                <w:sz w:val="13"/>
              </w:rPr>
              <w:t>323.595</w:t>
            </w:r>
          </w:p>
        </w:tc>
      </w:tr>
      <w:tr>
        <w:trPr>
          <w:trHeight w:val="178" w:hRule="exact"/>
        </w:trPr>
        <w:tc>
          <w:tcPr>
            <w:tcW w:w="1757" w:type="dxa"/>
          </w:tcPr>
          <w:p>
            <w:pPr>
              <w:pStyle w:val="TableParagraph"/>
              <w:spacing w:before="12"/>
              <w:ind w:left="30"/>
              <w:jc w:val="left"/>
              <w:rPr>
                <w:rFonts w:ascii="Times New Roman"/>
                <w:b/>
                <w:sz w:val="13"/>
              </w:rPr>
            </w:pPr>
            <w:r>
              <w:rPr>
                <w:rFonts w:ascii="Times New Roman"/>
                <w:b/>
                <w:i/>
                <w:sz w:val="13"/>
              </w:rPr>
              <w:t>Advisor  </w:t>
            </w:r>
            <w:r>
              <w:rPr>
                <w:rFonts w:ascii="Times New Roman"/>
                <w:b/>
                <w:sz w:val="13"/>
              </w:rPr>
              <w:t>Finanziario</w:t>
            </w:r>
          </w:p>
        </w:tc>
        <w:tc>
          <w:tcPr>
            <w:tcW w:w="3482" w:type="dxa"/>
          </w:tcPr>
          <w:p>
            <w:pPr>
              <w:pStyle w:val="TableParagraph"/>
              <w:spacing w:before="12"/>
              <w:ind w:left="53"/>
              <w:jc w:val="left"/>
              <w:rPr>
                <w:rFonts w:ascii="Times New Roman"/>
                <w:sz w:val="13"/>
              </w:rPr>
            </w:pPr>
            <w:r>
              <w:rPr>
                <w:rFonts w:ascii="Times New Roman"/>
                <w:sz w:val="13"/>
              </w:rPr>
              <w:t>Mediobanca S.p.A. (M&amp;A)</w:t>
            </w:r>
          </w:p>
        </w:tc>
        <w:tc>
          <w:tcPr>
            <w:tcW w:w="829" w:type="dxa"/>
            <w:shd w:val="clear" w:color="auto" w:fill="F1F1F1"/>
          </w:tcPr>
          <w:p>
            <w:pPr>
              <w:pStyle w:val="TableParagraph"/>
              <w:spacing w:before="12"/>
              <w:ind w:left="78" w:right="190"/>
              <w:jc w:val="center"/>
              <w:rPr>
                <w:rFonts w:ascii="Times New Roman"/>
                <w:sz w:val="13"/>
              </w:rPr>
            </w:pPr>
            <w:r>
              <w:rPr>
                <w:rFonts w:ascii="Times New Roman"/>
                <w:sz w:val="13"/>
              </w:rPr>
              <w:t>2.105.000</w:t>
            </w:r>
          </w:p>
        </w:tc>
        <w:tc>
          <w:tcPr>
            <w:tcW w:w="770" w:type="dxa"/>
            <w:shd w:val="clear" w:color="auto" w:fill="F1F1F1"/>
          </w:tcPr>
          <w:p>
            <w:pPr>
              <w:pStyle w:val="TableParagraph"/>
              <w:spacing w:before="12"/>
              <w:ind w:right="1"/>
              <w:jc w:val="center"/>
              <w:rPr>
                <w:rFonts w:ascii="Times New Roman"/>
                <w:sz w:val="13"/>
              </w:rPr>
            </w:pPr>
            <w:r>
              <w:rPr>
                <w:rFonts w:ascii="Times New Roman"/>
                <w:w w:val="101"/>
                <w:sz w:val="13"/>
              </w:rPr>
              <w:t>-</w:t>
            </w:r>
          </w:p>
        </w:tc>
        <w:tc>
          <w:tcPr>
            <w:tcW w:w="645" w:type="dxa"/>
            <w:shd w:val="clear" w:color="auto" w:fill="F1F1F1"/>
          </w:tcPr>
          <w:p>
            <w:pPr>
              <w:pStyle w:val="TableParagraph"/>
              <w:spacing w:before="12"/>
              <w:ind w:left="115"/>
              <w:jc w:val="center"/>
              <w:rPr>
                <w:rFonts w:ascii="Times New Roman"/>
                <w:sz w:val="13"/>
              </w:rPr>
            </w:pPr>
            <w:r>
              <w:rPr>
                <w:rFonts w:ascii="Times New Roman"/>
                <w:w w:val="101"/>
                <w:sz w:val="13"/>
              </w:rPr>
              <w:t>-</w:t>
            </w:r>
          </w:p>
        </w:tc>
        <w:tc>
          <w:tcPr>
            <w:tcW w:w="717" w:type="dxa"/>
          </w:tcPr>
          <w:p>
            <w:pPr>
              <w:pStyle w:val="TableParagraph"/>
              <w:spacing w:before="12"/>
              <w:ind w:left="115" w:right="138"/>
              <w:jc w:val="center"/>
              <w:rPr>
                <w:rFonts w:ascii="Times New Roman"/>
                <w:sz w:val="13"/>
              </w:rPr>
            </w:pPr>
            <w:r>
              <w:rPr>
                <w:rFonts w:ascii="Times New Roman"/>
                <w:sz w:val="13"/>
              </w:rPr>
              <w:t>463.100</w:t>
            </w:r>
          </w:p>
        </w:tc>
        <w:tc>
          <w:tcPr>
            <w:tcW w:w="862" w:type="dxa"/>
          </w:tcPr>
          <w:p>
            <w:pPr>
              <w:pStyle w:val="TableParagraph"/>
              <w:spacing w:before="12"/>
              <w:ind w:right="165"/>
              <w:rPr>
                <w:rFonts w:ascii="Times New Roman"/>
                <w:sz w:val="13"/>
              </w:rPr>
            </w:pPr>
            <w:r>
              <w:rPr>
                <w:rFonts w:ascii="Times New Roman"/>
                <w:sz w:val="13"/>
              </w:rPr>
              <w:t>2.568.100</w:t>
            </w:r>
          </w:p>
        </w:tc>
      </w:tr>
      <w:tr>
        <w:trPr>
          <w:trHeight w:val="178" w:hRule="exact"/>
        </w:trPr>
        <w:tc>
          <w:tcPr>
            <w:tcW w:w="1757" w:type="dxa"/>
          </w:tcPr>
          <w:p>
            <w:pPr>
              <w:pStyle w:val="TableParagraph"/>
              <w:spacing w:before="12"/>
              <w:ind w:left="30"/>
              <w:jc w:val="left"/>
              <w:rPr>
                <w:rFonts w:ascii="Times New Roman"/>
                <w:b/>
                <w:sz w:val="13"/>
              </w:rPr>
            </w:pPr>
            <w:r>
              <w:rPr>
                <w:rFonts w:ascii="Times New Roman"/>
                <w:b/>
                <w:i/>
                <w:sz w:val="13"/>
              </w:rPr>
              <w:t>Advisor  </w:t>
            </w:r>
            <w:r>
              <w:rPr>
                <w:rFonts w:ascii="Times New Roman"/>
                <w:b/>
                <w:sz w:val="13"/>
              </w:rPr>
              <w:t>Finanziario</w:t>
            </w:r>
          </w:p>
        </w:tc>
        <w:tc>
          <w:tcPr>
            <w:tcW w:w="3482" w:type="dxa"/>
          </w:tcPr>
          <w:p>
            <w:pPr>
              <w:pStyle w:val="TableParagraph"/>
              <w:spacing w:before="12"/>
              <w:ind w:left="53"/>
              <w:jc w:val="left"/>
              <w:rPr>
                <w:rFonts w:ascii="Times New Roman"/>
                <w:sz w:val="13"/>
              </w:rPr>
            </w:pPr>
            <w:r>
              <w:rPr>
                <w:rFonts w:ascii="Times New Roman"/>
                <w:sz w:val="13"/>
              </w:rPr>
              <w:t>Mediobanca S.p.A. (Advisor)</w:t>
            </w:r>
          </w:p>
        </w:tc>
        <w:tc>
          <w:tcPr>
            <w:tcW w:w="829" w:type="dxa"/>
            <w:shd w:val="clear" w:color="auto" w:fill="F1F1F1"/>
          </w:tcPr>
          <w:p>
            <w:pPr>
              <w:pStyle w:val="TableParagraph"/>
              <w:spacing w:before="12"/>
              <w:ind w:left="78" w:right="190"/>
              <w:jc w:val="center"/>
              <w:rPr>
                <w:rFonts w:ascii="Times New Roman"/>
                <w:sz w:val="13"/>
              </w:rPr>
            </w:pPr>
            <w:r>
              <w:rPr>
                <w:rFonts w:ascii="Times New Roman"/>
                <w:sz w:val="13"/>
              </w:rPr>
              <w:t>1.105.000</w:t>
            </w:r>
          </w:p>
        </w:tc>
        <w:tc>
          <w:tcPr>
            <w:tcW w:w="770" w:type="dxa"/>
            <w:shd w:val="clear" w:color="auto" w:fill="F1F1F1"/>
          </w:tcPr>
          <w:p>
            <w:pPr>
              <w:pStyle w:val="TableParagraph"/>
              <w:spacing w:before="12"/>
              <w:ind w:right="1"/>
              <w:jc w:val="center"/>
              <w:rPr>
                <w:rFonts w:ascii="Times New Roman"/>
                <w:sz w:val="13"/>
              </w:rPr>
            </w:pPr>
            <w:r>
              <w:rPr>
                <w:rFonts w:ascii="Times New Roman"/>
                <w:w w:val="101"/>
                <w:sz w:val="13"/>
              </w:rPr>
              <w:t>-</w:t>
            </w:r>
          </w:p>
        </w:tc>
        <w:tc>
          <w:tcPr>
            <w:tcW w:w="645" w:type="dxa"/>
            <w:shd w:val="clear" w:color="auto" w:fill="F1F1F1"/>
          </w:tcPr>
          <w:p>
            <w:pPr>
              <w:pStyle w:val="TableParagraph"/>
              <w:spacing w:before="12"/>
              <w:ind w:left="115"/>
              <w:jc w:val="center"/>
              <w:rPr>
                <w:rFonts w:ascii="Times New Roman"/>
                <w:sz w:val="13"/>
              </w:rPr>
            </w:pPr>
            <w:r>
              <w:rPr>
                <w:rFonts w:ascii="Times New Roman"/>
                <w:w w:val="101"/>
                <w:sz w:val="13"/>
              </w:rPr>
              <w:t>-</w:t>
            </w:r>
          </w:p>
        </w:tc>
        <w:tc>
          <w:tcPr>
            <w:tcW w:w="717" w:type="dxa"/>
          </w:tcPr>
          <w:p>
            <w:pPr>
              <w:pStyle w:val="TableParagraph"/>
              <w:spacing w:before="12"/>
              <w:ind w:left="115" w:right="138"/>
              <w:jc w:val="center"/>
              <w:rPr>
                <w:rFonts w:ascii="Times New Roman"/>
                <w:sz w:val="13"/>
              </w:rPr>
            </w:pPr>
            <w:r>
              <w:rPr>
                <w:rFonts w:ascii="Times New Roman"/>
                <w:sz w:val="13"/>
              </w:rPr>
              <w:t>243.100</w:t>
            </w:r>
          </w:p>
        </w:tc>
        <w:tc>
          <w:tcPr>
            <w:tcW w:w="862" w:type="dxa"/>
          </w:tcPr>
          <w:p>
            <w:pPr>
              <w:pStyle w:val="TableParagraph"/>
              <w:spacing w:before="12"/>
              <w:ind w:right="165"/>
              <w:rPr>
                <w:rFonts w:ascii="Times New Roman"/>
                <w:sz w:val="13"/>
              </w:rPr>
            </w:pPr>
            <w:r>
              <w:rPr>
                <w:rFonts w:ascii="Times New Roman"/>
                <w:sz w:val="13"/>
              </w:rPr>
              <w:t>1.348.100</w:t>
            </w:r>
          </w:p>
        </w:tc>
      </w:tr>
      <w:tr>
        <w:trPr>
          <w:trHeight w:val="178" w:hRule="exact"/>
        </w:trPr>
        <w:tc>
          <w:tcPr>
            <w:tcW w:w="1757" w:type="dxa"/>
          </w:tcPr>
          <w:p>
            <w:pPr>
              <w:pStyle w:val="TableParagraph"/>
              <w:spacing w:before="12"/>
              <w:ind w:left="30"/>
              <w:jc w:val="left"/>
              <w:rPr>
                <w:rFonts w:ascii="Times New Roman"/>
                <w:b/>
                <w:sz w:val="13"/>
              </w:rPr>
            </w:pPr>
            <w:r>
              <w:rPr>
                <w:rFonts w:ascii="Times New Roman"/>
                <w:b/>
                <w:i/>
                <w:sz w:val="13"/>
              </w:rPr>
              <w:t>Advisor  </w:t>
            </w:r>
            <w:r>
              <w:rPr>
                <w:rFonts w:ascii="Times New Roman"/>
                <w:b/>
                <w:sz w:val="13"/>
              </w:rPr>
              <w:t>Piano Concordatario</w:t>
            </w:r>
          </w:p>
        </w:tc>
        <w:tc>
          <w:tcPr>
            <w:tcW w:w="3482" w:type="dxa"/>
          </w:tcPr>
          <w:p>
            <w:pPr>
              <w:pStyle w:val="TableParagraph"/>
              <w:spacing w:before="12"/>
              <w:ind w:left="53"/>
              <w:jc w:val="left"/>
              <w:rPr>
                <w:rFonts w:ascii="Times New Roman"/>
                <w:sz w:val="13"/>
              </w:rPr>
            </w:pPr>
            <w:r>
              <w:rPr>
                <w:rFonts w:ascii="Times New Roman"/>
                <w:sz w:val="13"/>
              </w:rPr>
              <w:t>Chiaruttini e Associati (fase 1 e 2)</w:t>
            </w:r>
          </w:p>
        </w:tc>
        <w:tc>
          <w:tcPr>
            <w:tcW w:w="829" w:type="dxa"/>
            <w:shd w:val="clear" w:color="auto" w:fill="F1F1F1"/>
          </w:tcPr>
          <w:p>
            <w:pPr>
              <w:pStyle w:val="TableParagraph"/>
              <w:spacing w:before="12"/>
              <w:ind w:left="78" w:right="190"/>
              <w:jc w:val="center"/>
              <w:rPr>
                <w:rFonts w:ascii="Times New Roman"/>
                <w:sz w:val="13"/>
              </w:rPr>
            </w:pPr>
            <w:r>
              <w:rPr>
                <w:rFonts w:ascii="Times New Roman"/>
                <w:sz w:val="13"/>
              </w:rPr>
              <w:t>42.500</w:t>
            </w:r>
          </w:p>
        </w:tc>
        <w:tc>
          <w:tcPr>
            <w:tcW w:w="770" w:type="dxa"/>
            <w:shd w:val="clear" w:color="auto" w:fill="F1F1F1"/>
          </w:tcPr>
          <w:p>
            <w:pPr>
              <w:pStyle w:val="TableParagraph"/>
              <w:spacing w:before="12"/>
              <w:ind w:left="183" w:right="184"/>
              <w:jc w:val="center"/>
              <w:rPr>
                <w:rFonts w:ascii="Times New Roman"/>
                <w:sz w:val="13"/>
              </w:rPr>
            </w:pPr>
            <w:r>
              <w:rPr>
                <w:rFonts w:ascii="Times New Roman"/>
                <w:sz w:val="13"/>
              </w:rPr>
              <w:t>7.812</w:t>
            </w:r>
          </w:p>
        </w:tc>
        <w:tc>
          <w:tcPr>
            <w:tcW w:w="645" w:type="dxa"/>
            <w:shd w:val="clear" w:color="auto" w:fill="F1F1F1"/>
          </w:tcPr>
          <w:p>
            <w:pPr>
              <w:pStyle w:val="TableParagraph"/>
              <w:spacing w:before="12"/>
              <w:ind w:left="177" w:right="63"/>
              <w:jc w:val="center"/>
              <w:rPr>
                <w:rFonts w:ascii="Times New Roman"/>
                <w:sz w:val="13"/>
              </w:rPr>
            </w:pPr>
            <w:r>
              <w:rPr>
                <w:rFonts w:ascii="Times New Roman"/>
                <w:sz w:val="13"/>
              </w:rPr>
              <w:t>2.012</w:t>
            </w:r>
          </w:p>
        </w:tc>
        <w:tc>
          <w:tcPr>
            <w:tcW w:w="717" w:type="dxa"/>
          </w:tcPr>
          <w:p>
            <w:pPr>
              <w:pStyle w:val="TableParagraph"/>
              <w:spacing w:before="12"/>
              <w:ind w:left="115" w:right="130"/>
              <w:jc w:val="center"/>
              <w:rPr>
                <w:rFonts w:ascii="Times New Roman"/>
                <w:sz w:val="13"/>
              </w:rPr>
            </w:pPr>
            <w:r>
              <w:rPr>
                <w:rFonts w:ascii="Times New Roman"/>
                <w:sz w:val="13"/>
              </w:rPr>
              <w:t>11.511</w:t>
            </w:r>
          </w:p>
        </w:tc>
        <w:tc>
          <w:tcPr>
            <w:tcW w:w="862" w:type="dxa"/>
          </w:tcPr>
          <w:p>
            <w:pPr>
              <w:pStyle w:val="TableParagraph"/>
              <w:spacing w:before="12"/>
              <w:ind w:right="250"/>
              <w:rPr>
                <w:rFonts w:ascii="Times New Roman"/>
                <w:sz w:val="13"/>
              </w:rPr>
            </w:pPr>
            <w:r>
              <w:rPr>
                <w:rFonts w:ascii="Times New Roman"/>
                <w:sz w:val="13"/>
              </w:rPr>
              <w:t>63.835</w:t>
            </w:r>
          </w:p>
        </w:tc>
      </w:tr>
      <w:tr>
        <w:trPr>
          <w:trHeight w:val="178" w:hRule="exact"/>
        </w:trPr>
        <w:tc>
          <w:tcPr>
            <w:tcW w:w="1757" w:type="dxa"/>
          </w:tcPr>
          <w:p>
            <w:pPr>
              <w:pStyle w:val="TableParagraph"/>
              <w:spacing w:before="12"/>
              <w:ind w:left="30"/>
              <w:jc w:val="left"/>
              <w:rPr>
                <w:rFonts w:ascii="Times New Roman"/>
                <w:b/>
                <w:sz w:val="13"/>
              </w:rPr>
            </w:pPr>
            <w:r>
              <w:rPr>
                <w:rFonts w:ascii="Times New Roman"/>
                <w:b/>
                <w:i/>
                <w:sz w:val="13"/>
              </w:rPr>
              <w:t>Advisor  </w:t>
            </w:r>
            <w:r>
              <w:rPr>
                <w:rFonts w:ascii="Times New Roman"/>
                <w:b/>
                <w:sz w:val="13"/>
              </w:rPr>
              <w:t>Piano Concordatario</w:t>
            </w:r>
          </w:p>
        </w:tc>
        <w:tc>
          <w:tcPr>
            <w:tcW w:w="3482" w:type="dxa"/>
          </w:tcPr>
          <w:p>
            <w:pPr>
              <w:pStyle w:val="TableParagraph"/>
              <w:spacing w:before="12"/>
              <w:ind w:left="53"/>
              <w:jc w:val="left"/>
              <w:rPr>
                <w:rFonts w:ascii="Times New Roman"/>
                <w:sz w:val="13"/>
              </w:rPr>
            </w:pPr>
            <w:r>
              <w:rPr>
                <w:rFonts w:ascii="Times New Roman"/>
                <w:sz w:val="13"/>
              </w:rPr>
              <w:t>Chiaruttini e Associati (assistenza sino alla cessione del Ramo)</w:t>
            </w:r>
          </w:p>
        </w:tc>
        <w:tc>
          <w:tcPr>
            <w:tcW w:w="829" w:type="dxa"/>
            <w:shd w:val="clear" w:color="auto" w:fill="F1F1F1"/>
          </w:tcPr>
          <w:p>
            <w:pPr>
              <w:pStyle w:val="TableParagraph"/>
              <w:spacing w:before="12"/>
              <w:ind w:left="78" w:right="190"/>
              <w:jc w:val="center"/>
              <w:rPr>
                <w:rFonts w:ascii="Times New Roman"/>
                <w:sz w:val="13"/>
              </w:rPr>
            </w:pPr>
            <w:r>
              <w:rPr>
                <w:rFonts w:ascii="Times New Roman"/>
                <w:sz w:val="13"/>
              </w:rPr>
              <w:t>90.000</w:t>
            </w:r>
          </w:p>
        </w:tc>
        <w:tc>
          <w:tcPr>
            <w:tcW w:w="770" w:type="dxa"/>
            <w:shd w:val="clear" w:color="auto" w:fill="F1F1F1"/>
          </w:tcPr>
          <w:p>
            <w:pPr>
              <w:pStyle w:val="TableParagraph"/>
              <w:spacing w:before="12"/>
              <w:ind w:left="188" w:right="184"/>
              <w:jc w:val="center"/>
              <w:rPr>
                <w:rFonts w:ascii="Times New Roman"/>
                <w:sz w:val="13"/>
              </w:rPr>
            </w:pPr>
            <w:r>
              <w:rPr>
                <w:rFonts w:ascii="Times New Roman"/>
                <w:sz w:val="13"/>
              </w:rPr>
              <w:t>11.250</w:t>
            </w:r>
          </w:p>
        </w:tc>
        <w:tc>
          <w:tcPr>
            <w:tcW w:w="645" w:type="dxa"/>
            <w:shd w:val="clear" w:color="auto" w:fill="F1F1F1"/>
          </w:tcPr>
          <w:p>
            <w:pPr>
              <w:pStyle w:val="TableParagraph"/>
              <w:spacing w:before="12"/>
              <w:ind w:left="177" w:right="63"/>
              <w:jc w:val="center"/>
              <w:rPr>
                <w:rFonts w:ascii="Times New Roman"/>
                <w:sz w:val="13"/>
              </w:rPr>
            </w:pPr>
            <w:r>
              <w:rPr>
                <w:rFonts w:ascii="Times New Roman"/>
                <w:sz w:val="13"/>
              </w:rPr>
              <w:t>4.050</w:t>
            </w:r>
          </w:p>
        </w:tc>
        <w:tc>
          <w:tcPr>
            <w:tcW w:w="717" w:type="dxa"/>
          </w:tcPr>
          <w:p>
            <w:pPr>
              <w:pStyle w:val="TableParagraph"/>
              <w:spacing w:before="12"/>
              <w:ind w:left="115" w:right="130"/>
              <w:jc w:val="center"/>
              <w:rPr>
                <w:rFonts w:ascii="Times New Roman"/>
                <w:sz w:val="13"/>
              </w:rPr>
            </w:pPr>
            <w:r>
              <w:rPr>
                <w:rFonts w:ascii="Times New Roman"/>
                <w:sz w:val="13"/>
              </w:rPr>
              <w:t>23.166</w:t>
            </w:r>
          </w:p>
        </w:tc>
        <w:tc>
          <w:tcPr>
            <w:tcW w:w="862" w:type="dxa"/>
          </w:tcPr>
          <w:p>
            <w:pPr>
              <w:pStyle w:val="TableParagraph"/>
              <w:spacing w:before="12"/>
              <w:ind w:right="219"/>
              <w:rPr>
                <w:rFonts w:ascii="Times New Roman"/>
                <w:sz w:val="13"/>
              </w:rPr>
            </w:pPr>
            <w:r>
              <w:rPr>
                <w:rFonts w:ascii="Times New Roman"/>
                <w:sz w:val="13"/>
              </w:rPr>
              <w:t>128.466</w:t>
            </w:r>
          </w:p>
        </w:tc>
      </w:tr>
      <w:tr>
        <w:trPr>
          <w:trHeight w:val="174" w:hRule="exact"/>
        </w:trPr>
        <w:tc>
          <w:tcPr>
            <w:tcW w:w="1757" w:type="dxa"/>
          </w:tcPr>
          <w:p>
            <w:pPr>
              <w:pStyle w:val="TableParagraph"/>
              <w:spacing w:before="12"/>
              <w:ind w:left="30"/>
              <w:jc w:val="left"/>
              <w:rPr>
                <w:rFonts w:ascii="Times New Roman"/>
                <w:b/>
                <w:sz w:val="13"/>
              </w:rPr>
            </w:pPr>
            <w:r>
              <w:rPr>
                <w:rFonts w:ascii="Times New Roman"/>
                <w:b/>
                <w:sz w:val="13"/>
              </w:rPr>
              <w:t>Attestatori</w:t>
            </w:r>
          </w:p>
        </w:tc>
        <w:tc>
          <w:tcPr>
            <w:tcW w:w="3482" w:type="dxa"/>
          </w:tcPr>
          <w:p>
            <w:pPr>
              <w:pStyle w:val="TableParagraph"/>
              <w:spacing w:before="12"/>
              <w:ind w:left="53"/>
              <w:jc w:val="left"/>
              <w:rPr>
                <w:rFonts w:ascii="Times New Roman"/>
                <w:sz w:val="13"/>
              </w:rPr>
            </w:pPr>
            <w:r>
              <w:rPr>
                <w:rFonts w:ascii="Times New Roman"/>
                <w:sz w:val="13"/>
              </w:rPr>
              <w:t>Dott.ri A. Solidoro e C. Pagliughi</w:t>
            </w:r>
          </w:p>
        </w:tc>
        <w:tc>
          <w:tcPr>
            <w:tcW w:w="829" w:type="dxa"/>
            <w:shd w:val="clear" w:color="auto" w:fill="F1F1F1"/>
          </w:tcPr>
          <w:p>
            <w:pPr>
              <w:pStyle w:val="TableParagraph"/>
              <w:spacing w:before="12"/>
              <w:ind w:left="70" w:right="190"/>
              <w:jc w:val="center"/>
              <w:rPr>
                <w:rFonts w:ascii="Times New Roman"/>
                <w:sz w:val="13"/>
              </w:rPr>
            </w:pPr>
            <w:r>
              <w:rPr>
                <w:rFonts w:ascii="Times New Roman"/>
                <w:sz w:val="13"/>
              </w:rPr>
              <w:t>186.000</w:t>
            </w:r>
          </w:p>
        </w:tc>
        <w:tc>
          <w:tcPr>
            <w:tcW w:w="770" w:type="dxa"/>
            <w:shd w:val="clear" w:color="auto" w:fill="F1F1F1"/>
          </w:tcPr>
          <w:p>
            <w:pPr>
              <w:pStyle w:val="TableParagraph"/>
              <w:spacing w:before="12"/>
              <w:ind w:left="183" w:right="184"/>
              <w:jc w:val="center"/>
              <w:rPr>
                <w:rFonts w:ascii="Times New Roman"/>
                <w:sz w:val="13"/>
              </w:rPr>
            </w:pPr>
            <w:r>
              <w:rPr>
                <w:rFonts w:ascii="Times New Roman"/>
                <w:sz w:val="13"/>
              </w:rPr>
              <w:t>9.300</w:t>
            </w:r>
          </w:p>
        </w:tc>
        <w:tc>
          <w:tcPr>
            <w:tcW w:w="645" w:type="dxa"/>
            <w:shd w:val="clear" w:color="auto" w:fill="F1F1F1"/>
          </w:tcPr>
          <w:p>
            <w:pPr>
              <w:pStyle w:val="TableParagraph"/>
              <w:spacing w:before="12"/>
              <w:ind w:left="177" w:right="63"/>
              <w:jc w:val="center"/>
              <w:rPr>
                <w:rFonts w:ascii="Times New Roman"/>
                <w:sz w:val="13"/>
              </w:rPr>
            </w:pPr>
            <w:r>
              <w:rPr>
                <w:rFonts w:ascii="Times New Roman"/>
                <w:sz w:val="13"/>
              </w:rPr>
              <w:t>7.812</w:t>
            </w:r>
          </w:p>
        </w:tc>
        <w:tc>
          <w:tcPr>
            <w:tcW w:w="717" w:type="dxa"/>
          </w:tcPr>
          <w:p>
            <w:pPr>
              <w:pStyle w:val="TableParagraph"/>
              <w:spacing w:before="12"/>
              <w:ind w:left="115" w:right="130"/>
              <w:jc w:val="center"/>
              <w:rPr>
                <w:rFonts w:ascii="Times New Roman"/>
                <w:sz w:val="13"/>
              </w:rPr>
            </w:pPr>
            <w:r>
              <w:rPr>
                <w:rFonts w:ascii="Times New Roman"/>
                <w:sz w:val="13"/>
              </w:rPr>
              <w:t>44.685</w:t>
            </w:r>
          </w:p>
        </w:tc>
        <w:tc>
          <w:tcPr>
            <w:tcW w:w="862" w:type="dxa"/>
          </w:tcPr>
          <w:p>
            <w:pPr>
              <w:pStyle w:val="TableParagraph"/>
              <w:spacing w:before="12"/>
              <w:ind w:right="219"/>
              <w:rPr>
                <w:rFonts w:ascii="Times New Roman"/>
                <w:sz w:val="13"/>
              </w:rPr>
            </w:pPr>
            <w:r>
              <w:rPr>
                <w:rFonts w:ascii="Times New Roman"/>
                <w:sz w:val="13"/>
              </w:rPr>
              <w:t>247.797</w:t>
            </w:r>
          </w:p>
        </w:tc>
      </w:tr>
      <w:tr>
        <w:trPr>
          <w:trHeight w:val="170" w:hRule="exact"/>
        </w:trPr>
        <w:tc>
          <w:tcPr>
            <w:tcW w:w="1757" w:type="dxa"/>
          </w:tcPr>
          <w:p>
            <w:pPr>
              <w:pStyle w:val="TableParagraph"/>
              <w:spacing w:before="8"/>
              <w:ind w:left="30"/>
              <w:jc w:val="left"/>
              <w:rPr>
                <w:rFonts w:ascii="Times New Roman"/>
                <w:b/>
                <w:sz w:val="13"/>
              </w:rPr>
            </w:pPr>
            <w:r>
              <w:rPr>
                <w:rFonts w:ascii="Times New Roman"/>
                <w:b/>
                <w:sz w:val="13"/>
              </w:rPr>
              <w:t>Consulente</w:t>
            </w:r>
          </w:p>
        </w:tc>
        <w:tc>
          <w:tcPr>
            <w:tcW w:w="3482" w:type="dxa"/>
          </w:tcPr>
          <w:p>
            <w:pPr>
              <w:pStyle w:val="TableParagraph"/>
              <w:spacing w:before="8"/>
              <w:ind w:left="53"/>
              <w:jc w:val="left"/>
              <w:rPr>
                <w:rFonts w:ascii="Times New Roman"/>
                <w:sz w:val="13"/>
              </w:rPr>
            </w:pPr>
            <w:r>
              <w:rPr>
                <w:rFonts w:ascii="Times New Roman"/>
                <w:sz w:val="13"/>
              </w:rPr>
              <w:t>Deloitte Financial  Advisory S.r.l.</w:t>
            </w:r>
          </w:p>
        </w:tc>
        <w:tc>
          <w:tcPr>
            <w:tcW w:w="829" w:type="dxa"/>
            <w:shd w:val="clear" w:color="auto" w:fill="F1F1F1"/>
          </w:tcPr>
          <w:p>
            <w:pPr>
              <w:pStyle w:val="TableParagraph"/>
              <w:spacing w:before="8"/>
              <w:ind w:left="70" w:right="190"/>
              <w:jc w:val="center"/>
              <w:rPr>
                <w:rFonts w:ascii="Times New Roman"/>
                <w:sz w:val="13"/>
              </w:rPr>
            </w:pPr>
            <w:r>
              <w:rPr>
                <w:rFonts w:ascii="Times New Roman"/>
                <w:sz w:val="13"/>
              </w:rPr>
              <w:t>200.000</w:t>
            </w:r>
          </w:p>
        </w:tc>
        <w:tc>
          <w:tcPr>
            <w:tcW w:w="770" w:type="dxa"/>
            <w:shd w:val="clear" w:color="auto" w:fill="F1F1F1"/>
          </w:tcPr>
          <w:p>
            <w:pPr>
              <w:pStyle w:val="TableParagraph"/>
              <w:spacing w:before="8"/>
              <w:ind w:right="1"/>
              <w:jc w:val="center"/>
              <w:rPr>
                <w:rFonts w:ascii="Times New Roman"/>
                <w:sz w:val="13"/>
              </w:rPr>
            </w:pPr>
            <w:r>
              <w:rPr>
                <w:rFonts w:ascii="Times New Roman"/>
                <w:w w:val="101"/>
                <w:sz w:val="13"/>
              </w:rPr>
              <w:t>-</w:t>
            </w:r>
          </w:p>
        </w:tc>
        <w:tc>
          <w:tcPr>
            <w:tcW w:w="645" w:type="dxa"/>
            <w:shd w:val="clear" w:color="auto" w:fill="F1F1F1"/>
          </w:tcPr>
          <w:p>
            <w:pPr>
              <w:pStyle w:val="TableParagraph"/>
              <w:spacing w:before="8"/>
              <w:ind w:left="115"/>
              <w:jc w:val="center"/>
              <w:rPr>
                <w:rFonts w:ascii="Times New Roman"/>
                <w:sz w:val="13"/>
              </w:rPr>
            </w:pPr>
            <w:r>
              <w:rPr>
                <w:rFonts w:ascii="Times New Roman"/>
                <w:w w:val="101"/>
                <w:sz w:val="13"/>
              </w:rPr>
              <w:t>-</w:t>
            </w:r>
          </w:p>
        </w:tc>
        <w:tc>
          <w:tcPr>
            <w:tcW w:w="717" w:type="dxa"/>
          </w:tcPr>
          <w:p>
            <w:pPr>
              <w:pStyle w:val="TableParagraph"/>
              <w:spacing w:before="8"/>
              <w:ind w:left="115" w:right="130"/>
              <w:jc w:val="center"/>
              <w:rPr>
                <w:rFonts w:ascii="Times New Roman"/>
                <w:sz w:val="13"/>
              </w:rPr>
            </w:pPr>
            <w:r>
              <w:rPr>
                <w:rFonts w:ascii="Times New Roman"/>
                <w:sz w:val="13"/>
              </w:rPr>
              <w:t>44.000</w:t>
            </w:r>
          </w:p>
        </w:tc>
        <w:tc>
          <w:tcPr>
            <w:tcW w:w="862" w:type="dxa"/>
          </w:tcPr>
          <w:p>
            <w:pPr>
              <w:pStyle w:val="TableParagraph"/>
              <w:spacing w:before="8"/>
              <w:ind w:right="219"/>
              <w:rPr>
                <w:rFonts w:ascii="Times New Roman"/>
                <w:sz w:val="13"/>
              </w:rPr>
            </w:pPr>
            <w:r>
              <w:rPr>
                <w:rFonts w:ascii="Times New Roman"/>
                <w:sz w:val="13"/>
              </w:rPr>
              <w:t>244.000</w:t>
            </w:r>
          </w:p>
        </w:tc>
      </w:tr>
      <w:tr>
        <w:trPr>
          <w:trHeight w:val="170" w:hRule="exact"/>
        </w:trPr>
        <w:tc>
          <w:tcPr>
            <w:tcW w:w="1757" w:type="dxa"/>
          </w:tcPr>
          <w:p>
            <w:pPr>
              <w:pStyle w:val="TableParagraph"/>
              <w:spacing w:before="8"/>
              <w:ind w:left="30"/>
              <w:jc w:val="left"/>
              <w:rPr>
                <w:rFonts w:ascii="Times New Roman"/>
                <w:b/>
                <w:sz w:val="13"/>
              </w:rPr>
            </w:pPr>
            <w:r>
              <w:rPr>
                <w:rFonts w:ascii="Times New Roman"/>
                <w:b/>
                <w:sz w:val="13"/>
              </w:rPr>
              <w:t>Perito Immobile</w:t>
            </w:r>
          </w:p>
        </w:tc>
        <w:tc>
          <w:tcPr>
            <w:tcW w:w="3482" w:type="dxa"/>
          </w:tcPr>
          <w:p>
            <w:pPr>
              <w:pStyle w:val="TableParagraph"/>
              <w:spacing w:before="8"/>
              <w:ind w:left="53"/>
              <w:jc w:val="left"/>
              <w:rPr>
                <w:rFonts w:ascii="Times New Roman"/>
                <w:sz w:val="13"/>
              </w:rPr>
            </w:pPr>
            <w:r>
              <w:rPr>
                <w:rFonts w:ascii="Times New Roman"/>
                <w:sz w:val="13"/>
              </w:rPr>
              <w:t>Arch. Massimiliano Bolamperti</w:t>
            </w:r>
          </w:p>
        </w:tc>
        <w:tc>
          <w:tcPr>
            <w:tcW w:w="829" w:type="dxa"/>
            <w:shd w:val="clear" w:color="auto" w:fill="F1F1F1"/>
          </w:tcPr>
          <w:p>
            <w:pPr>
              <w:pStyle w:val="TableParagraph"/>
              <w:spacing w:before="8"/>
              <w:ind w:right="117"/>
              <w:jc w:val="center"/>
              <w:rPr>
                <w:rFonts w:ascii="Times New Roman"/>
                <w:sz w:val="13"/>
              </w:rPr>
            </w:pPr>
            <w:r>
              <w:rPr>
                <w:rFonts w:ascii="Times New Roman"/>
                <w:w w:val="101"/>
                <w:sz w:val="13"/>
              </w:rPr>
              <w:t>-</w:t>
            </w:r>
          </w:p>
        </w:tc>
        <w:tc>
          <w:tcPr>
            <w:tcW w:w="770" w:type="dxa"/>
            <w:shd w:val="clear" w:color="auto" w:fill="F1F1F1"/>
          </w:tcPr>
          <w:p>
            <w:pPr>
              <w:pStyle w:val="TableParagraph"/>
              <w:spacing w:before="8"/>
              <w:ind w:right="1"/>
              <w:jc w:val="center"/>
              <w:rPr>
                <w:rFonts w:ascii="Times New Roman"/>
                <w:sz w:val="13"/>
              </w:rPr>
            </w:pPr>
            <w:r>
              <w:rPr>
                <w:rFonts w:ascii="Times New Roman"/>
                <w:w w:val="101"/>
                <w:sz w:val="13"/>
              </w:rPr>
              <w:t>-</w:t>
            </w:r>
          </w:p>
        </w:tc>
        <w:tc>
          <w:tcPr>
            <w:tcW w:w="645" w:type="dxa"/>
            <w:shd w:val="clear" w:color="auto" w:fill="F1F1F1"/>
          </w:tcPr>
          <w:p>
            <w:pPr>
              <w:pStyle w:val="TableParagraph"/>
              <w:spacing w:before="8"/>
              <w:ind w:left="115"/>
              <w:jc w:val="center"/>
              <w:rPr>
                <w:rFonts w:ascii="Times New Roman"/>
                <w:sz w:val="13"/>
              </w:rPr>
            </w:pPr>
            <w:r>
              <w:rPr>
                <w:rFonts w:ascii="Times New Roman"/>
                <w:w w:val="101"/>
                <w:sz w:val="13"/>
              </w:rPr>
              <w:t>-</w:t>
            </w:r>
          </w:p>
        </w:tc>
        <w:tc>
          <w:tcPr>
            <w:tcW w:w="717" w:type="dxa"/>
          </w:tcPr>
          <w:p>
            <w:pPr>
              <w:pStyle w:val="TableParagraph"/>
              <w:spacing w:before="8"/>
              <w:ind w:right="21"/>
              <w:jc w:val="center"/>
              <w:rPr>
                <w:rFonts w:ascii="Times New Roman"/>
                <w:sz w:val="13"/>
              </w:rPr>
            </w:pPr>
            <w:r>
              <w:rPr>
                <w:rFonts w:ascii="Times New Roman"/>
                <w:w w:val="101"/>
                <w:sz w:val="13"/>
              </w:rPr>
              <w:t>-</w:t>
            </w:r>
          </w:p>
        </w:tc>
        <w:tc>
          <w:tcPr>
            <w:tcW w:w="862" w:type="dxa"/>
          </w:tcPr>
          <w:p>
            <w:pPr>
              <w:pStyle w:val="TableParagraph"/>
              <w:spacing w:before="8"/>
              <w:ind w:right="21"/>
              <w:jc w:val="center"/>
              <w:rPr>
                <w:rFonts w:ascii="Times New Roman"/>
                <w:sz w:val="13"/>
              </w:rPr>
            </w:pPr>
            <w:r>
              <w:rPr>
                <w:rFonts w:ascii="Times New Roman"/>
                <w:w w:val="101"/>
                <w:sz w:val="13"/>
              </w:rPr>
              <w:t>-</w:t>
            </w:r>
          </w:p>
        </w:tc>
      </w:tr>
      <w:tr>
        <w:trPr>
          <w:trHeight w:val="164" w:hRule="exact"/>
        </w:trPr>
        <w:tc>
          <w:tcPr>
            <w:tcW w:w="1757" w:type="dxa"/>
            <w:tcBorders>
              <w:bottom w:val="single" w:sz="3" w:space="0" w:color="000000"/>
            </w:tcBorders>
          </w:tcPr>
          <w:p>
            <w:pPr>
              <w:pStyle w:val="TableParagraph"/>
              <w:spacing w:before="8"/>
              <w:ind w:left="30"/>
              <w:jc w:val="left"/>
              <w:rPr>
                <w:rFonts w:ascii="Times New Roman"/>
                <w:b/>
                <w:sz w:val="13"/>
              </w:rPr>
            </w:pPr>
            <w:r>
              <w:rPr>
                <w:rFonts w:ascii="Times New Roman"/>
                <w:b/>
                <w:sz w:val="13"/>
              </w:rPr>
              <w:t>Periti Mobiliari</w:t>
            </w:r>
          </w:p>
        </w:tc>
        <w:tc>
          <w:tcPr>
            <w:tcW w:w="3482" w:type="dxa"/>
            <w:tcBorders>
              <w:bottom w:val="single" w:sz="3" w:space="0" w:color="000000"/>
            </w:tcBorders>
          </w:tcPr>
          <w:p>
            <w:pPr>
              <w:pStyle w:val="TableParagraph"/>
              <w:spacing w:before="8"/>
              <w:ind w:left="53"/>
              <w:jc w:val="left"/>
              <w:rPr>
                <w:rFonts w:ascii="Times New Roman"/>
                <w:sz w:val="13"/>
              </w:rPr>
            </w:pPr>
            <w:r>
              <w:rPr>
                <w:rFonts w:ascii="Times New Roman"/>
                <w:sz w:val="13"/>
              </w:rPr>
              <w:t>Dr. M. Cattaneo - Ing. G.Braccio</w:t>
            </w:r>
          </w:p>
        </w:tc>
        <w:tc>
          <w:tcPr>
            <w:tcW w:w="829" w:type="dxa"/>
            <w:tcBorders>
              <w:bottom w:val="single" w:sz="3" w:space="0" w:color="000000"/>
            </w:tcBorders>
            <w:shd w:val="clear" w:color="auto" w:fill="F1F1F1"/>
          </w:tcPr>
          <w:p>
            <w:pPr>
              <w:pStyle w:val="TableParagraph"/>
              <w:spacing w:before="8"/>
              <w:ind w:left="78" w:right="190"/>
              <w:jc w:val="center"/>
              <w:rPr>
                <w:rFonts w:ascii="Times New Roman"/>
                <w:sz w:val="13"/>
              </w:rPr>
            </w:pPr>
            <w:r>
              <w:rPr>
                <w:rFonts w:ascii="Times New Roman"/>
                <w:sz w:val="13"/>
              </w:rPr>
              <w:t>80.600</w:t>
            </w:r>
          </w:p>
        </w:tc>
        <w:tc>
          <w:tcPr>
            <w:tcW w:w="770" w:type="dxa"/>
            <w:tcBorders>
              <w:bottom w:val="single" w:sz="3" w:space="0" w:color="000000"/>
            </w:tcBorders>
            <w:shd w:val="clear" w:color="auto" w:fill="F1F1F1"/>
          </w:tcPr>
          <w:p>
            <w:pPr>
              <w:pStyle w:val="TableParagraph"/>
              <w:spacing w:before="8"/>
              <w:ind w:left="188" w:right="184"/>
              <w:jc w:val="center"/>
              <w:rPr>
                <w:rFonts w:ascii="Times New Roman"/>
                <w:sz w:val="13"/>
              </w:rPr>
            </w:pPr>
            <w:r>
              <w:rPr>
                <w:rFonts w:ascii="Times New Roman"/>
                <w:sz w:val="13"/>
              </w:rPr>
              <w:t>12.090</w:t>
            </w:r>
          </w:p>
        </w:tc>
        <w:tc>
          <w:tcPr>
            <w:tcW w:w="645" w:type="dxa"/>
            <w:tcBorders>
              <w:bottom w:val="single" w:sz="3" w:space="0" w:color="000000"/>
            </w:tcBorders>
            <w:shd w:val="clear" w:color="auto" w:fill="F1F1F1"/>
          </w:tcPr>
          <w:p>
            <w:pPr>
              <w:pStyle w:val="TableParagraph"/>
              <w:spacing w:before="8"/>
              <w:ind w:left="177" w:right="63"/>
              <w:jc w:val="center"/>
              <w:rPr>
                <w:rFonts w:ascii="Times New Roman"/>
                <w:sz w:val="13"/>
              </w:rPr>
            </w:pPr>
            <w:r>
              <w:rPr>
                <w:rFonts w:ascii="Times New Roman"/>
                <w:sz w:val="13"/>
              </w:rPr>
              <w:t>3.708</w:t>
            </w:r>
          </w:p>
        </w:tc>
        <w:tc>
          <w:tcPr>
            <w:tcW w:w="717" w:type="dxa"/>
            <w:tcBorders>
              <w:bottom w:val="single" w:sz="3" w:space="0" w:color="000000"/>
            </w:tcBorders>
          </w:tcPr>
          <w:p>
            <w:pPr>
              <w:pStyle w:val="TableParagraph"/>
              <w:spacing w:before="8"/>
              <w:ind w:left="115" w:right="130"/>
              <w:jc w:val="center"/>
              <w:rPr>
                <w:rFonts w:ascii="Times New Roman"/>
                <w:sz w:val="13"/>
              </w:rPr>
            </w:pPr>
            <w:r>
              <w:rPr>
                <w:rFonts w:ascii="Times New Roman"/>
                <w:sz w:val="13"/>
              </w:rPr>
              <w:t>21.207</w:t>
            </w:r>
          </w:p>
        </w:tc>
        <w:tc>
          <w:tcPr>
            <w:tcW w:w="862" w:type="dxa"/>
            <w:tcBorders>
              <w:bottom w:val="single" w:sz="3" w:space="0" w:color="000000"/>
            </w:tcBorders>
          </w:tcPr>
          <w:p>
            <w:pPr>
              <w:pStyle w:val="TableParagraph"/>
              <w:spacing w:before="8"/>
              <w:ind w:right="219"/>
              <w:rPr>
                <w:rFonts w:ascii="Times New Roman"/>
                <w:sz w:val="13"/>
              </w:rPr>
            </w:pPr>
            <w:r>
              <w:rPr>
                <w:rFonts w:ascii="Times New Roman"/>
                <w:sz w:val="13"/>
              </w:rPr>
              <w:t>117.605</w:t>
            </w:r>
          </w:p>
        </w:tc>
      </w:tr>
      <w:tr>
        <w:trPr>
          <w:trHeight w:val="174" w:hRule="exact"/>
        </w:trPr>
        <w:tc>
          <w:tcPr>
            <w:tcW w:w="5240" w:type="dxa"/>
            <w:gridSpan w:val="2"/>
            <w:tcBorders>
              <w:top w:val="single" w:sz="3" w:space="0" w:color="000000"/>
            </w:tcBorders>
          </w:tcPr>
          <w:p>
            <w:pPr>
              <w:pStyle w:val="TableParagraph"/>
              <w:spacing w:before="10"/>
              <w:ind w:left="30"/>
              <w:jc w:val="left"/>
              <w:rPr>
                <w:rFonts w:ascii="Times New Roman"/>
                <w:b/>
                <w:sz w:val="13"/>
              </w:rPr>
            </w:pPr>
            <w:r>
              <w:rPr>
                <w:rFonts w:ascii="Times New Roman"/>
                <w:b/>
                <w:sz w:val="13"/>
              </w:rPr>
              <w:t>Totale (a):</w:t>
            </w:r>
          </w:p>
        </w:tc>
        <w:tc>
          <w:tcPr>
            <w:tcW w:w="829" w:type="dxa"/>
            <w:tcBorders>
              <w:top w:val="single" w:sz="3" w:space="0" w:color="000000"/>
            </w:tcBorders>
            <w:shd w:val="clear" w:color="auto" w:fill="F1F1F1"/>
          </w:tcPr>
          <w:p>
            <w:pPr>
              <w:pStyle w:val="TableParagraph"/>
              <w:spacing w:before="10"/>
              <w:ind w:left="78" w:right="190"/>
              <w:jc w:val="center"/>
              <w:rPr>
                <w:rFonts w:ascii="Times New Roman"/>
                <w:b/>
                <w:sz w:val="13"/>
              </w:rPr>
            </w:pPr>
            <w:r>
              <w:rPr>
                <w:rFonts w:ascii="Times New Roman"/>
                <w:b/>
                <w:sz w:val="13"/>
              </w:rPr>
              <w:t>4.064.140</w:t>
            </w:r>
          </w:p>
        </w:tc>
        <w:tc>
          <w:tcPr>
            <w:tcW w:w="770" w:type="dxa"/>
            <w:tcBorders>
              <w:top w:val="single" w:sz="3" w:space="0" w:color="000000"/>
            </w:tcBorders>
            <w:shd w:val="clear" w:color="auto" w:fill="F1F1F1"/>
          </w:tcPr>
          <w:p>
            <w:pPr>
              <w:pStyle w:val="TableParagraph"/>
              <w:spacing w:before="10"/>
              <w:ind w:left="188" w:right="184"/>
              <w:jc w:val="center"/>
              <w:rPr>
                <w:rFonts w:ascii="Times New Roman"/>
                <w:b/>
                <w:sz w:val="13"/>
              </w:rPr>
            </w:pPr>
            <w:r>
              <w:rPr>
                <w:rFonts w:ascii="Times New Roman"/>
                <w:b/>
                <w:sz w:val="13"/>
              </w:rPr>
              <w:t>40.452</w:t>
            </w:r>
          </w:p>
        </w:tc>
        <w:tc>
          <w:tcPr>
            <w:tcW w:w="645" w:type="dxa"/>
            <w:tcBorders>
              <w:top w:val="single" w:sz="3" w:space="0" w:color="000000"/>
            </w:tcBorders>
            <w:shd w:val="clear" w:color="auto" w:fill="F1F1F1"/>
          </w:tcPr>
          <w:p>
            <w:pPr>
              <w:pStyle w:val="TableParagraph"/>
              <w:spacing w:before="10"/>
              <w:ind w:left="184" w:right="63"/>
              <w:jc w:val="center"/>
              <w:rPr>
                <w:rFonts w:ascii="Times New Roman"/>
                <w:b/>
                <w:sz w:val="13"/>
              </w:rPr>
            </w:pPr>
            <w:r>
              <w:rPr>
                <w:rFonts w:ascii="Times New Roman"/>
                <w:b/>
                <w:sz w:val="13"/>
              </w:rPr>
              <w:t>27.783</w:t>
            </w:r>
          </w:p>
        </w:tc>
        <w:tc>
          <w:tcPr>
            <w:tcW w:w="717" w:type="dxa"/>
            <w:tcBorders>
              <w:top w:val="single" w:sz="3" w:space="0" w:color="000000"/>
            </w:tcBorders>
          </w:tcPr>
          <w:p>
            <w:pPr>
              <w:pStyle w:val="TableParagraph"/>
              <w:spacing w:before="10"/>
              <w:ind w:left="115" w:right="138"/>
              <w:jc w:val="center"/>
              <w:rPr>
                <w:rFonts w:ascii="Times New Roman"/>
                <w:b/>
                <w:sz w:val="13"/>
              </w:rPr>
            </w:pPr>
            <w:r>
              <w:rPr>
                <w:rFonts w:ascii="Times New Roman"/>
                <w:b/>
                <w:sz w:val="13"/>
              </w:rPr>
              <w:t>909.123</w:t>
            </w:r>
          </w:p>
        </w:tc>
        <w:tc>
          <w:tcPr>
            <w:tcW w:w="862" w:type="dxa"/>
            <w:tcBorders>
              <w:top w:val="single" w:sz="3" w:space="0" w:color="000000"/>
            </w:tcBorders>
          </w:tcPr>
          <w:p>
            <w:pPr>
              <w:pStyle w:val="TableParagraph"/>
              <w:spacing w:before="10"/>
              <w:ind w:right="165"/>
              <w:rPr>
                <w:rFonts w:ascii="Times New Roman"/>
                <w:b/>
                <w:sz w:val="13"/>
              </w:rPr>
            </w:pPr>
            <w:r>
              <w:rPr>
                <w:rFonts w:ascii="Times New Roman"/>
                <w:b/>
                <w:sz w:val="13"/>
              </w:rPr>
              <w:t>5.041.498</w:t>
            </w:r>
          </w:p>
        </w:tc>
      </w:tr>
    </w:tbl>
    <w:p>
      <w:pPr>
        <w:pStyle w:val="BodyText"/>
        <w:spacing w:before="7"/>
        <w:rPr>
          <w:rFonts w:ascii="Times New Roman"/>
          <w:b/>
          <w:sz w:val="15"/>
        </w:rPr>
      </w:pPr>
    </w:p>
    <w:p>
      <w:pPr>
        <w:pStyle w:val="ListParagraph"/>
        <w:numPr>
          <w:ilvl w:val="0"/>
          <w:numId w:val="102"/>
        </w:numPr>
        <w:tabs>
          <w:tab w:pos="1605" w:val="left" w:leader="none"/>
        </w:tabs>
        <w:spacing w:line="240" w:lineRule="auto" w:before="1" w:after="0"/>
        <w:ind w:left="1604" w:right="0" w:hanging="154"/>
        <w:jc w:val="left"/>
        <w:rPr>
          <w:rFonts w:ascii="Times New Roman"/>
          <w:b/>
          <w:sz w:val="13"/>
        </w:rPr>
      </w:pPr>
      <w:r>
        <w:rPr>
          <w:rFonts w:ascii="Times New Roman"/>
          <w:b/>
          <w:color w:val="9F2F33"/>
          <w:sz w:val="13"/>
          <w:u w:val="single" w:color="9F2F33"/>
        </w:rPr>
        <w:t>Spese di</w:t>
      </w:r>
      <w:r>
        <w:rPr>
          <w:rFonts w:ascii="Times New Roman"/>
          <w:b/>
          <w:color w:val="9F2F33"/>
          <w:spacing w:val="18"/>
          <w:sz w:val="13"/>
          <w:u w:val="single" w:color="9F2F33"/>
        </w:rPr>
        <w:t> </w:t>
      </w:r>
      <w:r>
        <w:rPr>
          <w:rFonts w:ascii="Times New Roman"/>
          <w:b/>
          <w:color w:val="9F2F33"/>
          <w:sz w:val="13"/>
          <w:u w:val="single" w:color="9F2F33"/>
        </w:rPr>
        <w:t>procedura</w:t>
      </w:r>
    </w:p>
    <w:p>
      <w:pPr>
        <w:pStyle w:val="BodyText"/>
        <w:spacing w:after="1"/>
        <w:rPr>
          <w:rFonts w:ascii="Times New Roman"/>
          <w:b/>
          <w:sz w:val="15"/>
        </w:rPr>
      </w:pPr>
    </w:p>
    <w:tbl>
      <w:tblPr>
        <w:tblW w:w="0" w:type="auto"/>
        <w:jc w:val="left"/>
        <w:tblInd w:w="1419"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5240"/>
        <w:gridCol w:w="829"/>
        <w:gridCol w:w="770"/>
        <w:gridCol w:w="645"/>
        <w:gridCol w:w="717"/>
        <w:gridCol w:w="862"/>
      </w:tblGrid>
      <w:tr>
        <w:trPr>
          <w:trHeight w:val="344" w:hRule="exact"/>
        </w:trPr>
        <w:tc>
          <w:tcPr>
            <w:tcW w:w="5240" w:type="dxa"/>
            <w:tcBorders>
              <w:bottom w:val="single" w:sz="3" w:space="0" w:color="000000"/>
            </w:tcBorders>
          </w:tcPr>
          <w:p>
            <w:pPr>
              <w:pStyle w:val="TableParagraph"/>
              <w:tabs>
                <w:tab w:pos="1810" w:val="left" w:leader="none"/>
              </w:tabs>
              <w:spacing w:before="18"/>
              <w:ind w:left="30"/>
              <w:jc w:val="left"/>
              <w:rPr>
                <w:rFonts w:ascii="Times New Roman"/>
                <w:sz w:val="13"/>
              </w:rPr>
            </w:pPr>
            <w:r>
              <w:rPr>
                <w:rFonts w:ascii="Times New Roman"/>
                <w:b/>
                <w:sz w:val="13"/>
              </w:rPr>
              <w:t>Commissari</w:t>
            </w:r>
            <w:r>
              <w:rPr>
                <w:rFonts w:ascii="Times New Roman"/>
                <w:b/>
                <w:spacing w:val="21"/>
                <w:sz w:val="13"/>
              </w:rPr>
              <w:t> </w:t>
            </w:r>
            <w:r>
              <w:rPr>
                <w:rFonts w:ascii="Times New Roman"/>
                <w:b/>
                <w:sz w:val="13"/>
              </w:rPr>
              <w:t>Giudiziali</w:t>
              <w:tab/>
            </w:r>
            <w:r>
              <w:rPr>
                <w:rFonts w:ascii="Times New Roman"/>
                <w:sz w:val="13"/>
              </w:rPr>
              <w:t>Dott.ri S. Cremonesi, P. Canevelli, C.</w:t>
            </w:r>
            <w:r>
              <w:rPr>
                <w:rFonts w:ascii="Times New Roman"/>
                <w:spacing w:val="-3"/>
                <w:sz w:val="13"/>
              </w:rPr>
              <w:t> </w:t>
            </w:r>
            <w:r>
              <w:rPr>
                <w:rFonts w:ascii="Times New Roman"/>
                <w:sz w:val="13"/>
              </w:rPr>
              <w:t>Ferrario</w:t>
            </w:r>
          </w:p>
          <w:p>
            <w:pPr>
              <w:pStyle w:val="TableParagraph"/>
              <w:spacing w:before="20"/>
              <w:ind w:left="30"/>
              <w:jc w:val="left"/>
              <w:rPr>
                <w:rFonts w:ascii="Times New Roman"/>
                <w:b/>
                <w:sz w:val="13"/>
              </w:rPr>
            </w:pPr>
            <w:r>
              <w:rPr>
                <w:rFonts w:ascii="Times New Roman"/>
                <w:b/>
                <w:sz w:val="13"/>
              </w:rPr>
              <w:t>Liquidatore  Giudiziale</w:t>
            </w:r>
          </w:p>
        </w:tc>
        <w:tc>
          <w:tcPr>
            <w:tcW w:w="829" w:type="dxa"/>
            <w:tcBorders>
              <w:bottom w:val="single" w:sz="3" w:space="0" w:color="000000"/>
            </w:tcBorders>
            <w:shd w:val="clear" w:color="auto" w:fill="F1F1F1"/>
          </w:tcPr>
          <w:p>
            <w:pPr>
              <w:pStyle w:val="TableParagraph"/>
              <w:spacing w:before="18"/>
              <w:ind w:left="85"/>
              <w:jc w:val="left"/>
              <w:rPr>
                <w:rFonts w:ascii="Times New Roman"/>
                <w:sz w:val="13"/>
              </w:rPr>
            </w:pPr>
            <w:r>
              <w:rPr>
                <w:rFonts w:ascii="Times New Roman"/>
                <w:sz w:val="13"/>
              </w:rPr>
              <w:t>1.321.481</w:t>
            </w:r>
          </w:p>
          <w:p>
            <w:pPr>
              <w:pStyle w:val="TableParagraph"/>
              <w:spacing w:before="20"/>
              <w:ind w:left="131"/>
              <w:jc w:val="left"/>
              <w:rPr>
                <w:rFonts w:ascii="Times New Roman"/>
                <w:sz w:val="13"/>
              </w:rPr>
            </w:pPr>
            <w:r>
              <w:rPr>
                <w:rFonts w:ascii="Times New Roman"/>
                <w:sz w:val="13"/>
              </w:rPr>
              <w:t>635.143</w:t>
            </w:r>
          </w:p>
        </w:tc>
        <w:tc>
          <w:tcPr>
            <w:tcW w:w="770" w:type="dxa"/>
            <w:tcBorders>
              <w:bottom w:val="single" w:sz="3" w:space="0" w:color="000000"/>
            </w:tcBorders>
            <w:shd w:val="clear" w:color="auto" w:fill="F1F1F1"/>
          </w:tcPr>
          <w:p>
            <w:pPr>
              <w:pStyle w:val="TableParagraph"/>
              <w:spacing w:before="18"/>
              <w:ind w:left="199"/>
              <w:jc w:val="left"/>
              <w:rPr>
                <w:rFonts w:ascii="Times New Roman"/>
                <w:sz w:val="13"/>
              </w:rPr>
            </w:pPr>
            <w:r>
              <w:rPr>
                <w:rFonts w:ascii="Times New Roman"/>
                <w:sz w:val="13"/>
              </w:rPr>
              <w:t>66.074</w:t>
            </w:r>
          </w:p>
          <w:p>
            <w:pPr>
              <w:pStyle w:val="TableParagraph"/>
              <w:spacing w:before="20"/>
              <w:ind w:left="199"/>
              <w:jc w:val="left"/>
              <w:rPr>
                <w:rFonts w:ascii="Times New Roman"/>
                <w:sz w:val="13"/>
              </w:rPr>
            </w:pPr>
            <w:r>
              <w:rPr>
                <w:rFonts w:ascii="Times New Roman"/>
                <w:sz w:val="13"/>
              </w:rPr>
              <w:t>31.757</w:t>
            </w:r>
          </w:p>
        </w:tc>
        <w:tc>
          <w:tcPr>
            <w:tcW w:w="645" w:type="dxa"/>
            <w:tcBorders>
              <w:bottom w:val="single" w:sz="3" w:space="0" w:color="000000"/>
            </w:tcBorders>
            <w:shd w:val="clear" w:color="auto" w:fill="F1F1F1"/>
          </w:tcPr>
          <w:p>
            <w:pPr>
              <w:pStyle w:val="TableParagraph"/>
              <w:spacing w:before="18"/>
              <w:ind w:left="195"/>
              <w:jc w:val="left"/>
              <w:rPr>
                <w:rFonts w:ascii="Times New Roman"/>
                <w:sz w:val="13"/>
              </w:rPr>
            </w:pPr>
            <w:r>
              <w:rPr>
                <w:rFonts w:ascii="Times New Roman"/>
                <w:sz w:val="13"/>
              </w:rPr>
              <w:t>55.502</w:t>
            </w:r>
          </w:p>
          <w:p>
            <w:pPr>
              <w:pStyle w:val="TableParagraph"/>
              <w:spacing w:before="20"/>
              <w:ind w:left="195"/>
              <w:jc w:val="left"/>
              <w:rPr>
                <w:rFonts w:ascii="Times New Roman"/>
                <w:sz w:val="13"/>
              </w:rPr>
            </w:pPr>
            <w:r>
              <w:rPr>
                <w:rFonts w:ascii="Times New Roman"/>
                <w:sz w:val="13"/>
              </w:rPr>
              <w:t>26.676</w:t>
            </w:r>
          </w:p>
        </w:tc>
        <w:tc>
          <w:tcPr>
            <w:tcW w:w="717" w:type="dxa"/>
            <w:tcBorders>
              <w:bottom w:val="single" w:sz="3" w:space="0" w:color="000000"/>
            </w:tcBorders>
          </w:tcPr>
          <w:p>
            <w:pPr>
              <w:pStyle w:val="TableParagraph"/>
              <w:spacing w:before="18"/>
              <w:ind w:left="123"/>
              <w:jc w:val="left"/>
              <w:rPr>
                <w:rFonts w:ascii="Times New Roman"/>
                <w:sz w:val="13"/>
              </w:rPr>
            </w:pPr>
            <w:r>
              <w:rPr>
                <w:rFonts w:ascii="Times New Roman"/>
                <w:sz w:val="13"/>
              </w:rPr>
              <w:t>317.473</w:t>
            </w:r>
          </w:p>
          <w:p>
            <w:pPr>
              <w:pStyle w:val="TableParagraph"/>
              <w:spacing w:before="20"/>
              <w:ind w:left="123"/>
              <w:jc w:val="left"/>
              <w:rPr>
                <w:rFonts w:ascii="Times New Roman"/>
                <w:sz w:val="13"/>
              </w:rPr>
            </w:pPr>
            <w:r>
              <w:rPr>
                <w:rFonts w:ascii="Times New Roman"/>
                <w:sz w:val="13"/>
              </w:rPr>
              <w:t>152.587</w:t>
            </w:r>
          </w:p>
        </w:tc>
        <w:tc>
          <w:tcPr>
            <w:tcW w:w="862" w:type="dxa"/>
            <w:tcBorders>
              <w:bottom w:val="single" w:sz="3" w:space="0" w:color="000000"/>
            </w:tcBorders>
          </w:tcPr>
          <w:p>
            <w:pPr>
              <w:pStyle w:val="TableParagraph"/>
              <w:spacing w:before="18"/>
              <w:ind w:left="149"/>
              <w:jc w:val="left"/>
              <w:rPr>
                <w:rFonts w:ascii="Times New Roman"/>
                <w:sz w:val="13"/>
              </w:rPr>
            </w:pPr>
            <w:r>
              <w:rPr>
                <w:rFonts w:ascii="Times New Roman"/>
                <w:sz w:val="13"/>
              </w:rPr>
              <w:t>1.760.530</w:t>
            </w:r>
          </w:p>
          <w:p>
            <w:pPr>
              <w:pStyle w:val="TableParagraph"/>
              <w:spacing w:before="20"/>
              <w:ind w:left="195"/>
              <w:jc w:val="left"/>
              <w:rPr>
                <w:rFonts w:ascii="Times New Roman"/>
                <w:sz w:val="13"/>
              </w:rPr>
            </w:pPr>
            <w:r>
              <w:rPr>
                <w:rFonts w:ascii="Times New Roman"/>
                <w:sz w:val="13"/>
              </w:rPr>
              <w:t>846.164</w:t>
            </w:r>
          </w:p>
        </w:tc>
      </w:tr>
      <w:tr>
        <w:trPr>
          <w:trHeight w:val="174" w:hRule="exact"/>
        </w:trPr>
        <w:tc>
          <w:tcPr>
            <w:tcW w:w="5240" w:type="dxa"/>
            <w:tcBorders>
              <w:top w:val="single" w:sz="3" w:space="0" w:color="000000"/>
            </w:tcBorders>
          </w:tcPr>
          <w:p>
            <w:pPr>
              <w:pStyle w:val="TableParagraph"/>
              <w:spacing w:before="10"/>
              <w:ind w:left="30"/>
              <w:jc w:val="left"/>
              <w:rPr>
                <w:rFonts w:ascii="Times New Roman"/>
                <w:b/>
                <w:sz w:val="13"/>
              </w:rPr>
            </w:pPr>
            <w:r>
              <w:rPr>
                <w:rFonts w:ascii="Times New Roman"/>
                <w:b/>
                <w:sz w:val="13"/>
              </w:rPr>
              <w:t>Totale (b):</w:t>
            </w:r>
          </w:p>
        </w:tc>
        <w:tc>
          <w:tcPr>
            <w:tcW w:w="829" w:type="dxa"/>
            <w:tcBorders>
              <w:top w:val="single" w:sz="3" w:space="0" w:color="000000"/>
            </w:tcBorders>
            <w:shd w:val="clear" w:color="auto" w:fill="F1F1F1"/>
          </w:tcPr>
          <w:p>
            <w:pPr>
              <w:pStyle w:val="TableParagraph"/>
              <w:spacing w:before="10"/>
              <w:ind w:left="85"/>
              <w:jc w:val="left"/>
              <w:rPr>
                <w:rFonts w:ascii="Times New Roman"/>
                <w:b/>
                <w:sz w:val="13"/>
              </w:rPr>
            </w:pPr>
            <w:r>
              <w:rPr>
                <w:rFonts w:ascii="Times New Roman"/>
                <w:b/>
                <w:sz w:val="13"/>
              </w:rPr>
              <w:t>1.956.625</w:t>
            </w:r>
          </w:p>
        </w:tc>
        <w:tc>
          <w:tcPr>
            <w:tcW w:w="770" w:type="dxa"/>
            <w:tcBorders>
              <w:top w:val="single" w:sz="3" w:space="0" w:color="000000"/>
            </w:tcBorders>
            <w:shd w:val="clear" w:color="auto" w:fill="F1F1F1"/>
          </w:tcPr>
          <w:p>
            <w:pPr>
              <w:pStyle w:val="TableParagraph"/>
              <w:spacing w:before="10"/>
              <w:ind w:left="199"/>
              <w:jc w:val="left"/>
              <w:rPr>
                <w:rFonts w:ascii="Times New Roman"/>
                <w:b/>
                <w:sz w:val="13"/>
              </w:rPr>
            </w:pPr>
            <w:r>
              <w:rPr>
                <w:rFonts w:ascii="Times New Roman"/>
                <w:b/>
                <w:sz w:val="13"/>
              </w:rPr>
              <w:t>97.831</w:t>
            </w:r>
          </w:p>
        </w:tc>
        <w:tc>
          <w:tcPr>
            <w:tcW w:w="645" w:type="dxa"/>
            <w:tcBorders>
              <w:top w:val="single" w:sz="3" w:space="0" w:color="000000"/>
            </w:tcBorders>
            <w:shd w:val="clear" w:color="auto" w:fill="F1F1F1"/>
          </w:tcPr>
          <w:p>
            <w:pPr>
              <w:pStyle w:val="TableParagraph"/>
              <w:spacing w:before="10"/>
              <w:ind w:left="195"/>
              <w:jc w:val="left"/>
              <w:rPr>
                <w:rFonts w:ascii="Times New Roman"/>
                <w:b/>
                <w:sz w:val="13"/>
              </w:rPr>
            </w:pPr>
            <w:r>
              <w:rPr>
                <w:rFonts w:ascii="Times New Roman"/>
                <w:b/>
                <w:sz w:val="13"/>
              </w:rPr>
              <w:t>82.178</w:t>
            </w:r>
          </w:p>
        </w:tc>
        <w:tc>
          <w:tcPr>
            <w:tcW w:w="717" w:type="dxa"/>
            <w:tcBorders>
              <w:top w:val="single" w:sz="3" w:space="0" w:color="000000"/>
            </w:tcBorders>
          </w:tcPr>
          <w:p>
            <w:pPr>
              <w:pStyle w:val="TableParagraph"/>
              <w:spacing w:before="10"/>
              <w:ind w:left="123"/>
              <w:jc w:val="left"/>
              <w:rPr>
                <w:rFonts w:ascii="Times New Roman"/>
                <w:b/>
                <w:sz w:val="13"/>
              </w:rPr>
            </w:pPr>
            <w:r>
              <w:rPr>
                <w:rFonts w:ascii="Times New Roman"/>
                <w:b/>
                <w:sz w:val="13"/>
              </w:rPr>
              <w:t>470.060</w:t>
            </w:r>
          </w:p>
        </w:tc>
        <w:tc>
          <w:tcPr>
            <w:tcW w:w="862" w:type="dxa"/>
            <w:tcBorders>
              <w:top w:val="single" w:sz="3" w:space="0" w:color="000000"/>
            </w:tcBorders>
          </w:tcPr>
          <w:p>
            <w:pPr>
              <w:pStyle w:val="TableParagraph"/>
              <w:spacing w:before="10"/>
              <w:ind w:left="149"/>
              <w:jc w:val="left"/>
              <w:rPr>
                <w:rFonts w:ascii="Times New Roman"/>
                <w:b/>
                <w:sz w:val="13"/>
              </w:rPr>
            </w:pPr>
            <w:r>
              <w:rPr>
                <w:rFonts w:ascii="Times New Roman"/>
                <w:b/>
                <w:sz w:val="13"/>
              </w:rPr>
              <w:t>2.606.694</w:t>
            </w:r>
          </w:p>
        </w:tc>
      </w:tr>
    </w:tbl>
    <w:p>
      <w:pPr>
        <w:pStyle w:val="BodyText"/>
        <w:spacing w:before="8"/>
        <w:rPr>
          <w:rFonts w:ascii="Times New Roman"/>
          <w:b/>
          <w:sz w:val="10"/>
        </w:rPr>
      </w:pPr>
      <w:r>
        <w:rPr/>
        <w:pict>
          <v:group style="position:absolute;margin-left:70.760002pt;margin-top:8.118249pt;width:453.55pt;height:.4pt;mso-position-horizontal-relative:page;mso-position-vertical-relative:paragraph;z-index:2248;mso-wrap-distance-left:0;mso-wrap-distance-right:0" coordorigin="1415,162" coordsize="9071,8">
            <v:line style="position:absolute" from="1423,166" to="10478,166" stroked="true" strokeweight=".386147pt" strokecolor="#000000">
              <v:stroke dashstyle="solid"/>
            </v:line>
            <v:line style="position:absolute" from="1419,166" to="10482,166" stroked="true" strokeweight=".386154pt" strokecolor="#000000">
              <v:stroke dashstyle="solid"/>
            </v:line>
            <w10:wrap type="topAndBottom"/>
          </v:group>
        </w:pict>
      </w:r>
    </w:p>
    <w:p>
      <w:pPr>
        <w:tabs>
          <w:tab w:pos="6658" w:val="left" w:leader="none"/>
          <w:tab w:pos="7649" w:val="left" w:leader="none"/>
          <w:tab w:pos="8415" w:val="left" w:leader="none"/>
          <w:tab w:pos="9770" w:val="left" w:leader="none"/>
        </w:tabs>
        <w:spacing w:before="0"/>
        <w:ind w:left="1450" w:right="0" w:firstLine="0"/>
        <w:jc w:val="left"/>
        <w:rPr>
          <w:rFonts w:ascii="Times New Roman"/>
          <w:b/>
          <w:sz w:val="13"/>
        </w:rPr>
      </w:pPr>
      <w:r>
        <w:rPr>
          <w:rFonts w:ascii="Times New Roman"/>
          <w:b/>
          <w:sz w:val="13"/>
        </w:rPr>
        <w:t>Totale</w:t>
      </w:r>
      <w:r>
        <w:rPr>
          <w:rFonts w:ascii="Times New Roman"/>
          <w:b/>
          <w:spacing w:val="1"/>
          <w:sz w:val="13"/>
        </w:rPr>
        <w:t> </w:t>
      </w:r>
      <w:r>
        <w:rPr>
          <w:rFonts w:ascii="Times New Roman"/>
          <w:b/>
          <w:sz w:val="13"/>
        </w:rPr>
        <w:t>(a+b):</w:t>
        <w:tab/>
      </w:r>
      <w:r>
        <w:rPr>
          <w:rFonts w:ascii="Times New Roman"/>
          <w:b/>
          <w:sz w:val="13"/>
          <w:shd w:fill="F1F1F1" w:color="auto" w:val="clear"/>
        </w:rPr>
        <w:t>6.020.765</w:t>
        <w:tab/>
        <w:t>138.283</w:t>
        <w:tab/>
        <w:t>109.961   </w:t>
      </w:r>
      <w:r>
        <w:rPr>
          <w:rFonts w:ascii="Times New Roman"/>
          <w:b/>
          <w:spacing w:val="15"/>
          <w:sz w:val="13"/>
          <w:shd w:fill="F1F1F1" w:color="auto" w:val="clear"/>
        </w:rPr>
        <w:t> </w:t>
      </w:r>
      <w:r>
        <w:rPr>
          <w:rFonts w:ascii="Times New Roman"/>
          <w:b/>
          <w:sz w:val="13"/>
        </w:rPr>
        <w:t>1.379.182</w:t>
        <w:tab/>
        <w:t>7.648.191</w:t>
      </w:r>
    </w:p>
    <w:p>
      <w:pPr>
        <w:pStyle w:val="BodyText"/>
        <w:spacing w:before="10"/>
        <w:rPr>
          <w:rFonts w:ascii="Times New Roman"/>
          <w:b/>
          <w:sz w:val="15"/>
        </w:rPr>
      </w:pPr>
    </w:p>
    <w:p>
      <w:pPr>
        <w:pStyle w:val="BodyText"/>
        <w:spacing w:line="480" w:lineRule="auto" w:before="101"/>
        <w:ind w:left="1418" w:right="1443"/>
      </w:pPr>
      <w:r>
        <w:rPr/>
        <w:t>In particolare i costi dei professionisti risultano al netto dei compensi già percepiti, mentre i costi della procedura, costituiti dai Commissari e dal Liquidatore Giudiziale, sono stati calcolati mediante l’applicazione del D.M. n.30/2012, assumendo come base di calcolo delle spese relative ai C.G. sia il valore dell’attivo che quello del passivo, mentre per il L.G. è stato considerato il valore dell’attivo e quello del passivo che si prevede il medesimo professionista realizzerà  nell’arco di piano (pertanto l’attivo relativo agli </w:t>
      </w:r>
      <w:r>
        <w:rPr>
          <w:i/>
        </w:rPr>
        <w:t>asset </w:t>
      </w:r>
      <w:r>
        <w:rPr/>
        <w:t>riconducibili al ramo Biochemtex non è stato considerato in quanto il ramo sarà ragionevolmente realizzato ante nomina del L.G.). Si precisa inoltre che in conseguenza a detto calcolo il piano porta in conto un importo compreso nell’intervallo medio-massimo, al lordo della cassa previdenza e dell’imposta sul valore aggiunto. In riferimento a tali passività gli scriventi hanno analizzato la coerenza degli importi inseriti a piano con i mandati dei professionisti – ove presenti – ed i modelli di calcolo, non riscontrando anomalie di</w:t>
      </w:r>
      <w:r>
        <w:rPr>
          <w:spacing w:val="-7"/>
        </w:rPr>
        <w:t> </w:t>
      </w:r>
      <w:r>
        <w:rPr/>
        <w:t>rilievo.</w:t>
      </w:r>
    </w:p>
    <w:p>
      <w:pPr>
        <w:pStyle w:val="BodyText"/>
        <w:ind w:left="1418"/>
      </w:pPr>
      <w:r>
        <w:rPr/>
        <w:t>Proseguendo nella disamina del passivo concordatario esso risulta composto come segue:</w:t>
      </w:r>
    </w:p>
    <w:p>
      <w:pPr>
        <w:pStyle w:val="BodyText"/>
        <w:spacing w:before="10"/>
        <w:rPr>
          <w:sz w:val="23"/>
        </w:rPr>
      </w:pPr>
    </w:p>
    <w:p>
      <w:pPr>
        <w:pStyle w:val="ListParagraph"/>
        <w:numPr>
          <w:ilvl w:val="0"/>
          <w:numId w:val="103"/>
        </w:numPr>
        <w:tabs>
          <w:tab w:pos="1985" w:val="left" w:leader="none"/>
          <w:tab w:pos="1986" w:val="left" w:leader="none"/>
        </w:tabs>
        <w:spacing w:line="240" w:lineRule="auto" w:before="0" w:after="0"/>
        <w:ind w:left="1985" w:right="0" w:hanging="283"/>
        <w:jc w:val="left"/>
        <w:rPr>
          <w:sz w:val="24"/>
        </w:rPr>
      </w:pPr>
      <w:r>
        <w:rPr>
          <w:sz w:val="24"/>
        </w:rPr>
        <w:t>creditori privilegiati comprendono in</w:t>
      </w:r>
      <w:r>
        <w:rPr>
          <w:spacing w:val="-25"/>
          <w:sz w:val="24"/>
        </w:rPr>
        <w:t> </w:t>
      </w:r>
      <w:r>
        <w:rPr>
          <w:sz w:val="24"/>
        </w:rPr>
        <w:t>particolare:</w:t>
      </w:r>
    </w:p>
    <w:p>
      <w:pPr>
        <w:pStyle w:val="BodyText"/>
        <w:spacing w:before="9"/>
        <w:rPr>
          <w:sz w:val="23"/>
        </w:rPr>
      </w:pPr>
    </w:p>
    <w:p>
      <w:pPr>
        <w:pStyle w:val="ListParagraph"/>
        <w:numPr>
          <w:ilvl w:val="1"/>
          <w:numId w:val="103"/>
        </w:numPr>
        <w:tabs>
          <w:tab w:pos="2126" w:val="left" w:leader="none"/>
          <w:tab w:pos="2127" w:val="left" w:leader="none"/>
        </w:tabs>
        <w:spacing w:line="240" w:lineRule="auto" w:before="0" w:after="0"/>
        <w:ind w:left="2126" w:right="0" w:hanging="348"/>
        <w:jc w:val="left"/>
        <w:rPr>
          <w:sz w:val="24"/>
        </w:rPr>
      </w:pPr>
      <w:r>
        <w:rPr>
          <w:sz w:val="24"/>
        </w:rPr>
        <w:t>privilegio generale dei</w:t>
      </w:r>
      <w:r>
        <w:rPr>
          <w:spacing w:val="-17"/>
          <w:sz w:val="24"/>
        </w:rPr>
        <w:t> </w:t>
      </w:r>
      <w:r>
        <w:rPr>
          <w:sz w:val="24"/>
        </w:rPr>
        <w:t>fornitori;</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1"/>
          <w:numId w:val="103"/>
        </w:numPr>
        <w:tabs>
          <w:tab w:pos="2126" w:val="left" w:leader="none"/>
          <w:tab w:pos="2127" w:val="left" w:leader="none"/>
        </w:tabs>
        <w:spacing w:line="240" w:lineRule="auto" w:before="100" w:after="0"/>
        <w:ind w:left="2126" w:right="0" w:hanging="348"/>
        <w:jc w:val="left"/>
        <w:rPr>
          <w:sz w:val="24"/>
        </w:rPr>
      </w:pPr>
      <w:r>
        <w:rPr>
          <w:sz w:val="24"/>
        </w:rPr>
        <w:t>privilegio speciale inerente i contributi del</w:t>
      </w:r>
      <w:r>
        <w:rPr>
          <w:spacing w:val="-26"/>
          <w:sz w:val="24"/>
        </w:rPr>
        <w:t> </w:t>
      </w:r>
      <w:r>
        <w:rPr>
          <w:sz w:val="24"/>
        </w:rPr>
        <w:t>MIUR;</w:t>
      </w:r>
    </w:p>
    <w:p>
      <w:pPr>
        <w:pStyle w:val="BodyText"/>
        <w:spacing w:before="1"/>
      </w:pPr>
    </w:p>
    <w:p>
      <w:pPr>
        <w:pStyle w:val="ListParagraph"/>
        <w:numPr>
          <w:ilvl w:val="1"/>
          <w:numId w:val="103"/>
        </w:numPr>
        <w:tabs>
          <w:tab w:pos="2126" w:val="left" w:leader="none"/>
          <w:tab w:pos="2127" w:val="left" w:leader="none"/>
        </w:tabs>
        <w:spacing w:line="240" w:lineRule="auto" w:before="0" w:after="0"/>
        <w:ind w:left="2126" w:right="0" w:hanging="348"/>
        <w:jc w:val="left"/>
        <w:rPr>
          <w:sz w:val="24"/>
        </w:rPr>
      </w:pPr>
      <w:r>
        <w:rPr>
          <w:sz w:val="24"/>
        </w:rPr>
        <w:t>generale del personale</w:t>
      </w:r>
      <w:r>
        <w:rPr>
          <w:spacing w:val="-17"/>
          <w:sz w:val="24"/>
        </w:rPr>
        <w:t> </w:t>
      </w:r>
      <w:r>
        <w:rPr>
          <w:sz w:val="24"/>
        </w:rPr>
        <w:t>dipendente;</w:t>
      </w:r>
    </w:p>
    <w:p>
      <w:pPr>
        <w:pStyle w:val="ListParagraph"/>
        <w:numPr>
          <w:ilvl w:val="1"/>
          <w:numId w:val="103"/>
        </w:numPr>
        <w:tabs>
          <w:tab w:pos="2126" w:val="left" w:leader="none"/>
          <w:tab w:pos="2127" w:val="left" w:leader="none"/>
        </w:tabs>
        <w:spacing w:line="240" w:lineRule="auto" w:before="269" w:after="0"/>
        <w:ind w:left="2126" w:right="0" w:hanging="348"/>
        <w:jc w:val="left"/>
        <w:rPr>
          <w:sz w:val="24"/>
        </w:rPr>
      </w:pPr>
      <w:r>
        <w:rPr>
          <w:sz w:val="24"/>
        </w:rPr>
        <w:t>generale degli oneri fiscali e</w:t>
      </w:r>
      <w:r>
        <w:rPr>
          <w:spacing w:val="-17"/>
          <w:sz w:val="24"/>
        </w:rPr>
        <w:t> </w:t>
      </w:r>
      <w:r>
        <w:rPr>
          <w:sz w:val="24"/>
        </w:rPr>
        <w:t>previdenziali;</w:t>
      </w:r>
    </w:p>
    <w:p>
      <w:pPr>
        <w:pStyle w:val="BodyText"/>
      </w:pPr>
    </w:p>
    <w:p>
      <w:pPr>
        <w:pStyle w:val="BodyText"/>
        <w:ind w:left="1418"/>
      </w:pPr>
      <w:r>
        <w:rPr/>
        <w:t>In relazione a tali passività è previsto il pagamento entro 3 mesi dall’omologa.</w:t>
      </w:r>
    </w:p>
    <w:p>
      <w:pPr>
        <w:pStyle w:val="BodyText"/>
        <w:spacing w:before="11"/>
        <w:rPr>
          <w:sz w:val="23"/>
        </w:rPr>
      </w:pPr>
    </w:p>
    <w:p>
      <w:pPr>
        <w:pStyle w:val="BodyText"/>
        <w:spacing w:line="480" w:lineRule="auto"/>
        <w:ind w:left="1418" w:right="1518"/>
      </w:pPr>
      <w:r>
        <w:rPr/>
        <w:t>In appresso un dettaglio riepilogativo dei creditori privilegiati, inclusivo anche dei fondi rischi privilegiati:</w:t>
      </w:r>
    </w:p>
    <w:p>
      <w:pPr>
        <w:tabs>
          <w:tab w:pos="11486" w:val="left" w:leader="none"/>
        </w:tabs>
        <w:spacing w:before="13"/>
        <w:ind w:left="1143" w:right="0" w:firstLine="0"/>
        <w:jc w:val="left"/>
        <w:rPr>
          <w:rFonts w:ascii="Times New Roman"/>
          <w:b/>
          <w:sz w:val="13"/>
        </w:rPr>
      </w:pPr>
      <w:r>
        <w:rPr>
          <w:rFonts w:ascii="Times New Roman"/>
          <w:b/>
          <w:color w:val="FFFFFF"/>
          <w:spacing w:val="-10"/>
          <w:w w:val="99"/>
          <w:sz w:val="13"/>
          <w:shd w:fill="878A8D" w:color="auto" w:val="clear"/>
        </w:rPr>
        <w:t> </w:t>
      </w:r>
      <w:r>
        <w:rPr>
          <w:rFonts w:ascii="Times New Roman"/>
          <w:b/>
          <w:color w:val="FFFFFF"/>
          <w:sz w:val="13"/>
          <w:shd w:fill="878A8D" w:color="auto" w:val="clear"/>
        </w:rPr>
        <w:t>La stratificazione del Debito concordatario</w:t>
      </w:r>
      <w:r>
        <w:rPr>
          <w:rFonts w:ascii="Times New Roman"/>
          <w:b/>
          <w:color w:val="FFFFFF"/>
          <w:spacing w:val="21"/>
          <w:sz w:val="13"/>
          <w:shd w:fill="878A8D" w:color="auto" w:val="clear"/>
        </w:rPr>
        <w:t> </w:t>
      </w:r>
      <w:r>
        <w:rPr>
          <w:rFonts w:ascii="Times New Roman"/>
          <w:b/>
          <w:color w:val="FFFFFF"/>
          <w:spacing w:val="2"/>
          <w:sz w:val="13"/>
          <w:shd w:fill="878A8D" w:color="auto" w:val="clear"/>
        </w:rPr>
        <w:t>privilegiato</w:t>
        <w:tab/>
      </w:r>
    </w:p>
    <w:p>
      <w:pPr>
        <w:pStyle w:val="BodyText"/>
        <w:spacing w:before="7" w:after="1"/>
        <w:rPr>
          <w:rFonts w:ascii="Times New Roman"/>
          <w:b/>
          <w:sz w:val="14"/>
        </w:rPr>
      </w:pPr>
    </w:p>
    <w:tbl>
      <w:tblPr>
        <w:tblW w:w="0" w:type="auto"/>
        <w:jc w:val="left"/>
        <w:tblInd w:w="1139" w:type="dxa"/>
        <w:tblBorders>
          <w:top w:val="single" w:sz="3" w:space="0" w:color="FFFFFF"/>
          <w:left w:val="single" w:sz="3" w:space="0" w:color="FFFFFF"/>
          <w:bottom w:val="single" w:sz="3" w:space="0" w:color="FFFFFF"/>
          <w:right w:val="single" w:sz="3" w:space="0" w:color="FFFFFF"/>
          <w:insideH w:val="single" w:sz="3" w:space="0" w:color="FFFFFF"/>
          <w:insideV w:val="single" w:sz="3" w:space="0" w:color="FFFFFF"/>
        </w:tblBorders>
        <w:tblLayout w:type="fixed"/>
        <w:tblCellMar>
          <w:top w:w="0" w:type="dxa"/>
          <w:left w:w="0" w:type="dxa"/>
          <w:bottom w:w="0" w:type="dxa"/>
          <w:right w:w="0" w:type="dxa"/>
        </w:tblCellMar>
        <w:tblLook w:val="01E0"/>
      </w:tblPr>
      <w:tblGrid>
        <w:gridCol w:w="2696"/>
        <w:gridCol w:w="849"/>
        <w:gridCol w:w="849"/>
        <w:gridCol w:w="849"/>
        <w:gridCol w:w="849"/>
        <w:gridCol w:w="849"/>
        <w:gridCol w:w="849"/>
        <w:gridCol w:w="849"/>
        <w:gridCol w:w="849"/>
        <w:gridCol w:w="849"/>
      </w:tblGrid>
      <w:tr>
        <w:trPr>
          <w:trHeight w:val="477" w:hRule="exact"/>
        </w:trPr>
        <w:tc>
          <w:tcPr>
            <w:tcW w:w="2696" w:type="dxa"/>
            <w:tcBorders>
              <w:left w:val="nil"/>
            </w:tcBorders>
            <w:shd w:val="clear" w:color="auto" w:fill="9F2F33"/>
          </w:tcPr>
          <w:p>
            <w:pPr>
              <w:pStyle w:val="TableParagraph"/>
              <w:tabs>
                <w:tab w:pos="1895" w:val="left" w:leader="none"/>
              </w:tabs>
              <w:spacing w:line="198" w:lineRule="exact" w:before="75"/>
              <w:ind w:right="77"/>
              <w:rPr>
                <w:rFonts w:ascii="Times New Roman" w:hAnsi="Times New Roman"/>
                <w:b/>
                <w:sz w:val="13"/>
              </w:rPr>
            </w:pPr>
            <w:r>
              <w:rPr>
                <w:rFonts w:ascii="Times New Roman" w:hAnsi="Times New Roman"/>
                <w:b/>
                <w:i/>
                <w:color w:val="FFFFFF"/>
                <w:position w:val="-7"/>
                <w:sz w:val="13"/>
              </w:rPr>
              <w:t>€/000</w:t>
              <w:tab/>
            </w:r>
            <w:r>
              <w:rPr>
                <w:rFonts w:ascii="Times New Roman" w:hAnsi="Times New Roman"/>
                <w:b/>
                <w:color w:val="FFFFFF"/>
                <w:sz w:val="13"/>
              </w:rPr>
              <w:t>ex art.</w:t>
            </w:r>
            <w:r>
              <w:rPr>
                <w:rFonts w:ascii="Times New Roman" w:hAnsi="Times New Roman"/>
                <w:b/>
                <w:color w:val="FFFFFF"/>
                <w:spacing w:val="-11"/>
                <w:sz w:val="13"/>
              </w:rPr>
              <w:t> </w:t>
            </w:r>
            <w:r>
              <w:rPr>
                <w:rFonts w:ascii="Times New Roman" w:hAnsi="Times New Roman"/>
                <w:b/>
                <w:color w:val="FFFFFF"/>
                <w:spacing w:val="2"/>
                <w:sz w:val="13"/>
              </w:rPr>
              <w:t>2751-</w:t>
            </w:r>
          </w:p>
          <w:p>
            <w:pPr>
              <w:pStyle w:val="TableParagraph"/>
              <w:spacing w:line="118" w:lineRule="exact" w:before="0"/>
              <w:ind w:right="153"/>
              <w:rPr>
                <w:rFonts w:ascii="Times New Roman"/>
                <w:b/>
                <w:sz w:val="13"/>
              </w:rPr>
            </w:pPr>
            <w:r>
              <w:rPr>
                <w:rFonts w:ascii="Times New Roman"/>
                <w:b/>
                <w:color w:val="FFFFFF"/>
                <w:sz w:val="13"/>
              </w:rPr>
              <w:t>bis n. 1 cc</w:t>
            </w:r>
          </w:p>
        </w:tc>
        <w:tc>
          <w:tcPr>
            <w:tcW w:w="849" w:type="dxa"/>
            <w:shd w:val="clear" w:color="auto" w:fill="9F2F33"/>
          </w:tcPr>
          <w:p>
            <w:pPr>
              <w:pStyle w:val="TableParagraph"/>
              <w:spacing w:line="266" w:lineRule="auto" w:before="75"/>
              <w:ind w:left="143" w:right="65" w:hanging="76"/>
              <w:jc w:val="left"/>
              <w:rPr>
                <w:rFonts w:ascii="Times New Roman"/>
                <w:b/>
                <w:sz w:val="13"/>
              </w:rPr>
            </w:pPr>
            <w:r>
              <w:rPr>
                <w:rFonts w:ascii="Times New Roman"/>
                <w:b/>
                <w:color w:val="FFFFFF"/>
                <w:sz w:val="13"/>
              </w:rPr>
              <w:t>ex art. 2751- bis n. 2 cc</w:t>
            </w:r>
          </w:p>
        </w:tc>
        <w:tc>
          <w:tcPr>
            <w:tcW w:w="849" w:type="dxa"/>
            <w:shd w:val="clear" w:color="auto" w:fill="9F2F33"/>
          </w:tcPr>
          <w:p>
            <w:pPr>
              <w:pStyle w:val="TableParagraph"/>
              <w:spacing w:line="268" w:lineRule="auto" w:before="0"/>
              <w:ind w:left="22" w:right="25" w:firstLine="7"/>
              <w:jc w:val="center"/>
              <w:rPr>
                <w:rFonts w:ascii="Times New Roman"/>
                <w:b/>
                <w:sz w:val="13"/>
              </w:rPr>
            </w:pPr>
            <w:r>
              <w:rPr>
                <w:rFonts w:ascii="Times New Roman"/>
                <w:b/>
                <w:color w:val="FFFFFF"/>
                <w:sz w:val="13"/>
              </w:rPr>
              <w:t>ex art. 2751- bis n. 4 e 5-bis cc</w:t>
            </w:r>
          </w:p>
        </w:tc>
        <w:tc>
          <w:tcPr>
            <w:tcW w:w="849" w:type="dxa"/>
            <w:shd w:val="clear" w:color="auto" w:fill="9F2F33"/>
          </w:tcPr>
          <w:p>
            <w:pPr>
              <w:pStyle w:val="TableParagraph"/>
              <w:spacing w:line="266" w:lineRule="auto" w:before="75"/>
              <w:ind w:left="143" w:right="65" w:hanging="76"/>
              <w:jc w:val="left"/>
              <w:rPr>
                <w:rFonts w:ascii="Times New Roman"/>
                <w:b/>
                <w:sz w:val="13"/>
              </w:rPr>
            </w:pPr>
            <w:r>
              <w:rPr>
                <w:rFonts w:ascii="Times New Roman"/>
                <w:b/>
                <w:color w:val="FFFFFF"/>
                <w:sz w:val="13"/>
              </w:rPr>
              <w:t>ex art. 2751- bis n. 5 cc</w:t>
            </w:r>
          </w:p>
        </w:tc>
        <w:tc>
          <w:tcPr>
            <w:tcW w:w="849" w:type="dxa"/>
            <w:shd w:val="clear" w:color="auto" w:fill="9F2F33"/>
          </w:tcPr>
          <w:p>
            <w:pPr>
              <w:pStyle w:val="TableParagraph"/>
              <w:spacing w:line="266" w:lineRule="auto" w:before="75"/>
              <w:ind w:left="128" w:right="65"/>
              <w:jc w:val="left"/>
              <w:rPr>
                <w:rFonts w:ascii="Times New Roman"/>
                <w:b/>
                <w:sz w:val="13"/>
              </w:rPr>
            </w:pPr>
            <w:r>
              <w:rPr>
                <w:rFonts w:ascii="Times New Roman"/>
                <w:b/>
                <w:color w:val="FFFFFF"/>
                <w:sz w:val="13"/>
              </w:rPr>
              <w:t>Privilegio ipotecario</w:t>
            </w:r>
          </w:p>
        </w:tc>
        <w:tc>
          <w:tcPr>
            <w:tcW w:w="849" w:type="dxa"/>
            <w:shd w:val="clear" w:color="auto" w:fill="9F2F33"/>
          </w:tcPr>
          <w:p>
            <w:pPr>
              <w:pStyle w:val="TableParagraph"/>
              <w:spacing w:line="266" w:lineRule="auto" w:before="75"/>
              <w:ind w:left="197" w:right="65" w:hanging="69"/>
              <w:jc w:val="left"/>
              <w:rPr>
                <w:rFonts w:ascii="Times New Roman"/>
                <w:b/>
                <w:sz w:val="13"/>
              </w:rPr>
            </w:pPr>
            <w:r>
              <w:rPr>
                <w:rFonts w:ascii="Times New Roman"/>
                <w:b/>
                <w:color w:val="FFFFFF"/>
                <w:sz w:val="13"/>
              </w:rPr>
              <w:t>Privilegio speciale</w:t>
            </w:r>
          </w:p>
        </w:tc>
        <w:tc>
          <w:tcPr>
            <w:tcW w:w="849" w:type="dxa"/>
            <w:shd w:val="clear" w:color="auto" w:fill="9F2F33"/>
          </w:tcPr>
          <w:p>
            <w:pPr>
              <w:pStyle w:val="TableParagraph"/>
              <w:spacing w:line="266" w:lineRule="auto" w:before="75"/>
              <w:ind w:left="356" w:right="85" w:hanging="266"/>
              <w:jc w:val="left"/>
              <w:rPr>
                <w:rFonts w:ascii="Times New Roman"/>
                <w:b/>
                <w:sz w:val="13"/>
              </w:rPr>
            </w:pPr>
            <w:r>
              <w:rPr>
                <w:rFonts w:ascii="Times New Roman"/>
                <w:b/>
                <w:color w:val="FFFFFF"/>
                <w:sz w:val="13"/>
              </w:rPr>
              <w:t>ex art. 2752 cc</w:t>
            </w:r>
          </w:p>
        </w:tc>
        <w:tc>
          <w:tcPr>
            <w:tcW w:w="849" w:type="dxa"/>
            <w:shd w:val="clear" w:color="auto" w:fill="9F2F33"/>
          </w:tcPr>
          <w:p>
            <w:pPr>
              <w:pStyle w:val="TableParagraph"/>
              <w:spacing w:line="266" w:lineRule="auto" w:before="75"/>
              <w:ind w:left="356" w:right="85" w:hanging="266"/>
              <w:jc w:val="left"/>
              <w:rPr>
                <w:rFonts w:ascii="Times New Roman"/>
                <w:b/>
                <w:sz w:val="13"/>
              </w:rPr>
            </w:pPr>
            <w:r>
              <w:rPr>
                <w:rFonts w:ascii="Times New Roman"/>
                <w:b/>
                <w:color w:val="FFFFFF"/>
                <w:sz w:val="13"/>
              </w:rPr>
              <w:t>ex art. 2753 cc</w:t>
            </w:r>
          </w:p>
        </w:tc>
        <w:tc>
          <w:tcPr>
            <w:tcW w:w="849" w:type="dxa"/>
            <w:shd w:val="clear" w:color="auto" w:fill="9F2F33"/>
          </w:tcPr>
          <w:p>
            <w:pPr>
              <w:pStyle w:val="TableParagraph"/>
              <w:spacing w:line="266" w:lineRule="auto" w:before="75"/>
              <w:ind w:left="356" w:right="85" w:hanging="266"/>
              <w:jc w:val="left"/>
              <w:rPr>
                <w:rFonts w:ascii="Times New Roman"/>
                <w:b/>
                <w:sz w:val="13"/>
              </w:rPr>
            </w:pPr>
            <w:r>
              <w:rPr>
                <w:rFonts w:ascii="Times New Roman"/>
                <w:b/>
                <w:color w:val="FFFFFF"/>
                <w:sz w:val="13"/>
              </w:rPr>
              <w:t>ex art. 2754 cc</w:t>
            </w:r>
          </w:p>
        </w:tc>
        <w:tc>
          <w:tcPr>
            <w:tcW w:w="849" w:type="dxa"/>
            <w:shd w:val="clear" w:color="auto" w:fill="9F2F33"/>
          </w:tcPr>
          <w:p>
            <w:pPr>
              <w:pStyle w:val="TableParagraph"/>
              <w:spacing w:before="9"/>
              <w:jc w:val="left"/>
              <w:rPr>
                <w:rFonts w:ascii="Times New Roman"/>
                <w:b/>
                <w:sz w:val="13"/>
              </w:rPr>
            </w:pPr>
          </w:p>
          <w:p>
            <w:pPr>
              <w:pStyle w:val="TableParagraph"/>
              <w:spacing w:before="0"/>
              <w:ind w:left="129"/>
              <w:jc w:val="left"/>
              <w:rPr>
                <w:rFonts w:ascii="Times New Roman"/>
                <w:b/>
                <w:sz w:val="13"/>
              </w:rPr>
            </w:pPr>
            <w:r>
              <w:rPr>
                <w:rFonts w:ascii="Times New Roman"/>
                <w:b/>
                <w:color w:val="FFFFFF"/>
                <w:sz w:val="13"/>
              </w:rPr>
              <w:t>Privilegio</w:t>
            </w:r>
          </w:p>
        </w:tc>
      </w:tr>
    </w:tbl>
    <w:p>
      <w:pPr>
        <w:pStyle w:val="BodyText"/>
        <w:spacing w:before="9"/>
        <w:rPr>
          <w:rFonts w:ascii="Times New Roman"/>
          <w:b/>
          <w:sz w:val="13"/>
        </w:rPr>
      </w:pPr>
    </w:p>
    <w:tbl>
      <w:tblPr>
        <w:tblW w:w="0" w:type="auto"/>
        <w:jc w:val="left"/>
        <w:tblInd w:w="1136"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80"/>
        <w:gridCol w:w="800"/>
        <w:gridCol w:w="931"/>
        <w:gridCol w:w="774"/>
        <w:gridCol w:w="851"/>
        <w:gridCol w:w="864"/>
        <w:gridCol w:w="849"/>
        <w:gridCol w:w="883"/>
        <w:gridCol w:w="779"/>
        <w:gridCol w:w="881"/>
        <w:gridCol w:w="857"/>
      </w:tblGrid>
      <w:tr>
        <w:trPr>
          <w:trHeight w:val="176" w:hRule="exact"/>
        </w:trPr>
        <w:tc>
          <w:tcPr>
            <w:tcW w:w="1880" w:type="dxa"/>
          </w:tcPr>
          <w:p>
            <w:pPr>
              <w:pStyle w:val="TableParagraph"/>
              <w:spacing w:before="15"/>
              <w:ind w:left="30"/>
              <w:jc w:val="left"/>
              <w:rPr>
                <w:rFonts w:ascii="Times New Roman"/>
                <w:sz w:val="13"/>
              </w:rPr>
            </w:pPr>
            <w:r>
              <w:rPr>
                <w:rFonts w:ascii="Times New Roman"/>
                <w:sz w:val="13"/>
              </w:rPr>
              <w:t>Debiti verso fornitori</w:t>
            </w:r>
          </w:p>
        </w:tc>
        <w:tc>
          <w:tcPr>
            <w:tcW w:w="800" w:type="dxa"/>
          </w:tcPr>
          <w:p>
            <w:pPr>
              <w:pStyle w:val="TableParagraph"/>
              <w:spacing w:before="15"/>
              <w:ind w:right="375"/>
              <w:rPr>
                <w:rFonts w:ascii="Times New Roman"/>
                <w:sz w:val="13"/>
              </w:rPr>
            </w:pPr>
            <w:r>
              <w:rPr>
                <w:rFonts w:ascii="Times New Roman"/>
                <w:w w:val="99"/>
                <w:sz w:val="13"/>
              </w:rPr>
              <w:t>-</w:t>
            </w:r>
          </w:p>
        </w:tc>
        <w:tc>
          <w:tcPr>
            <w:tcW w:w="931" w:type="dxa"/>
          </w:tcPr>
          <w:p>
            <w:pPr>
              <w:pStyle w:val="TableParagraph"/>
              <w:spacing w:before="15"/>
              <w:ind w:right="378"/>
              <w:rPr>
                <w:rFonts w:ascii="Times New Roman"/>
                <w:sz w:val="13"/>
              </w:rPr>
            </w:pPr>
            <w:r>
              <w:rPr>
                <w:rFonts w:ascii="Times New Roman"/>
                <w:sz w:val="13"/>
              </w:rPr>
              <w:t>454</w:t>
            </w:r>
          </w:p>
        </w:tc>
        <w:tc>
          <w:tcPr>
            <w:tcW w:w="774" w:type="dxa"/>
          </w:tcPr>
          <w:p>
            <w:pPr>
              <w:pStyle w:val="TableParagraph"/>
              <w:spacing w:before="15"/>
              <w:ind w:left="331"/>
              <w:jc w:val="left"/>
              <w:rPr>
                <w:rFonts w:ascii="Times New Roman"/>
                <w:sz w:val="13"/>
              </w:rPr>
            </w:pPr>
            <w:r>
              <w:rPr>
                <w:rFonts w:ascii="Times New Roman"/>
                <w:w w:val="99"/>
                <w:sz w:val="13"/>
              </w:rPr>
              <w:t>7</w:t>
            </w:r>
          </w:p>
        </w:tc>
        <w:tc>
          <w:tcPr>
            <w:tcW w:w="851" w:type="dxa"/>
          </w:tcPr>
          <w:p>
            <w:pPr>
              <w:pStyle w:val="TableParagraph"/>
              <w:spacing w:before="15"/>
              <w:ind w:left="360" w:right="321"/>
              <w:jc w:val="center"/>
              <w:rPr>
                <w:rFonts w:ascii="Times New Roman"/>
                <w:sz w:val="13"/>
              </w:rPr>
            </w:pPr>
            <w:r>
              <w:rPr>
                <w:rFonts w:ascii="Times New Roman"/>
                <w:sz w:val="13"/>
              </w:rPr>
              <w:t>17</w:t>
            </w:r>
          </w:p>
        </w:tc>
        <w:tc>
          <w:tcPr>
            <w:tcW w:w="864" w:type="dxa"/>
          </w:tcPr>
          <w:p>
            <w:pPr>
              <w:pStyle w:val="TableParagraph"/>
              <w:spacing w:before="15"/>
              <w:ind w:left="20"/>
              <w:jc w:val="center"/>
              <w:rPr>
                <w:rFonts w:ascii="Times New Roman"/>
                <w:sz w:val="13"/>
              </w:rPr>
            </w:pPr>
            <w:r>
              <w:rPr>
                <w:rFonts w:ascii="Times New Roman"/>
                <w:w w:val="99"/>
                <w:sz w:val="13"/>
              </w:rPr>
              <w:t>-</w:t>
            </w:r>
          </w:p>
        </w:tc>
        <w:tc>
          <w:tcPr>
            <w:tcW w:w="849" w:type="dxa"/>
          </w:tcPr>
          <w:p>
            <w:pPr>
              <w:pStyle w:val="TableParagraph"/>
              <w:spacing w:before="15"/>
              <w:ind w:left="5"/>
              <w:jc w:val="center"/>
              <w:rPr>
                <w:rFonts w:ascii="Times New Roman"/>
                <w:sz w:val="13"/>
              </w:rPr>
            </w:pPr>
            <w:r>
              <w:rPr>
                <w:rFonts w:ascii="Times New Roman"/>
                <w:w w:val="99"/>
                <w:sz w:val="13"/>
              </w:rPr>
              <w:t>-</w:t>
            </w:r>
          </w:p>
        </w:tc>
        <w:tc>
          <w:tcPr>
            <w:tcW w:w="883" w:type="dxa"/>
          </w:tcPr>
          <w:p>
            <w:pPr>
              <w:pStyle w:val="TableParagraph"/>
              <w:spacing w:before="15"/>
              <w:ind w:right="26"/>
              <w:jc w:val="center"/>
              <w:rPr>
                <w:rFonts w:ascii="Times New Roman"/>
                <w:sz w:val="13"/>
              </w:rPr>
            </w:pPr>
            <w:r>
              <w:rPr>
                <w:rFonts w:ascii="Times New Roman"/>
                <w:w w:val="99"/>
                <w:sz w:val="13"/>
              </w:rPr>
              <w:t>-</w:t>
            </w:r>
          </w:p>
        </w:tc>
        <w:tc>
          <w:tcPr>
            <w:tcW w:w="779" w:type="dxa"/>
          </w:tcPr>
          <w:p>
            <w:pPr>
              <w:pStyle w:val="TableParagraph"/>
              <w:spacing w:before="15"/>
              <w:ind w:left="6"/>
              <w:jc w:val="center"/>
              <w:rPr>
                <w:rFonts w:ascii="Times New Roman"/>
                <w:sz w:val="13"/>
              </w:rPr>
            </w:pPr>
            <w:r>
              <w:rPr>
                <w:rFonts w:ascii="Times New Roman"/>
                <w:w w:val="99"/>
                <w:sz w:val="13"/>
              </w:rPr>
              <w:t>-</w:t>
            </w:r>
          </w:p>
        </w:tc>
        <w:tc>
          <w:tcPr>
            <w:tcW w:w="881" w:type="dxa"/>
          </w:tcPr>
          <w:p>
            <w:pPr>
              <w:pStyle w:val="TableParagraph"/>
              <w:spacing w:before="15"/>
              <w:ind w:left="44"/>
              <w:jc w:val="center"/>
              <w:rPr>
                <w:rFonts w:ascii="Times New Roman"/>
                <w:sz w:val="13"/>
              </w:rPr>
            </w:pPr>
            <w:r>
              <w:rPr>
                <w:rFonts w:ascii="Times New Roman"/>
                <w:w w:val="99"/>
                <w:sz w:val="13"/>
              </w:rPr>
              <w:t>-</w:t>
            </w:r>
          </w:p>
        </w:tc>
        <w:tc>
          <w:tcPr>
            <w:tcW w:w="857" w:type="dxa"/>
            <w:shd w:val="clear" w:color="auto" w:fill="F1F1F1"/>
          </w:tcPr>
          <w:p>
            <w:pPr>
              <w:pStyle w:val="TableParagraph"/>
              <w:spacing w:before="15"/>
              <w:ind w:left="260" w:right="260"/>
              <w:jc w:val="center"/>
              <w:rPr>
                <w:rFonts w:ascii="Times New Roman"/>
                <w:b/>
                <w:sz w:val="13"/>
              </w:rPr>
            </w:pPr>
            <w:r>
              <w:rPr>
                <w:rFonts w:ascii="Times New Roman"/>
                <w:b/>
                <w:sz w:val="13"/>
              </w:rPr>
              <w:t>478</w:t>
            </w:r>
          </w:p>
        </w:tc>
      </w:tr>
      <w:tr>
        <w:trPr>
          <w:trHeight w:val="167" w:hRule="exact"/>
        </w:trPr>
        <w:tc>
          <w:tcPr>
            <w:tcW w:w="1880" w:type="dxa"/>
          </w:tcPr>
          <w:p>
            <w:pPr>
              <w:pStyle w:val="TableParagraph"/>
              <w:spacing w:before="5"/>
              <w:ind w:left="30"/>
              <w:jc w:val="left"/>
              <w:rPr>
                <w:rFonts w:ascii="Times New Roman"/>
                <w:sz w:val="13"/>
              </w:rPr>
            </w:pPr>
            <w:r>
              <w:rPr>
                <w:rFonts w:ascii="Times New Roman"/>
                <w:sz w:val="13"/>
              </w:rPr>
              <w:t>Debiti verso Istituti di Credito</w:t>
            </w:r>
          </w:p>
        </w:tc>
        <w:tc>
          <w:tcPr>
            <w:tcW w:w="800" w:type="dxa"/>
          </w:tcPr>
          <w:p>
            <w:pPr>
              <w:pStyle w:val="TableParagraph"/>
              <w:spacing w:before="5"/>
              <w:ind w:right="375"/>
              <w:rPr>
                <w:rFonts w:ascii="Times New Roman"/>
                <w:sz w:val="13"/>
              </w:rPr>
            </w:pPr>
            <w:r>
              <w:rPr>
                <w:rFonts w:ascii="Times New Roman"/>
                <w:w w:val="99"/>
                <w:sz w:val="13"/>
              </w:rPr>
              <w:t>-</w:t>
            </w:r>
          </w:p>
        </w:tc>
        <w:tc>
          <w:tcPr>
            <w:tcW w:w="931" w:type="dxa"/>
          </w:tcPr>
          <w:p>
            <w:pPr>
              <w:pStyle w:val="TableParagraph"/>
              <w:spacing w:before="5"/>
              <w:ind w:right="28"/>
              <w:jc w:val="center"/>
              <w:rPr>
                <w:rFonts w:ascii="Times New Roman"/>
                <w:sz w:val="13"/>
              </w:rPr>
            </w:pPr>
            <w:r>
              <w:rPr>
                <w:rFonts w:ascii="Times New Roman"/>
                <w:w w:val="99"/>
                <w:sz w:val="13"/>
              </w:rPr>
              <w:t>-</w:t>
            </w:r>
          </w:p>
        </w:tc>
        <w:tc>
          <w:tcPr>
            <w:tcW w:w="774" w:type="dxa"/>
          </w:tcPr>
          <w:p>
            <w:pPr>
              <w:pStyle w:val="TableParagraph"/>
              <w:spacing w:before="5"/>
              <w:ind w:left="347"/>
              <w:jc w:val="left"/>
              <w:rPr>
                <w:rFonts w:ascii="Times New Roman"/>
                <w:sz w:val="13"/>
              </w:rPr>
            </w:pPr>
            <w:r>
              <w:rPr>
                <w:rFonts w:ascii="Times New Roman"/>
                <w:w w:val="99"/>
                <w:sz w:val="13"/>
              </w:rPr>
              <w:t>-</w:t>
            </w:r>
          </w:p>
        </w:tc>
        <w:tc>
          <w:tcPr>
            <w:tcW w:w="851" w:type="dxa"/>
          </w:tcPr>
          <w:p>
            <w:pPr>
              <w:pStyle w:val="TableParagraph"/>
              <w:spacing w:before="5"/>
              <w:ind w:left="37"/>
              <w:jc w:val="center"/>
              <w:rPr>
                <w:rFonts w:ascii="Times New Roman"/>
                <w:sz w:val="13"/>
              </w:rPr>
            </w:pPr>
            <w:r>
              <w:rPr>
                <w:rFonts w:ascii="Times New Roman"/>
                <w:w w:val="99"/>
                <w:sz w:val="13"/>
              </w:rPr>
              <w:t>-</w:t>
            </w:r>
          </w:p>
        </w:tc>
        <w:tc>
          <w:tcPr>
            <w:tcW w:w="864" w:type="dxa"/>
          </w:tcPr>
          <w:p>
            <w:pPr>
              <w:pStyle w:val="TableParagraph"/>
              <w:spacing w:before="5"/>
              <w:ind w:left="320" w:right="305"/>
              <w:jc w:val="center"/>
              <w:rPr>
                <w:rFonts w:ascii="Times New Roman"/>
                <w:sz w:val="13"/>
              </w:rPr>
            </w:pPr>
            <w:r>
              <w:rPr>
                <w:rFonts w:ascii="Times New Roman"/>
                <w:sz w:val="13"/>
              </w:rPr>
              <w:t>510</w:t>
            </w:r>
          </w:p>
        </w:tc>
        <w:tc>
          <w:tcPr>
            <w:tcW w:w="849" w:type="dxa"/>
          </w:tcPr>
          <w:p>
            <w:pPr>
              <w:pStyle w:val="TableParagraph"/>
              <w:spacing w:before="5"/>
              <w:ind w:left="5"/>
              <w:jc w:val="center"/>
              <w:rPr>
                <w:rFonts w:ascii="Times New Roman"/>
                <w:sz w:val="13"/>
              </w:rPr>
            </w:pPr>
            <w:r>
              <w:rPr>
                <w:rFonts w:ascii="Times New Roman"/>
                <w:w w:val="99"/>
                <w:sz w:val="13"/>
              </w:rPr>
              <w:t>-</w:t>
            </w:r>
          </w:p>
        </w:tc>
        <w:tc>
          <w:tcPr>
            <w:tcW w:w="883" w:type="dxa"/>
          </w:tcPr>
          <w:p>
            <w:pPr>
              <w:pStyle w:val="TableParagraph"/>
              <w:spacing w:before="5"/>
              <w:ind w:right="26"/>
              <w:jc w:val="center"/>
              <w:rPr>
                <w:rFonts w:ascii="Times New Roman"/>
                <w:sz w:val="13"/>
              </w:rPr>
            </w:pPr>
            <w:r>
              <w:rPr>
                <w:rFonts w:ascii="Times New Roman"/>
                <w:w w:val="99"/>
                <w:sz w:val="13"/>
              </w:rPr>
              <w:t>-</w:t>
            </w:r>
          </w:p>
        </w:tc>
        <w:tc>
          <w:tcPr>
            <w:tcW w:w="779" w:type="dxa"/>
          </w:tcPr>
          <w:p>
            <w:pPr>
              <w:pStyle w:val="TableParagraph"/>
              <w:spacing w:before="5"/>
              <w:ind w:left="6"/>
              <w:jc w:val="center"/>
              <w:rPr>
                <w:rFonts w:ascii="Times New Roman"/>
                <w:sz w:val="13"/>
              </w:rPr>
            </w:pPr>
            <w:r>
              <w:rPr>
                <w:rFonts w:ascii="Times New Roman"/>
                <w:w w:val="99"/>
                <w:sz w:val="13"/>
              </w:rPr>
              <w:t>-</w:t>
            </w:r>
          </w:p>
        </w:tc>
        <w:tc>
          <w:tcPr>
            <w:tcW w:w="881" w:type="dxa"/>
          </w:tcPr>
          <w:p>
            <w:pPr>
              <w:pStyle w:val="TableParagraph"/>
              <w:spacing w:before="5"/>
              <w:ind w:left="44"/>
              <w:jc w:val="center"/>
              <w:rPr>
                <w:rFonts w:ascii="Times New Roman"/>
                <w:sz w:val="13"/>
              </w:rPr>
            </w:pPr>
            <w:r>
              <w:rPr>
                <w:rFonts w:ascii="Times New Roman"/>
                <w:w w:val="99"/>
                <w:sz w:val="13"/>
              </w:rPr>
              <w:t>-</w:t>
            </w:r>
          </w:p>
        </w:tc>
        <w:tc>
          <w:tcPr>
            <w:tcW w:w="857" w:type="dxa"/>
            <w:shd w:val="clear" w:color="auto" w:fill="F1F1F1"/>
          </w:tcPr>
          <w:p>
            <w:pPr>
              <w:pStyle w:val="TableParagraph"/>
              <w:spacing w:before="5"/>
              <w:ind w:left="260" w:right="260"/>
              <w:jc w:val="center"/>
              <w:rPr>
                <w:rFonts w:ascii="Times New Roman"/>
                <w:b/>
                <w:sz w:val="13"/>
              </w:rPr>
            </w:pPr>
            <w:r>
              <w:rPr>
                <w:rFonts w:ascii="Times New Roman"/>
                <w:b/>
                <w:sz w:val="13"/>
              </w:rPr>
              <w:t>510</w:t>
            </w:r>
          </w:p>
        </w:tc>
      </w:tr>
      <w:tr>
        <w:trPr>
          <w:trHeight w:val="167" w:hRule="exact"/>
        </w:trPr>
        <w:tc>
          <w:tcPr>
            <w:tcW w:w="1880" w:type="dxa"/>
          </w:tcPr>
          <w:p>
            <w:pPr>
              <w:pStyle w:val="TableParagraph"/>
              <w:spacing w:before="5"/>
              <w:ind w:left="30"/>
              <w:jc w:val="left"/>
              <w:rPr>
                <w:rFonts w:ascii="Times New Roman"/>
                <w:i/>
                <w:sz w:val="13"/>
              </w:rPr>
            </w:pPr>
            <w:r>
              <w:rPr>
                <w:rFonts w:ascii="Times New Roman"/>
                <w:sz w:val="13"/>
              </w:rPr>
              <w:t>Debiti </w:t>
            </w:r>
            <w:r>
              <w:rPr>
                <w:rFonts w:ascii="Times New Roman"/>
                <w:i/>
                <w:sz w:val="13"/>
              </w:rPr>
              <w:t>intercompany</w:t>
            </w:r>
          </w:p>
        </w:tc>
        <w:tc>
          <w:tcPr>
            <w:tcW w:w="800" w:type="dxa"/>
          </w:tcPr>
          <w:p>
            <w:pPr>
              <w:pStyle w:val="TableParagraph"/>
              <w:spacing w:before="5"/>
              <w:ind w:right="375"/>
              <w:rPr>
                <w:rFonts w:ascii="Times New Roman"/>
                <w:sz w:val="13"/>
              </w:rPr>
            </w:pPr>
            <w:r>
              <w:rPr>
                <w:rFonts w:ascii="Times New Roman"/>
                <w:w w:val="99"/>
                <w:sz w:val="13"/>
              </w:rPr>
              <w:t>-</w:t>
            </w:r>
          </w:p>
        </w:tc>
        <w:tc>
          <w:tcPr>
            <w:tcW w:w="931" w:type="dxa"/>
          </w:tcPr>
          <w:p>
            <w:pPr>
              <w:pStyle w:val="TableParagraph"/>
              <w:spacing w:before="5"/>
              <w:ind w:right="28"/>
              <w:jc w:val="center"/>
              <w:rPr>
                <w:rFonts w:ascii="Times New Roman"/>
                <w:sz w:val="13"/>
              </w:rPr>
            </w:pPr>
            <w:r>
              <w:rPr>
                <w:rFonts w:ascii="Times New Roman"/>
                <w:w w:val="99"/>
                <w:sz w:val="13"/>
              </w:rPr>
              <w:t>-</w:t>
            </w:r>
          </w:p>
        </w:tc>
        <w:tc>
          <w:tcPr>
            <w:tcW w:w="774" w:type="dxa"/>
          </w:tcPr>
          <w:p>
            <w:pPr>
              <w:pStyle w:val="TableParagraph"/>
              <w:spacing w:before="5"/>
              <w:ind w:left="347"/>
              <w:jc w:val="left"/>
              <w:rPr>
                <w:rFonts w:ascii="Times New Roman"/>
                <w:sz w:val="13"/>
              </w:rPr>
            </w:pPr>
            <w:r>
              <w:rPr>
                <w:rFonts w:ascii="Times New Roman"/>
                <w:w w:val="99"/>
                <w:sz w:val="13"/>
              </w:rPr>
              <w:t>-</w:t>
            </w:r>
          </w:p>
        </w:tc>
        <w:tc>
          <w:tcPr>
            <w:tcW w:w="851" w:type="dxa"/>
          </w:tcPr>
          <w:p>
            <w:pPr>
              <w:pStyle w:val="TableParagraph"/>
              <w:spacing w:before="5"/>
              <w:ind w:left="37"/>
              <w:jc w:val="center"/>
              <w:rPr>
                <w:rFonts w:ascii="Times New Roman"/>
                <w:sz w:val="13"/>
              </w:rPr>
            </w:pPr>
            <w:r>
              <w:rPr>
                <w:rFonts w:ascii="Times New Roman"/>
                <w:w w:val="99"/>
                <w:sz w:val="13"/>
              </w:rPr>
              <w:t>-</w:t>
            </w:r>
          </w:p>
        </w:tc>
        <w:tc>
          <w:tcPr>
            <w:tcW w:w="864" w:type="dxa"/>
          </w:tcPr>
          <w:p>
            <w:pPr>
              <w:pStyle w:val="TableParagraph"/>
              <w:spacing w:before="5"/>
              <w:ind w:left="20"/>
              <w:jc w:val="center"/>
              <w:rPr>
                <w:rFonts w:ascii="Times New Roman"/>
                <w:sz w:val="13"/>
              </w:rPr>
            </w:pPr>
            <w:r>
              <w:rPr>
                <w:rFonts w:ascii="Times New Roman"/>
                <w:w w:val="99"/>
                <w:sz w:val="13"/>
              </w:rPr>
              <w:t>-</w:t>
            </w:r>
          </w:p>
        </w:tc>
        <w:tc>
          <w:tcPr>
            <w:tcW w:w="849" w:type="dxa"/>
          </w:tcPr>
          <w:p>
            <w:pPr>
              <w:pStyle w:val="TableParagraph"/>
              <w:spacing w:before="5"/>
              <w:ind w:left="5"/>
              <w:jc w:val="center"/>
              <w:rPr>
                <w:rFonts w:ascii="Times New Roman"/>
                <w:sz w:val="13"/>
              </w:rPr>
            </w:pPr>
            <w:r>
              <w:rPr>
                <w:rFonts w:ascii="Times New Roman"/>
                <w:w w:val="99"/>
                <w:sz w:val="13"/>
              </w:rPr>
              <w:t>-</w:t>
            </w:r>
          </w:p>
        </w:tc>
        <w:tc>
          <w:tcPr>
            <w:tcW w:w="883" w:type="dxa"/>
          </w:tcPr>
          <w:p>
            <w:pPr>
              <w:pStyle w:val="TableParagraph"/>
              <w:spacing w:before="5"/>
              <w:ind w:right="26"/>
              <w:jc w:val="center"/>
              <w:rPr>
                <w:rFonts w:ascii="Times New Roman"/>
                <w:sz w:val="13"/>
              </w:rPr>
            </w:pPr>
            <w:r>
              <w:rPr>
                <w:rFonts w:ascii="Times New Roman"/>
                <w:w w:val="99"/>
                <w:sz w:val="13"/>
              </w:rPr>
              <w:t>-</w:t>
            </w:r>
          </w:p>
        </w:tc>
        <w:tc>
          <w:tcPr>
            <w:tcW w:w="779" w:type="dxa"/>
          </w:tcPr>
          <w:p>
            <w:pPr>
              <w:pStyle w:val="TableParagraph"/>
              <w:spacing w:before="5"/>
              <w:ind w:left="6"/>
              <w:jc w:val="center"/>
              <w:rPr>
                <w:rFonts w:ascii="Times New Roman"/>
                <w:sz w:val="13"/>
              </w:rPr>
            </w:pPr>
            <w:r>
              <w:rPr>
                <w:rFonts w:ascii="Times New Roman"/>
                <w:w w:val="99"/>
                <w:sz w:val="13"/>
              </w:rPr>
              <w:t>-</w:t>
            </w:r>
          </w:p>
        </w:tc>
        <w:tc>
          <w:tcPr>
            <w:tcW w:w="881" w:type="dxa"/>
          </w:tcPr>
          <w:p>
            <w:pPr>
              <w:pStyle w:val="TableParagraph"/>
              <w:spacing w:before="5"/>
              <w:ind w:left="44"/>
              <w:jc w:val="center"/>
              <w:rPr>
                <w:rFonts w:ascii="Times New Roman"/>
                <w:sz w:val="13"/>
              </w:rPr>
            </w:pPr>
            <w:r>
              <w:rPr>
                <w:rFonts w:ascii="Times New Roman"/>
                <w:w w:val="99"/>
                <w:sz w:val="13"/>
              </w:rPr>
              <w:t>-</w:t>
            </w:r>
          </w:p>
        </w:tc>
        <w:tc>
          <w:tcPr>
            <w:tcW w:w="857" w:type="dxa"/>
            <w:shd w:val="clear" w:color="auto" w:fill="F1F1F1"/>
          </w:tcPr>
          <w:p>
            <w:pPr>
              <w:pStyle w:val="TableParagraph"/>
              <w:spacing w:before="5"/>
              <w:ind w:left="4"/>
              <w:jc w:val="center"/>
              <w:rPr>
                <w:rFonts w:ascii="Times New Roman"/>
                <w:b/>
                <w:sz w:val="13"/>
              </w:rPr>
            </w:pPr>
            <w:r>
              <w:rPr>
                <w:rFonts w:ascii="Times New Roman"/>
                <w:b/>
                <w:w w:val="99"/>
                <w:sz w:val="13"/>
              </w:rPr>
              <w:t>-</w:t>
            </w:r>
          </w:p>
        </w:tc>
      </w:tr>
      <w:tr>
        <w:trPr>
          <w:trHeight w:val="167" w:hRule="exact"/>
        </w:trPr>
        <w:tc>
          <w:tcPr>
            <w:tcW w:w="1880" w:type="dxa"/>
          </w:tcPr>
          <w:p>
            <w:pPr>
              <w:pStyle w:val="TableParagraph"/>
              <w:spacing w:before="5"/>
              <w:ind w:left="30"/>
              <w:jc w:val="left"/>
              <w:rPr>
                <w:rFonts w:ascii="Times New Roman"/>
                <w:sz w:val="13"/>
              </w:rPr>
            </w:pPr>
            <w:r>
              <w:rPr>
                <w:rFonts w:ascii="Times New Roman"/>
                <w:sz w:val="13"/>
              </w:rPr>
              <w:t>Debiti verso dipendenti</w:t>
            </w:r>
          </w:p>
        </w:tc>
        <w:tc>
          <w:tcPr>
            <w:tcW w:w="800" w:type="dxa"/>
          </w:tcPr>
          <w:p>
            <w:pPr>
              <w:pStyle w:val="TableParagraph"/>
              <w:spacing w:before="5"/>
              <w:ind w:right="297"/>
              <w:rPr>
                <w:rFonts w:ascii="Times New Roman"/>
                <w:sz w:val="13"/>
              </w:rPr>
            </w:pPr>
            <w:r>
              <w:rPr>
                <w:rFonts w:ascii="Times New Roman"/>
                <w:sz w:val="13"/>
              </w:rPr>
              <w:t>216</w:t>
            </w:r>
          </w:p>
        </w:tc>
        <w:tc>
          <w:tcPr>
            <w:tcW w:w="931" w:type="dxa"/>
          </w:tcPr>
          <w:p>
            <w:pPr>
              <w:pStyle w:val="TableParagraph"/>
              <w:spacing w:before="5"/>
              <w:ind w:right="28"/>
              <w:jc w:val="center"/>
              <w:rPr>
                <w:rFonts w:ascii="Times New Roman"/>
                <w:sz w:val="13"/>
              </w:rPr>
            </w:pPr>
            <w:r>
              <w:rPr>
                <w:rFonts w:ascii="Times New Roman"/>
                <w:w w:val="99"/>
                <w:sz w:val="13"/>
              </w:rPr>
              <w:t>-</w:t>
            </w:r>
          </w:p>
        </w:tc>
        <w:tc>
          <w:tcPr>
            <w:tcW w:w="774" w:type="dxa"/>
          </w:tcPr>
          <w:p>
            <w:pPr>
              <w:pStyle w:val="TableParagraph"/>
              <w:spacing w:before="5"/>
              <w:ind w:left="347"/>
              <w:jc w:val="left"/>
              <w:rPr>
                <w:rFonts w:ascii="Times New Roman"/>
                <w:sz w:val="13"/>
              </w:rPr>
            </w:pPr>
            <w:r>
              <w:rPr>
                <w:rFonts w:ascii="Times New Roman"/>
                <w:w w:val="99"/>
                <w:sz w:val="13"/>
              </w:rPr>
              <w:t>-</w:t>
            </w:r>
          </w:p>
        </w:tc>
        <w:tc>
          <w:tcPr>
            <w:tcW w:w="851" w:type="dxa"/>
          </w:tcPr>
          <w:p>
            <w:pPr>
              <w:pStyle w:val="TableParagraph"/>
              <w:spacing w:before="5"/>
              <w:ind w:left="37"/>
              <w:jc w:val="center"/>
              <w:rPr>
                <w:rFonts w:ascii="Times New Roman"/>
                <w:sz w:val="13"/>
              </w:rPr>
            </w:pPr>
            <w:r>
              <w:rPr>
                <w:rFonts w:ascii="Times New Roman"/>
                <w:w w:val="99"/>
                <w:sz w:val="13"/>
              </w:rPr>
              <w:t>-</w:t>
            </w:r>
          </w:p>
        </w:tc>
        <w:tc>
          <w:tcPr>
            <w:tcW w:w="864" w:type="dxa"/>
          </w:tcPr>
          <w:p>
            <w:pPr>
              <w:pStyle w:val="TableParagraph"/>
              <w:spacing w:before="5"/>
              <w:ind w:left="20"/>
              <w:jc w:val="center"/>
              <w:rPr>
                <w:rFonts w:ascii="Times New Roman"/>
                <w:sz w:val="13"/>
              </w:rPr>
            </w:pPr>
            <w:r>
              <w:rPr>
                <w:rFonts w:ascii="Times New Roman"/>
                <w:w w:val="99"/>
                <w:sz w:val="13"/>
              </w:rPr>
              <w:t>-</w:t>
            </w:r>
          </w:p>
        </w:tc>
        <w:tc>
          <w:tcPr>
            <w:tcW w:w="849" w:type="dxa"/>
          </w:tcPr>
          <w:p>
            <w:pPr>
              <w:pStyle w:val="TableParagraph"/>
              <w:spacing w:before="5"/>
              <w:ind w:left="5"/>
              <w:jc w:val="center"/>
              <w:rPr>
                <w:rFonts w:ascii="Times New Roman"/>
                <w:sz w:val="13"/>
              </w:rPr>
            </w:pPr>
            <w:r>
              <w:rPr>
                <w:rFonts w:ascii="Times New Roman"/>
                <w:w w:val="99"/>
                <w:sz w:val="13"/>
              </w:rPr>
              <w:t>-</w:t>
            </w:r>
          </w:p>
        </w:tc>
        <w:tc>
          <w:tcPr>
            <w:tcW w:w="883" w:type="dxa"/>
          </w:tcPr>
          <w:p>
            <w:pPr>
              <w:pStyle w:val="TableParagraph"/>
              <w:spacing w:before="5"/>
              <w:ind w:right="26"/>
              <w:jc w:val="center"/>
              <w:rPr>
                <w:rFonts w:ascii="Times New Roman"/>
                <w:sz w:val="13"/>
              </w:rPr>
            </w:pPr>
            <w:r>
              <w:rPr>
                <w:rFonts w:ascii="Times New Roman"/>
                <w:w w:val="99"/>
                <w:sz w:val="13"/>
              </w:rPr>
              <w:t>-</w:t>
            </w:r>
          </w:p>
        </w:tc>
        <w:tc>
          <w:tcPr>
            <w:tcW w:w="779" w:type="dxa"/>
          </w:tcPr>
          <w:p>
            <w:pPr>
              <w:pStyle w:val="TableParagraph"/>
              <w:spacing w:before="5"/>
              <w:ind w:left="6"/>
              <w:jc w:val="center"/>
              <w:rPr>
                <w:rFonts w:ascii="Times New Roman"/>
                <w:sz w:val="13"/>
              </w:rPr>
            </w:pPr>
            <w:r>
              <w:rPr>
                <w:rFonts w:ascii="Times New Roman"/>
                <w:w w:val="99"/>
                <w:sz w:val="13"/>
              </w:rPr>
              <w:t>-</w:t>
            </w:r>
          </w:p>
        </w:tc>
        <w:tc>
          <w:tcPr>
            <w:tcW w:w="881" w:type="dxa"/>
          </w:tcPr>
          <w:p>
            <w:pPr>
              <w:pStyle w:val="TableParagraph"/>
              <w:spacing w:before="5"/>
              <w:ind w:left="44"/>
              <w:jc w:val="center"/>
              <w:rPr>
                <w:rFonts w:ascii="Times New Roman"/>
                <w:sz w:val="13"/>
              </w:rPr>
            </w:pPr>
            <w:r>
              <w:rPr>
                <w:rFonts w:ascii="Times New Roman"/>
                <w:w w:val="99"/>
                <w:sz w:val="13"/>
              </w:rPr>
              <w:t>-</w:t>
            </w:r>
          </w:p>
        </w:tc>
        <w:tc>
          <w:tcPr>
            <w:tcW w:w="857" w:type="dxa"/>
            <w:shd w:val="clear" w:color="auto" w:fill="F1F1F1"/>
          </w:tcPr>
          <w:p>
            <w:pPr>
              <w:pStyle w:val="TableParagraph"/>
              <w:spacing w:before="5"/>
              <w:ind w:left="260" w:right="260"/>
              <w:jc w:val="center"/>
              <w:rPr>
                <w:rFonts w:ascii="Times New Roman"/>
                <w:b/>
                <w:sz w:val="13"/>
              </w:rPr>
            </w:pPr>
            <w:r>
              <w:rPr>
                <w:rFonts w:ascii="Times New Roman"/>
                <w:b/>
                <w:sz w:val="13"/>
              </w:rPr>
              <w:t>216</w:t>
            </w:r>
          </w:p>
        </w:tc>
      </w:tr>
      <w:tr>
        <w:trPr>
          <w:trHeight w:val="167" w:hRule="exact"/>
        </w:trPr>
        <w:tc>
          <w:tcPr>
            <w:tcW w:w="1880" w:type="dxa"/>
          </w:tcPr>
          <w:p>
            <w:pPr>
              <w:pStyle w:val="TableParagraph"/>
              <w:spacing w:before="5"/>
              <w:ind w:left="30"/>
              <w:jc w:val="left"/>
              <w:rPr>
                <w:rFonts w:ascii="Times New Roman"/>
                <w:sz w:val="13"/>
              </w:rPr>
            </w:pPr>
            <w:r>
              <w:rPr>
                <w:rFonts w:ascii="Times New Roman"/>
                <w:sz w:val="13"/>
              </w:rPr>
              <w:t>Debiti tributari e previdenziali</w:t>
            </w:r>
          </w:p>
        </w:tc>
        <w:tc>
          <w:tcPr>
            <w:tcW w:w="800" w:type="dxa"/>
          </w:tcPr>
          <w:p>
            <w:pPr>
              <w:pStyle w:val="TableParagraph"/>
              <w:spacing w:before="5"/>
              <w:ind w:right="327"/>
              <w:rPr>
                <w:rFonts w:ascii="Times New Roman"/>
                <w:sz w:val="13"/>
              </w:rPr>
            </w:pPr>
            <w:r>
              <w:rPr>
                <w:rFonts w:ascii="Times New Roman"/>
                <w:sz w:val="13"/>
              </w:rPr>
              <w:t>20</w:t>
            </w:r>
          </w:p>
        </w:tc>
        <w:tc>
          <w:tcPr>
            <w:tcW w:w="931" w:type="dxa"/>
          </w:tcPr>
          <w:p>
            <w:pPr>
              <w:pStyle w:val="TableParagraph"/>
              <w:spacing w:before="5"/>
              <w:ind w:right="28"/>
              <w:jc w:val="center"/>
              <w:rPr>
                <w:rFonts w:ascii="Times New Roman"/>
                <w:sz w:val="13"/>
              </w:rPr>
            </w:pPr>
            <w:r>
              <w:rPr>
                <w:rFonts w:ascii="Times New Roman"/>
                <w:w w:val="99"/>
                <w:sz w:val="13"/>
              </w:rPr>
              <w:t>-</w:t>
            </w:r>
          </w:p>
        </w:tc>
        <w:tc>
          <w:tcPr>
            <w:tcW w:w="774" w:type="dxa"/>
          </w:tcPr>
          <w:p>
            <w:pPr>
              <w:pStyle w:val="TableParagraph"/>
              <w:spacing w:before="5"/>
              <w:ind w:left="347"/>
              <w:jc w:val="left"/>
              <w:rPr>
                <w:rFonts w:ascii="Times New Roman"/>
                <w:sz w:val="13"/>
              </w:rPr>
            </w:pPr>
            <w:r>
              <w:rPr>
                <w:rFonts w:ascii="Times New Roman"/>
                <w:w w:val="99"/>
                <w:sz w:val="13"/>
              </w:rPr>
              <w:t>-</w:t>
            </w:r>
          </w:p>
        </w:tc>
        <w:tc>
          <w:tcPr>
            <w:tcW w:w="851" w:type="dxa"/>
          </w:tcPr>
          <w:p>
            <w:pPr>
              <w:pStyle w:val="TableParagraph"/>
              <w:spacing w:before="5"/>
              <w:ind w:left="37"/>
              <w:jc w:val="center"/>
              <w:rPr>
                <w:rFonts w:ascii="Times New Roman"/>
                <w:sz w:val="13"/>
              </w:rPr>
            </w:pPr>
            <w:r>
              <w:rPr>
                <w:rFonts w:ascii="Times New Roman"/>
                <w:w w:val="99"/>
                <w:sz w:val="13"/>
              </w:rPr>
              <w:t>-</w:t>
            </w:r>
          </w:p>
        </w:tc>
        <w:tc>
          <w:tcPr>
            <w:tcW w:w="864" w:type="dxa"/>
          </w:tcPr>
          <w:p>
            <w:pPr>
              <w:pStyle w:val="TableParagraph"/>
              <w:spacing w:before="5"/>
              <w:ind w:left="20"/>
              <w:jc w:val="center"/>
              <w:rPr>
                <w:rFonts w:ascii="Times New Roman"/>
                <w:sz w:val="13"/>
              </w:rPr>
            </w:pPr>
            <w:r>
              <w:rPr>
                <w:rFonts w:ascii="Times New Roman"/>
                <w:w w:val="99"/>
                <w:sz w:val="13"/>
              </w:rPr>
              <w:t>-</w:t>
            </w:r>
          </w:p>
        </w:tc>
        <w:tc>
          <w:tcPr>
            <w:tcW w:w="849" w:type="dxa"/>
          </w:tcPr>
          <w:p>
            <w:pPr>
              <w:pStyle w:val="TableParagraph"/>
              <w:spacing w:before="5"/>
              <w:ind w:left="5"/>
              <w:jc w:val="center"/>
              <w:rPr>
                <w:rFonts w:ascii="Times New Roman"/>
                <w:sz w:val="13"/>
              </w:rPr>
            </w:pPr>
            <w:r>
              <w:rPr>
                <w:rFonts w:ascii="Times New Roman"/>
                <w:w w:val="99"/>
                <w:sz w:val="13"/>
              </w:rPr>
              <w:t>-</w:t>
            </w:r>
          </w:p>
        </w:tc>
        <w:tc>
          <w:tcPr>
            <w:tcW w:w="883" w:type="dxa"/>
          </w:tcPr>
          <w:p>
            <w:pPr>
              <w:pStyle w:val="TableParagraph"/>
              <w:spacing w:before="5"/>
              <w:ind w:left="306" w:right="338"/>
              <w:jc w:val="center"/>
              <w:rPr>
                <w:rFonts w:ascii="Times New Roman"/>
                <w:sz w:val="13"/>
              </w:rPr>
            </w:pPr>
            <w:r>
              <w:rPr>
                <w:rFonts w:ascii="Times New Roman"/>
                <w:sz w:val="13"/>
              </w:rPr>
              <w:t>374</w:t>
            </w:r>
          </w:p>
        </w:tc>
        <w:tc>
          <w:tcPr>
            <w:tcW w:w="779" w:type="dxa"/>
          </w:tcPr>
          <w:p>
            <w:pPr>
              <w:pStyle w:val="TableParagraph"/>
              <w:spacing w:before="5"/>
              <w:ind w:right="1"/>
              <w:jc w:val="center"/>
              <w:rPr>
                <w:rFonts w:ascii="Times New Roman"/>
                <w:sz w:val="13"/>
              </w:rPr>
            </w:pPr>
            <w:r>
              <w:rPr>
                <w:rFonts w:ascii="Times New Roman"/>
                <w:w w:val="99"/>
                <w:sz w:val="13"/>
              </w:rPr>
              <w:t>7</w:t>
            </w:r>
          </w:p>
        </w:tc>
        <w:tc>
          <w:tcPr>
            <w:tcW w:w="881" w:type="dxa"/>
          </w:tcPr>
          <w:p>
            <w:pPr>
              <w:pStyle w:val="TableParagraph"/>
              <w:spacing w:before="5"/>
              <w:ind w:left="342" w:right="303"/>
              <w:jc w:val="center"/>
              <w:rPr>
                <w:rFonts w:ascii="Times New Roman"/>
                <w:sz w:val="13"/>
              </w:rPr>
            </w:pPr>
            <w:r>
              <w:rPr>
                <w:rFonts w:ascii="Times New Roman"/>
                <w:sz w:val="13"/>
              </w:rPr>
              <w:t>470</w:t>
            </w:r>
          </w:p>
        </w:tc>
        <w:tc>
          <w:tcPr>
            <w:tcW w:w="857" w:type="dxa"/>
            <w:shd w:val="clear" w:color="auto" w:fill="F1F1F1"/>
          </w:tcPr>
          <w:p>
            <w:pPr>
              <w:pStyle w:val="TableParagraph"/>
              <w:spacing w:before="5"/>
              <w:ind w:left="260" w:right="260"/>
              <w:jc w:val="center"/>
              <w:rPr>
                <w:rFonts w:ascii="Times New Roman"/>
                <w:b/>
                <w:sz w:val="13"/>
              </w:rPr>
            </w:pPr>
            <w:r>
              <w:rPr>
                <w:rFonts w:ascii="Times New Roman"/>
                <w:b/>
                <w:sz w:val="13"/>
              </w:rPr>
              <w:t>871</w:t>
            </w:r>
          </w:p>
        </w:tc>
      </w:tr>
      <w:tr>
        <w:trPr>
          <w:trHeight w:val="167" w:hRule="exact"/>
        </w:trPr>
        <w:tc>
          <w:tcPr>
            <w:tcW w:w="1880" w:type="dxa"/>
          </w:tcPr>
          <w:p>
            <w:pPr>
              <w:pStyle w:val="TableParagraph"/>
              <w:spacing w:before="5"/>
              <w:ind w:left="30"/>
              <w:jc w:val="left"/>
              <w:rPr>
                <w:rFonts w:ascii="Times New Roman"/>
                <w:sz w:val="13"/>
              </w:rPr>
            </w:pPr>
            <w:r>
              <w:rPr>
                <w:rFonts w:ascii="Times New Roman"/>
                <w:sz w:val="13"/>
              </w:rPr>
              <w:t>Altri debiti</w:t>
            </w:r>
          </w:p>
        </w:tc>
        <w:tc>
          <w:tcPr>
            <w:tcW w:w="800" w:type="dxa"/>
          </w:tcPr>
          <w:p>
            <w:pPr>
              <w:pStyle w:val="TableParagraph"/>
              <w:spacing w:before="5"/>
              <w:ind w:right="375"/>
              <w:rPr>
                <w:rFonts w:ascii="Times New Roman"/>
                <w:sz w:val="13"/>
              </w:rPr>
            </w:pPr>
            <w:r>
              <w:rPr>
                <w:rFonts w:ascii="Times New Roman"/>
                <w:w w:val="99"/>
                <w:sz w:val="13"/>
              </w:rPr>
              <w:t>-</w:t>
            </w:r>
          </w:p>
        </w:tc>
        <w:tc>
          <w:tcPr>
            <w:tcW w:w="931" w:type="dxa"/>
          </w:tcPr>
          <w:p>
            <w:pPr>
              <w:pStyle w:val="TableParagraph"/>
              <w:spacing w:before="5"/>
              <w:ind w:right="28"/>
              <w:jc w:val="center"/>
              <w:rPr>
                <w:rFonts w:ascii="Times New Roman"/>
                <w:sz w:val="13"/>
              </w:rPr>
            </w:pPr>
            <w:r>
              <w:rPr>
                <w:rFonts w:ascii="Times New Roman"/>
                <w:w w:val="99"/>
                <w:sz w:val="13"/>
              </w:rPr>
              <w:t>-</w:t>
            </w:r>
          </w:p>
        </w:tc>
        <w:tc>
          <w:tcPr>
            <w:tcW w:w="774" w:type="dxa"/>
          </w:tcPr>
          <w:p>
            <w:pPr>
              <w:pStyle w:val="TableParagraph"/>
              <w:spacing w:before="5"/>
              <w:ind w:left="347"/>
              <w:jc w:val="left"/>
              <w:rPr>
                <w:rFonts w:ascii="Times New Roman"/>
                <w:sz w:val="13"/>
              </w:rPr>
            </w:pPr>
            <w:r>
              <w:rPr>
                <w:rFonts w:ascii="Times New Roman"/>
                <w:w w:val="99"/>
                <w:sz w:val="13"/>
              </w:rPr>
              <w:t>-</w:t>
            </w:r>
          </w:p>
        </w:tc>
        <w:tc>
          <w:tcPr>
            <w:tcW w:w="851" w:type="dxa"/>
          </w:tcPr>
          <w:p>
            <w:pPr>
              <w:pStyle w:val="TableParagraph"/>
              <w:spacing w:before="5"/>
              <w:ind w:left="37"/>
              <w:jc w:val="center"/>
              <w:rPr>
                <w:rFonts w:ascii="Times New Roman"/>
                <w:sz w:val="13"/>
              </w:rPr>
            </w:pPr>
            <w:r>
              <w:rPr>
                <w:rFonts w:ascii="Times New Roman"/>
                <w:w w:val="99"/>
                <w:sz w:val="13"/>
              </w:rPr>
              <w:t>-</w:t>
            </w:r>
          </w:p>
        </w:tc>
        <w:tc>
          <w:tcPr>
            <w:tcW w:w="864" w:type="dxa"/>
          </w:tcPr>
          <w:p>
            <w:pPr>
              <w:pStyle w:val="TableParagraph"/>
              <w:spacing w:before="5"/>
              <w:ind w:left="20"/>
              <w:jc w:val="center"/>
              <w:rPr>
                <w:rFonts w:ascii="Times New Roman"/>
                <w:sz w:val="13"/>
              </w:rPr>
            </w:pPr>
            <w:r>
              <w:rPr>
                <w:rFonts w:ascii="Times New Roman"/>
                <w:w w:val="99"/>
                <w:sz w:val="13"/>
              </w:rPr>
              <w:t>-</w:t>
            </w:r>
          </w:p>
        </w:tc>
        <w:tc>
          <w:tcPr>
            <w:tcW w:w="849" w:type="dxa"/>
          </w:tcPr>
          <w:p>
            <w:pPr>
              <w:pStyle w:val="TableParagraph"/>
              <w:spacing w:before="5"/>
              <w:ind w:left="305" w:right="305"/>
              <w:jc w:val="center"/>
              <w:rPr>
                <w:rFonts w:ascii="Times New Roman"/>
                <w:sz w:val="13"/>
              </w:rPr>
            </w:pPr>
            <w:r>
              <w:rPr>
                <w:rFonts w:ascii="Times New Roman"/>
                <w:sz w:val="13"/>
              </w:rPr>
              <w:t>187</w:t>
            </w:r>
          </w:p>
        </w:tc>
        <w:tc>
          <w:tcPr>
            <w:tcW w:w="883" w:type="dxa"/>
          </w:tcPr>
          <w:p>
            <w:pPr>
              <w:pStyle w:val="TableParagraph"/>
              <w:spacing w:before="5"/>
              <w:ind w:right="34"/>
              <w:jc w:val="center"/>
              <w:rPr>
                <w:rFonts w:ascii="Times New Roman"/>
                <w:sz w:val="13"/>
              </w:rPr>
            </w:pPr>
            <w:r>
              <w:rPr>
                <w:rFonts w:ascii="Times New Roman"/>
                <w:w w:val="99"/>
                <w:sz w:val="13"/>
              </w:rPr>
              <w:t>2</w:t>
            </w:r>
          </w:p>
        </w:tc>
        <w:tc>
          <w:tcPr>
            <w:tcW w:w="779" w:type="dxa"/>
          </w:tcPr>
          <w:p>
            <w:pPr>
              <w:pStyle w:val="TableParagraph"/>
              <w:spacing w:before="5"/>
              <w:ind w:left="6"/>
              <w:jc w:val="center"/>
              <w:rPr>
                <w:rFonts w:ascii="Times New Roman"/>
                <w:sz w:val="13"/>
              </w:rPr>
            </w:pPr>
            <w:r>
              <w:rPr>
                <w:rFonts w:ascii="Times New Roman"/>
                <w:w w:val="99"/>
                <w:sz w:val="13"/>
              </w:rPr>
              <w:t>-</w:t>
            </w:r>
          </w:p>
        </w:tc>
        <w:tc>
          <w:tcPr>
            <w:tcW w:w="881" w:type="dxa"/>
          </w:tcPr>
          <w:p>
            <w:pPr>
              <w:pStyle w:val="TableParagraph"/>
              <w:spacing w:before="5"/>
              <w:ind w:left="44"/>
              <w:jc w:val="center"/>
              <w:rPr>
                <w:rFonts w:ascii="Times New Roman"/>
                <w:sz w:val="13"/>
              </w:rPr>
            </w:pPr>
            <w:r>
              <w:rPr>
                <w:rFonts w:ascii="Times New Roman"/>
                <w:w w:val="99"/>
                <w:sz w:val="13"/>
              </w:rPr>
              <w:t>-</w:t>
            </w:r>
          </w:p>
        </w:tc>
        <w:tc>
          <w:tcPr>
            <w:tcW w:w="857" w:type="dxa"/>
            <w:shd w:val="clear" w:color="auto" w:fill="F1F1F1"/>
          </w:tcPr>
          <w:p>
            <w:pPr>
              <w:pStyle w:val="TableParagraph"/>
              <w:spacing w:before="5"/>
              <w:ind w:left="260" w:right="260"/>
              <w:jc w:val="center"/>
              <w:rPr>
                <w:rFonts w:ascii="Times New Roman"/>
                <w:b/>
                <w:sz w:val="13"/>
              </w:rPr>
            </w:pPr>
            <w:r>
              <w:rPr>
                <w:rFonts w:ascii="Times New Roman"/>
                <w:b/>
                <w:sz w:val="13"/>
              </w:rPr>
              <w:t>189</w:t>
            </w:r>
          </w:p>
        </w:tc>
      </w:tr>
      <w:tr>
        <w:trPr>
          <w:trHeight w:val="167" w:hRule="exact"/>
        </w:trPr>
        <w:tc>
          <w:tcPr>
            <w:tcW w:w="1880" w:type="dxa"/>
          </w:tcPr>
          <w:p>
            <w:pPr>
              <w:pStyle w:val="TableParagraph"/>
              <w:spacing w:before="5"/>
              <w:ind w:left="30"/>
              <w:jc w:val="left"/>
              <w:rPr>
                <w:rFonts w:ascii="Times New Roman"/>
                <w:sz w:val="13"/>
              </w:rPr>
            </w:pPr>
            <w:r>
              <w:rPr>
                <w:rFonts w:ascii="Times New Roman"/>
                <w:sz w:val="13"/>
              </w:rPr>
              <w:t>Fondi contabili</w:t>
            </w:r>
          </w:p>
        </w:tc>
        <w:tc>
          <w:tcPr>
            <w:tcW w:w="800" w:type="dxa"/>
          </w:tcPr>
          <w:p>
            <w:pPr>
              <w:pStyle w:val="TableParagraph"/>
              <w:spacing w:before="5"/>
              <w:ind w:right="375"/>
              <w:rPr>
                <w:rFonts w:ascii="Times New Roman"/>
                <w:sz w:val="13"/>
              </w:rPr>
            </w:pPr>
            <w:r>
              <w:rPr>
                <w:rFonts w:ascii="Times New Roman"/>
                <w:w w:val="99"/>
                <w:sz w:val="13"/>
              </w:rPr>
              <w:t>-</w:t>
            </w:r>
          </w:p>
        </w:tc>
        <w:tc>
          <w:tcPr>
            <w:tcW w:w="931" w:type="dxa"/>
          </w:tcPr>
          <w:p>
            <w:pPr>
              <w:pStyle w:val="TableParagraph"/>
              <w:spacing w:before="5"/>
              <w:ind w:right="28"/>
              <w:jc w:val="center"/>
              <w:rPr>
                <w:rFonts w:ascii="Times New Roman"/>
                <w:sz w:val="13"/>
              </w:rPr>
            </w:pPr>
            <w:r>
              <w:rPr>
                <w:rFonts w:ascii="Times New Roman"/>
                <w:w w:val="99"/>
                <w:sz w:val="13"/>
              </w:rPr>
              <w:t>-</w:t>
            </w:r>
          </w:p>
        </w:tc>
        <w:tc>
          <w:tcPr>
            <w:tcW w:w="774" w:type="dxa"/>
          </w:tcPr>
          <w:p>
            <w:pPr>
              <w:pStyle w:val="TableParagraph"/>
              <w:spacing w:before="5"/>
              <w:ind w:left="347"/>
              <w:jc w:val="left"/>
              <w:rPr>
                <w:rFonts w:ascii="Times New Roman"/>
                <w:sz w:val="13"/>
              </w:rPr>
            </w:pPr>
            <w:r>
              <w:rPr>
                <w:rFonts w:ascii="Times New Roman"/>
                <w:w w:val="99"/>
                <w:sz w:val="13"/>
              </w:rPr>
              <w:t>-</w:t>
            </w:r>
          </w:p>
        </w:tc>
        <w:tc>
          <w:tcPr>
            <w:tcW w:w="851" w:type="dxa"/>
          </w:tcPr>
          <w:p>
            <w:pPr>
              <w:pStyle w:val="TableParagraph"/>
              <w:spacing w:before="5"/>
              <w:ind w:left="37"/>
              <w:jc w:val="center"/>
              <w:rPr>
                <w:rFonts w:ascii="Times New Roman"/>
                <w:sz w:val="13"/>
              </w:rPr>
            </w:pPr>
            <w:r>
              <w:rPr>
                <w:rFonts w:ascii="Times New Roman"/>
                <w:w w:val="99"/>
                <w:sz w:val="13"/>
              </w:rPr>
              <w:t>-</w:t>
            </w:r>
          </w:p>
        </w:tc>
        <w:tc>
          <w:tcPr>
            <w:tcW w:w="864" w:type="dxa"/>
          </w:tcPr>
          <w:p>
            <w:pPr>
              <w:pStyle w:val="TableParagraph"/>
              <w:spacing w:before="5"/>
              <w:ind w:left="20"/>
              <w:jc w:val="center"/>
              <w:rPr>
                <w:rFonts w:ascii="Times New Roman"/>
                <w:sz w:val="13"/>
              </w:rPr>
            </w:pPr>
            <w:r>
              <w:rPr>
                <w:rFonts w:ascii="Times New Roman"/>
                <w:w w:val="99"/>
                <w:sz w:val="13"/>
              </w:rPr>
              <w:t>-</w:t>
            </w:r>
          </w:p>
        </w:tc>
        <w:tc>
          <w:tcPr>
            <w:tcW w:w="849" w:type="dxa"/>
          </w:tcPr>
          <w:p>
            <w:pPr>
              <w:pStyle w:val="TableParagraph"/>
              <w:spacing w:before="5"/>
              <w:ind w:left="5"/>
              <w:jc w:val="center"/>
              <w:rPr>
                <w:rFonts w:ascii="Times New Roman"/>
                <w:sz w:val="13"/>
              </w:rPr>
            </w:pPr>
            <w:r>
              <w:rPr>
                <w:rFonts w:ascii="Times New Roman"/>
                <w:w w:val="99"/>
                <w:sz w:val="13"/>
              </w:rPr>
              <w:t>-</w:t>
            </w:r>
          </w:p>
        </w:tc>
        <w:tc>
          <w:tcPr>
            <w:tcW w:w="883" w:type="dxa"/>
          </w:tcPr>
          <w:p>
            <w:pPr>
              <w:pStyle w:val="TableParagraph"/>
              <w:spacing w:before="5"/>
              <w:ind w:right="26"/>
              <w:jc w:val="center"/>
              <w:rPr>
                <w:rFonts w:ascii="Times New Roman"/>
                <w:sz w:val="13"/>
              </w:rPr>
            </w:pPr>
            <w:r>
              <w:rPr>
                <w:rFonts w:ascii="Times New Roman"/>
                <w:w w:val="99"/>
                <w:sz w:val="13"/>
              </w:rPr>
              <w:t>-</w:t>
            </w:r>
          </w:p>
        </w:tc>
        <w:tc>
          <w:tcPr>
            <w:tcW w:w="779" w:type="dxa"/>
          </w:tcPr>
          <w:p>
            <w:pPr>
              <w:pStyle w:val="TableParagraph"/>
              <w:spacing w:before="5"/>
              <w:ind w:left="6"/>
              <w:jc w:val="center"/>
              <w:rPr>
                <w:rFonts w:ascii="Times New Roman"/>
                <w:sz w:val="13"/>
              </w:rPr>
            </w:pPr>
            <w:r>
              <w:rPr>
                <w:rFonts w:ascii="Times New Roman"/>
                <w:w w:val="99"/>
                <w:sz w:val="13"/>
              </w:rPr>
              <w:t>-</w:t>
            </w:r>
          </w:p>
        </w:tc>
        <w:tc>
          <w:tcPr>
            <w:tcW w:w="881" w:type="dxa"/>
          </w:tcPr>
          <w:p>
            <w:pPr>
              <w:pStyle w:val="TableParagraph"/>
              <w:spacing w:before="5"/>
              <w:ind w:left="44"/>
              <w:jc w:val="center"/>
              <w:rPr>
                <w:rFonts w:ascii="Times New Roman"/>
                <w:sz w:val="13"/>
              </w:rPr>
            </w:pPr>
            <w:r>
              <w:rPr>
                <w:rFonts w:ascii="Times New Roman"/>
                <w:w w:val="99"/>
                <w:sz w:val="13"/>
              </w:rPr>
              <w:t>-</w:t>
            </w:r>
          </w:p>
        </w:tc>
        <w:tc>
          <w:tcPr>
            <w:tcW w:w="857" w:type="dxa"/>
            <w:shd w:val="clear" w:color="auto" w:fill="F1F1F1"/>
          </w:tcPr>
          <w:p>
            <w:pPr>
              <w:pStyle w:val="TableParagraph"/>
              <w:spacing w:before="5"/>
              <w:ind w:left="4"/>
              <w:jc w:val="center"/>
              <w:rPr>
                <w:rFonts w:ascii="Times New Roman"/>
                <w:b/>
                <w:sz w:val="13"/>
              </w:rPr>
            </w:pPr>
            <w:r>
              <w:rPr>
                <w:rFonts w:ascii="Times New Roman"/>
                <w:b/>
                <w:w w:val="99"/>
                <w:sz w:val="13"/>
              </w:rPr>
              <w:t>-</w:t>
            </w:r>
          </w:p>
        </w:tc>
      </w:tr>
      <w:tr>
        <w:trPr>
          <w:trHeight w:val="167" w:hRule="exact"/>
        </w:trPr>
        <w:tc>
          <w:tcPr>
            <w:tcW w:w="1880" w:type="dxa"/>
          </w:tcPr>
          <w:p>
            <w:pPr>
              <w:pStyle w:val="TableParagraph"/>
              <w:spacing w:before="5"/>
              <w:ind w:left="30"/>
              <w:jc w:val="left"/>
              <w:rPr>
                <w:rFonts w:ascii="Times New Roman"/>
                <w:sz w:val="13"/>
              </w:rPr>
            </w:pPr>
            <w:r>
              <w:rPr>
                <w:rFonts w:ascii="Times New Roman"/>
                <w:sz w:val="13"/>
              </w:rPr>
              <w:t>Costi di ristrutturazione</w:t>
            </w:r>
          </w:p>
        </w:tc>
        <w:tc>
          <w:tcPr>
            <w:tcW w:w="800" w:type="dxa"/>
          </w:tcPr>
          <w:p>
            <w:pPr>
              <w:pStyle w:val="TableParagraph"/>
              <w:spacing w:before="5"/>
              <w:ind w:right="375"/>
              <w:rPr>
                <w:rFonts w:ascii="Times New Roman"/>
                <w:sz w:val="13"/>
              </w:rPr>
            </w:pPr>
            <w:r>
              <w:rPr>
                <w:rFonts w:ascii="Times New Roman"/>
                <w:w w:val="99"/>
                <w:sz w:val="13"/>
              </w:rPr>
              <w:t>-</w:t>
            </w:r>
          </w:p>
        </w:tc>
        <w:tc>
          <w:tcPr>
            <w:tcW w:w="931" w:type="dxa"/>
          </w:tcPr>
          <w:p>
            <w:pPr>
              <w:pStyle w:val="TableParagraph"/>
              <w:spacing w:before="5"/>
              <w:ind w:right="28"/>
              <w:jc w:val="center"/>
              <w:rPr>
                <w:rFonts w:ascii="Times New Roman"/>
                <w:sz w:val="13"/>
              </w:rPr>
            </w:pPr>
            <w:r>
              <w:rPr>
                <w:rFonts w:ascii="Times New Roman"/>
                <w:w w:val="99"/>
                <w:sz w:val="13"/>
              </w:rPr>
              <w:t>-</w:t>
            </w:r>
          </w:p>
        </w:tc>
        <w:tc>
          <w:tcPr>
            <w:tcW w:w="774" w:type="dxa"/>
          </w:tcPr>
          <w:p>
            <w:pPr>
              <w:pStyle w:val="TableParagraph"/>
              <w:spacing w:before="5"/>
              <w:ind w:left="347"/>
              <w:jc w:val="left"/>
              <w:rPr>
                <w:rFonts w:ascii="Times New Roman"/>
                <w:sz w:val="13"/>
              </w:rPr>
            </w:pPr>
            <w:r>
              <w:rPr>
                <w:rFonts w:ascii="Times New Roman"/>
                <w:w w:val="99"/>
                <w:sz w:val="13"/>
              </w:rPr>
              <w:t>-</w:t>
            </w:r>
          </w:p>
        </w:tc>
        <w:tc>
          <w:tcPr>
            <w:tcW w:w="851" w:type="dxa"/>
          </w:tcPr>
          <w:p>
            <w:pPr>
              <w:pStyle w:val="TableParagraph"/>
              <w:spacing w:before="5"/>
              <w:ind w:left="37"/>
              <w:jc w:val="center"/>
              <w:rPr>
                <w:rFonts w:ascii="Times New Roman"/>
                <w:sz w:val="13"/>
              </w:rPr>
            </w:pPr>
            <w:r>
              <w:rPr>
                <w:rFonts w:ascii="Times New Roman"/>
                <w:w w:val="99"/>
                <w:sz w:val="13"/>
              </w:rPr>
              <w:t>-</w:t>
            </w:r>
          </w:p>
        </w:tc>
        <w:tc>
          <w:tcPr>
            <w:tcW w:w="864" w:type="dxa"/>
          </w:tcPr>
          <w:p>
            <w:pPr>
              <w:pStyle w:val="TableParagraph"/>
              <w:spacing w:before="5"/>
              <w:ind w:left="20"/>
              <w:jc w:val="center"/>
              <w:rPr>
                <w:rFonts w:ascii="Times New Roman"/>
                <w:sz w:val="13"/>
              </w:rPr>
            </w:pPr>
            <w:r>
              <w:rPr>
                <w:rFonts w:ascii="Times New Roman"/>
                <w:w w:val="99"/>
                <w:sz w:val="13"/>
              </w:rPr>
              <w:t>-</w:t>
            </w:r>
          </w:p>
        </w:tc>
        <w:tc>
          <w:tcPr>
            <w:tcW w:w="849" w:type="dxa"/>
          </w:tcPr>
          <w:p>
            <w:pPr>
              <w:pStyle w:val="TableParagraph"/>
              <w:spacing w:before="5"/>
              <w:ind w:left="5"/>
              <w:jc w:val="center"/>
              <w:rPr>
                <w:rFonts w:ascii="Times New Roman"/>
                <w:sz w:val="13"/>
              </w:rPr>
            </w:pPr>
            <w:r>
              <w:rPr>
                <w:rFonts w:ascii="Times New Roman"/>
                <w:w w:val="99"/>
                <w:sz w:val="13"/>
              </w:rPr>
              <w:t>-</w:t>
            </w:r>
          </w:p>
        </w:tc>
        <w:tc>
          <w:tcPr>
            <w:tcW w:w="883" w:type="dxa"/>
          </w:tcPr>
          <w:p>
            <w:pPr>
              <w:pStyle w:val="TableParagraph"/>
              <w:spacing w:before="5"/>
              <w:ind w:right="26"/>
              <w:jc w:val="center"/>
              <w:rPr>
                <w:rFonts w:ascii="Times New Roman"/>
                <w:sz w:val="13"/>
              </w:rPr>
            </w:pPr>
            <w:r>
              <w:rPr>
                <w:rFonts w:ascii="Times New Roman"/>
                <w:w w:val="99"/>
                <w:sz w:val="13"/>
              </w:rPr>
              <w:t>-</w:t>
            </w:r>
          </w:p>
        </w:tc>
        <w:tc>
          <w:tcPr>
            <w:tcW w:w="779" w:type="dxa"/>
          </w:tcPr>
          <w:p>
            <w:pPr>
              <w:pStyle w:val="TableParagraph"/>
              <w:spacing w:before="5"/>
              <w:ind w:left="6"/>
              <w:jc w:val="center"/>
              <w:rPr>
                <w:rFonts w:ascii="Times New Roman"/>
                <w:sz w:val="13"/>
              </w:rPr>
            </w:pPr>
            <w:r>
              <w:rPr>
                <w:rFonts w:ascii="Times New Roman"/>
                <w:w w:val="99"/>
                <w:sz w:val="13"/>
              </w:rPr>
              <w:t>-</w:t>
            </w:r>
          </w:p>
        </w:tc>
        <w:tc>
          <w:tcPr>
            <w:tcW w:w="881" w:type="dxa"/>
          </w:tcPr>
          <w:p>
            <w:pPr>
              <w:pStyle w:val="TableParagraph"/>
              <w:spacing w:before="5"/>
              <w:ind w:left="44"/>
              <w:jc w:val="center"/>
              <w:rPr>
                <w:rFonts w:ascii="Times New Roman"/>
                <w:sz w:val="13"/>
              </w:rPr>
            </w:pPr>
            <w:r>
              <w:rPr>
                <w:rFonts w:ascii="Times New Roman"/>
                <w:w w:val="99"/>
                <w:sz w:val="13"/>
              </w:rPr>
              <w:t>-</w:t>
            </w:r>
          </w:p>
        </w:tc>
        <w:tc>
          <w:tcPr>
            <w:tcW w:w="857" w:type="dxa"/>
            <w:shd w:val="clear" w:color="auto" w:fill="F1F1F1"/>
          </w:tcPr>
          <w:p>
            <w:pPr>
              <w:pStyle w:val="TableParagraph"/>
              <w:spacing w:before="5"/>
              <w:ind w:left="4"/>
              <w:jc w:val="center"/>
              <w:rPr>
                <w:rFonts w:ascii="Times New Roman"/>
                <w:b/>
                <w:sz w:val="13"/>
              </w:rPr>
            </w:pPr>
            <w:r>
              <w:rPr>
                <w:rFonts w:ascii="Times New Roman"/>
                <w:b/>
                <w:w w:val="99"/>
                <w:sz w:val="13"/>
              </w:rPr>
              <w:t>-</w:t>
            </w:r>
          </w:p>
        </w:tc>
      </w:tr>
      <w:tr>
        <w:trPr>
          <w:trHeight w:val="165" w:hRule="exact"/>
        </w:trPr>
        <w:tc>
          <w:tcPr>
            <w:tcW w:w="1880" w:type="dxa"/>
          </w:tcPr>
          <w:p>
            <w:pPr>
              <w:pStyle w:val="TableParagraph"/>
              <w:spacing w:before="5"/>
              <w:ind w:left="30"/>
              <w:jc w:val="left"/>
              <w:rPr>
                <w:rFonts w:ascii="Times New Roman"/>
                <w:sz w:val="13"/>
              </w:rPr>
            </w:pPr>
            <w:r>
              <w:rPr>
                <w:rFonts w:ascii="Times New Roman"/>
                <w:sz w:val="13"/>
              </w:rPr>
              <w:t>Fondi rischi</w:t>
            </w:r>
          </w:p>
        </w:tc>
        <w:tc>
          <w:tcPr>
            <w:tcW w:w="800" w:type="dxa"/>
          </w:tcPr>
          <w:p>
            <w:pPr>
              <w:pStyle w:val="TableParagraph"/>
              <w:spacing w:before="5"/>
              <w:ind w:right="369"/>
              <w:rPr>
                <w:rFonts w:ascii="Times New Roman"/>
                <w:sz w:val="13"/>
              </w:rPr>
            </w:pPr>
            <w:r>
              <w:rPr>
                <w:rFonts w:ascii="Times New Roman"/>
                <w:w w:val="99"/>
                <w:sz w:val="13"/>
              </w:rPr>
              <w:t>2</w:t>
            </w:r>
          </w:p>
        </w:tc>
        <w:tc>
          <w:tcPr>
            <w:tcW w:w="931" w:type="dxa"/>
          </w:tcPr>
          <w:p>
            <w:pPr>
              <w:pStyle w:val="TableParagraph"/>
              <w:spacing w:before="5"/>
              <w:ind w:right="329"/>
              <w:rPr>
                <w:rFonts w:ascii="Times New Roman"/>
                <w:sz w:val="13"/>
              </w:rPr>
            </w:pPr>
            <w:r>
              <w:rPr>
                <w:rFonts w:ascii="Times New Roman"/>
                <w:sz w:val="13"/>
              </w:rPr>
              <w:t>1.004</w:t>
            </w:r>
          </w:p>
        </w:tc>
        <w:tc>
          <w:tcPr>
            <w:tcW w:w="774" w:type="dxa"/>
          </w:tcPr>
          <w:p>
            <w:pPr>
              <w:pStyle w:val="TableParagraph"/>
              <w:spacing w:before="5"/>
              <w:ind w:left="331"/>
              <w:jc w:val="left"/>
              <w:rPr>
                <w:rFonts w:ascii="Times New Roman"/>
                <w:sz w:val="13"/>
              </w:rPr>
            </w:pPr>
            <w:r>
              <w:rPr>
                <w:rFonts w:ascii="Times New Roman"/>
                <w:w w:val="99"/>
                <w:sz w:val="13"/>
              </w:rPr>
              <w:t>0</w:t>
            </w:r>
          </w:p>
        </w:tc>
        <w:tc>
          <w:tcPr>
            <w:tcW w:w="851" w:type="dxa"/>
          </w:tcPr>
          <w:p>
            <w:pPr>
              <w:pStyle w:val="TableParagraph"/>
              <w:spacing w:before="5"/>
              <w:ind w:left="28"/>
              <w:jc w:val="center"/>
              <w:rPr>
                <w:rFonts w:ascii="Times New Roman"/>
                <w:sz w:val="13"/>
              </w:rPr>
            </w:pPr>
            <w:r>
              <w:rPr>
                <w:rFonts w:ascii="Times New Roman"/>
                <w:w w:val="99"/>
                <w:sz w:val="13"/>
              </w:rPr>
              <w:t>0</w:t>
            </w:r>
          </w:p>
        </w:tc>
        <w:tc>
          <w:tcPr>
            <w:tcW w:w="864" w:type="dxa"/>
          </w:tcPr>
          <w:p>
            <w:pPr>
              <w:pStyle w:val="TableParagraph"/>
              <w:spacing w:before="5"/>
              <w:ind w:left="322" w:right="299"/>
              <w:jc w:val="center"/>
              <w:rPr>
                <w:rFonts w:ascii="Times New Roman"/>
                <w:sz w:val="13"/>
              </w:rPr>
            </w:pPr>
            <w:r>
              <w:rPr>
                <w:rFonts w:ascii="Times New Roman"/>
                <w:sz w:val="13"/>
              </w:rPr>
              <w:t>11</w:t>
            </w:r>
          </w:p>
        </w:tc>
        <w:tc>
          <w:tcPr>
            <w:tcW w:w="849" w:type="dxa"/>
          </w:tcPr>
          <w:p>
            <w:pPr>
              <w:pStyle w:val="TableParagraph"/>
              <w:spacing w:before="5"/>
              <w:ind w:left="307" w:right="299"/>
              <w:jc w:val="center"/>
              <w:rPr>
                <w:rFonts w:ascii="Times New Roman"/>
                <w:sz w:val="13"/>
              </w:rPr>
            </w:pPr>
            <w:r>
              <w:rPr>
                <w:rFonts w:ascii="Times New Roman"/>
                <w:sz w:val="13"/>
              </w:rPr>
              <w:t>53</w:t>
            </w:r>
          </w:p>
        </w:tc>
        <w:tc>
          <w:tcPr>
            <w:tcW w:w="883" w:type="dxa"/>
          </w:tcPr>
          <w:p>
            <w:pPr>
              <w:pStyle w:val="TableParagraph"/>
              <w:spacing w:before="5"/>
              <w:ind w:left="306" w:right="338"/>
              <w:jc w:val="center"/>
              <w:rPr>
                <w:rFonts w:ascii="Times New Roman"/>
                <w:sz w:val="13"/>
              </w:rPr>
            </w:pPr>
            <w:r>
              <w:rPr>
                <w:rFonts w:ascii="Times New Roman"/>
                <w:sz w:val="13"/>
              </w:rPr>
              <w:t>289</w:t>
            </w:r>
          </w:p>
        </w:tc>
        <w:tc>
          <w:tcPr>
            <w:tcW w:w="779" w:type="dxa"/>
          </w:tcPr>
          <w:p>
            <w:pPr>
              <w:pStyle w:val="TableParagraph"/>
              <w:spacing w:before="5"/>
              <w:ind w:right="1"/>
              <w:jc w:val="center"/>
              <w:rPr>
                <w:rFonts w:ascii="Times New Roman"/>
                <w:sz w:val="13"/>
              </w:rPr>
            </w:pPr>
            <w:r>
              <w:rPr>
                <w:rFonts w:ascii="Times New Roman"/>
                <w:w w:val="99"/>
                <w:sz w:val="13"/>
              </w:rPr>
              <w:t>0</w:t>
            </w:r>
          </w:p>
        </w:tc>
        <w:tc>
          <w:tcPr>
            <w:tcW w:w="881" w:type="dxa"/>
          </w:tcPr>
          <w:p>
            <w:pPr>
              <w:pStyle w:val="TableParagraph"/>
              <w:spacing w:before="5"/>
              <w:ind w:left="36"/>
              <w:jc w:val="center"/>
              <w:rPr>
                <w:rFonts w:ascii="Times New Roman"/>
                <w:sz w:val="13"/>
              </w:rPr>
            </w:pPr>
            <w:r>
              <w:rPr>
                <w:rFonts w:ascii="Times New Roman"/>
                <w:w w:val="99"/>
                <w:sz w:val="13"/>
              </w:rPr>
              <w:t>5</w:t>
            </w:r>
          </w:p>
        </w:tc>
        <w:tc>
          <w:tcPr>
            <w:tcW w:w="857" w:type="dxa"/>
            <w:shd w:val="clear" w:color="auto" w:fill="F1F1F1"/>
          </w:tcPr>
          <w:p>
            <w:pPr>
              <w:pStyle w:val="TableParagraph"/>
              <w:spacing w:before="5"/>
              <w:ind w:left="263" w:right="260"/>
              <w:jc w:val="center"/>
              <w:rPr>
                <w:rFonts w:ascii="Times New Roman"/>
                <w:b/>
                <w:sz w:val="13"/>
              </w:rPr>
            </w:pPr>
            <w:r>
              <w:rPr>
                <w:rFonts w:ascii="Times New Roman"/>
                <w:b/>
                <w:sz w:val="13"/>
              </w:rPr>
              <w:t>1.365</w:t>
            </w:r>
          </w:p>
        </w:tc>
      </w:tr>
    </w:tbl>
    <w:p>
      <w:pPr>
        <w:pStyle w:val="BodyText"/>
        <w:spacing w:before="9"/>
        <w:rPr>
          <w:rFonts w:ascii="Times New Roman"/>
          <w:b/>
          <w:sz w:val="13"/>
        </w:rPr>
      </w:pPr>
    </w:p>
    <w:tbl>
      <w:tblPr>
        <w:tblW w:w="0" w:type="auto"/>
        <w:jc w:val="left"/>
        <w:tblInd w:w="1132"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280"/>
        <w:gridCol w:w="1399"/>
        <w:gridCol w:w="932"/>
        <w:gridCol w:w="774"/>
        <w:gridCol w:w="849"/>
        <w:gridCol w:w="864"/>
        <w:gridCol w:w="849"/>
        <w:gridCol w:w="883"/>
        <w:gridCol w:w="781"/>
        <w:gridCol w:w="881"/>
        <w:gridCol w:w="857"/>
      </w:tblGrid>
      <w:tr>
        <w:trPr>
          <w:trHeight w:val="171" w:hRule="exact"/>
        </w:trPr>
        <w:tc>
          <w:tcPr>
            <w:tcW w:w="1280" w:type="dxa"/>
            <w:tcBorders>
              <w:top w:val="single" w:sz="3" w:space="0" w:color="000000"/>
            </w:tcBorders>
          </w:tcPr>
          <w:p>
            <w:pPr>
              <w:pStyle w:val="TableParagraph"/>
              <w:spacing w:before="7"/>
              <w:ind w:left="30"/>
              <w:jc w:val="left"/>
              <w:rPr>
                <w:rFonts w:ascii="Times New Roman"/>
                <w:b/>
                <w:sz w:val="13"/>
              </w:rPr>
            </w:pPr>
            <w:r>
              <w:rPr>
                <w:rFonts w:ascii="Times New Roman"/>
                <w:b/>
                <w:sz w:val="13"/>
              </w:rPr>
              <w:t>Totale</w:t>
            </w:r>
          </w:p>
        </w:tc>
        <w:tc>
          <w:tcPr>
            <w:tcW w:w="1399" w:type="dxa"/>
            <w:tcBorders>
              <w:top w:val="single" w:sz="3" w:space="0" w:color="000000"/>
            </w:tcBorders>
          </w:tcPr>
          <w:p>
            <w:pPr>
              <w:pStyle w:val="TableParagraph"/>
              <w:spacing w:before="7"/>
              <w:ind w:left="896"/>
              <w:jc w:val="left"/>
              <w:rPr>
                <w:rFonts w:ascii="Times New Roman"/>
                <w:b/>
                <w:sz w:val="13"/>
              </w:rPr>
            </w:pPr>
            <w:r>
              <w:rPr>
                <w:rFonts w:ascii="Times New Roman"/>
                <w:b/>
                <w:sz w:val="13"/>
              </w:rPr>
              <w:t>239</w:t>
            </w:r>
          </w:p>
        </w:tc>
        <w:tc>
          <w:tcPr>
            <w:tcW w:w="932" w:type="dxa"/>
            <w:tcBorders>
              <w:top w:val="single" w:sz="3" w:space="0" w:color="000000"/>
            </w:tcBorders>
          </w:tcPr>
          <w:p>
            <w:pPr>
              <w:pStyle w:val="TableParagraph"/>
              <w:spacing w:before="7"/>
              <w:ind w:left="301"/>
              <w:jc w:val="left"/>
              <w:rPr>
                <w:rFonts w:ascii="Times New Roman"/>
                <w:b/>
                <w:sz w:val="13"/>
              </w:rPr>
            </w:pPr>
            <w:r>
              <w:rPr>
                <w:rFonts w:ascii="Times New Roman"/>
                <w:b/>
                <w:sz w:val="13"/>
              </w:rPr>
              <w:t>1.458</w:t>
            </w:r>
          </w:p>
        </w:tc>
        <w:tc>
          <w:tcPr>
            <w:tcW w:w="774" w:type="dxa"/>
            <w:tcBorders>
              <w:top w:val="single" w:sz="3" w:space="0" w:color="000000"/>
            </w:tcBorders>
          </w:tcPr>
          <w:p>
            <w:pPr>
              <w:pStyle w:val="TableParagraph"/>
              <w:spacing w:before="7"/>
              <w:ind w:right="43"/>
              <w:jc w:val="center"/>
              <w:rPr>
                <w:rFonts w:ascii="Times New Roman"/>
                <w:b/>
                <w:sz w:val="13"/>
              </w:rPr>
            </w:pPr>
            <w:r>
              <w:rPr>
                <w:rFonts w:ascii="Times New Roman"/>
                <w:b/>
                <w:w w:val="99"/>
                <w:sz w:val="13"/>
              </w:rPr>
              <w:t>7</w:t>
            </w:r>
          </w:p>
        </w:tc>
        <w:tc>
          <w:tcPr>
            <w:tcW w:w="849" w:type="dxa"/>
            <w:tcBorders>
              <w:top w:val="single" w:sz="3" w:space="0" w:color="000000"/>
            </w:tcBorders>
          </w:tcPr>
          <w:p>
            <w:pPr>
              <w:pStyle w:val="TableParagraph"/>
              <w:spacing w:before="7"/>
              <w:ind w:left="360" w:right="319"/>
              <w:jc w:val="center"/>
              <w:rPr>
                <w:rFonts w:ascii="Times New Roman"/>
                <w:b/>
                <w:sz w:val="13"/>
              </w:rPr>
            </w:pPr>
            <w:r>
              <w:rPr>
                <w:rFonts w:ascii="Times New Roman"/>
                <w:b/>
                <w:sz w:val="13"/>
              </w:rPr>
              <w:t>17</w:t>
            </w:r>
          </w:p>
        </w:tc>
        <w:tc>
          <w:tcPr>
            <w:tcW w:w="864" w:type="dxa"/>
            <w:tcBorders>
              <w:top w:val="single" w:sz="3" w:space="0" w:color="000000"/>
            </w:tcBorders>
          </w:tcPr>
          <w:p>
            <w:pPr>
              <w:pStyle w:val="TableParagraph"/>
              <w:spacing w:before="7"/>
              <w:ind w:left="322" w:right="304"/>
              <w:jc w:val="center"/>
              <w:rPr>
                <w:rFonts w:ascii="Times New Roman"/>
                <w:b/>
                <w:sz w:val="13"/>
              </w:rPr>
            </w:pPr>
            <w:r>
              <w:rPr>
                <w:rFonts w:ascii="Times New Roman"/>
                <w:b/>
                <w:sz w:val="13"/>
              </w:rPr>
              <w:t>521</w:t>
            </w:r>
          </w:p>
        </w:tc>
        <w:tc>
          <w:tcPr>
            <w:tcW w:w="849" w:type="dxa"/>
            <w:tcBorders>
              <w:top w:val="single" w:sz="3" w:space="0" w:color="000000"/>
            </w:tcBorders>
          </w:tcPr>
          <w:p>
            <w:pPr>
              <w:pStyle w:val="TableParagraph"/>
              <w:spacing w:before="7"/>
              <w:ind w:left="307" w:right="304"/>
              <w:jc w:val="center"/>
              <w:rPr>
                <w:rFonts w:ascii="Times New Roman"/>
                <w:b/>
                <w:sz w:val="13"/>
              </w:rPr>
            </w:pPr>
            <w:r>
              <w:rPr>
                <w:rFonts w:ascii="Times New Roman"/>
                <w:b/>
                <w:sz w:val="13"/>
              </w:rPr>
              <w:t>240</w:t>
            </w:r>
          </w:p>
        </w:tc>
        <w:tc>
          <w:tcPr>
            <w:tcW w:w="883" w:type="dxa"/>
            <w:tcBorders>
              <w:top w:val="single" w:sz="3" w:space="0" w:color="000000"/>
            </w:tcBorders>
          </w:tcPr>
          <w:p>
            <w:pPr>
              <w:pStyle w:val="TableParagraph"/>
              <w:spacing w:before="7"/>
              <w:ind w:left="308" w:right="336"/>
              <w:jc w:val="center"/>
              <w:rPr>
                <w:rFonts w:ascii="Times New Roman"/>
                <w:b/>
                <w:sz w:val="13"/>
              </w:rPr>
            </w:pPr>
            <w:r>
              <w:rPr>
                <w:rFonts w:ascii="Times New Roman"/>
                <w:b/>
                <w:sz w:val="13"/>
              </w:rPr>
              <w:t>665</w:t>
            </w:r>
          </w:p>
        </w:tc>
        <w:tc>
          <w:tcPr>
            <w:tcW w:w="781" w:type="dxa"/>
            <w:tcBorders>
              <w:top w:val="single" w:sz="3" w:space="0" w:color="000000"/>
            </w:tcBorders>
          </w:tcPr>
          <w:p>
            <w:pPr>
              <w:pStyle w:val="TableParagraph"/>
              <w:spacing w:before="7"/>
              <w:jc w:val="center"/>
              <w:rPr>
                <w:rFonts w:ascii="Times New Roman"/>
                <w:b/>
                <w:sz w:val="13"/>
              </w:rPr>
            </w:pPr>
            <w:r>
              <w:rPr>
                <w:rFonts w:ascii="Times New Roman"/>
                <w:b/>
                <w:w w:val="99"/>
                <w:sz w:val="13"/>
              </w:rPr>
              <w:t>7</w:t>
            </w:r>
          </w:p>
        </w:tc>
        <w:tc>
          <w:tcPr>
            <w:tcW w:w="881" w:type="dxa"/>
            <w:tcBorders>
              <w:top w:val="single" w:sz="3" w:space="0" w:color="000000"/>
            </w:tcBorders>
          </w:tcPr>
          <w:p>
            <w:pPr>
              <w:pStyle w:val="TableParagraph"/>
              <w:spacing w:before="7"/>
              <w:ind w:left="342" w:right="303"/>
              <w:jc w:val="center"/>
              <w:rPr>
                <w:rFonts w:ascii="Times New Roman"/>
                <w:b/>
                <w:sz w:val="13"/>
              </w:rPr>
            </w:pPr>
            <w:r>
              <w:rPr>
                <w:rFonts w:ascii="Times New Roman"/>
                <w:b/>
                <w:sz w:val="13"/>
              </w:rPr>
              <w:t>475</w:t>
            </w:r>
          </w:p>
        </w:tc>
        <w:tc>
          <w:tcPr>
            <w:tcW w:w="857" w:type="dxa"/>
            <w:tcBorders>
              <w:top w:val="single" w:sz="3" w:space="0" w:color="000000"/>
            </w:tcBorders>
            <w:shd w:val="clear" w:color="auto" w:fill="F1F1F1"/>
          </w:tcPr>
          <w:p>
            <w:pPr>
              <w:pStyle w:val="TableParagraph"/>
              <w:spacing w:before="7"/>
              <w:ind w:left="280"/>
              <w:jc w:val="left"/>
              <w:rPr>
                <w:rFonts w:ascii="Times New Roman"/>
                <w:b/>
                <w:sz w:val="13"/>
              </w:rPr>
            </w:pPr>
            <w:r>
              <w:rPr>
                <w:rFonts w:ascii="Times New Roman"/>
                <w:b/>
                <w:sz w:val="13"/>
              </w:rPr>
              <w:t>3.629</w:t>
            </w:r>
          </w:p>
        </w:tc>
      </w:tr>
    </w:tbl>
    <w:p>
      <w:pPr>
        <w:pStyle w:val="BodyText"/>
        <w:rPr>
          <w:rFonts w:ascii="Times New Roman"/>
          <w:b/>
          <w:sz w:val="14"/>
        </w:rPr>
      </w:pPr>
    </w:p>
    <w:p>
      <w:pPr>
        <w:pStyle w:val="BodyText"/>
        <w:spacing w:line="480" w:lineRule="auto" w:before="105"/>
        <w:ind w:left="1418" w:right="1518"/>
      </w:pPr>
      <w:r>
        <w:rPr/>
        <w:t>In particolare tali debiti risultano perlopiù costituiti dai fondi rischi, dai debiti di natura erariale e previdenziale e dai debiti verso istituti di credito.</w:t>
      </w:r>
    </w:p>
    <w:p>
      <w:pPr>
        <w:pStyle w:val="BodyText"/>
        <w:spacing w:line="480" w:lineRule="auto"/>
        <w:ind w:left="1418" w:right="1413"/>
      </w:pPr>
      <w:r>
        <w:rPr/>
        <w:t>In riferimento all’analisi di tali passività e la corretta attribuzione del grado di privilegio si rimanda al precedente par. 4.3.</w:t>
      </w:r>
    </w:p>
    <w:p>
      <w:pPr>
        <w:pStyle w:val="ListParagraph"/>
        <w:numPr>
          <w:ilvl w:val="0"/>
          <w:numId w:val="103"/>
        </w:numPr>
        <w:tabs>
          <w:tab w:pos="1985" w:val="left" w:leader="none"/>
          <w:tab w:pos="1986" w:val="left" w:leader="none"/>
        </w:tabs>
        <w:spacing w:line="287" w:lineRule="exact" w:before="0" w:after="0"/>
        <w:ind w:left="1985" w:right="0" w:hanging="283"/>
        <w:jc w:val="left"/>
        <w:rPr>
          <w:sz w:val="24"/>
        </w:rPr>
      </w:pPr>
      <w:r>
        <w:rPr>
          <w:sz w:val="24"/>
        </w:rPr>
        <w:t>creditori chirografari suddivisi</w:t>
      </w:r>
      <w:r>
        <w:rPr>
          <w:spacing w:val="-15"/>
          <w:sz w:val="24"/>
        </w:rPr>
        <w:t> </w:t>
      </w:r>
      <w:r>
        <w:rPr>
          <w:sz w:val="24"/>
        </w:rPr>
        <w:t>tra:</w:t>
      </w:r>
    </w:p>
    <w:p>
      <w:pPr>
        <w:pStyle w:val="BodyText"/>
        <w:spacing w:before="1"/>
      </w:pPr>
    </w:p>
    <w:p>
      <w:pPr>
        <w:pStyle w:val="ListParagraph"/>
        <w:numPr>
          <w:ilvl w:val="1"/>
          <w:numId w:val="103"/>
        </w:numPr>
        <w:tabs>
          <w:tab w:pos="2126" w:val="left" w:leader="none"/>
          <w:tab w:pos="2127" w:val="left" w:leader="none"/>
        </w:tabs>
        <w:spacing w:line="453" w:lineRule="auto" w:before="0" w:after="0"/>
        <w:ind w:left="2138" w:right="1410" w:hanging="360"/>
        <w:jc w:val="left"/>
        <w:rPr>
          <w:sz w:val="24"/>
        </w:rPr>
      </w:pPr>
      <w:r>
        <w:rPr>
          <w:sz w:val="24"/>
        </w:rPr>
        <w:t>debiti di natura certa, in prevalenza derivanti istituti di credito, intercompany e verso fornitori;</w:t>
      </w:r>
    </w:p>
    <w:p>
      <w:pPr>
        <w:pStyle w:val="ListParagraph"/>
        <w:numPr>
          <w:ilvl w:val="1"/>
          <w:numId w:val="103"/>
        </w:numPr>
        <w:tabs>
          <w:tab w:pos="2126" w:val="left" w:leader="none"/>
          <w:tab w:pos="2127" w:val="left" w:leader="none"/>
        </w:tabs>
        <w:spacing w:line="453" w:lineRule="auto" w:before="29" w:after="0"/>
        <w:ind w:left="2138" w:right="1418" w:hanging="360"/>
        <w:jc w:val="left"/>
        <w:rPr>
          <w:sz w:val="24"/>
        </w:rPr>
      </w:pPr>
      <w:r>
        <w:rPr>
          <w:sz w:val="24"/>
        </w:rPr>
        <w:t>fondi rischi iscritti in contabilità al 15 ottobre 2017 derivanti dal contenzioso con Novozymes e</w:t>
      </w:r>
      <w:r>
        <w:rPr>
          <w:spacing w:val="-6"/>
          <w:sz w:val="24"/>
        </w:rPr>
        <w:t> </w:t>
      </w:r>
      <w:r>
        <w:rPr>
          <w:sz w:val="24"/>
        </w:rPr>
        <w:t>Hypotax;</w:t>
      </w:r>
    </w:p>
    <w:p>
      <w:pPr>
        <w:pStyle w:val="ListParagraph"/>
        <w:numPr>
          <w:ilvl w:val="1"/>
          <w:numId w:val="103"/>
        </w:numPr>
        <w:tabs>
          <w:tab w:pos="2126" w:val="left" w:leader="none"/>
          <w:tab w:pos="2127" w:val="left" w:leader="none"/>
        </w:tabs>
        <w:spacing w:line="240" w:lineRule="auto" w:before="29" w:after="0"/>
        <w:ind w:left="2126" w:right="0" w:hanging="348"/>
        <w:jc w:val="left"/>
        <w:rPr>
          <w:sz w:val="24"/>
        </w:rPr>
      </w:pPr>
      <w:r>
        <w:rPr>
          <w:sz w:val="24"/>
        </w:rPr>
        <w:t>fondo rischi</w:t>
      </w:r>
      <w:r>
        <w:rPr>
          <w:spacing w:val="-14"/>
          <w:sz w:val="24"/>
        </w:rPr>
        <w:t> </w:t>
      </w:r>
      <w:r>
        <w:rPr>
          <w:sz w:val="24"/>
        </w:rPr>
        <w:t>concordatari.</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before="100"/>
        <w:ind w:left="1418"/>
      </w:pPr>
      <w:r>
        <w:rPr/>
        <w:t>Tali creditori sono stati suddivisi in 3 classi come di seguito sintetizzato:</w:t>
      </w:r>
    </w:p>
    <w:p>
      <w:pPr>
        <w:pStyle w:val="BodyText"/>
        <w:spacing w:before="11"/>
        <w:rPr>
          <w:sz w:val="23"/>
        </w:rPr>
      </w:pPr>
    </w:p>
    <w:p>
      <w:pPr>
        <w:pStyle w:val="ListParagraph"/>
        <w:numPr>
          <w:ilvl w:val="1"/>
          <w:numId w:val="102"/>
        </w:numPr>
        <w:tabs>
          <w:tab w:pos="2127" w:val="left" w:leader="none"/>
        </w:tabs>
        <w:spacing w:line="480" w:lineRule="auto" w:before="0" w:after="0"/>
        <w:ind w:left="2138" w:right="1644" w:hanging="360"/>
        <w:jc w:val="left"/>
        <w:rPr>
          <w:sz w:val="24"/>
        </w:rPr>
      </w:pPr>
      <w:r>
        <w:rPr>
          <w:sz w:val="24"/>
        </w:rPr>
        <w:t>Classe 1, con diritto di voto, composta dai crediti chirografari diversi da quelli di cui alla classe 2 e alla classe 3, con pagamento in una percentuale assicurata pari al 20% del rispettivo credito, da corrispondersi nella misura del relativo 50% entro 3 mesi dall’omologa nell’anno 2019 ed il restante 50% entro il</w:t>
      </w:r>
      <w:r>
        <w:rPr>
          <w:spacing w:val="-2"/>
          <w:sz w:val="24"/>
        </w:rPr>
        <w:t> </w:t>
      </w:r>
      <w:r>
        <w:rPr>
          <w:sz w:val="24"/>
        </w:rPr>
        <w:t>2021;</w:t>
      </w:r>
    </w:p>
    <w:p>
      <w:pPr>
        <w:pStyle w:val="ListParagraph"/>
        <w:numPr>
          <w:ilvl w:val="1"/>
          <w:numId w:val="102"/>
        </w:numPr>
        <w:tabs>
          <w:tab w:pos="2127" w:val="left" w:leader="none"/>
        </w:tabs>
        <w:spacing w:line="480" w:lineRule="auto" w:before="0" w:after="0"/>
        <w:ind w:left="2138" w:right="1411" w:hanging="360"/>
        <w:jc w:val="left"/>
        <w:rPr>
          <w:sz w:val="24"/>
        </w:rPr>
      </w:pPr>
      <w:r>
        <w:rPr>
          <w:sz w:val="24"/>
        </w:rPr>
        <w:t>Classe 2, con diritto di voto, composta dal creditore postergato volontariamente Novozymes A/S, con pagamento in una percentuale minima, non assicurata, pari al</w:t>
      </w:r>
      <w:r>
        <w:rPr>
          <w:spacing w:val="14"/>
          <w:sz w:val="24"/>
        </w:rPr>
        <w:t> </w:t>
      </w:r>
      <w:r>
        <w:rPr>
          <w:sz w:val="24"/>
        </w:rPr>
        <w:t>17,92</w:t>
      </w:r>
    </w:p>
    <w:p>
      <w:pPr>
        <w:pStyle w:val="BodyText"/>
        <w:spacing w:line="480" w:lineRule="auto"/>
        <w:ind w:left="2138" w:right="1518"/>
      </w:pPr>
      <w:r>
        <w:rPr/>
        <w:t>% del rispettivo credito, da corrispondersi, nei termini e modalità di cui all'impegno di postergazione ed entro il 31 dicembre 2024;</w:t>
      </w:r>
    </w:p>
    <w:p>
      <w:pPr>
        <w:pStyle w:val="ListParagraph"/>
        <w:numPr>
          <w:ilvl w:val="1"/>
          <w:numId w:val="102"/>
        </w:numPr>
        <w:tabs>
          <w:tab w:pos="2127" w:val="left" w:leader="none"/>
        </w:tabs>
        <w:spacing w:line="480" w:lineRule="auto" w:before="0" w:after="0"/>
        <w:ind w:left="2138" w:right="1418" w:hanging="360"/>
        <w:jc w:val="left"/>
        <w:rPr>
          <w:sz w:val="24"/>
        </w:rPr>
      </w:pPr>
      <w:r>
        <w:rPr>
          <w:sz w:val="24"/>
        </w:rPr>
        <w:t>Classe 3, senza diritto di voto </w:t>
      </w:r>
      <w:r>
        <w:rPr>
          <w:i/>
          <w:sz w:val="24"/>
        </w:rPr>
        <w:t>ex lege</w:t>
      </w:r>
      <w:r>
        <w:rPr>
          <w:sz w:val="24"/>
        </w:rPr>
        <w:t>, composta dai creditori finanziari ab origine (M&amp;G Finanziaria e M&amp;G</w:t>
      </w:r>
      <w:r>
        <w:rPr>
          <w:spacing w:val="-5"/>
          <w:sz w:val="24"/>
        </w:rPr>
        <w:t> </w:t>
      </w:r>
      <w:r>
        <w:rPr>
          <w:sz w:val="24"/>
        </w:rPr>
        <w:t>Spa);</w:t>
      </w:r>
    </w:p>
    <w:p>
      <w:pPr>
        <w:pStyle w:val="BodyText"/>
        <w:spacing w:line="480" w:lineRule="auto"/>
        <w:ind w:left="1418" w:right="1946"/>
      </w:pPr>
      <w:r>
        <w:rPr/>
        <w:t>La tabella seguente reca evidenza della natura del debito concordatario chirografario innanzi descritto:</w:t>
      </w:r>
    </w:p>
    <w:p>
      <w:pPr>
        <w:tabs>
          <w:tab w:pos="8869" w:val="left" w:leader="none"/>
        </w:tabs>
        <w:spacing w:before="24"/>
        <w:ind w:left="3050" w:right="0" w:firstLine="0"/>
        <w:jc w:val="left"/>
        <w:rPr>
          <w:rFonts w:ascii="Times New Roman"/>
          <w:b/>
          <w:sz w:val="15"/>
        </w:rPr>
      </w:pPr>
      <w:r>
        <w:rPr>
          <w:rFonts w:ascii="Times New Roman"/>
          <w:b/>
          <w:color w:val="FFFFFF"/>
          <w:spacing w:val="-14"/>
          <w:w w:val="105"/>
          <w:sz w:val="15"/>
          <w:shd w:fill="878A8D" w:color="auto" w:val="clear"/>
        </w:rPr>
        <w:t> </w:t>
      </w:r>
      <w:r>
        <w:rPr>
          <w:rFonts w:ascii="Times New Roman"/>
          <w:b/>
          <w:color w:val="FFFFFF"/>
          <w:w w:val="105"/>
          <w:sz w:val="15"/>
          <w:shd w:fill="878A8D" w:color="auto" w:val="clear"/>
        </w:rPr>
        <w:t>La stratificazione del debito</w:t>
      </w:r>
      <w:r>
        <w:rPr>
          <w:rFonts w:ascii="Times New Roman"/>
          <w:b/>
          <w:color w:val="FFFFFF"/>
          <w:spacing w:val="5"/>
          <w:w w:val="105"/>
          <w:sz w:val="15"/>
          <w:shd w:fill="878A8D" w:color="auto" w:val="clear"/>
        </w:rPr>
        <w:t> </w:t>
      </w:r>
      <w:r>
        <w:rPr>
          <w:rFonts w:ascii="Times New Roman"/>
          <w:b/>
          <w:color w:val="FFFFFF"/>
          <w:w w:val="105"/>
          <w:sz w:val="15"/>
          <w:shd w:fill="878A8D" w:color="auto" w:val="clear"/>
        </w:rPr>
        <w:t>concordatario</w:t>
      </w:r>
      <w:r>
        <w:rPr>
          <w:rFonts w:ascii="Times New Roman"/>
          <w:b/>
          <w:color w:val="FFFFFF"/>
          <w:sz w:val="15"/>
          <w:shd w:fill="878A8D" w:color="auto" w:val="clear"/>
        </w:rPr>
        <w:tab/>
      </w:r>
    </w:p>
    <w:p>
      <w:pPr>
        <w:pStyle w:val="BodyText"/>
        <w:spacing w:before="6"/>
        <w:rPr>
          <w:rFonts w:ascii="Times New Roman"/>
          <w:b/>
          <w:sz w:val="13"/>
        </w:rPr>
      </w:pPr>
      <w:r>
        <w:rPr/>
        <w:pict>
          <v:shape style="position:absolute;margin-left:152.546799pt;margin-top:9.738645pt;width:138.25pt;height:49pt;mso-position-horizontal-relative:page;mso-position-vertical-relative:paragraph;z-index:2272;mso-wrap-distance-left:0;mso-wrap-distance-right:0" type="#_x0000_t202" filled="true" fillcolor="#9f2f33" stroked="false">
            <v:textbox inset="0,0,0,0">
              <w:txbxContent>
                <w:p>
                  <w:pPr>
                    <w:pStyle w:val="BodyText"/>
                    <w:rPr>
                      <w:rFonts w:ascii="Times New Roman"/>
                      <w:b/>
                      <w:sz w:val="16"/>
                    </w:rPr>
                  </w:pPr>
                </w:p>
                <w:p>
                  <w:pPr>
                    <w:pStyle w:val="BodyText"/>
                    <w:spacing w:before="2"/>
                    <w:rPr>
                      <w:rFonts w:ascii="Times New Roman"/>
                      <w:b/>
                      <w:sz w:val="18"/>
                    </w:rPr>
                  </w:pPr>
                </w:p>
                <w:p>
                  <w:pPr>
                    <w:spacing w:before="0"/>
                    <w:ind w:left="26" w:right="0" w:firstLine="0"/>
                    <w:jc w:val="left"/>
                    <w:rPr>
                      <w:rFonts w:ascii="Times New Roman" w:hAnsi="Times New Roman"/>
                      <w:b/>
                      <w:i/>
                      <w:sz w:val="15"/>
                    </w:rPr>
                  </w:pPr>
                  <w:r>
                    <w:rPr>
                      <w:rFonts w:ascii="Times New Roman" w:hAnsi="Times New Roman"/>
                      <w:b/>
                      <w:i/>
                      <w:color w:val="FFFFFF"/>
                      <w:sz w:val="15"/>
                    </w:rPr>
                    <w:t>€/000</w:t>
                  </w:r>
                </w:p>
              </w:txbxContent>
            </v:textbox>
            <v:fill type="solid"/>
            <w10:wrap type="topAndBottom"/>
          </v:shape>
        </w:pict>
      </w:r>
      <w:r>
        <w:rPr/>
        <w:pict>
          <v:shape style="position:absolute;margin-left:295.599945pt;margin-top:9.738645pt;width:148.75pt;height:49.25pt;mso-position-horizontal-relative:page;mso-position-vertical-relative:paragraph;z-index:0;mso-wrap-distance-left:0;mso-wrap-distance-right:0" type="#_x0000_t202" filled="false" stroked="false">
            <v:textbox inset="0,0,0,0">
              <w:txbxContent>
                <w:tbl>
                  <w:tblPr>
                    <w:tblW w:w="0" w:type="auto"/>
                    <w:jc w:val="left"/>
                    <w:tblBorders>
                      <w:top w:val="single" w:sz="3" w:space="0" w:color="FFFFFF"/>
                      <w:left w:val="single" w:sz="3" w:space="0" w:color="FFFFFF"/>
                      <w:bottom w:val="single" w:sz="3" w:space="0" w:color="FFFFFF"/>
                      <w:right w:val="single" w:sz="3" w:space="0" w:color="FFFFFF"/>
                      <w:insideH w:val="single" w:sz="3" w:space="0" w:color="FFFFFF"/>
                      <w:insideV w:val="single" w:sz="3" w:space="0" w:color="FFFFFF"/>
                    </w:tblBorders>
                    <w:tblLayout w:type="fixed"/>
                    <w:tblCellMar>
                      <w:top w:w="0" w:type="dxa"/>
                      <w:left w:w="0" w:type="dxa"/>
                      <w:bottom w:w="0" w:type="dxa"/>
                      <w:right w:w="0" w:type="dxa"/>
                    </w:tblCellMar>
                    <w:tblLook w:val="01E0"/>
                  </w:tblPr>
                  <w:tblGrid>
                    <w:gridCol w:w="901"/>
                    <w:gridCol w:w="1024"/>
                    <w:gridCol w:w="1028"/>
                  </w:tblGrid>
                  <w:tr>
                    <w:trPr>
                      <w:trHeight w:val="389" w:hRule="exact"/>
                    </w:trPr>
                    <w:tc>
                      <w:tcPr>
                        <w:tcW w:w="2953" w:type="dxa"/>
                        <w:gridSpan w:val="3"/>
                        <w:tcBorders>
                          <w:top w:val="nil"/>
                          <w:right w:val="nil"/>
                        </w:tcBorders>
                        <w:shd w:val="clear" w:color="auto" w:fill="9F2F33"/>
                      </w:tcPr>
                      <w:p>
                        <w:pPr>
                          <w:pStyle w:val="TableParagraph"/>
                          <w:spacing w:before="105"/>
                          <w:ind w:left="752"/>
                          <w:jc w:val="left"/>
                          <w:rPr>
                            <w:rFonts w:ascii="Times New Roman"/>
                            <w:b/>
                            <w:sz w:val="15"/>
                          </w:rPr>
                        </w:pPr>
                        <w:r>
                          <w:rPr>
                            <w:rFonts w:ascii="Times New Roman"/>
                            <w:b/>
                            <w:color w:val="FFFFFF"/>
                            <w:sz w:val="15"/>
                          </w:rPr>
                          <w:t>Debito Concordatario</w:t>
                        </w:r>
                      </w:p>
                    </w:tc>
                  </w:tr>
                  <w:tr>
                    <w:trPr>
                      <w:trHeight w:val="591" w:hRule="exact"/>
                    </w:trPr>
                    <w:tc>
                      <w:tcPr>
                        <w:tcW w:w="901" w:type="dxa"/>
                        <w:tcBorders>
                          <w:bottom w:val="nil"/>
                        </w:tcBorders>
                        <w:shd w:val="clear" w:color="auto" w:fill="9F2F33"/>
                      </w:tcPr>
                      <w:p>
                        <w:pPr>
                          <w:pStyle w:val="TableParagraph"/>
                          <w:spacing w:before="5"/>
                          <w:jc w:val="left"/>
                          <w:rPr>
                            <w:rFonts w:ascii="Times New Roman"/>
                            <w:b/>
                            <w:sz w:val="17"/>
                          </w:rPr>
                        </w:pPr>
                      </w:p>
                      <w:p>
                        <w:pPr>
                          <w:pStyle w:val="TableParagraph"/>
                          <w:spacing w:before="0"/>
                          <w:ind w:left="78"/>
                          <w:jc w:val="left"/>
                          <w:rPr>
                            <w:rFonts w:ascii="Times New Roman"/>
                            <w:b/>
                            <w:sz w:val="15"/>
                          </w:rPr>
                        </w:pPr>
                        <w:r>
                          <w:rPr>
                            <w:rFonts w:ascii="Times New Roman"/>
                            <w:b/>
                            <w:color w:val="FFFFFF"/>
                            <w:sz w:val="15"/>
                          </w:rPr>
                          <w:t>Chirografo</w:t>
                        </w:r>
                      </w:p>
                    </w:tc>
                    <w:tc>
                      <w:tcPr>
                        <w:tcW w:w="1024" w:type="dxa"/>
                        <w:shd w:val="clear" w:color="auto" w:fill="9F2F33"/>
                      </w:tcPr>
                      <w:p>
                        <w:pPr>
                          <w:pStyle w:val="TableParagraph"/>
                          <w:spacing w:line="268" w:lineRule="auto" w:before="9"/>
                          <w:ind w:left="69" w:right="93" w:firstLine="26"/>
                          <w:jc w:val="center"/>
                          <w:rPr>
                            <w:rFonts w:ascii="Times New Roman"/>
                            <w:b/>
                            <w:i/>
                            <w:sz w:val="15"/>
                          </w:rPr>
                        </w:pPr>
                        <w:r>
                          <w:rPr>
                            <w:rFonts w:ascii="Times New Roman"/>
                            <w:b/>
                            <w:color w:val="FFFFFF"/>
                            <w:sz w:val="15"/>
                          </w:rPr>
                          <w:t>Chirografo postergato </w:t>
                        </w:r>
                        <w:r>
                          <w:rPr>
                            <w:rFonts w:ascii="Times New Roman"/>
                            <w:b/>
                            <w:i/>
                            <w:color w:val="FFFFFF"/>
                            <w:w w:val="95"/>
                            <w:sz w:val="15"/>
                          </w:rPr>
                          <w:t>intercompany</w:t>
                        </w:r>
                      </w:p>
                    </w:tc>
                    <w:tc>
                      <w:tcPr>
                        <w:tcW w:w="1028" w:type="dxa"/>
                        <w:tcBorders>
                          <w:bottom w:val="nil"/>
                          <w:right w:val="single" w:sz="7" w:space="0" w:color="000000"/>
                        </w:tcBorders>
                        <w:shd w:val="clear" w:color="auto" w:fill="9F2F33"/>
                      </w:tcPr>
                      <w:p>
                        <w:pPr>
                          <w:pStyle w:val="TableParagraph"/>
                          <w:spacing w:line="268" w:lineRule="auto" w:before="9"/>
                          <w:ind w:left="157" w:right="152" w:hanging="18"/>
                          <w:jc w:val="both"/>
                          <w:rPr>
                            <w:rFonts w:ascii="Times New Roman"/>
                            <w:b/>
                            <w:sz w:val="15"/>
                          </w:rPr>
                        </w:pPr>
                        <w:r>
                          <w:rPr>
                            <w:rFonts w:ascii="Times New Roman"/>
                            <w:b/>
                            <w:color w:val="FFFFFF"/>
                            <w:sz w:val="15"/>
                          </w:rPr>
                          <w:t>Chirografo postergato volontario</w:t>
                        </w:r>
                      </w:p>
                    </w:tc>
                  </w:tr>
                </w:tbl>
                <w:p>
                  <w:pPr>
                    <w:pStyle w:val="BodyText"/>
                  </w:pPr>
                </w:p>
              </w:txbxContent>
            </v:textbox>
            <w10:wrap type="topAndBottom"/>
          </v:shape>
        </w:pict>
      </w:r>
    </w:p>
    <w:p>
      <w:pPr>
        <w:pStyle w:val="BodyText"/>
        <w:spacing w:before="5"/>
        <w:rPr>
          <w:rFonts w:ascii="Times New Roman"/>
          <w:b/>
          <w:sz w:val="16"/>
        </w:rPr>
      </w:pPr>
    </w:p>
    <w:tbl>
      <w:tblPr>
        <w:tblW w:w="0" w:type="auto"/>
        <w:jc w:val="left"/>
        <w:tblInd w:w="3042"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774"/>
        <w:gridCol w:w="96"/>
        <w:gridCol w:w="955"/>
        <w:gridCol w:w="976"/>
        <w:gridCol w:w="1026"/>
      </w:tblGrid>
      <w:tr>
        <w:trPr>
          <w:trHeight w:val="179" w:hRule="exact"/>
        </w:trPr>
        <w:tc>
          <w:tcPr>
            <w:tcW w:w="2774" w:type="dxa"/>
          </w:tcPr>
          <w:p>
            <w:pPr>
              <w:pStyle w:val="TableParagraph"/>
              <w:spacing w:line="165" w:lineRule="exact" w:before="0"/>
              <w:ind w:left="34"/>
              <w:jc w:val="left"/>
              <w:rPr>
                <w:rFonts w:ascii="Times New Roman"/>
                <w:sz w:val="15"/>
              </w:rPr>
            </w:pPr>
            <w:r>
              <w:rPr>
                <w:rFonts w:ascii="Times New Roman"/>
                <w:sz w:val="15"/>
              </w:rPr>
              <w:t>Debiti verso fornitori</w:t>
            </w:r>
          </w:p>
        </w:tc>
        <w:tc>
          <w:tcPr>
            <w:tcW w:w="96" w:type="dxa"/>
          </w:tcPr>
          <w:p>
            <w:pPr/>
          </w:p>
        </w:tc>
        <w:tc>
          <w:tcPr>
            <w:tcW w:w="955" w:type="dxa"/>
          </w:tcPr>
          <w:p>
            <w:pPr>
              <w:pStyle w:val="TableParagraph"/>
              <w:spacing w:line="165" w:lineRule="exact" w:before="0"/>
              <w:ind w:right="328"/>
              <w:rPr>
                <w:rFonts w:ascii="Times New Roman"/>
                <w:sz w:val="15"/>
              </w:rPr>
            </w:pPr>
            <w:r>
              <w:rPr>
                <w:rFonts w:ascii="Times New Roman"/>
                <w:sz w:val="15"/>
              </w:rPr>
              <w:t>9.409</w:t>
            </w:r>
          </w:p>
        </w:tc>
        <w:tc>
          <w:tcPr>
            <w:tcW w:w="976" w:type="dxa"/>
          </w:tcPr>
          <w:p>
            <w:pPr>
              <w:pStyle w:val="TableParagraph"/>
              <w:spacing w:line="165" w:lineRule="exact" w:before="0"/>
              <w:ind w:right="51"/>
              <w:jc w:val="center"/>
              <w:rPr>
                <w:rFonts w:ascii="Times New Roman"/>
                <w:sz w:val="15"/>
              </w:rPr>
            </w:pPr>
            <w:r>
              <w:rPr>
                <w:rFonts w:ascii="Times New Roman"/>
                <w:w w:val="99"/>
                <w:sz w:val="15"/>
              </w:rPr>
              <w:t>-</w:t>
            </w:r>
          </w:p>
        </w:tc>
        <w:tc>
          <w:tcPr>
            <w:tcW w:w="1026" w:type="dxa"/>
          </w:tcPr>
          <w:p>
            <w:pPr>
              <w:pStyle w:val="TableParagraph"/>
              <w:spacing w:line="165" w:lineRule="exact" w:before="0"/>
              <w:ind w:right="6"/>
              <w:jc w:val="center"/>
              <w:rPr>
                <w:rFonts w:ascii="Times New Roman"/>
                <w:sz w:val="15"/>
              </w:rPr>
            </w:pPr>
            <w:r>
              <w:rPr>
                <w:rFonts w:ascii="Times New Roman"/>
                <w:w w:val="99"/>
                <w:sz w:val="15"/>
              </w:rPr>
              <w:t>-</w:t>
            </w:r>
          </w:p>
        </w:tc>
      </w:tr>
      <w:tr>
        <w:trPr>
          <w:trHeight w:val="192" w:hRule="exact"/>
        </w:trPr>
        <w:tc>
          <w:tcPr>
            <w:tcW w:w="2774" w:type="dxa"/>
          </w:tcPr>
          <w:p>
            <w:pPr>
              <w:pStyle w:val="TableParagraph"/>
              <w:spacing w:before="6"/>
              <w:ind w:left="34"/>
              <w:jc w:val="left"/>
              <w:rPr>
                <w:rFonts w:ascii="Times New Roman"/>
                <w:sz w:val="15"/>
              </w:rPr>
            </w:pPr>
            <w:r>
              <w:rPr>
                <w:rFonts w:ascii="Times New Roman"/>
                <w:sz w:val="15"/>
              </w:rPr>
              <w:t>Debiti verso istituti di credito</w:t>
            </w:r>
          </w:p>
        </w:tc>
        <w:tc>
          <w:tcPr>
            <w:tcW w:w="96" w:type="dxa"/>
          </w:tcPr>
          <w:p>
            <w:pPr/>
          </w:p>
        </w:tc>
        <w:tc>
          <w:tcPr>
            <w:tcW w:w="955" w:type="dxa"/>
          </w:tcPr>
          <w:p>
            <w:pPr>
              <w:pStyle w:val="TableParagraph"/>
              <w:spacing w:before="6"/>
              <w:ind w:right="250"/>
              <w:rPr>
                <w:rFonts w:ascii="Times New Roman"/>
                <w:sz w:val="15"/>
              </w:rPr>
            </w:pPr>
            <w:r>
              <w:rPr>
                <w:rFonts w:ascii="Times New Roman"/>
                <w:w w:val="95"/>
                <w:sz w:val="15"/>
              </w:rPr>
              <w:t>115.195</w:t>
            </w:r>
          </w:p>
        </w:tc>
        <w:tc>
          <w:tcPr>
            <w:tcW w:w="976" w:type="dxa"/>
          </w:tcPr>
          <w:p>
            <w:pPr>
              <w:pStyle w:val="TableParagraph"/>
              <w:spacing w:before="6"/>
              <w:ind w:right="51"/>
              <w:jc w:val="center"/>
              <w:rPr>
                <w:rFonts w:ascii="Times New Roman"/>
                <w:sz w:val="15"/>
              </w:rPr>
            </w:pPr>
            <w:r>
              <w:rPr>
                <w:rFonts w:ascii="Times New Roman"/>
                <w:w w:val="99"/>
                <w:sz w:val="15"/>
              </w:rPr>
              <w:t>-</w:t>
            </w:r>
          </w:p>
        </w:tc>
        <w:tc>
          <w:tcPr>
            <w:tcW w:w="1026" w:type="dxa"/>
          </w:tcPr>
          <w:p>
            <w:pPr>
              <w:pStyle w:val="TableParagraph"/>
              <w:spacing w:before="6"/>
              <w:ind w:right="6"/>
              <w:jc w:val="center"/>
              <w:rPr>
                <w:rFonts w:ascii="Times New Roman"/>
                <w:sz w:val="15"/>
              </w:rPr>
            </w:pPr>
            <w:r>
              <w:rPr>
                <w:rFonts w:ascii="Times New Roman"/>
                <w:w w:val="99"/>
                <w:sz w:val="15"/>
              </w:rPr>
              <w:t>-</w:t>
            </w:r>
          </w:p>
        </w:tc>
      </w:tr>
      <w:tr>
        <w:trPr>
          <w:trHeight w:val="192" w:hRule="exact"/>
        </w:trPr>
        <w:tc>
          <w:tcPr>
            <w:tcW w:w="2774" w:type="dxa"/>
          </w:tcPr>
          <w:p>
            <w:pPr>
              <w:pStyle w:val="TableParagraph"/>
              <w:spacing w:before="6"/>
              <w:ind w:left="34"/>
              <w:jc w:val="left"/>
              <w:rPr>
                <w:rFonts w:ascii="Times New Roman"/>
                <w:sz w:val="15"/>
              </w:rPr>
            </w:pPr>
            <w:r>
              <w:rPr>
                <w:rFonts w:ascii="Times New Roman"/>
                <w:sz w:val="15"/>
              </w:rPr>
              <w:t>Debiti intercompany</w:t>
            </w:r>
          </w:p>
        </w:tc>
        <w:tc>
          <w:tcPr>
            <w:tcW w:w="96" w:type="dxa"/>
          </w:tcPr>
          <w:p>
            <w:pPr/>
          </w:p>
        </w:tc>
        <w:tc>
          <w:tcPr>
            <w:tcW w:w="955" w:type="dxa"/>
          </w:tcPr>
          <w:p>
            <w:pPr>
              <w:pStyle w:val="TableParagraph"/>
              <w:spacing w:before="6"/>
              <w:ind w:right="285"/>
              <w:rPr>
                <w:rFonts w:ascii="Times New Roman"/>
                <w:sz w:val="15"/>
              </w:rPr>
            </w:pPr>
            <w:r>
              <w:rPr>
                <w:rFonts w:ascii="Times New Roman"/>
                <w:w w:val="95"/>
                <w:sz w:val="15"/>
              </w:rPr>
              <w:t>20.351</w:t>
            </w:r>
          </w:p>
        </w:tc>
        <w:tc>
          <w:tcPr>
            <w:tcW w:w="976" w:type="dxa"/>
          </w:tcPr>
          <w:p>
            <w:pPr>
              <w:pStyle w:val="TableParagraph"/>
              <w:spacing w:before="6"/>
              <w:ind w:left="230" w:right="284"/>
              <w:jc w:val="center"/>
              <w:rPr>
                <w:rFonts w:ascii="Times New Roman"/>
                <w:sz w:val="15"/>
              </w:rPr>
            </w:pPr>
            <w:r>
              <w:rPr>
                <w:rFonts w:ascii="Times New Roman"/>
                <w:sz w:val="15"/>
              </w:rPr>
              <w:t>7.367</w:t>
            </w:r>
          </w:p>
        </w:tc>
        <w:tc>
          <w:tcPr>
            <w:tcW w:w="1026" w:type="dxa"/>
          </w:tcPr>
          <w:p>
            <w:pPr>
              <w:pStyle w:val="TableParagraph"/>
              <w:spacing w:before="6"/>
              <w:ind w:right="6"/>
              <w:jc w:val="center"/>
              <w:rPr>
                <w:rFonts w:ascii="Times New Roman"/>
                <w:sz w:val="15"/>
              </w:rPr>
            </w:pPr>
            <w:r>
              <w:rPr>
                <w:rFonts w:ascii="Times New Roman"/>
                <w:w w:val="99"/>
                <w:sz w:val="15"/>
              </w:rPr>
              <w:t>-</w:t>
            </w:r>
          </w:p>
        </w:tc>
      </w:tr>
      <w:tr>
        <w:trPr>
          <w:trHeight w:val="192" w:hRule="exact"/>
        </w:trPr>
        <w:tc>
          <w:tcPr>
            <w:tcW w:w="2774" w:type="dxa"/>
          </w:tcPr>
          <w:p>
            <w:pPr>
              <w:pStyle w:val="TableParagraph"/>
              <w:spacing w:before="6"/>
              <w:ind w:left="34"/>
              <w:jc w:val="left"/>
              <w:rPr>
                <w:rFonts w:ascii="Times New Roman"/>
                <w:sz w:val="15"/>
              </w:rPr>
            </w:pPr>
            <w:r>
              <w:rPr>
                <w:rFonts w:ascii="Times New Roman"/>
                <w:sz w:val="15"/>
              </w:rPr>
              <w:t>Debiti verso dipendenti</w:t>
            </w:r>
          </w:p>
        </w:tc>
        <w:tc>
          <w:tcPr>
            <w:tcW w:w="96" w:type="dxa"/>
          </w:tcPr>
          <w:p>
            <w:pPr/>
          </w:p>
        </w:tc>
        <w:tc>
          <w:tcPr>
            <w:tcW w:w="955" w:type="dxa"/>
          </w:tcPr>
          <w:p>
            <w:pPr>
              <w:pStyle w:val="TableParagraph"/>
              <w:spacing w:before="6"/>
              <w:ind w:right="46"/>
              <w:jc w:val="center"/>
              <w:rPr>
                <w:rFonts w:ascii="Times New Roman"/>
                <w:sz w:val="15"/>
              </w:rPr>
            </w:pPr>
            <w:r>
              <w:rPr>
                <w:rFonts w:ascii="Times New Roman"/>
                <w:w w:val="99"/>
                <w:sz w:val="15"/>
              </w:rPr>
              <w:t>-</w:t>
            </w:r>
          </w:p>
        </w:tc>
        <w:tc>
          <w:tcPr>
            <w:tcW w:w="976" w:type="dxa"/>
          </w:tcPr>
          <w:p>
            <w:pPr>
              <w:pStyle w:val="TableParagraph"/>
              <w:spacing w:before="6"/>
              <w:ind w:right="51"/>
              <w:jc w:val="center"/>
              <w:rPr>
                <w:rFonts w:ascii="Times New Roman"/>
                <w:sz w:val="15"/>
              </w:rPr>
            </w:pPr>
            <w:r>
              <w:rPr>
                <w:rFonts w:ascii="Times New Roman"/>
                <w:w w:val="99"/>
                <w:sz w:val="15"/>
              </w:rPr>
              <w:t>-</w:t>
            </w:r>
          </w:p>
        </w:tc>
        <w:tc>
          <w:tcPr>
            <w:tcW w:w="1026" w:type="dxa"/>
          </w:tcPr>
          <w:p>
            <w:pPr>
              <w:pStyle w:val="TableParagraph"/>
              <w:spacing w:before="6"/>
              <w:ind w:right="6"/>
              <w:jc w:val="center"/>
              <w:rPr>
                <w:rFonts w:ascii="Times New Roman"/>
                <w:sz w:val="15"/>
              </w:rPr>
            </w:pPr>
            <w:r>
              <w:rPr>
                <w:rFonts w:ascii="Times New Roman"/>
                <w:w w:val="99"/>
                <w:sz w:val="15"/>
              </w:rPr>
              <w:t>-</w:t>
            </w:r>
          </w:p>
        </w:tc>
      </w:tr>
      <w:tr>
        <w:trPr>
          <w:trHeight w:val="192" w:hRule="exact"/>
        </w:trPr>
        <w:tc>
          <w:tcPr>
            <w:tcW w:w="2774" w:type="dxa"/>
          </w:tcPr>
          <w:p>
            <w:pPr>
              <w:pStyle w:val="TableParagraph"/>
              <w:spacing w:before="6"/>
              <w:ind w:left="34"/>
              <w:jc w:val="left"/>
              <w:rPr>
                <w:rFonts w:ascii="Times New Roman"/>
                <w:sz w:val="15"/>
              </w:rPr>
            </w:pPr>
            <w:r>
              <w:rPr>
                <w:rFonts w:ascii="Times New Roman"/>
                <w:sz w:val="15"/>
              </w:rPr>
              <w:t>Debiti tributari e previdenziali</w:t>
            </w:r>
          </w:p>
        </w:tc>
        <w:tc>
          <w:tcPr>
            <w:tcW w:w="96" w:type="dxa"/>
          </w:tcPr>
          <w:p>
            <w:pPr/>
          </w:p>
        </w:tc>
        <w:tc>
          <w:tcPr>
            <w:tcW w:w="955" w:type="dxa"/>
          </w:tcPr>
          <w:p>
            <w:pPr>
              <w:pStyle w:val="TableParagraph"/>
              <w:spacing w:before="6"/>
              <w:ind w:right="38"/>
              <w:jc w:val="center"/>
              <w:rPr>
                <w:rFonts w:ascii="Times New Roman"/>
                <w:sz w:val="15"/>
              </w:rPr>
            </w:pPr>
            <w:r>
              <w:rPr>
                <w:rFonts w:ascii="Times New Roman"/>
                <w:w w:val="99"/>
                <w:sz w:val="15"/>
              </w:rPr>
              <w:t>1</w:t>
            </w:r>
          </w:p>
        </w:tc>
        <w:tc>
          <w:tcPr>
            <w:tcW w:w="976" w:type="dxa"/>
          </w:tcPr>
          <w:p>
            <w:pPr>
              <w:pStyle w:val="TableParagraph"/>
              <w:spacing w:before="6"/>
              <w:ind w:right="51"/>
              <w:jc w:val="center"/>
              <w:rPr>
                <w:rFonts w:ascii="Times New Roman"/>
                <w:sz w:val="15"/>
              </w:rPr>
            </w:pPr>
            <w:r>
              <w:rPr>
                <w:rFonts w:ascii="Times New Roman"/>
                <w:w w:val="99"/>
                <w:sz w:val="15"/>
              </w:rPr>
              <w:t>-</w:t>
            </w:r>
          </w:p>
        </w:tc>
        <w:tc>
          <w:tcPr>
            <w:tcW w:w="1026" w:type="dxa"/>
          </w:tcPr>
          <w:p>
            <w:pPr>
              <w:pStyle w:val="TableParagraph"/>
              <w:spacing w:before="6"/>
              <w:ind w:right="6"/>
              <w:jc w:val="center"/>
              <w:rPr>
                <w:rFonts w:ascii="Times New Roman"/>
                <w:sz w:val="15"/>
              </w:rPr>
            </w:pPr>
            <w:r>
              <w:rPr>
                <w:rFonts w:ascii="Times New Roman"/>
                <w:w w:val="99"/>
                <w:sz w:val="15"/>
              </w:rPr>
              <w:t>-</w:t>
            </w:r>
          </w:p>
        </w:tc>
      </w:tr>
      <w:tr>
        <w:trPr>
          <w:trHeight w:val="192" w:hRule="exact"/>
        </w:trPr>
        <w:tc>
          <w:tcPr>
            <w:tcW w:w="2774" w:type="dxa"/>
          </w:tcPr>
          <w:p>
            <w:pPr>
              <w:pStyle w:val="TableParagraph"/>
              <w:spacing w:before="6"/>
              <w:ind w:left="34"/>
              <w:jc w:val="left"/>
              <w:rPr>
                <w:rFonts w:ascii="Times New Roman"/>
                <w:sz w:val="15"/>
              </w:rPr>
            </w:pPr>
            <w:r>
              <w:rPr>
                <w:rFonts w:ascii="Times New Roman"/>
                <w:sz w:val="15"/>
              </w:rPr>
              <w:t>Altri debiti</w:t>
            </w:r>
          </w:p>
        </w:tc>
        <w:tc>
          <w:tcPr>
            <w:tcW w:w="96" w:type="dxa"/>
          </w:tcPr>
          <w:p>
            <w:pPr/>
          </w:p>
        </w:tc>
        <w:tc>
          <w:tcPr>
            <w:tcW w:w="955" w:type="dxa"/>
          </w:tcPr>
          <w:p>
            <w:pPr>
              <w:pStyle w:val="TableParagraph"/>
              <w:spacing w:before="6"/>
              <w:ind w:right="328"/>
              <w:rPr>
                <w:rFonts w:ascii="Times New Roman"/>
                <w:sz w:val="15"/>
              </w:rPr>
            </w:pPr>
            <w:r>
              <w:rPr>
                <w:rFonts w:ascii="Times New Roman"/>
                <w:sz w:val="15"/>
              </w:rPr>
              <w:t>1.720</w:t>
            </w:r>
          </w:p>
        </w:tc>
        <w:tc>
          <w:tcPr>
            <w:tcW w:w="976" w:type="dxa"/>
          </w:tcPr>
          <w:p>
            <w:pPr>
              <w:pStyle w:val="TableParagraph"/>
              <w:spacing w:before="6"/>
              <w:ind w:right="51"/>
              <w:jc w:val="center"/>
              <w:rPr>
                <w:rFonts w:ascii="Times New Roman"/>
                <w:sz w:val="15"/>
              </w:rPr>
            </w:pPr>
            <w:r>
              <w:rPr>
                <w:rFonts w:ascii="Times New Roman"/>
                <w:w w:val="99"/>
                <w:sz w:val="15"/>
              </w:rPr>
              <w:t>-</w:t>
            </w:r>
          </w:p>
        </w:tc>
        <w:tc>
          <w:tcPr>
            <w:tcW w:w="1026" w:type="dxa"/>
          </w:tcPr>
          <w:p>
            <w:pPr>
              <w:pStyle w:val="TableParagraph"/>
              <w:spacing w:before="6"/>
              <w:ind w:right="6"/>
              <w:jc w:val="center"/>
              <w:rPr>
                <w:rFonts w:ascii="Times New Roman"/>
                <w:sz w:val="15"/>
              </w:rPr>
            </w:pPr>
            <w:r>
              <w:rPr>
                <w:rFonts w:ascii="Times New Roman"/>
                <w:w w:val="99"/>
                <w:sz w:val="15"/>
              </w:rPr>
              <w:t>-</w:t>
            </w:r>
          </w:p>
        </w:tc>
      </w:tr>
      <w:tr>
        <w:trPr>
          <w:trHeight w:val="192" w:hRule="exact"/>
        </w:trPr>
        <w:tc>
          <w:tcPr>
            <w:tcW w:w="2774" w:type="dxa"/>
          </w:tcPr>
          <w:p>
            <w:pPr>
              <w:pStyle w:val="TableParagraph"/>
              <w:spacing w:before="6"/>
              <w:ind w:left="34"/>
              <w:jc w:val="left"/>
              <w:rPr>
                <w:rFonts w:ascii="Times New Roman"/>
                <w:sz w:val="15"/>
              </w:rPr>
            </w:pPr>
            <w:r>
              <w:rPr>
                <w:rFonts w:ascii="Times New Roman"/>
                <w:sz w:val="15"/>
              </w:rPr>
              <w:t>Fondi contabili</w:t>
            </w:r>
          </w:p>
        </w:tc>
        <w:tc>
          <w:tcPr>
            <w:tcW w:w="96" w:type="dxa"/>
          </w:tcPr>
          <w:p>
            <w:pPr/>
          </w:p>
        </w:tc>
        <w:tc>
          <w:tcPr>
            <w:tcW w:w="955" w:type="dxa"/>
          </w:tcPr>
          <w:p>
            <w:pPr>
              <w:pStyle w:val="TableParagraph"/>
              <w:spacing w:before="6"/>
              <w:ind w:left="327" w:right="362"/>
              <w:jc w:val="center"/>
              <w:rPr>
                <w:rFonts w:ascii="Times New Roman"/>
                <w:sz w:val="15"/>
              </w:rPr>
            </w:pPr>
            <w:r>
              <w:rPr>
                <w:rFonts w:ascii="Times New Roman"/>
                <w:sz w:val="15"/>
              </w:rPr>
              <w:t>217</w:t>
            </w:r>
          </w:p>
        </w:tc>
        <w:tc>
          <w:tcPr>
            <w:tcW w:w="976" w:type="dxa"/>
          </w:tcPr>
          <w:p>
            <w:pPr>
              <w:pStyle w:val="TableParagraph"/>
              <w:spacing w:before="6"/>
              <w:ind w:right="51"/>
              <w:jc w:val="center"/>
              <w:rPr>
                <w:rFonts w:ascii="Times New Roman"/>
                <w:sz w:val="15"/>
              </w:rPr>
            </w:pPr>
            <w:r>
              <w:rPr>
                <w:rFonts w:ascii="Times New Roman"/>
                <w:w w:val="99"/>
                <w:sz w:val="15"/>
              </w:rPr>
              <w:t>-</w:t>
            </w:r>
          </w:p>
        </w:tc>
        <w:tc>
          <w:tcPr>
            <w:tcW w:w="1026" w:type="dxa"/>
          </w:tcPr>
          <w:p>
            <w:pPr>
              <w:pStyle w:val="TableParagraph"/>
              <w:spacing w:before="6"/>
              <w:ind w:left="286" w:right="286"/>
              <w:jc w:val="center"/>
              <w:rPr>
                <w:rFonts w:ascii="Times New Roman"/>
                <w:sz w:val="15"/>
              </w:rPr>
            </w:pPr>
            <w:r>
              <w:rPr>
                <w:rFonts w:ascii="Times New Roman"/>
                <w:sz w:val="15"/>
              </w:rPr>
              <w:t>20.000</w:t>
            </w:r>
          </w:p>
        </w:tc>
      </w:tr>
      <w:tr>
        <w:trPr>
          <w:trHeight w:val="192" w:hRule="exact"/>
        </w:trPr>
        <w:tc>
          <w:tcPr>
            <w:tcW w:w="2774" w:type="dxa"/>
          </w:tcPr>
          <w:p>
            <w:pPr>
              <w:pStyle w:val="TableParagraph"/>
              <w:spacing w:before="6"/>
              <w:ind w:left="34"/>
              <w:jc w:val="left"/>
              <w:rPr>
                <w:rFonts w:ascii="Times New Roman"/>
                <w:sz w:val="15"/>
              </w:rPr>
            </w:pPr>
            <w:r>
              <w:rPr>
                <w:rFonts w:ascii="Times New Roman"/>
                <w:sz w:val="15"/>
              </w:rPr>
              <w:t>Costi di ristrutturazione</w:t>
            </w:r>
          </w:p>
        </w:tc>
        <w:tc>
          <w:tcPr>
            <w:tcW w:w="96" w:type="dxa"/>
          </w:tcPr>
          <w:p>
            <w:pPr/>
          </w:p>
        </w:tc>
        <w:tc>
          <w:tcPr>
            <w:tcW w:w="955" w:type="dxa"/>
          </w:tcPr>
          <w:p>
            <w:pPr>
              <w:pStyle w:val="TableParagraph"/>
              <w:spacing w:before="6"/>
              <w:ind w:right="46"/>
              <w:jc w:val="center"/>
              <w:rPr>
                <w:rFonts w:ascii="Times New Roman"/>
                <w:sz w:val="15"/>
              </w:rPr>
            </w:pPr>
            <w:r>
              <w:rPr>
                <w:rFonts w:ascii="Times New Roman"/>
                <w:w w:val="99"/>
                <w:sz w:val="15"/>
              </w:rPr>
              <w:t>-</w:t>
            </w:r>
          </w:p>
        </w:tc>
        <w:tc>
          <w:tcPr>
            <w:tcW w:w="976" w:type="dxa"/>
          </w:tcPr>
          <w:p>
            <w:pPr>
              <w:pStyle w:val="TableParagraph"/>
              <w:spacing w:before="6"/>
              <w:ind w:right="51"/>
              <w:jc w:val="center"/>
              <w:rPr>
                <w:rFonts w:ascii="Times New Roman"/>
                <w:sz w:val="15"/>
              </w:rPr>
            </w:pPr>
            <w:r>
              <w:rPr>
                <w:rFonts w:ascii="Times New Roman"/>
                <w:w w:val="99"/>
                <w:sz w:val="15"/>
              </w:rPr>
              <w:t>-</w:t>
            </w:r>
          </w:p>
        </w:tc>
        <w:tc>
          <w:tcPr>
            <w:tcW w:w="1026" w:type="dxa"/>
          </w:tcPr>
          <w:p>
            <w:pPr>
              <w:pStyle w:val="TableParagraph"/>
              <w:spacing w:before="6"/>
              <w:ind w:right="6"/>
              <w:jc w:val="center"/>
              <w:rPr>
                <w:rFonts w:ascii="Times New Roman"/>
                <w:sz w:val="15"/>
              </w:rPr>
            </w:pPr>
            <w:r>
              <w:rPr>
                <w:rFonts w:ascii="Times New Roman"/>
                <w:w w:val="99"/>
                <w:sz w:val="15"/>
              </w:rPr>
              <w:t>-</w:t>
            </w:r>
          </w:p>
        </w:tc>
      </w:tr>
      <w:tr>
        <w:trPr>
          <w:trHeight w:val="387" w:hRule="exact"/>
        </w:trPr>
        <w:tc>
          <w:tcPr>
            <w:tcW w:w="2774" w:type="dxa"/>
            <w:tcBorders>
              <w:bottom w:val="single" w:sz="3" w:space="0" w:color="000000"/>
            </w:tcBorders>
          </w:tcPr>
          <w:p>
            <w:pPr>
              <w:pStyle w:val="TableParagraph"/>
              <w:spacing w:before="6"/>
              <w:ind w:left="34"/>
              <w:jc w:val="left"/>
              <w:rPr>
                <w:rFonts w:ascii="Times New Roman"/>
                <w:sz w:val="15"/>
              </w:rPr>
            </w:pPr>
            <w:r>
              <w:rPr>
                <w:rFonts w:ascii="Times New Roman"/>
                <w:sz w:val="15"/>
              </w:rPr>
              <w:t>Fondi rischi ed oneri</w:t>
            </w:r>
          </w:p>
        </w:tc>
        <w:tc>
          <w:tcPr>
            <w:tcW w:w="96" w:type="dxa"/>
          </w:tcPr>
          <w:p>
            <w:pPr/>
          </w:p>
        </w:tc>
        <w:tc>
          <w:tcPr>
            <w:tcW w:w="955" w:type="dxa"/>
            <w:tcBorders>
              <w:bottom w:val="single" w:sz="3" w:space="0" w:color="000000"/>
            </w:tcBorders>
          </w:tcPr>
          <w:p>
            <w:pPr>
              <w:pStyle w:val="TableParagraph"/>
              <w:spacing w:before="6"/>
              <w:ind w:right="328"/>
              <w:rPr>
                <w:rFonts w:ascii="Times New Roman"/>
                <w:sz w:val="15"/>
              </w:rPr>
            </w:pPr>
            <w:r>
              <w:rPr>
                <w:rFonts w:ascii="Times New Roman"/>
                <w:sz w:val="15"/>
              </w:rPr>
              <w:t>9.657</w:t>
            </w:r>
          </w:p>
        </w:tc>
        <w:tc>
          <w:tcPr>
            <w:tcW w:w="976" w:type="dxa"/>
            <w:tcBorders>
              <w:bottom w:val="single" w:sz="3" w:space="0" w:color="000000"/>
            </w:tcBorders>
          </w:tcPr>
          <w:p>
            <w:pPr>
              <w:pStyle w:val="TableParagraph"/>
              <w:spacing w:before="6"/>
              <w:ind w:left="230" w:right="284"/>
              <w:jc w:val="center"/>
              <w:rPr>
                <w:rFonts w:ascii="Times New Roman"/>
                <w:sz w:val="15"/>
              </w:rPr>
            </w:pPr>
            <w:r>
              <w:rPr>
                <w:rFonts w:ascii="Times New Roman"/>
                <w:sz w:val="15"/>
              </w:rPr>
              <w:t>6.477</w:t>
            </w:r>
          </w:p>
        </w:tc>
        <w:tc>
          <w:tcPr>
            <w:tcW w:w="1026" w:type="dxa"/>
            <w:tcBorders>
              <w:bottom w:val="single" w:sz="3" w:space="0" w:color="000000"/>
            </w:tcBorders>
          </w:tcPr>
          <w:p>
            <w:pPr>
              <w:pStyle w:val="TableParagraph"/>
              <w:spacing w:before="6"/>
              <w:ind w:right="6"/>
              <w:jc w:val="center"/>
              <w:rPr>
                <w:rFonts w:ascii="Times New Roman"/>
                <w:sz w:val="15"/>
              </w:rPr>
            </w:pPr>
            <w:r>
              <w:rPr>
                <w:rFonts w:ascii="Times New Roman"/>
                <w:w w:val="99"/>
                <w:sz w:val="15"/>
              </w:rPr>
              <w:t>-</w:t>
            </w:r>
          </w:p>
        </w:tc>
      </w:tr>
      <w:tr>
        <w:trPr>
          <w:trHeight w:val="185" w:hRule="exact"/>
        </w:trPr>
        <w:tc>
          <w:tcPr>
            <w:tcW w:w="2774" w:type="dxa"/>
            <w:tcBorders>
              <w:top w:val="single" w:sz="3" w:space="0" w:color="000000"/>
            </w:tcBorders>
          </w:tcPr>
          <w:p>
            <w:pPr>
              <w:pStyle w:val="TableParagraph"/>
              <w:spacing w:before="8"/>
              <w:ind w:left="34"/>
              <w:jc w:val="left"/>
              <w:rPr>
                <w:rFonts w:ascii="Times New Roman"/>
                <w:b/>
                <w:sz w:val="15"/>
              </w:rPr>
            </w:pPr>
            <w:r>
              <w:rPr>
                <w:rFonts w:ascii="Times New Roman"/>
                <w:b/>
                <w:sz w:val="15"/>
              </w:rPr>
              <w:t>Totale</w:t>
            </w:r>
          </w:p>
        </w:tc>
        <w:tc>
          <w:tcPr>
            <w:tcW w:w="96" w:type="dxa"/>
          </w:tcPr>
          <w:p>
            <w:pPr/>
          </w:p>
        </w:tc>
        <w:tc>
          <w:tcPr>
            <w:tcW w:w="955" w:type="dxa"/>
            <w:tcBorders>
              <w:top w:val="single" w:sz="3" w:space="0" w:color="000000"/>
            </w:tcBorders>
          </w:tcPr>
          <w:p>
            <w:pPr>
              <w:pStyle w:val="TableParagraph"/>
              <w:spacing w:before="8"/>
              <w:ind w:right="250"/>
              <w:rPr>
                <w:rFonts w:ascii="Times New Roman"/>
                <w:b/>
                <w:sz w:val="15"/>
              </w:rPr>
            </w:pPr>
            <w:r>
              <w:rPr>
                <w:rFonts w:ascii="Times New Roman"/>
                <w:b/>
                <w:w w:val="95"/>
                <w:sz w:val="15"/>
              </w:rPr>
              <w:t>156.551</w:t>
            </w:r>
          </w:p>
        </w:tc>
        <w:tc>
          <w:tcPr>
            <w:tcW w:w="976" w:type="dxa"/>
            <w:tcBorders>
              <w:top w:val="single" w:sz="3" w:space="0" w:color="000000"/>
            </w:tcBorders>
          </w:tcPr>
          <w:p>
            <w:pPr>
              <w:pStyle w:val="TableParagraph"/>
              <w:spacing w:before="8"/>
              <w:ind w:left="238" w:right="284"/>
              <w:jc w:val="center"/>
              <w:rPr>
                <w:rFonts w:ascii="Times New Roman"/>
                <w:b/>
                <w:sz w:val="15"/>
              </w:rPr>
            </w:pPr>
            <w:r>
              <w:rPr>
                <w:rFonts w:ascii="Times New Roman"/>
                <w:b/>
                <w:sz w:val="15"/>
              </w:rPr>
              <w:t>13.844</w:t>
            </w:r>
          </w:p>
        </w:tc>
        <w:tc>
          <w:tcPr>
            <w:tcW w:w="1026" w:type="dxa"/>
            <w:tcBorders>
              <w:top w:val="single" w:sz="3" w:space="0" w:color="000000"/>
            </w:tcBorders>
          </w:tcPr>
          <w:p>
            <w:pPr>
              <w:pStyle w:val="TableParagraph"/>
              <w:spacing w:before="8"/>
              <w:ind w:left="286" w:right="286"/>
              <w:jc w:val="center"/>
              <w:rPr>
                <w:rFonts w:ascii="Times New Roman"/>
                <w:b/>
                <w:sz w:val="15"/>
              </w:rPr>
            </w:pPr>
            <w:r>
              <w:rPr>
                <w:rFonts w:ascii="Times New Roman"/>
                <w:b/>
                <w:sz w:val="15"/>
              </w:rPr>
              <w:t>20.000</w:t>
            </w:r>
          </w:p>
        </w:tc>
      </w:tr>
    </w:tbl>
    <w:p>
      <w:pPr>
        <w:pStyle w:val="BodyText"/>
        <w:rPr>
          <w:rFonts w:ascii="Times New Roman"/>
          <w:b/>
          <w:sz w:val="20"/>
        </w:rPr>
      </w:pPr>
    </w:p>
    <w:p>
      <w:pPr>
        <w:pStyle w:val="BodyText"/>
        <w:rPr>
          <w:rFonts w:ascii="Times New Roman"/>
          <w:b/>
          <w:sz w:val="11"/>
        </w:rPr>
      </w:pPr>
      <w:r>
        <w:rPr/>
        <w:pict>
          <v:group style="position:absolute;margin-left:151.884995pt;margin-top:8.315231pt;width:139.15pt;height:.45pt;mso-position-horizontal-relative:page;mso-position-vertical-relative:paragraph;z-index:2296;mso-wrap-distance-left:0;mso-wrap-distance-right:0" coordorigin="3038,166" coordsize="2783,9">
            <v:line style="position:absolute" from="3047,171" to="5811,171" stroked="true" strokeweight=".436613pt" strokecolor="#000000">
              <v:stroke dashstyle="solid"/>
            </v:line>
            <v:line style="position:absolute" from="3042,171" to="5816,171" stroked="true" strokeweight=".43662pt" strokecolor="#000000">
              <v:stroke dashstyle="solid"/>
            </v:line>
            <w10:wrap type="topAndBottom"/>
          </v:group>
        </w:pict>
      </w:r>
      <w:r>
        <w:rPr/>
        <w:pict>
          <v:group style="position:absolute;margin-left:295.374939pt;margin-top:8.315231pt;width:148.35pt;height:.45pt;mso-position-horizontal-relative:page;mso-position-vertical-relative:paragraph;z-index:2320;mso-wrap-distance-left:0;mso-wrap-distance-right:0" coordorigin="5907,166" coordsize="2967,9">
            <v:line style="position:absolute" from="5916,171" to="8865,171" stroked="true" strokeweight=".436613pt" strokecolor="#000000">
              <v:stroke dashstyle="solid"/>
            </v:line>
            <v:line style="position:absolute" from="5912,171" to="8869,171" stroked="true" strokeweight=".43662pt" strokecolor="#000000">
              <v:stroke dashstyle="solid"/>
            </v:line>
            <w10:wrap type="topAndBottom"/>
          </v:group>
        </w:pict>
      </w:r>
    </w:p>
    <w:p>
      <w:pPr>
        <w:tabs>
          <w:tab w:pos="5815" w:val="left" w:leader="none"/>
          <w:tab w:pos="7136" w:val="left" w:leader="none"/>
          <w:tab w:pos="8116" w:val="left" w:leader="none"/>
          <w:tab w:pos="8869" w:val="left" w:leader="none"/>
        </w:tabs>
        <w:spacing w:before="0"/>
        <w:ind w:left="3042" w:right="0" w:firstLine="0"/>
        <w:jc w:val="left"/>
        <w:rPr>
          <w:rFonts w:ascii="Times New Roman"/>
          <w:sz w:val="15"/>
        </w:rPr>
      </w:pPr>
      <w:r>
        <w:rPr>
          <w:rFonts w:ascii="Times New Roman"/>
          <w:b/>
          <w:spacing w:val="-3"/>
          <w:w w:val="99"/>
          <w:sz w:val="15"/>
          <w:u w:val="single"/>
        </w:rPr>
        <w:t> </w:t>
      </w:r>
      <w:r>
        <w:rPr>
          <w:rFonts w:ascii="Times New Roman"/>
          <w:b/>
          <w:sz w:val="15"/>
          <w:u w:val="single"/>
        </w:rPr>
        <w:t>Percentuale</w:t>
      </w:r>
      <w:r>
        <w:rPr>
          <w:rFonts w:ascii="Times New Roman"/>
          <w:b/>
          <w:spacing w:val="1"/>
          <w:sz w:val="15"/>
          <w:u w:val="single"/>
        </w:rPr>
        <w:t> </w:t>
      </w:r>
      <w:r>
        <w:rPr>
          <w:rFonts w:ascii="Times New Roman"/>
          <w:b/>
          <w:spacing w:val="-3"/>
          <w:sz w:val="15"/>
          <w:u w:val="single"/>
        </w:rPr>
        <w:t>di</w:t>
      </w:r>
      <w:r>
        <w:rPr>
          <w:rFonts w:ascii="Times New Roman"/>
          <w:b/>
          <w:spacing w:val="8"/>
          <w:sz w:val="15"/>
          <w:u w:val="single"/>
        </w:rPr>
        <w:t> </w:t>
      </w:r>
      <w:r>
        <w:rPr>
          <w:rFonts w:ascii="Times New Roman"/>
          <w:b/>
          <w:sz w:val="15"/>
          <w:u w:val="single"/>
        </w:rPr>
        <w:t>soddisfacimento</w:t>
        <w:tab/>
      </w:r>
      <w:r>
        <w:rPr>
          <w:rFonts w:ascii="Times New Roman"/>
          <w:spacing w:val="2"/>
          <w:sz w:val="15"/>
          <w:u w:val="single"/>
        </w:rPr>
        <w:t>20,00%</w:t>
        <w:tab/>
      </w:r>
      <w:r>
        <w:rPr>
          <w:rFonts w:ascii="Times New Roman"/>
          <w:sz w:val="15"/>
          <w:u w:val="single"/>
        </w:rPr>
        <w:t>0,00%</w:t>
        <w:tab/>
      </w:r>
      <w:r>
        <w:rPr>
          <w:rFonts w:ascii="Times New Roman"/>
          <w:spacing w:val="2"/>
          <w:sz w:val="15"/>
          <w:u w:val="single"/>
        </w:rPr>
        <w:t>17,92%</w:t>
        <w:tab/>
      </w:r>
    </w:p>
    <w:p>
      <w:pPr>
        <w:pStyle w:val="BodyText"/>
        <w:spacing w:before="6"/>
        <w:rPr>
          <w:rFonts w:ascii="Times New Roman"/>
          <w:sz w:val="13"/>
        </w:rPr>
      </w:pPr>
      <w:r>
        <w:rPr/>
        <w:pict>
          <v:group style="position:absolute;margin-left:151.884995pt;margin-top:9.741124pt;width:139.15pt;height:.45pt;mso-position-horizontal-relative:page;mso-position-vertical-relative:paragraph;z-index:2344;mso-wrap-distance-left:0;mso-wrap-distance-right:0" coordorigin="3038,195" coordsize="2783,9">
            <v:line style="position:absolute" from="3047,199" to="5811,199" stroked="true" strokeweight=".436613pt" strokecolor="#000000">
              <v:stroke dashstyle="solid"/>
            </v:line>
            <v:line style="position:absolute" from="3042,199" to="5816,199" stroked="true" strokeweight=".43662pt" strokecolor="#000000">
              <v:stroke dashstyle="solid"/>
            </v:line>
            <w10:wrap type="topAndBottom"/>
          </v:group>
        </w:pict>
      </w:r>
      <w:r>
        <w:rPr/>
        <w:pict>
          <v:group style="position:absolute;margin-left:295.374939pt;margin-top:9.741124pt;width:148.35pt;height:.45pt;mso-position-horizontal-relative:page;mso-position-vertical-relative:paragraph;z-index:2368;mso-wrap-distance-left:0;mso-wrap-distance-right:0" coordorigin="5907,195" coordsize="2967,9">
            <v:line style="position:absolute" from="5916,199" to="8865,199" stroked="true" strokeweight=".436613pt" strokecolor="#000000">
              <v:stroke dashstyle="solid"/>
            </v:line>
            <v:line style="position:absolute" from="5912,199" to="8869,199" stroked="true" strokeweight=".43662pt" strokecolor="#000000">
              <v:stroke dashstyle="solid"/>
            </v:line>
            <w10:wrap type="topAndBottom"/>
          </v:group>
        </w:pict>
      </w:r>
    </w:p>
    <w:p>
      <w:pPr>
        <w:tabs>
          <w:tab w:pos="5815" w:val="left" w:leader="none"/>
          <w:tab w:pos="6156" w:val="left" w:leader="none"/>
          <w:tab w:pos="7303" w:val="left" w:leader="none"/>
          <w:tab w:pos="8177" w:val="left" w:leader="none"/>
          <w:tab w:pos="8869" w:val="left" w:leader="none"/>
        </w:tabs>
        <w:spacing w:before="0"/>
        <w:ind w:left="3042" w:right="0" w:firstLine="0"/>
        <w:jc w:val="left"/>
        <w:rPr>
          <w:rFonts w:ascii="Times New Roman"/>
          <w:sz w:val="15"/>
        </w:rPr>
      </w:pPr>
      <w:r>
        <w:rPr>
          <w:rFonts w:ascii="Times New Roman"/>
          <w:b/>
          <w:spacing w:val="-3"/>
          <w:w w:val="99"/>
          <w:sz w:val="15"/>
          <w:u w:val="single"/>
        </w:rPr>
        <w:t> </w:t>
      </w:r>
      <w:r>
        <w:rPr>
          <w:rFonts w:ascii="Times New Roman"/>
          <w:b/>
          <w:sz w:val="15"/>
          <w:u w:val="single"/>
        </w:rPr>
        <w:t>Fabbisogno Concordatario</w:t>
        <w:tab/>
      </w:r>
      <w:r>
        <w:rPr>
          <w:rFonts w:ascii="Times New Roman"/>
          <w:sz w:val="15"/>
          <w:u w:val="single"/>
        </w:rPr>
        <w:t> </w:t>
        <w:tab/>
      </w:r>
      <w:r>
        <w:rPr>
          <w:rFonts w:ascii="Times New Roman"/>
          <w:spacing w:val="2"/>
          <w:sz w:val="15"/>
          <w:u w:val="single"/>
        </w:rPr>
        <w:t>31.310</w:t>
        <w:tab/>
      </w:r>
      <w:r>
        <w:rPr>
          <w:rFonts w:ascii="Times New Roman"/>
          <w:sz w:val="15"/>
          <w:u w:val="single"/>
        </w:rPr>
        <w:t>-</w:t>
        <w:tab/>
        <w:t>3.584</w:t>
        <w:tab/>
      </w:r>
    </w:p>
    <w:p>
      <w:pPr>
        <w:pStyle w:val="BodyText"/>
        <w:spacing w:before="1"/>
        <w:rPr>
          <w:rFonts w:ascii="Times New Roman"/>
          <w:sz w:val="16"/>
        </w:rPr>
      </w:pPr>
    </w:p>
    <w:p>
      <w:pPr>
        <w:pStyle w:val="BodyText"/>
        <w:spacing w:before="100"/>
        <w:ind w:left="1418"/>
      </w:pPr>
      <w:r>
        <w:rPr/>
        <w:t>In riferimento all’analisi di tali passività si rimanda al precedente par. 4.3.</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518"/>
      </w:pPr>
      <w:r>
        <w:rPr/>
        <w:t>Per quanto concerne la natura dei debiti intercompany e composizione degli stessi si riporta in appresso uno specchietto riepilogativo:</w:t>
      </w:r>
    </w:p>
    <w:p>
      <w:pPr>
        <w:tabs>
          <w:tab w:pos="9098" w:val="left" w:leader="none"/>
        </w:tabs>
        <w:spacing w:before="22"/>
        <w:ind w:left="2821" w:right="0" w:firstLine="0"/>
        <w:jc w:val="left"/>
        <w:rPr>
          <w:rFonts w:ascii="Times New Roman"/>
          <w:b/>
          <w:sz w:val="17"/>
        </w:rPr>
      </w:pPr>
      <w:r>
        <w:rPr>
          <w:rFonts w:ascii="Times New Roman"/>
          <w:b/>
          <w:color w:val="FFFFFF"/>
          <w:spacing w:val="-13"/>
          <w:w w:val="101"/>
          <w:sz w:val="17"/>
          <w:shd w:fill="878A8D" w:color="auto" w:val="clear"/>
        </w:rPr>
        <w:t> </w:t>
      </w:r>
      <w:r>
        <w:rPr>
          <w:rFonts w:ascii="Times New Roman"/>
          <w:b/>
          <w:color w:val="FFFFFF"/>
          <w:sz w:val="17"/>
          <w:shd w:fill="878A8D" w:color="auto" w:val="clear"/>
        </w:rPr>
        <w:t>Debito  concordatario  </w:t>
      </w:r>
      <w:r>
        <w:rPr>
          <w:rFonts w:ascii="Times New Roman"/>
          <w:b/>
          <w:color w:val="FFFFFF"/>
          <w:spacing w:val="-3"/>
          <w:sz w:val="17"/>
          <w:shd w:fill="878A8D" w:color="auto" w:val="clear"/>
        </w:rPr>
        <w:t>al</w:t>
      </w:r>
      <w:r>
        <w:rPr>
          <w:rFonts w:ascii="Times New Roman"/>
          <w:b/>
          <w:color w:val="FFFFFF"/>
          <w:spacing w:val="-7"/>
          <w:sz w:val="17"/>
          <w:shd w:fill="878A8D" w:color="auto" w:val="clear"/>
        </w:rPr>
        <w:t> </w:t>
      </w:r>
      <w:r>
        <w:rPr>
          <w:rFonts w:ascii="Times New Roman"/>
          <w:b/>
          <w:color w:val="FFFFFF"/>
          <w:spacing w:val="2"/>
          <w:sz w:val="17"/>
          <w:shd w:fill="878A8D" w:color="auto" w:val="clear"/>
        </w:rPr>
        <w:t>15.10.2017</w:t>
        <w:tab/>
      </w:r>
    </w:p>
    <w:p>
      <w:pPr>
        <w:pStyle w:val="BodyText"/>
        <w:spacing w:before="3"/>
        <w:rPr>
          <w:rFonts w:ascii="Times New Roman"/>
          <w:b/>
          <w:sz w:val="16"/>
        </w:rPr>
      </w:pPr>
      <w:r>
        <w:rPr/>
        <w:pict>
          <v:shape style="position:absolute;margin-left:141.066254pt;margin-top:11.315831pt;width:189.15pt;height:34.5pt;mso-position-horizontal-relative:page;mso-position-vertical-relative:paragraph;z-index:2392;mso-wrap-distance-left:0;mso-wrap-distance-right:0" type="#_x0000_t202" filled="true" fillcolor="#9f2f33" stroked="false">
            <v:textbox inset="0,0,0,0">
              <w:txbxContent>
                <w:p>
                  <w:pPr>
                    <w:pStyle w:val="BodyText"/>
                    <w:spacing w:before="5"/>
                    <w:rPr>
                      <w:rFonts w:ascii="Times New Roman"/>
                      <w:b/>
                      <w:sz w:val="21"/>
                    </w:rPr>
                  </w:pPr>
                </w:p>
                <w:p>
                  <w:pPr>
                    <w:spacing w:before="0"/>
                    <w:ind w:left="1448" w:right="1453" w:firstLine="0"/>
                    <w:jc w:val="center"/>
                    <w:rPr>
                      <w:rFonts w:ascii="Times New Roman"/>
                      <w:b/>
                      <w:sz w:val="17"/>
                    </w:rPr>
                  </w:pPr>
                  <w:r>
                    <w:rPr>
                      <w:rFonts w:ascii="Times New Roman"/>
                      <w:b/>
                      <w:color w:val="FFFFFF"/>
                      <w:sz w:val="17"/>
                    </w:rPr>
                    <w:t>Descrizione</w:t>
                  </w:r>
                </w:p>
              </w:txbxContent>
            </v:textbox>
            <v:fill type="solid"/>
            <w10:wrap type="topAndBottom"/>
          </v:shape>
        </w:pict>
      </w:r>
      <w:r>
        <w:rPr/>
        <w:pict>
          <v:group style="position:absolute;margin-left:332.22406pt;margin-top:11.315849pt;width:122.75pt;height:34.5pt;mso-position-horizontal-relative:page;mso-position-vertical-relative:paragraph;z-index:2464;mso-wrap-distance-left:0;mso-wrap-distance-right:0" coordorigin="6644,226" coordsize="2455,690">
            <v:rect style="position:absolute;left:6644;top:226;width:1207;height:689" filled="true" fillcolor="#9f2f33" stroked="false">
              <v:fill type="solid"/>
            </v:rect>
            <v:rect style="position:absolute;left:7892;top:226;width:1207;height:689" filled="true" fillcolor="#9f2f33" stroked="false">
              <v:fill type="solid"/>
            </v:rect>
            <v:shape style="position:absolute;left:6827;top:478;width:855;height:191" type="#_x0000_t202" filled="false" stroked="false">
              <v:textbox inset="0,0,0,0">
                <w:txbxContent>
                  <w:p>
                    <w:pPr>
                      <w:spacing w:line="190" w:lineRule="exact" w:before="0"/>
                      <w:ind w:left="0" w:right="0" w:firstLine="0"/>
                      <w:jc w:val="left"/>
                      <w:rPr>
                        <w:rFonts w:ascii="Times New Roman"/>
                        <w:b/>
                        <w:sz w:val="17"/>
                      </w:rPr>
                    </w:pPr>
                    <w:r>
                      <w:rPr>
                        <w:rFonts w:ascii="Times New Roman"/>
                        <w:b/>
                        <w:color w:val="FFFFFF"/>
                        <w:sz w:val="17"/>
                      </w:rPr>
                      <w:t>Chirografo</w:t>
                    </w:r>
                  </w:p>
                </w:txbxContent>
              </v:textbox>
              <w10:wrap type="none"/>
            </v:shape>
            <v:shape style="position:absolute;left:7983;top:255;width:1007;height:637" type="#_x0000_t202" filled="false" stroked="false">
              <v:textbox inset="0,0,0,0">
                <w:txbxContent>
                  <w:p>
                    <w:pPr>
                      <w:spacing w:line="273" w:lineRule="auto" w:before="0"/>
                      <w:ind w:left="0" w:right="18" w:firstLine="31"/>
                      <w:jc w:val="center"/>
                      <w:rPr>
                        <w:rFonts w:ascii="Times New Roman"/>
                        <w:b/>
                        <w:i/>
                        <w:sz w:val="17"/>
                      </w:rPr>
                    </w:pPr>
                    <w:r>
                      <w:rPr>
                        <w:rFonts w:ascii="Times New Roman"/>
                        <w:b/>
                        <w:color w:val="FFFFFF"/>
                        <w:sz w:val="17"/>
                      </w:rPr>
                      <w:t>Chirografo postergato </w:t>
                    </w:r>
                    <w:r>
                      <w:rPr>
                        <w:rFonts w:ascii="Times New Roman"/>
                        <w:b/>
                        <w:i/>
                        <w:color w:val="FFFFFF"/>
                        <w:sz w:val="17"/>
                      </w:rPr>
                      <w:t>intercompany</w:t>
                    </w:r>
                  </w:p>
                </w:txbxContent>
              </v:textbox>
              <w10:wrap type="none"/>
            </v:shape>
            <w10:wrap type="topAndBottom"/>
          </v:group>
        </w:pict>
      </w:r>
    </w:p>
    <w:p>
      <w:pPr>
        <w:tabs>
          <w:tab w:pos="6847" w:val="left" w:leader="none"/>
          <w:tab w:pos="8848" w:val="right" w:leader="none"/>
        </w:tabs>
        <w:spacing w:line="180" w:lineRule="exact" w:before="0" w:after="14"/>
        <w:ind w:left="2851" w:right="0" w:firstLine="0"/>
        <w:jc w:val="left"/>
        <w:rPr>
          <w:rFonts w:ascii="Times New Roman"/>
          <w:b/>
          <w:sz w:val="17"/>
        </w:rPr>
      </w:pPr>
      <w:r>
        <w:rPr>
          <w:rFonts w:ascii="Times New Roman"/>
          <w:b/>
          <w:sz w:val="17"/>
        </w:rPr>
        <w:t>Debiti</w:t>
      </w:r>
      <w:r>
        <w:rPr>
          <w:rFonts w:ascii="Times New Roman"/>
          <w:b/>
          <w:spacing w:val="24"/>
          <w:sz w:val="17"/>
        </w:rPr>
        <w:t> </w:t>
      </w:r>
      <w:r>
        <w:rPr>
          <w:rFonts w:ascii="Times New Roman"/>
          <w:b/>
          <w:i/>
          <w:sz w:val="17"/>
        </w:rPr>
        <w:t>intercompany</w:t>
        <w:tab/>
      </w:r>
      <w:r>
        <w:rPr>
          <w:rFonts w:ascii="Times New Roman"/>
          <w:b/>
          <w:spacing w:val="2"/>
          <w:sz w:val="17"/>
        </w:rPr>
        <w:t>20.350.978</w:t>
        <w:tab/>
        <w:t>7.366.557</w:t>
      </w:r>
    </w:p>
    <w:tbl>
      <w:tblPr>
        <w:tblW w:w="0" w:type="auto"/>
        <w:jc w:val="left"/>
        <w:tblInd w:w="2806"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33"/>
        <w:gridCol w:w="1227"/>
        <w:gridCol w:w="1227"/>
      </w:tblGrid>
      <w:tr>
        <w:trPr>
          <w:trHeight w:val="230" w:hRule="exact"/>
        </w:trPr>
        <w:tc>
          <w:tcPr>
            <w:tcW w:w="3833" w:type="dxa"/>
            <w:tcBorders>
              <w:top w:val="single" w:sz="4" w:space="0" w:color="000000"/>
            </w:tcBorders>
          </w:tcPr>
          <w:p>
            <w:pPr>
              <w:pStyle w:val="TableParagraph"/>
              <w:ind w:left="40"/>
              <w:jc w:val="left"/>
              <w:rPr>
                <w:rFonts w:ascii="Times New Roman"/>
                <w:sz w:val="17"/>
              </w:rPr>
            </w:pPr>
            <w:r>
              <w:rPr>
                <w:rFonts w:ascii="Times New Roman"/>
                <w:sz w:val="17"/>
              </w:rPr>
              <w:t>MOSSI&amp;GHISOLFI SPA (finanziario  </w:t>
            </w:r>
            <w:r>
              <w:rPr>
                <w:rFonts w:ascii="Times New Roman"/>
                <w:i/>
                <w:sz w:val="17"/>
              </w:rPr>
              <w:t>ab origine </w:t>
            </w:r>
            <w:r>
              <w:rPr>
                <w:rFonts w:ascii="Times New Roman"/>
                <w:sz w:val="17"/>
              </w:rPr>
              <w:t>)</w:t>
            </w:r>
          </w:p>
        </w:tc>
        <w:tc>
          <w:tcPr>
            <w:tcW w:w="1227" w:type="dxa"/>
            <w:tcBorders>
              <w:top w:val="single" w:sz="4" w:space="0" w:color="000000"/>
              <w:right w:val="single" w:sz="16" w:space="0" w:color="FFFFFF"/>
            </w:tcBorders>
            <w:shd w:val="clear" w:color="auto" w:fill="F1F1F1"/>
          </w:tcPr>
          <w:p>
            <w:pPr>
              <w:pStyle w:val="TableParagraph"/>
              <w:ind w:left="7"/>
              <w:jc w:val="center"/>
              <w:rPr>
                <w:rFonts w:ascii="Times New Roman"/>
                <w:b/>
                <w:sz w:val="17"/>
              </w:rPr>
            </w:pPr>
            <w:r>
              <w:rPr>
                <w:rFonts w:ascii="Times New Roman"/>
                <w:b/>
                <w:w w:val="101"/>
                <w:sz w:val="17"/>
              </w:rPr>
              <w:t>-</w:t>
            </w:r>
          </w:p>
        </w:tc>
        <w:tc>
          <w:tcPr>
            <w:tcW w:w="1227" w:type="dxa"/>
            <w:tcBorders>
              <w:top w:val="single" w:sz="4" w:space="0" w:color="000000"/>
              <w:left w:val="single" w:sz="16" w:space="0" w:color="FFFFFF"/>
            </w:tcBorders>
            <w:shd w:val="clear" w:color="auto" w:fill="F1F1F1"/>
          </w:tcPr>
          <w:p>
            <w:pPr>
              <w:pStyle w:val="TableParagraph"/>
              <w:ind w:left="195" w:right="200"/>
              <w:jc w:val="center"/>
              <w:rPr>
                <w:rFonts w:ascii="Times New Roman"/>
                <w:b/>
                <w:sz w:val="17"/>
              </w:rPr>
            </w:pPr>
            <w:r>
              <w:rPr>
                <w:rFonts w:ascii="Times New Roman"/>
                <w:b/>
                <w:sz w:val="17"/>
              </w:rPr>
              <w:t>11.261</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MOSSI&amp;GHISOLFI SPA (finanziario  </w:t>
            </w:r>
            <w:r>
              <w:rPr>
                <w:rFonts w:ascii="Times New Roman"/>
                <w:i/>
                <w:sz w:val="17"/>
              </w:rPr>
              <w:t>ab origine </w:t>
            </w:r>
            <w:r>
              <w:rPr>
                <w:rFonts w:ascii="Times New Roman"/>
                <w:sz w:val="17"/>
              </w:rPr>
              <w:t>)</w:t>
            </w:r>
          </w:p>
        </w:tc>
        <w:tc>
          <w:tcPr>
            <w:tcW w:w="1227" w:type="dxa"/>
            <w:tcBorders>
              <w:right w:val="single" w:sz="16" w:space="0" w:color="FFFFFF"/>
            </w:tcBorders>
            <w:shd w:val="clear" w:color="auto" w:fill="F1F1F1"/>
          </w:tcPr>
          <w:p>
            <w:pPr>
              <w:pStyle w:val="TableParagraph"/>
              <w:spacing w:before="11"/>
              <w:ind w:left="7"/>
              <w:jc w:val="center"/>
              <w:rPr>
                <w:rFonts w:ascii="Times New Roman"/>
                <w:b/>
                <w:sz w:val="17"/>
              </w:rPr>
            </w:pPr>
            <w:r>
              <w:rPr>
                <w:rFonts w:ascii="Times New Roman"/>
                <w:b/>
                <w:w w:val="101"/>
                <w:sz w:val="17"/>
              </w:rPr>
              <w:t>-</w:t>
            </w:r>
          </w:p>
        </w:tc>
        <w:tc>
          <w:tcPr>
            <w:tcW w:w="1227" w:type="dxa"/>
            <w:tcBorders>
              <w:left w:val="single" w:sz="16" w:space="0" w:color="FFFFFF"/>
            </w:tcBorders>
            <w:shd w:val="clear" w:color="auto" w:fill="F1F1F1"/>
          </w:tcPr>
          <w:p>
            <w:pPr>
              <w:pStyle w:val="TableParagraph"/>
              <w:spacing w:before="11"/>
              <w:ind w:left="195" w:right="200"/>
              <w:jc w:val="center"/>
              <w:rPr>
                <w:rFonts w:ascii="Times New Roman"/>
                <w:b/>
                <w:sz w:val="17"/>
              </w:rPr>
            </w:pPr>
            <w:r>
              <w:rPr>
                <w:rFonts w:ascii="Times New Roman"/>
                <w:b/>
                <w:sz w:val="17"/>
              </w:rPr>
              <w:t>5.184.379</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MOSSI&amp;GHISOLFI SPA (finanziario  </w:t>
            </w:r>
            <w:r>
              <w:rPr>
                <w:rFonts w:ascii="Times New Roman"/>
                <w:i/>
                <w:sz w:val="17"/>
              </w:rPr>
              <w:t>ab origine </w:t>
            </w:r>
            <w:r>
              <w:rPr>
                <w:rFonts w:ascii="Times New Roman"/>
                <w:sz w:val="17"/>
              </w:rPr>
              <w:t>)</w:t>
            </w:r>
          </w:p>
        </w:tc>
        <w:tc>
          <w:tcPr>
            <w:tcW w:w="1227" w:type="dxa"/>
            <w:tcBorders>
              <w:right w:val="single" w:sz="16" w:space="0" w:color="FFFFFF"/>
            </w:tcBorders>
            <w:shd w:val="clear" w:color="auto" w:fill="F1F1F1"/>
          </w:tcPr>
          <w:p>
            <w:pPr>
              <w:pStyle w:val="TableParagraph"/>
              <w:spacing w:before="11"/>
              <w:ind w:left="7"/>
              <w:jc w:val="center"/>
              <w:rPr>
                <w:rFonts w:ascii="Times New Roman"/>
                <w:b/>
                <w:sz w:val="17"/>
              </w:rPr>
            </w:pPr>
            <w:r>
              <w:rPr>
                <w:rFonts w:ascii="Times New Roman"/>
                <w:b/>
                <w:w w:val="101"/>
                <w:sz w:val="17"/>
              </w:rPr>
              <w:t>-</w:t>
            </w:r>
          </w:p>
        </w:tc>
        <w:tc>
          <w:tcPr>
            <w:tcW w:w="1227" w:type="dxa"/>
            <w:tcBorders>
              <w:left w:val="single" w:sz="16" w:space="0" w:color="FFFFFF"/>
            </w:tcBorders>
            <w:shd w:val="clear" w:color="auto" w:fill="F1F1F1"/>
          </w:tcPr>
          <w:p>
            <w:pPr>
              <w:pStyle w:val="TableParagraph"/>
              <w:spacing w:before="11"/>
              <w:ind w:left="195" w:right="200"/>
              <w:jc w:val="center"/>
              <w:rPr>
                <w:rFonts w:ascii="Times New Roman"/>
                <w:b/>
                <w:sz w:val="17"/>
              </w:rPr>
            </w:pPr>
            <w:r>
              <w:rPr>
                <w:rFonts w:ascii="Times New Roman"/>
                <w:b/>
                <w:sz w:val="17"/>
              </w:rPr>
              <w:t>1.210.000</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CHEMTEX  INTERNATIONAL INC</w:t>
            </w:r>
          </w:p>
        </w:tc>
        <w:tc>
          <w:tcPr>
            <w:tcW w:w="1227" w:type="dxa"/>
            <w:tcBorders>
              <w:right w:val="single" w:sz="16" w:space="0" w:color="FFFFFF"/>
            </w:tcBorders>
            <w:shd w:val="clear" w:color="auto" w:fill="F1F1F1"/>
          </w:tcPr>
          <w:p>
            <w:pPr>
              <w:pStyle w:val="TableParagraph"/>
              <w:spacing w:before="11"/>
              <w:ind w:left="202" w:right="200"/>
              <w:jc w:val="center"/>
              <w:rPr>
                <w:rFonts w:ascii="Times New Roman"/>
                <w:b/>
                <w:sz w:val="17"/>
              </w:rPr>
            </w:pPr>
            <w:r>
              <w:rPr>
                <w:rFonts w:ascii="Times New Roman"/>
                <w:b/>
                <w:sz w:val="17"/>
              </w:rPr>
              <w:t>12.911.408</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CHEMTEX  INTERNATIONAL INC</w:t>
            </w:r>
          </w:p>
        </w:tc>
        <w:tc>
          <w:tcPr>
            <w:tcW w:w="1227" w:type="dxa"/>
            <w:tcBorders>
              <w:right w:val="single" w:sz="16" w:space="0" w:color="FFFFFF"/>
            </w:tcBorders>
            <w:shd w:val="clear" w:color="auto" w:fill="F1F1F1"/>
          </w:tcPr>
          <w:p>
            <w:pPr>
              <w:pStyle w:val="TableParagraph"/>
              <w:spacing w:before="11"/>
              <w:ind w:left="195" w:right="200"/>
              <w:jc w:val="center"/>
              <w:rPr>
                <w:rFonts w:ascii="Times New Roman"/>
                <w:b/>
                <w:sz w:val="17"/>
              </w:rPr>
            </w:pPr>
            <w:r>
              <w:rPr>
                <w:rFonts w:ascii="Times New Roman"/>
                <w:b/>
                <w:sz w:val="17"/>
              </w:rPr>
              <w:t>3.246.312</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CHEMTEX  INTERNATIONAL INC</w:t>
            </w:r>
          </w:p>
        </w:tc>
        <w:tc>
          <w:tcPr>
            <w:tcW w:w="1227" w:type="dxa"/>
            <w:tcBorders>
              <w:right w:val="single" w:sz="16" w:space="0" w:color="FFFFFF"/>
            </w:tcBorders>
            <w:shd w:val="clear" w:color="auto" w:fill="F1F1F1"/>
          </w:tcPr>
          <w:p>
            <w:pPr>
              <w:pStyle w:val="TableParagraph"/>
              <w:spacing w:before="11"/>
              <w:ind w:left="202" w:right="198"/>
              <w:jc w:val="center"/>
              <w:rPr>
                <w:rFonts w:ascii="Times New Roman"/>
                <w:b/>
                <w:sz w:val="17"/>
              </w:rPr>
            </w:pPr>
            <w:r>
              <w:rPr>
                <w:rFonts w:ascii="Times New Roman"/>
                <w:b/>
                <w:sz w:val="17"/>
              </w:rPr>
              <w:t>7.986</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M&amp;G FINANZIARIA SPA (commerciale  </w:t>
            </w:r>
            <w:r>
              <w:rPr>
                <w:rFonts w:ascii="Times New Roman"/>
                <w:i/>
                <w:sz w:val="17"/>
              </w:rPr>
              <w:t>ab origine </w:t>
            </w:r>
            <w:r>
              <w:rPr>
                <w:rFonts w:ascii="Times New Roman"/>
                <w:sz w:val="17"/>
              </w:rPr>
              <w:t>)</w:t>
            </w:r>
          </w:p>
        </w:tc>
        <w:tc>
          <w:tcPr>
            <w:tcW w:w="1227" w:type="dxa"/>
            <w:tcBorders>
              <w:right w:val="single" w:sz="16" w:space="0" w:color="FFFFFF"/>
            </w:tcBorders>
            <w:shd w:val="clear" w:color="auto" w:fill="F1F1F1"/>
          </w:tcPr>
          <w:p>
            <w:pPr>
              <w:pStyle w:val="TableParagraph"/>
              <w:spacing w:before="11"/>
              <w:ind w:left="7"/>
              <w:jc w:val="center"/>
              <w:rPr>
                <w:rFonts w:ascii="Times New Roman"/>
                <w:b/>
                <w:sz w:val="17"/>
              </w:rPr>
            </w:pPr>
            <w:r>
              <w:rPr>
                <w:rFonts w:ascii="Times New Roman"/>
                <w:b/>
                <w:w w:val="101"/>
                <w:sz w:val="17"/>
              </w:rPr>
              <w:t>-</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M&amp;G FINANZIARIA SPA (finanziario </w:t>
            </w:r>
            <w:r>
              <w:rPr>
                <w:rFonts w:ascii="Times New Roman"/>
                <w:i/>
                <w:sz w:val="17"/>
              </w:rPr>
              <w:t>ab origine </w:t>
            </w:r>
            <w:r>
              <w:rPr>
                <w:rFonts w:ascii="Times New Roman"/>
                <w:sz w:val="17"/>
              </w:rPr>
              <w:t>)</w:t>
            </w:r>
          </w:p>
        </w:tc>
        <w:tc>
          <w:tcPr>
            <w:tcW w:w="1227" w:type="dxa"/>
            <w:tcBorders>
              <w:right w:val="single" w:sz="16" w:space="0" w:color="FFFFFF"/>
            </w:tcBorders>
            <w:shd w:val="clear" w:color="auto" w:fill="F1F1F1"/>
          </w:tcPr>
          <w:p>
            <w:pPr>
              <w:pStyle w:val="TableParagraph"/>
              <w:spacing w:before="11"/>
              <w:ind w:left="7"/>
              <w:jc w:val="center"/>
              <w:rPr>
                <w:rFonts w:ascii="Times New Roman"/>
                <w:b/>
                <w:sz w:val="17"/>
              </w:rPr>
            </w:pPr>
            <w:r>
              <w:rPr>
                <w:rFonts w:ascii="Times New Roman"/>
                <w:b/>
                <w:w w:val="101"/>
                <w:sz w:val="17"/>
              </w:rPr>
              <w:t>-</w:t>
            </w:r>
          </w:p>
        </w:tc>
        <w:tc>
          <w:tcPr>
            <w:tcW w:w="1227" w:type="dxa"/>
            <w:tcBorders>
              <w:left w:val="single" w:sz="16" w:space="0" w:color="FFFFFF"/>
            </w:tcBorders>
            <w:shd w:val="clear" w:color="auto" w:fill="F1F1F1"/>
          </w:tcPr>
          <w:p>
            <w:pPr>
              <w:pStyle w:val="TableParagraph"/>
              <w:spacing w:before="11"/>
              <w:ind w:left="202" w:right="200"/>
              <w:jc w:val="center"/>
              <w:rPr>
                <w:rFonts w:ascii="Times New Roman"/>
                <w:b/>
                <w:sz w:val="17"/>
              </w:rPr>
            </w:pPr>
            <w:r>
              <w:rPr>
                <w:rFonts w:ascii="Times New Roman"/>
                <w:b/>
                <w:sz w:val="17"/>
              </w:rPr>
              <w:t>185.265</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M&amp;G FINANZIARIA SPA (finanziario </w:t>
            </w:r>
            <w:r>
              <w:rPr>
                <w:rFonts w:ascii="Times New Roman"/>
                <w:i/>
                <w:sz w:val="17"/>
              </w:rPr>
              <w:t>ab origine </w:t>
            </w:r>
            <w:r>
              <w:rPr>
                <w:rFonts w:ascii="Times New Roman"/>
                <w:sz w:val="17"/>
              </w:rPr>
              <w:t>)</w:t>
            </w:r>
          </w:p>
        </w:tc>
        <w:tc>
          <w:tcPr>
            <w:tcW w:w="1227" w:type="dxa"/>
            <w:tcBorders>
              <w:right w:val="single" w:sz="16" w:space="0" w:color="FFFFFF"/>
            </w:tcBorders>
            <w:shd w:val="clear" w:color="auto" w:fill="F1F1F1"/>
          </w:tcPr>
          <w:p>
            <w:pPr>
              <w:pStyle w:val="TableParagraph"/>
              <w:spacing w:before="11"/>
              <w:ind w:left="7"/>
              <w:jc w:val="center"/>
              <w:rPr>
                <w:rFonts w:ascii="Times New Roman"/>
                <w:b/>
                <w:sz w:val="17"/>
              </w:rPr>
            </w:pPr>
            <w:r>
              <w:rPr>
                <w:rFonts w:ascii="Times New Roman"/>
                <w:b/>
                <w:w w:val="101"/>
                <w:sz w:val="17"/>
              </w:rPr>
              <w:t>-</w:t>
            </w:r>
          </w:p>
        </w:tc>
        <w:tc>
          <w:tcPr>
            <w:tcW w:w="1227" w:type="dxa"/>
            <w:tcBorders>
              <w:left w:val="single" w:sz="16" w:space="0" w:color="FFFFFF"/>
            </w:tcBorders>
            <w:shd w:val="clear" w:color="auto" w:fill="F1F1F1"/>
          </w:tcPr>
          <w:p>
            <w:pPr>
              <w:pStyle w:val="TableParagraph"/>
              <w:spacing w:before="11"/>
              <w:ind w:left="202" w:right="200"/>
              <w:jc w:val="center"/>
              <w:rPr>
                <w:rFonts w:ascii="Times New Roman"/>
                <w:b/>
                <w:sz w:val="17"/>
              </w:rPr>
            </w:pPr>
            <w:r>
              <w:rPr>
                <w:rFonts w:ascii="Times New Roman"/>
                <w:b/>
                <w:sz w:val="17"/>
              </w:rPr>
              <w:t>775.652</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M&amp;G FINANZIARIA SPA (commerciale  </w:t>
            </w:r>
            <w:r>
              <w:rPr>
                <w:rFonts w:ascii="Times New Roman"/>
                <w:i/>
                <w:sz w:val="17"/>
              </w:rPr>
              <w:t>ab origine </w:t>
            </w:r>
            <w:r>
              <w:rPr>
                <w:rFonts w:ascii="Times New Roman"/>
                <w:sz w:val="17"/>
              </w:rPr>
              <w:t>)</w:t>
            </w:r>
          </w:p>
        </w:tc>
        <w:tc>
          <w:tcPr>
            <w:tcW w:w="1227" w:type="dxa"/>
            <w:tcBorders>
              <w:right w:val="single" w:sz="16" w:space="0" w:color="FFFFFF"/>
            </w:tcBorders>
            <w:shd w:val="clear" w:color="auto" w:fill="F1F1F1"/>
          </w:tcPr>
          <w:p>
            <w:pPr>
              <w:pStyle w:val="TableParagraph"/>
              <w:spacing w:before="11"/>
              <w:ind w:left="7"/>
              <w:jc w:val="center"/>
              <w:rPr>
                <w:rFonts w:ascii="Times New Roman"/>
                <w:b/>
                <w:sz w:val="17"/>
              </w:rPr>
            </w:pPr>
            <w:r>
              <w:rPr>
                <w:rFonts w:ascii="Times New Roman"/>
                <w:b/>
                <w:w w:val="101"/>
                <w:sz w:val="17"/>
              </w:rPr>
              <w:t>-</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right="-14"/>
              <w:jc w:val="left"/>
              <w:rPr>
                <w:rFonts w:ascii="Times New Roman"/>
                <w:i/>
                <w:sz w:val="17"/>
              </w:rPr>
            </w:pPr>
            <w:r>
              <w:rPr>
                <w:rFonts w:ascii="Times New Roman"/>
                <w:spacing w:val="-9"/>
                <w:sz w:val="17"/>
              </w:rPr>
              <w:t>ITALIAN  </w:t>
            </w:r>
            <w:r>
              <w:rPr>
                <w:rFonts w:ascii="Times New Roman"/>
                <w:spacing w:val="-3"/>
                <w:sz w:val="17"/>
              </w:rPr>
              <w:t>BIOPRODUCT SRL </w:t>
            </w:r>
            <w:r>
              <w:rPr>
                <w:rFonts w:ascii="Times New Roman"/>
                <w:sz w:val="17"/>
              </w:rPr>
              <w:t>(commerciale  </w:t>
            </w:r>
            <w:r>
              <w:rPr>
                <w:rFonts w:ascii="Times New Roman"/>
                <w:i/>
                <w:sz w:val="17"/>
              </w:rPr>
              <w:t>ab</w:t>
            </w:r>
            <w:r>
              <w:rPr>
                <w:rFonts w:ascii="Times New Roman"/>
                <w:i/>
                <w:spacing w:val="-3"/>
                <w:sz w:val="17"/>
              </w:rPr>
              <w:t> </w:t>
            </w:r>
            <w:r>
              <w:rPr>
                <w:rFonts w:ascii="Times New Roman"/>
                <w:i/>
                <w:spacing w:val="2"/>
                <w:sz w:val="17"/>
              </w:rPr>
              <w:t>origin</w:t>
            </w:r>
          </w:p>
        </w:tc>
        <w:tc>
          <w:tcPr>
            <w:tcW w:w="1227" w:type="dxa"/>
            <w:tcBorders>
              <w:right w:val="single" w:sz="16" w:space="0" w:color="FFFFFF"/>
            </w:tcBorders>
            <w:shd w:val="clear" w:color="auto" w:fill="F1F1F1"/>
          </w:tcPr>
          <w:p>
            <w:pPr>
              <w:pStyle w:val="TableParagraph"/>
              <w:spacing w:before="11"/>
              <w:ind w:left="195" w:right="200"/>
              <w:jc w:val="center"/>
              <w:rPr>
                <w:rFonts w:ascii="Times New Roman"/>
                <w:b/>
                <w:sz w:val="17"/>
              </w:rPr>
            </w:pPr>
            <w:r>
              <w:rPr>
                <w:rFonts w:ascii="Times New Roman"/>
                <w:b/>
                <w:sz w:val="17"/>
              </w:rPr>
              <w:t>10.370</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right="-14"/>
              <w:jc w:val="left"/>
              <w:rPr>
                <w:rFonts w:ascii="Times New Roman"/>
                <w:i/>
                <w:sz w:val="17"/>
              </w:rPr>
            </w:pPr>
            <w:r>
              <w:rPr>
                <w:rFonts w:ascii="Times New Roman"/>
                <w:spacing w:val="-9"/>
                <w:sz w:val="17"/>
              </w:rPr>
              <w:t>ITALIAN  </w:t>
            </w:r>
            <w:r>
              <w:rPr>
                <w:rFonts w:ascii="Times New Roman"/>
                <w:spacing w:val="-3"/>
                <w:sz w:val="17"/>
              </w:rPr>
              <w:t>BIOPRODUCT SRL </w:t>
            </w:r>
            <w:r>
              <w:rPr>
                <w:rFonts w:ascii="Times New Roman"/>
                <w:sz w:val="17"/>
              </w:rPr>
              <w:t>(commerciale  </w:t>
            </w:r>
            <w:r>
              <w:rPr>
                <w:rFonts w:ascii="Times New Roman"/>
                <w:i/>
                <w:sz w:val="17"/>
              </w:rPr>
              <w:t>ab</w:t>
            </w:r>
            <w:r>
              <w:rPr>
                <w:rFonts w:ascii="Times New Roman"/>
                <w:i/>
                <w:spacing w:val="-3"/>
                <w:sz w:val="17"/>
              </w:rPr>
              <w:t> </w:t>
            </w:r>
            <w:r>
              <w:rPr>
                <w:rFonts w:ascii="Times New Roman"/>
                <w:i/>
                <w:spacing w:val="2"/>
                <w:sz w:val="17"/>
              </w:rPr>
              <w:t>origin</w:t>
            </w:r>
          </w:p>
        </w:tc>
        <w:tc>
          <w:tcPr>
            <w:tcW w:w="1227" w:type="dxa"/>
            <w:tcBorders>
              <w:right w:val="single" w:sz="16" w:space="0" w:color="FFFFFF"/>
            </w:tcBorders>
            <w:shd w:val="clear" w:color="auto" w:fill="F1F1F1"/>
          </w:tcPr>
          <w:p>
            <w:pPr>
              <w:pStyle w:val="TableParagraph"/>
              <w:spacing w:before="11"/>
              <w:ind w:left="7"/>
              <w:jc w:val="center"/>
              <w:rPr>
                <w:rFonts w:ascii="Times New Roman"/>
                <w:b/>
                <w:sz w:val="17"/>
              </w:rPr>
            </w:pPr>
            <w:r>
              <w:rPr>
                <w:rFonts w:ascii="Times New Roman"/>
                <w:b/>
                <w:w w:val="101"/>
                <w:sz w:val="17"/>
              </w:rPr>
              <w:t>-</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C5-6 ITALY SRL</w:t>
            </w:r>
          </w:p>
        </w:tc>
        <w:tc>
          <w:tcPr>
            <w:tcW w:w="1227" w:type="dxa"/>
            <w:tcBorders>
              <w:right w:val="single" w:sz="16" w:space="0" w:color="FFFFFF"/>
            </w:tcBorders>
            <w:shd w:val="clear" w:color="auto" w:fill="F1F1F1"/>
          </w:tcPr>
          <w:p>
            <w:pPr>
              <w:pStyle w:val="TableParagraph"/>
              <w:spacing w:before="11"/>
              <w:ind w:left="202" w:right="199"/>
              <w:jc w:val="center"/>
              <w:rPr>
                <w:rFonts w:ascii="Times New Roman"/>
                <w:b/>
                <w:sz w:val="17"/>
              </w:rPr>
            </w:pPr>
            <w:r>
              <w:rPr>
                <w:rFonts w:ascii="Times New Roman"/>
                <w:b/>
                <w:sz w:val="17"/>
              </w:rPr>
              <w:t>186.311</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C5-6 ITALY SRL</w:t>
            </w:r>
          </w:p>
        </w:tc>
        <w:tc>
          <w:tcPr>
            <w:tcW w:w="1227" w:type="dxa"/>
            <w:tcBorders>
              <w:right w:val="single" w:sz="16" w:space="0" w:color="FFFFFF"/>
            </w:tcBorders>
            <w:shd w:val="clear" w:color="auto" w:fill="F1F1F1"/>
          </w:tcPr>
          <w:p>
            <w:pPr>
              <w:pStyle w:val="TableParagraph"/>
              <w:spacing w:before="11"/>
              <w:ind w:left="202" w:right="198"/>
              <w:jc w:val="center"/>
              <w:rPr>
                <w:rFonts w:ascii="Times New Roman"/>
                <w:b/>
                <w:sz w:val="17"/>
              </w:rPr>
            </w:pPr>
            <w:r>
              <w:rPr>
                <w:rFonts w:ascii="Times New Roman"/>
                <w:b/>
                <w:sz w:val="17"/>
              </w:rPr>
              <w:t>4.402</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0"/>
              <w:ind w:left="40"/>
              <w:jc w:val="left"/>
              <w:rPr>
                <w:rFonts w:ascii="Times New Roman"/>
                <w:sz w:val="17"/>
              </w:rPr>
            </w:pPr>
            <w:r>
              <w:rPr>
                <w:rFonts w:ascii="Times New Roman"/>
                <w:sz w:val="17"/>
              </w:rPr>
              <w:t>CHEMTEX  CHEMICAL SHANGAJ</w:t>
            </w:r>
          </w:p>
        </w:tc>
        <w:tc>
          <w:tcPr>
            <w:tcW w:w="1227" w:type="dxa"/>
            <w:tcBorders>
              <w:right w:val="single" w:sz="16" w:space="0" w:color="FFFFFF"/>
            </w:tcBorders>
            <w:shd w:val="clear" w:color="auto" w:fill="F1F1F1"/>
          </w:tcPr>
          <w:p>
            <w:pPr>
              <w:pStyle w:val="TableParagraph"/>
              <w:spacing w:before="10"/>
              <w:ind w:left="195" w:right="200"/>
              <w:jc w:val="center"/>
              <w:rPr>
                <w:rFonts w:ascii="Times New Roman"/>
                <w:b/>
                <w:sz w:val="17"/>
              </w:rPr>
            </w:pPr>
            <w:r>
              <w:rPr>
                <w:rFonts w:ascii="Times New Roman"/>
                <w:b/>
                <w:sz w:val="17"/>
              </w:rPr>
              <w:t>3.121.423</w:t>
            </w:r>
          </w:p>
        </w:tc>
        <w:tc>
          <w:tcPr>
            <w:tcW w:w="1227" w:type="dxa"/>
            <w:tcBorders>
              <w:left w:val="single" w:sz="16" w:space="0" w:color="FFFFFF"/>
            </w:tcBorders>
            <w:shd w:val="clear" w:color="auto" w:fill="F1F1F1"/>
          </w:tcPr>
          <w:p>
            <w:pPr>
              <w:pStyle w:val="TableParagraph"/>
              <w:spacing w:before="10"/>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CHEMTEX  CHEMICAL SHANGAJ</w:t>
            </w:r>
          </w:p>
        </w:tc>
        <w:tc>
          <w:tcPr>
            <w:tcW w:w="1227" w:type="dxa"/>
            <w:tcBorders>
              <w:right w:val="single" w:sz="16" w:space="0" w:color="FFFFFF"/>
            </w:tcBorders>
            <w:shd w:val="clear" w:color="auto" w:fill="F1F1F1"/>
          </w:tcPr>
          <w:p>
            <w:pPr>
              <w:pStyle w:val="TableParagraph"/>
              <w:spacing w:before="11"/>
              <w:ind w:left="202" w:right="199"/>
              <w:jc w:val="center"/>
              <w:rPr>
                <w:rFonts w:ascii="Times New Roman"/>
                <w:b/>
                <w:sz w:val="17"/>
              </w:rPr>
            </w:pPr>
            <w:r>
              <w:rPr>
                <w:rFonts w:ascii="Times New Roman"/>
                <w:b/>
                <w:sz w:val="17"/>
              </w:rPr>
              <w:t>423.370</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BETA RENEWABLES SPA</w:t>
            </w:r>
          </w:p>
        </w:tc>
        <w:tc>
          <w:tcPr>
            <w:tcW w:w="1227" w:type="dxa"/>
            <w:tcBorders>
              <w:right w:val="single" w:sz="16" w:space="0" w:color="FFFFFF"/>
            </w:tcBorders>
            <w:shd w:val="clear" w:color="auto" w:fill="F1F1F1"/>
          </w:tcPr>
          <w:p>
            <w:pPr>
              <w:pStyle w:val="TableParagraph"/>
              <w:spacing w:before="11"/>
              <w:ind w:left="200" w:right="200"/>
              <w:jc w:val="center"/>
              <w:rPr>
                <w:rFonts w:ascii="Times New Roman"/>
                <w:b/>
                <w:sz w:val="17"/>
              </w:rPr>
            </w:pPr>
            <w:r>
              <w:rPr>
                <w:rFonts w:ascii="Times New Roman"/>
                <w:b/>
                <w:sz w:val="17"/>
              </w:rPr>
              <w:t>339</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3" w:hRule="exact"/>
        </w:trPr>
        <w:tc>
          <w:tcPr>
            <w:tcW w:w="3833" w:type="dxa"/>
          </w:tcPr>
          <w:p>
            <w:pPr>
              <w:pStyle w:val="TableParagraph"/>
              <w:spacing w:before="11"/>
              <w:ind w:left="40"/>
              <w:jc w:val="left"/>
              <w:rPr>
                <w:rFonts w:ascii="Times New Roman"/>
                <w:sz w:val="17"/>
              </w:rPr>
            </w:pPr>
            <w:r>
              <w:rPr>
                <w:rFonts w:ascii="Times New Roman"/>
                <w:sz w:val="17"/>
              </w:rPr>
              <w:t>BETA RENEWABLES SPA</w:t>
            </w:r>
          </w:p>
        </w:tc>
        <w:tc>
          <w:tcPr>
            <w:tcW w:w="1227" w:type="dxa"/>
            <w:tcBorders>
              <w:right w:val="single" w:sz="16" w:space="0" w:color="FFFFFF"/>
            </w:tcBorders>
            <w:shd w:val="clear" w:color="auto" w:fill="F1F1F1"/>
          </w:tcPr>
          <w:p>
            <w:pPr>
              <w:pStyle w:val="TableParagraph"/>
              <w:spacing w:before="11"/>
              <w:ind w:left="195" w:right="200"/>
              <w:jc w:val="center"/>
              <w:rPr>
                <w:rFonts w:ascii="Times New Roman"/>
                <w:b/>
                <w:sz w:val="17"/>
              </w:rPr>
            </w:pPr>
            <w:r>
              <w:rPr>
                <w:rFonts w:ascii="Times New Roman"/>
                <w:b/>
                <w:sz w:val="17"/>
              </w:rPr>
              <w:t>15.831</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r>
        <w:trPr>
          <w:trHeight w:val="220" w:hRule="exact"/>
        </w:trPr>
        <w:tc>
          <w:tcPr>
            <w:tcW w:w="3833" w:type="dxa"/>
          </w:tcPr>
          <w:p>
            <w:pPr>
              <w:pStyle w:val="TableParagraph"/>
              <w:spacing w:before="11"/>
              <w:ind w:left="40"/>
              <w:jc w:val="left"/>
              <w:rPr>
                <w:rFonts w:ascii="Times New Roman"/>
                <w:sz w:val="17"/>
              </w:rPr>
            </w:pPr>
            <w:r>
              <w:rPr>
                <w:rFonts w:ascii="Times New Roman"/>
                <w:sz w:val="17"/>
              </w:rPr>
              <w:t>IBP  ENERGIA SRL</w:t>
            </w:r>
          </w:p>
        </w:tc>
        <w:tc>
          <w:tcPr>
            <w:tcW w:w="1227" w:type="dxa"/>
            <w:tcBorders>
              <w:right w:val="single" w:sz="16" w:space="0" w:color="FFFFFF"/>
            </w:tcBorders>
            <w:shd w:val="clear" w:color="auto" w:fill="F1F1F1"/>
          </w:tcPr>
          <w:p>
            <w:pPr>
              <w:pStyle w:val="TableParagraph"/>
              <w:spacing w:before="11"/>
              <w:ind w:left="202" w:right="199"/>
              <w:jc w:val="center"/>
              <w:rPr>
                <w:rFonts w:ascii="Times New Roman"/>
                <w:b/>
                <w:sz w:val="17"/>
              </w:rPr>
            </w:pPr>
            <w:r>
              <w:rPr>
                <w:rFonts w:ascii="Times New Roman"/>
                <w:b/>
                <w:sz w:val="17"/>
              </w:rPr>
              <w:t>423.226</w:t>
            </w:r>
          </w:p>
        </w:tc>
        <w:tc>
          <w:tcPr>
            <w:tcW w:w="1227" w:type="dxa"/>
            <w:tcBorders>
              <w:left w:val="single" w:sz="16" w:space="0" w:color="FFFFFF"/>
            </w:tcBorders>
            <w:shd w:val="clear" w:color="auto" w:fill="F1F1F1"/>
          </w:tcPr>
          <w:p>
            <w:pPr>
              <w:pStyle w:val="TableParagraph"/>
              <w:spacing w:before="11"/>
              <w:ind w:left="6"/>
              <w:jc w:val="center"/>
              <w:rPr>
                <w:rFonts w:ascii="Times New Roman"/>
                <w:b/>
                <w:sz w:val="17"/>
              </w:rPr>
            </w:pPr>
            <w:r>
              <w:rPr>
                <w:rFonts w:ascii="Times New Roman"/>
                <w:b/>
                <w:w w:val="101"/>
                <w:sz w:val="17"/>
              </w:rPr>
              <w:t>-</w:t>
            </w:r>
          </w:p>
        </w:tc>
      </w:tr>
    </w:tbl>
    <w:p>
      <w:pPr>
        <w:pStyle w:val="BodyText"/>
        <w:spacing w:before="4"/>
        <w:rPr>
          <w:rFonts w:ascii="Times New Roman"/>
          <w:b/>
          <w:sz w:val="23"/>
        </w:rPr>
      </w:pPr>
    </w:p>
    <w:p>
      <w:pPr>
        <w:pStyle w:val="BodyText"/>
        <w:spacing w:line="480" w:lineRule="auto" w:before="1"/>
        <w:ind w:left="1418" w:right="1417"/>
        <w:jc w:val="both"/>
      </w:pPr>
      <w:r>
        <w:rPr/>
        <w:t>Per una disamina più approfondita delle dinamiche intercompany e alla composizione e formazione di dette passività si rimanda al precedente par. 4.3.</w:t>
      </w:r>
    </w:p>
    <w:p>
      <w:pPr>
        <w:pStyle w:val="BodyText"/>
        <w:spacing w:line="480" w:lineRule="auto"/>
        <w:ind w:left="1418" w:right="1410"/>
        <w:jc w:val="both"/>
      </w:pPr>
      <w:r>
        <w:rPr/>
        <w:t>La domanda di concordato predisposta dalla società e dai propri </w:t>
      </w:r>
      <w:r>
        <w:rPr>
          <w:i/>
        </w:rPr>
        <w:t>advisors </w:t>
      </w:r>
      <w:r>
        <w:rPr/>
        <w:t>prevede infine l’allocazione di specifici fondi rischi ed oneri a fronte di accadimenti che si genereranno o si potrebbero potenzialmente verificare nell’arco di piano.</w:t>
      </w:r>
    </w:p>
    <w:p>
      <w:pPr>
        <w:pStyle w:val="BodyText"/>
        <w:ind w:left="1418"/>
        <w:jc w:val="both"/>
      </w:pPr>
      <w:r>
        <w:rPr/>
        <w:t>Nello specifico si tratta:</w:t>
      </w:r>
    </w:p>
    <w:p>
      <w:pPr>
        <w:pStyle w:val="BodyText"/>
        <w:spacing w:before="9"/>
        <w:rPr>
          <w:sz w:val="23"/>
        </w:rPr>
      </w:pPr>
    </w:p>
    <w:p>
      <w:pPr>
        <w:pStyle w:val="ListParagraph"/>
        <w:numPr>
          <w:ilvl w:val="1"/>
          <w:numId w:val="103"/>
        </w:numPr>
        <w:tabs>
          <w:tab w:pos="2126" w:val="left" w:leader="none"/>
          <w:tab w:pos="2127" w:val="left" w:leader="none"/>
        </w:tabs>
        <w:spacing w:line="453" w:lineRule="auto" w:before="1" w:after="0"/>
        <w:ind w:left="2138" w:right="1413" w:hanging="360"/>
        <w:jc w:val="left"/>
        <w:rPr>
          <w:sz w:val="24"/>
        </w:rPr>
      </w:pPr>
      <w:r>
        <w:rPr>
          <w:sz w:val="24"/>
        </w:rPr>
        <w:t>del fondo Fiscale relativo alla notifica da parte dell’Agenzia delle Entrate dell’avviso di accertamento in materia di utilizzo di Plafond IVA (</w:t>
      </w:r>
      <w:r>
        <w:rPr>
          <w:i/>
          <w:sz w:val="24"/>
        </w:rPr>
        <w:t>fiscal year</w:t>
      </w:r>
      <w:r>
        <w:rPr>
          <w:i/>
          <w:spacing w:val="-16"/>
          <w:sz w:val="24"/>
        </w:rPr>
        <w:t> </w:t>
      </w:r>
      <w:r>
        <w:rPr>
          <w:sz w:val="24"/>
        </w:rPr>
        <w:t>2012);</w:t>
      </w:r>
    </w:p>
    <w:p>
      <w:pPr>
        <w:pStyle w:val="ListParagraph"/>
        <w:numPr>
          <w:ilvl w:val="1"/>
          <w:numId w:val="103"/>
        </w:numPr>
        <w:tabs>
          <w:tab w:pos="2126" w:val="left" w:leader="none"/>
          <w:tab w:pos="2127" w:val="left" w:leader="none"/>
        </w:tabs>
        <w:spacing w:line="453" w:lineRule="auto" w:before="29" w:after="0"/>
        <w:ind w:left="2138" w:right="1419" w:hanging="360"/>
        <w:jc w:val="left"/>
        <w:rPr>
          <w:sz w:val="24"/>
        </w:rPr>
      </w:pPr>
      <w:r>
        <w:rPr>
          <w:sz w:val="24"/>
        </w:rPr>
        <w:t>del fondo interessi legali sul debito privilegiato stimati sulla base del Tasso di interesse legale in vigore dal 1 gennaio 2018 stanziati fino al 2024 data di conclusione del</w:t>
      </w:r>
      <w:r>
        <w:rPr>
          <w:spacing w:val="-28"/>
          <w:sz w:val="24"/>
        </w:rPr>
        <w:t> </w:t>
      </w:r>
      <w:r>
        <w:rPr>
          <w:sz w:val="24"/>
        </w:rPr>
        <w:t>piano;</w:t>
      </w:r>
    </w:p>
    <w:p>
      <w:pPr>
        <w:spacing w:after="0" w:line="453"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1"/>
          <w:numId w:val="103"/>
        </w:numPr>
        <w:tabs>
          <w:tab w:pos="2127" w:val="left" w:leader="none"/>
        </w:tabs>
        <w:spacing w:line="453" w:lineRule="auto" w:before="100" w:after="0"/>
        <w:ind w:left="2138" w:right="1421" w:hanging="360"/>
        <w:jc w:val="both"/>
        <w:rPr>
          <w:sz w:val="24"/>
        </w:rPr>
      </w:pPr>
      <w:r>
        <w:rPr>
          <w:sz w:val="24"/>
        </w:rPr>
        <w:t>del fondo generico calcolato forfettariamente nella misura del 3% del debito iscritto nell’elenco dei</w:t>
      </w:r>
      <w:r>
        <w:rPr>
          <w:spacing w:val="-6"/>
          <w:sz w:val="24"/>
        </w:rPr>
        <w:t> </w:t>
      </w:r>
      <w:r>
        <w:rPr>
          <w:sz w:val="24"/>
        </w:rPr>
        <w:t>creditori;</w:t>
      </w:r>
    </w:p>
    <w:p>
      <w:pPr>
        <w:pStyle w:val="ListParagraph"/>
        <w:numPr>
          <w:ilvl w:val="1"/>
          <w:numId w:val="103"/>
        </w:numPr>
        <w:tabs>
          <w:tab w:pos="2127" w:val="left" w:leader="none"/>
        </w:tabs>
        <w:spacing w:line="453" w:lineRule="auto" w:before="28" w:after="0"/>
        <w:ind w:left="2138" w:right="1419" w:hanging="360"/>
        <w:jc w:val="both"/>
        <w:rPr>
          <w:sz w:val="24"/>
        </w:rPr>
      </w:pPr>
      <w:r>
        <w:rPr>
          <w:sz w:val="24"/>
        </w:rPr>
        <w:t>dei fondi fidejussioni inerenti le garanzie rilasciate da Biochemtex in relazione ad alcune commesse/contratti;</w:t>
      </w:r>
    </w:p>
    <w:p>
      <w:pPr>
        <w:pStyle w:val="ListParagraph"/>
        <w:numPr>
          <w:ilvl w:val="1"/>
          <w:numId w:val="103"/>
        </w:numPr>
        <w:tabs>
          <w:tab w:pos="2127" w:val="left" w:leader="none"/>
        </w:tabs>
        <w:spacing w:line="475" w:lineRule="auto" w:before="28" w:after="0"/>
        <w:ind w:left="2138" w:right="1410" w:hanging="360"/>
        <w:jc w:val="both"/>
        <w:rPr>
          <w:sz w:val="24"/>
        </w:rPr>
      </w:pPr>
      <w:r>
        <w:rPr>
          <w:sz w:val="24"/>
        </w:rPr>
        <w:t>del «Fondo spese legali Grall BIO LLC e Andritz» relativo alla previsione delle spese che dovranno essere sostenute nella definizione e nella prosecuzione dei due contenziosi. Si precisa che per Andritz trattasi di un pre-contenzioso nella fase di c.d. </w:t>
      </w:r>
      <w:r>
        <w:rPr>
          <w:i/>
          <w:sz w:val="24"/>
        </w:rPr>
        <w:t>discovery </w:t>
      </w:r>
      <w:r>
        <w:rPr>
          <w:sz w:val="24"/>
        </w:rPr>
        <w:t>in relazione al quale non si ha ad oggi alcuna visibilità. Pertanto, in relazione a tale possibile contenzioso, esclusivamente sulla base dei pareri rilasciati dai consulenti, la ricorrente non ha previsto alcun fondo</w:t>
      </w:r>
      <w:r>
        <w:rPr>
          <w:spacing w:val="-15"/>
          <w:sz w:val="24"/>
        </w:rPr>
        <w:t> </w:t>
      </w:r>
      <w:r>
        <w:rPr>
          <w:sz w:val="24"/>
        </w:rPr>
        <w:t>rischi.</w:t>
      </w:r>
    </w:p>
    <w:p>
      <w:pPr>
        <w:pStyle w:val="ListParagraph"/>
        <w:numPr>
          <w:ilvl w:val="1"/>
          <w:numId w:val="103"/>
        </w:numPr>
        <w:tabs>
          <w:tab w:pos="2127" w:val="left" w:leader="none"/>
        </w:tabs>
        <w:spacing w:line="456" w:lineRule="auto" w:before="4" w:after="0"/>
        <w:ind w:left="2138" w:right="1419" w:hanging="360"/>
        <w:jc w:val="both"/>
        <w:rPr>
          <w:sz w:val="24"/>
        </w:rPr>
      </w:pPr>
      <w:r>
        <w:rPr>
          <w:sz w:val="24"/>
        </w:rPr>
        <w:t>Quanto a Grall BIO, non sono stati stanziati fondi rischi alla luce del proponendo  accordo</w:t>
      </w:r>
      <w:r>
        <w:rPr>
          <w:spacing w:val="-9"/>
          <w:sz w:val="24"/>
        </w:rPr>
        <w:t> </w:t>
      </w:r>
      <w:r>
        <w:rPr>
          <w:sz w:val="24"/>
        </w:rPr>
        <w:t>transattivo.</w:t>
      </w:r>
    </w:p>
    <w:p>
      <w:pPr>
        <w:pStyle w:val="BodyText"/>
        <w:spacing w:line="480" w:lineRule="auto" w:before="26"/>
        <w:ind w:left="1418" w:right="1518"/>
      </w:pPr>
      <w:r>
        <w:rPr/>
        <w:t>Il prospetto riepilogativo reca evidenza della suddivisione dei fondi rischi extracontabili così  come previsti a</w:t>
      </w:r>
      <w:r>
        <w:rPr>
          <w:spacing w:val="-12"/>
        </w:rPr>
        <w:t> </w:t>
      </w:r>
      <w:r>
        <w:rPr/>
        <w:t>piano:</w:t>
      </w:r>
    </w:p>
    <w:p>
      <w:pPr>
        <w:tabs>
          <w:tab w:pos="10143" w:val="left" w:leader="none"/>
        </w:tabs>
        <w:spacing w:before="18"/>
        <w:ind w:left="1773" w:right="0" w:firstLine="0"/>
        <w:jc w:val="left"/>
        <w:rPr>
          <w:rFonts w:ascii="Times New Roman"/>
          <w:b/>
          <w:sz w:val="14"/>
        </w:rPr>
      </w:pPr>
      <w:r>
        <w:rPr>
          <w:rFonts w:ascii="Times New Roman"/>
          <w:b/>
          <w:color w:val="FFFFFF"/>
          <w:spacing w:val="-11"/>
          <w:w w:val="103"/>
          <w:sz w:val="14"/>
          <w:shd w:fill="878A8D" w:color="auto" w:val="clear"/>
        </w:rPr>
        <w:t> </w:t>
      </w:r>
      <w:r>
        <w:rPr>
          <w:rFonts w:ascii="Times New Roman"/>
          <w:b/>
          <w:color w:val="FFFFFF"/>
          <w:w w:val="105"/>
          <w:sz w:val="14"/>
          <w:shd w:fill="878A8D" w:color="auto" w:val="clear"/>
        </w:rPr>
        <w:t>Debito concordatario </w:t>
      </w:r>
      <w:r>
        <w:rPr>
          <w:rFonts w:ascii="Times New Roman"/>
          <w:b/>
          <w:color w:val="FFFFFF"/>
          <w:spacing w:val="-3"/>
          <w:w w:val="105"/>
          <w:sz w:val="14"/>
          <w:shd w:fill="878A8D" w:color="auto" w:val="clear"/>
        </w:rPr>
        <w:t>al</w:t>
      </w:r>
      <w:r>
        <w:rPr>
          <w:rFonts w:ascii="Times New Roman"/>
          <w:b/>
          <w:color w:val="FFFFFF"/>
          <w:spacing w:val="1"/>
          <w:w w:val="105"/>
          <w:sz w:val="14"/>
          <w:shd w:fill="878A8D" w:color="auto" w:val="clear"/>
        </w:rPr>
        <w:t> </w:t>
      </w:r>
      <w:r>
        <w:rPr>
          <w:rFonts w:ascii="Times New Roman"/>
          <w:b/>
          <w:color w:val="FFFFFF"/>
          <w:w w:val="105"/>
          <w:sz w:val="14"/>
          <w:shd w:fill="878A8D" w:color="auto" w:val="clear"/>
        </w:rPr>
        <w:t>15.10.2017</w:t>
      </w:r>
      <w:r>
        <w:rPr>
          <w:rFonts w:ascii="Times New Roman"/>
          <w:b/>
          <w:color w:val="FFFFFF"/>
          <w:sz w:val="14"/>
          <w:shd w:fill="878A8D" w:color="auto" w:val="clear"/>
        </w:rPr>
        <w:tab/>
      </w:r>
    </w:p>
    <w:p>
      <w:pPr>
        <w:pStyle w:val="BodyText"/>
        <w:rPr>
          <w:rFonts w:ascii="Times New Roman"/>
          <w:b/>
          <w:sz w:val="13"/>
        </w:rPr>
      </w:pPr>
      <w:r>
        <w:rPr/>
        <w:pict>
          <v:group style="position:absolute;margin-left:88.683121pt;margin-top:9.461972pt;width:418.5pt;height:28.85pt;mso-position-horizontal-relative:page;mso-position-vertical-relative:paragraph;z-index:2632;mso-wrap-distance-left:0;mso-wrap-distance-right:0" coordorigin="1774,189" coordsize="8370,577">
            <v:rect style="position:absolute;left:1774;top:189;width:3160;height:576" filled="true" fillcolor="#9f2f33" stroked="false">
              <v:fill type="solid"/>
            </v:rect>
            <v:rect style="position:absolute;left:4967;top:189;width:1008;height:576" filled="true" fillcolor="#9f2f33" stroked="false">
              <v:fill type="solid"/>
            </v:rect>
            <v:rect style="position:absolute;left:6009;top:189;width:1008;height:576" filled="true" fillcolor="#9f2f33" stroked="false">
              <v:fill type="solid"/>
            </v:rect>
            <v:rect style="position:absolute;left:7051;top:189;width:1008;height:576" filled="true" fillcolor="#9f2f33" stroked="false">
              <v:fill type="solid"/>
            </v:rect>
            <v:rect style="position:absolute;left:8093;top:189;width:1008;height:576" filled="true" fillcolor="#9f2f33" stroked="false">
              <v:fill type="solid"/>
            </v:rect>
            <v:rect style="position:absolute;left:9135;top:189;width:1008;height:576" filled="true" fillcolor="#9f2f33" stroked="false">
              <v:fill type="solid"/>
            </v:rect>
            <v:shape style="position:absolute;left:1774;top:189;width:3177;height:577" type="#_x0000_t202" filled="false" stroked="false">
              <v:textbox inset="0,0,0,0">
                <w:txbxContent>
                  <w:p>
                    <w:pPr>
                      <w:spacing w:line="240" w:lineRule="auto" w:before="1"/>
                      <w:rPr>
                        <w:rFonts w:ascii="Times New Roman"/>
                        <w:b/>
                        <w:sz w:val="18"/>
                      </w:rPr>
                    </w:pPr>
                  </w:p>
                  <w:p>
                    <w:pPr>
                      <w:spacing w:before="0"/>
                      <w:ind w:left="1195" w:right="1215" w:firstLine="0"/>
                      <w:jc w:val="center"/>
                      <w:rPr>
                        <w:rFonts w:ascii="Times New Roman"/>
                        <w:b/>
                        <w:sz w:val="14"/>
                      </w:rPr>
                    </w:pPr>
                    <w:r>
                      <w:rPr>
                        <w:rFonts w:ascii="Times New Roman"/>
                        <w:b/>
                        <w:color w:val="FFFFFF"/>
                        <w:w w:val="105"/>
                        <w:sz w:val="14"/>
                      </w:rPr>
                      <w:t>Descrizione</w:t>
                    </w:r>
                  </w:p>
                </w:txbxContent>
              </v:textbox>
              <w10:wrap type="none"/>
            </v:shape>
            <v:shape style="position:absolute;left:4950;top:189;width:1042;height:577" type="#_x0000_t202" filled="false" stroked="false">
              <v:textbox inset="0,0,0,0">
                <w:txbxContent>
                  <w:p>
                    <w:pPr>
                      <w:spacing w:line="240" w:lineRule="auto" w:before="1"/>
                      <w:rPr>
                        <w:rFonts w:ascii="Times New Roman"/>
                        <w:b/>
                        <w:sz w:val="18"/>
                      </w:rPr>
                    </w:pPr>
                  </w:p>
                  <w:p>
                    <w:pPr>
                      <w:spacing w:before="0"/>
                      <w:ind w:left="169" w:right="0" w:firstLine="0"/>
                      <w:jc w:val="left"/>
                      <w:rPr>
                        <w:rFonts w:ascii="Times New Roman"/>
                        <w:b/>
                        <w:sz w:val="14"/>
                      </w:rPr>
                    </w:pPr>
                    <w:r>
                      <w:rPr>
                        <w:rFonts w:ascii="Times New Roman"/>
                        <w:b/>
                        <w:color w:val="FFFFFF"/>
                        <w:w w:val="105"/>
                        <w:sz w:val="14"/>
                      </w:rPr>
                      <w:t>Chirografo</w:t>
                    </w:r>
                  </w:p>
                </w:txbxContent>
              </v:textbox>
              <w10:wrap type="none"/>
            </v:shape>
            <v:shape style="position:absolute;left:5992;top:189;width:1042;height:577" type="#_x0000_t202" filled="false" stroked="false">
              <v:textbox inset="0,0,0,0">
                <w:txbxContent>
                  <w:p>
                    <w:pPr>
                      <w:spacing w:line="278" w:lineRule="auto" w:before="21"/>
                      <w:ind w:left="93" w:right="122" w:firstLine="26"/>
                      <w:jc w:val="center"/>
                      <w:rPr>
                        <w:rFonts w:ascii="Times New Roman"/>
                        <w:b/>
                        <w:i/>
                        <w:sz w:val="14"/>
                      </w:rPr>
                    </w:pPr>
                    <w:r>
                      <w:rPr>
                        <w:rFonts w:ascii="Times New Roman"/>
                        <w:b/>
                        <w:color w:val="FFFFFF"/>
                        <w:w w:val="105"/>
                        <w:sz w:val="14"/>
                      </w:rPr>
                      <w:t>Chirografo postergato </w:t>
                    </w:r>
                    <w:r>
                      <w:rPr>
                        <w:rFonts w:ascii="Times New Roman"/>
                        <w:b/>
                        <w:i/>
                        <w:color w:val="FFFFFF"/>
                        <w:sz w:val="14"/>
                      </w:rPr>
                      <w:t>intercompany</w:t>
                    </w:r>
                  </w:p>
                </w:txbxContent>
              </v:textbox>
              <w10:wrap type="none"/>
            </v:shape>
            <v:shape style="position:absolute;left:7034;top:189;width:1042;height:577" type="#_x0000_t202" filled="false" stroked="false">
              <v:textbox inset="0,0,0,0">
                <w:txbxContent>
                  <w:p>
                    <w:pPr>
                      <w:spacing w:line="278" w:lineRule="auto" w:before="21"/>
                      <w:ind w:left="186" w:right="173" w:hanging="17"/>
                      <w:jc w:val="both"/>
                      <w:rPr>
                        <w:rFonts w:ascii="Times New Roman"/>
                        <w:b/>
                        <w:sz w:val="14"/>
                      </w:rPr>
                    </w:pPr>
                    <w:r>
                      <w:rPr>
                        <w:rFonts w:ascii="Times New Roman"/>
                        <w:b/>
                        <w:color w:val="FFFFFF"/>
                        <w:sz w:val="14"/>
                      </w:rPr>
                      <w:t>Chirografo </w:t>
                    </w:r>
                    <w:r>
                      <w:rPr>
                        <w:rFonts w:ascii="Times New Roman"/>
                        <w:b/>
                        <w:color w:val="FFFFFF"/>
                        <w:w w:val="105"/>
                        <w:sz w:val="14"/>
                      </w:rPr>
                      <w:t>postergato volontario</w:t>
                    </w:r>
                  </w:p>
                </w:txbxContent>
              </v:textbox>
              <w10:wrap type="none"/>
            </v:shape>
            <v:shape style="position:absolute;left:8076;top:189;width:1043;height:577" type="#_x0000_t202" filled="false" stroked="false">
              <v:textbox inset="0,0,0,0">
                <w:txbxContent>
                  <w:p>
                    <w:pPr>
                      <w:spacing w:line="240" w:lineRule="auto" w:before="1"/>
                      <w:rPr>
                        <w:rFonts w:ascii="Times New Roman"/>
                        <w:b/>
                        <w:sz w:val="18"/>
                      </w:rPr>
                    </w:pPr>
                  </w:p>
                  <w:p>
                    <w:pPr>
                      <w:spacing w:before="0"/>
                      <w:ind w:left="194" w:right="0" w:firstLine="0"/>
                      <w:jc w:val="left"/>
                      <w:rPr>
                        <w:rFonts w:ascii="Times New Roman"/>
                        <w:b/>
                        <w:sz w:val="14"/>
                      </w:rPr>
                    </w:pPr>
                    <w:r>
                      <w:rPr>
                        <w:rFonts w:ascii="Times New Roman"/>
                        <w:b/>
                        <w:color w:val="FFFFFF"/>
                        <w:w w:val="105"/>
                        <w:sz w:val="14"/>
                      </w:rPr>
                      <w:t>Privilegio</w:t>
                    </w:r>
                  </w:p>
                </w:txbxContent>
              </v:textbox>
              <w10:wrap type="none"/>
            </v:shape>
            <v:shape style="position:absolute;left:9118;top:189;width:1026;height:577" type="#_x0000_t202" filled="false" stroked="false">
              <v:textbox inset="0,0,0,0">
                <w:txbxContent>
                  <w:p>
                    <w:pPr>
                      <w:spacing w:line="240" w:lineRule="auto" w:before="1"/>
                      <w:rPr>
                        <w:rFonts w:ascii="Times New Roman"/>
                        <w:b/>
                        <w:sz w:val="18"/>
                      </w:rPr>
                    </w:pPr>
                  </w:p>
                  <w:p>
                    <w:pPr>
                      <w:spacing w:before="0"/>
                      <w:ind w:left="101" w:right="0" w:firstLine="0"/>
                      <w:jc w:val="left"/>
                      <w:rPr>
                        <w:rFonts w:ascii="Times New Roman"/>
                        <w:b/>
                        <w:sz w:val="14"/>
                      </w:rPr>
                    </w:pPr>
                    <w:r>
                      <w:rPr>
                        <w:rFonts w:ascii="Times New Roman"/>
                        <w:b/>
                        <w:color w:val="FFFFFF"/>
                        <w:w w:val="105"/>
                        <w:sz w:val="14"/>
                      </w:rPr>
                      <w:t>Prededuzione</w:t>
                    </w:r>
                  </w:p>
                </w:txbxContent>
              </v:textbox>
              <w10:wrap type="none"/>
            </v:shape>
            <w10:wrap type="topAndBottom"/>
          </v:group>
        </w:pict>
      </w:r>
    </w:p>
    <w:p>
      <w:pPr>
        <w:tabs>
          <w:tab w:pos="5170" w:val="left" w:leader="none"/>
          <w:tab w:pos="6212" w:val="left" w:leader="none"/>
          <w:tab w:pos="7534" w:val="left" w:leader="none"/>
          <w:tab w:pos="8296" w:val="left" w:leader="none"/>
          <w:tab w:pos="9934" w:val="right" w:leader="none"/>
        </w:tabs>
        <w:spacing w:line="145" w:lineRule="exact" w:before="0" w:after="12"/>
        <w:ind w:left="1799" w:right="0" w:firstLine="0"/>
        <w:jc w:val="left"/>
        <w:rPr>
          <w:rFonts w:ascii="Times New Roman"/>
          <w:b/>
          <w:sz w:val="14"/>
        </w:rPr>
      </w:pPr>
      <w:r>
        <w:rPr>
          <w:rFonts w:ascii="Times New Roman"/>
          <w:b/>
          <w:w w:val="105"/>
          <w:sz w:val="14"/>
        </w:rPr>
        <w:t>Fondi</w:t>
      </w:r>
      <w:r>
        <w:rPr>
          <w:rFonts w:ascii="Times New Roman"/>
          <w:b/>
          <w:spacing w:val="2"/>
          <w:w w:val="105"/>
          <w:sz w:val="14"/>
        </w:rPr>
        <w:t> rischi</w:t>
        <w:tab/>
      </w:r>
      <w:r>
        <w:rPr>
          <w:rFonts w:ascii="Times New Roman"/>
          <w:b/>
          <w:w w:val="105"/>
          <w:sz w:val="14"/>
        </w:rPr>
        <w:t>9.657.358</w:t>
        <w:tab/>
        <w:t>6.477.189</w:t>
        <w:tab/>
        <w:t>-</w:t>
        <w:tab/>
        <w:t>1.365.088</w:t>
        <w:tab/>
        <w:t>1.591.479</w:t>
      </w:r>
    </w:p>
    <w:p>
      <w:pPr>
        <w:pStyle w:val="BodyText"/>
        <w:ind w:left="1764"/>
        <w:rPr>
          <w:rFonts w:ascii="Times New Roman"/>
          <w:sz w:val="20"/>
        </w:rPr>
      </w:pPr>
      <w:r>
        <w:rPr>
          <w:rFonts w:ascii="Times New Roman"/>
          <w:sz w:val="20"/>
        </w:rPr>
        <w:pict>
          <v:group style="width:418.95pt;height:140.25pt;mso-position-horizontal-relative:char;mso-position-vertical-relative:line" coordorigin="0,0" coordsize="8379,2805">
            <v:rect style="position:absolute;left:3202;top:0;width:1008;height:195" filled="true" fillcolor="#f1f1f1" stroked="false">
              <v:fill type="solid"/>
            </v:rect>
            <v:rect style="position:absolute;left:4244;top:0;width:1008;height:195" filled="true" fillcolor="#f1f1f1" stroked="false">
              <v:fill type="solid"/>
            </v:rect>
            <v:rect style="position:absolute;left:5286;top:0;width:1008;height:195" filled="true" fillcolor="#f1f1f1" stroked="false">
              <v:fill type="solid"/>
            </v:rect>
            <v:rect style="position:absolute;left:6328;top:0;width:1008;height:195" filled="true" fillcolor="#f1f1f1" stroked="false">
              <v:fill type="solid"/>
            </v:rect>
            <v:rect style="position:absolute;left:7370;top:0;width:1008;height:195" filled="true" fillcolor="#f1f1f1" stroked="false">
              <v:fill type="solid"/>
            </v:rect>
            <v:rect style="position:absolute;left:3202;top:187;width:1008;height:195" filled="true" fillcolor="#f1f1f1" stroked="false">
              <v:fill type="solid"/>
            </v:rect>
            <v:rect style="position:absolute;left:4244;top:187;width:1008;height:195" filled="true" fillcolor="#f1f1f1" stroked="false">
              <v:fill type="solid"/>
            </v:rect>
            <v:rect style="position:absolute;left:5286;top:187;width:1008;height:195" filled="true" fillcolor="#f1f1f1" stroked="false">
              <v:fill type="solid"/>
            </v:rect>
            <v:rect style="position:absolute;left:6328;top:187;width:1008;height:195" filled="true" fillcolor="#f1f1f1" stroked="false">
              <v:fill type="solid"/>
            </v:rect>
            <v:rect style="position:absolute;left:7370;top:187;width:1008;height:195" filled="true" fillcolor="#f1f1f1" stroked="false">
              <v:fill type="solid"/>
            </v:rect>
            <v:rect style="position:absolute;left:3202;top:373;width:1008;height:195" filled="true" fillcolor="#f1f1f1" stroked="false">
              <v:fill type="solid"/>
            </v:rect>
            <v:rect style="position:absolute;left:4244;top:373;width:1008;height:195" filled="true" fillcolor="#f1f1f1" stroked="false">
              <v:fill type="solid"/>
            </v:rect>
            <v:rect style="position:absolute;left:5286;top:373;width:1008;height:195" filled="true" fillcolor="#f1f1f1" stroked="false">
              <v:fill type="solid"/>
            </v:rect>
            <v:rect style="position:absolute;left:6328;top:373;width:1008;height:195" filled="true" fillcolor="#f1f1f1" stroked="false">
              <v:fill type="solid"/>
            </v:rect>
            <v:rect style="position:absolute;left:7370;top:373;width:1008;height:195" filled="true" fillcolor="#f1f1f1" stroked="false">
              <v:fill type="solid"/>
            </v:rect>
            <v:rect style="position:absolute;left:3202;top:559;width:1008;height:195" filled="true" fillcolor="#f1f1f1" stroked="false">
              <v:fill type="solid"/>
            </v:rect>
            <v:rect style="position:absolute;left:4244;top:559;width:1008;height:195" filled="true" fillcolor="#f1f1f1" stroked="false">
              <v:fill type="solid"/>
            </v:rect>
            <v:rect style="position:absolute;left:5286;top:559;width:1008;height:195" filled="true" fillcolor="#f1f1f1" stroked="false">
              <v:fill type="solid"/>
            </v:rect>
            <v:rect style="position:absolute;left:6328;top:559;width:1008;height:195" filled="true" fillcolor="#f1f1f1" stroked="false">
              <v:fill type="solid"/>
            </v:rect>
            <v:rect style="position:absolute;left:7370;top:559;width:1008;height:195" filled="true" fillcolor="#f1f1f1" stroked="false">
              <v:fill type="solid"/>
            </v:rect>
            <v:rect style="position:absolute;left:3202;top:746;width:1008;height:195" filled="true" fillcolor="#f1f1f1" stroked="false">
              <v:fill type="solid"/>
            </v:rect>
            <v:rect style="position:absolute;left:4244;top:746;width:1008;height:195" filled="true" fillcolor="#f1f1f1" stroked="false">
              <v:fill type="solid"/>
            </v:rect>
            <v:rect style="position:absolute;left:5286;top:746;width:1008;height:195" filled="true" fillcolor="#f1f1f1" stroked="false">
              <v:fill type="solid"/>
            </v:rect>
            <v:rect style="position:absolute;left:6328;top:746;width:1008;height:195" filled="true" fillcolor="#f1f1f1" stroked="false">
              <v:fill type="solid"/>
            </v:rect>
            <v:rect style="position:absolute;left:7370;top:746;width:1008;height:195" filled="true" fillcolor="#f1f1f1" stroked="false">
              <v:fill type="solid"/>
            </v:rect>
            <v:rect style="position:absolute;left:3202;top:932;width:1008;height:1499" filled="true" fillcolor="#f1f1f1" stroked="false">
              <v:fill type="solid"/>
            </v:rect>
            <v:rect style="position:absolute;left:4244;top:932;width:1008;height:1499" filled="true" fillcolor="#f1f1f1" stroked="false">
              <v:fill type="solid"/>
            </v:rect>
            <v:rect style="position:absolute;left:5286;top:932;width:1008;height:1499" filled="true" fillcolor="#f1f1f1" stroked="false">
              <v:fill type="solid"/>
            </v:rect>
            <v:rect style="position:absolute;left:6328;top:932;width:1008;height:1499" filled="true" fillcolor="#f1f1f1" stroked="false">
              <v:fill type="solid"/>
            </v:rect>
            <v:rect style="position:absolute;left:7370;top:932;width:1008;height:1499" filled="true" fillcolor="#f1f1f1" stroked="false">
              <v:fill type="solid"/>
            </v:rect>
            <v:line style="position:absolute" from="6341,2250" to="6392,2250" stroked="true" strokeweight=".422652pt" strokecolor="#008000">
              <v:stroke dashstyle="solid"/>
            </v:line>
            <v:line style="position:absolute" from="6337,2250" to="6396,2250" stroked="true" strokeweight=".422659pt" strokecolor="#008000">
              <v:stroke dashstyle="solid"/>
            </v:line>
            <v:line style="position:absolute" from="6341,2258" to="6383,2258" stroked="true" strokeweight=".422652pt" strokecolor="#008000">
              <v:stroke dashstyle="solid"/>
            </v:line>
            <v:line style="position:absolute" from="6337,2258" to="6387,2258" stroked="true" strokeweight=".422645pt" strokecolor="#008000">
              <v:stroke dashstyle="solid"/>
            </v:line>
            <v:line style="position:absolute" from="6341,2266" to="6375,2266" stroked="true" strokeweight=".422652pt" strokecolor="#008000">
              <v:stroke dashstyle="solid"/>
            </v:line>
            <v:line style="position:absolute" from="6337,2266" to="6379,2266" stroked="true" strokeweight=".422659pt" strokecolor="#008000">
              <v:stroke dashstyle="solid"/>
            </v:line>
            <v:line style="position:absolute" from="6341,2275" to="6366,2275" stroked="true" strokeweight=".422652pt" strokecolor="#008000">
              <v:stroke dashstyle="solid"/>
            </v:line>
            <v:line style="position:absolute" from="6337,2275" to="6370,2275" stroked="true" strokeweight=".422645pt" strokecolor="#008000">
              <v:stroke dashstyle="solid"/>
            </v:line>
            <v:line style="position:absolute" from="6341,2283" to="6358,2283" stroked="true" strokeweight=".422652pt" strokecolor="#008000">
              <v:stroke dashstyle="solid"/>
            </v:line>
            <v:line style="position:absolute" from="6337,2283" to="6362,2283" stroked="true" strokeweight=".422659pt" strokecolor="#008000">
              <v:stroke dashstyle="solid"/>
            </v:line>
            <v:line style="position:absolute" from="6341,2292" to="6349,2292" stroked="true" strokeweight=".422652pt" strokecolor="#008000">
              <v:stroke dashstyle="solid"/>
            </v:line>
            <v:line style="position:absolute" from="6337,2292" to="6354,2292" stroked="true" strokeweight=".422659pt" strokecolor="#008000">
              <v:stroke dashstyle="solid"/>
            </v:line>
            <v:line style="position:absolute" from="6337,2300" to="6345,2300" stroked="true" strokeweight=".422645pt" strokecolor="#008000">
              <v:stroke dashstyle="solid"/>
            </v:line>
            <v:rect style="position:absolute;left:3202;top:2423;width:1008;height:381" filled="true" fillcolor="#f1f1f1" stroked="false">
              <v:fill type="solid"/>
            </v:rect>
            <v:rect style="position:absolute;left:4244;top:2423;width:1008;height:381" filled="true" fillcolor="#f1f1f1" stroked="false">
              <v:fill type="solid"/>
            </v:rect>
            <v:rect style="position:absolute;left:5286;top:2423;width:1008;height:381" filled="true" fillcolor="#f1f1f1" stroked="false">
              <v:fill type="solid"/>
            </v:rect>
            <v:rect style="position:absolute;left:6328;top:2423;width:1008;height:381" filled="true" fillcolor="#f1f1f1" stroked="false">
              <v:fill type="solid"/>
            </v:rect>
            <v:rect style="position:absolute;left:7370;top:2423;width:1008;height:381" filled="true" fillcolor="#f1f1f1" stroked="false">
              <v:fill type="solid"/>
            </v:rect>
            <v:line style="position:absolute" from="4,4" to="3164,4" stroked="true" strokeweight=".422652pt" strokecolor="#000000">
              <v:stroke dashstyle="solid"/>
            </v:line>
            <v:shape style="position:absolute;left:0;top:0;width:3168;height:8" type="#_x0000_t75" stroked="false">
              <v:imagedata r:id="rId53" o:title=""/>
            </v:shape>
            <v:line style="position:absolute" from="3207,4" to="4206,4" stroked="true" strokeweight=".422652pt" strokecolor="#000000">
              <v:stroke dashstyle="solid"/>
            </v:line>
            <v:shape style="position:absolute;left:3202;top:0;width:1008;height:8" type="#_x0000_t75" stroked="false">
              <v:imagedata r:id="rId54" o:title=""/>
            </v:shape>
            <v:line style="position:absolute" from="4248,4" to="5248,4" stroked="true" strokeweight=".422652pt" strokecolor="#000000">
              <v:stroke dashstyle="solid"/>
            </v:line>
            <v:shape style="position:absolute;left:4244;top:0;width:1008;height:8" type="#_x0000_t75" stroked="false">
              <v:imagedata r:id="rId55" o:title=""/>
            </v:shape>
            <v:line style="position:absolute" from="5290,4" to="6290,4" stroked="true" strokeweight=".422652pt" strokecolor="#000000">
              <v:stroke dashstyle="solid"/>
            </v:line>
            <v:shape style="position:absolute;left:5286;top:0;width:1008;height:8" type="#_x0000_t75" stroked="false">
              <v:imagedata r:id="rId56" o:title=""/>
            </v:shape>
            <v:line style="position:absolute" from="6332,4" to="7332,4" stroked="true" strokeweight=".422652pt" strokecolor="#000000">
              <v:stroke dashstyle="solid"/>
            </v:line>
            <v:shape style="position:absolute;left:6328;top:0;width:1008;height:8" type="#_x0000_t75" stroked="false">
              <v:imagedata r:id="rId57" o:title=""/>
            </v:shape>
            <v:line style="position:absolute" from="7374,4" to="8374,4" stroked="true" strokeweight=".422652pt" strokecolor="#000000">
              <v:stroke dashstyle="solid"/>
            </v:line>
            <v:shape style="position:absolute;left:7370;top:0;width:1008;height:8" type="#_x0000_t75" stroked="false">
              <v:imagedata r:id="rId58" o:title=""/>
            </v:shape>
            <v:shape style="position:absolute;left:34;top:24;width:3153;height:2769" type="#_x0000_t202" filled="false" stroked="false">
              <v:textbox inset="0,0,0,0">
                <w:txbxContent>
                  <w:p>
                    <w:pPr>
                      <w:spacing w:line="278" w:lineRule="auto" w:before="0"/>
                      <w:ind w:left="0" w:right="0" w:firstLine="0"/>
                      <w:jc w:val="left"/>
                      <w:rPr>
                        <w:rFonts w:ascii="Times New Roman"/>
                        <w:sz w:val="14"/>
                      </w:rPr>
                    </w:pPr>
                    <w:r>
                      <w:rPr>
                        <w:rFonts w:ascii="Times New Roman"/>
                        <w:spacing w:val="-3"/>
                        <w:w w:val="105"/>
                        <w:sz w:val="14"/>
                      </w:rPr>
                      <w:t>Fondo </w:t>
                    </w:r>
                    <w:r>
                      <w:rPr>
                        <w:rFonts w:ascii="Times New Roman"/>
                        <w:w w:val="105"/>
                        <w:sz w:val="14"/>
                      </w:rPr>
                      <w:t>per </w:t>
                    </w:r>
                    <w:r>
                      <w:rPr>
                        <w:rFonts w:ascii="Times New Roman"/>
                        <w:spacing w:val="-6"/>
                        <w:w w:val="105"/>
                        <w:sz w:val="14"/>
                      </w:rPr>
                      <w:t>Avviso </w:t>
                    </w:r>
                    <w:r>
                      <w:rPr>
                        <w:rFonts w:ascii="Times New Roman"/>
                        <w:spacing w:val="-3"/>
                        <w:w w:val="105"/>
                        <w:sz w:val="14"/>
                      </w:rPr>
                      <w:t>di </w:t>
                    </w:r>
                    <w:r>
                      <w:rPr>
                        <w:rFonts w:ascii="Times New Roman"/>
                        <w:w w:val="105"/>
                        <w:sz w:val="14"/>
                      </w:rPr>
                      <w:t>accertamento </w:t>
                    </w:r>
                    <w:r>
                      <w:rPr>
                        <w:rFonts w:ascii="Times New Roman"/>
                        <w:spacing w:val="-3"/>
                        <w:w w:val="105"/>
                        <w:sz w:val="14"/>
                      </w:rPr>
                      <w:t>n. </w:t>
                    </w:r>
                    <w:r>
                      <w:rPr>
                        <w:rFonts w:ascii="Times New Roman"/>
                        <w:spacing w:val="-6"/>
                        <w:w w:val="105"/>
                        <w:sz w:val="14"/>
                      </w:rPr>
                      <w:t>TS </w:t>
                    </w:r>
                    <w:r>
                      <w:rPr>
                        <w:rFonts w:ascii="Times New Roman"/>
                        <w:w w:val="105"/>
                        <w:sz w:val="14"/>
                      </w:rPr>
                      <w:t>B060100246/</w:t>
                    </w:r>
                    <w:r>
                      <w:rPr>
                        <w:rFonts w:ascii="Times New Roman"/>
                        <w:spacing w:val="2"/>
                        <w:w w:val="105"/>
                        <w:sz w:val="14"/>
                      </w:rPr>
                      <w:t> </w:t>
                    </w:r>
                    <w:r>
                      <w:rPr>
                        <w:rFonts w:ascii="Times New Roman"/>
                        <w:spacing w:val="-3"/>
                        <w:w w:val="105"/>
                        <w:sz w:val="14"/>
                      </w:rPr>
                      <w:t>Fondo </w:t>
                    </w:r>
                    <w:r>
                      <w:rPr>
                        <w:rFonts w:ascii="Times New Roman"/>
                        <w:w w:val="105"/>
                        <w:sz w:val="14"/>
                      </w:rPr>
                      <w:t>imposte 2017</w:t>
                    </w:r>
                  </w:p>
                  <w:p>
                    <w:pPr>
                      <w:spacing w:before="3"/>
                      <w:ind w:left="0" w:right="0" w:firstLine="0"/>
                      <w:jc w:val="left"/>
                      <w:rPr>
                        <w:rFonts w:ascii="Times New Roman"/>
                        <w:sz w:val="14"/>
                      </w:rPr>
                    </w:pPr>
                    <w:r>
                      <w:rPr>
                        <w:rFonts w:ascii="Times New Roman"/>
                        <w:w w:val="105"/>
                        <w:sz w:val="14"/>
                      </w:rPr>
                      <w:t>Fondo rischi Miur</w:t>
                    </w:r>
                  </w:p>
                  <w:p>
                    <w:pPr>
                      <w:spacing w:line="278" w:lineRule="auto" w:before="25"/>
                      <w:ind w:left="0" w:right="608" w:firstLine="0"/>
                      <w:jc w:val="left"/>
                      <w:rPr>
                        <w:rFonts w:ascii="Times New Roman"/>
                        <w:sz w:val="14"/>
                      </w:rPr>
                    </w:pPr>
                    <w:r>
                      <w:rPr>
                        <w:rFonts w:ascii="Times New Roman"/>
                        <w:spacing w:val="-3"/>
                        <w:w w:val="105"/>
                        <w:sz w:val="14"/>
                      </w:rPr>
                      <w:t>Fondo</w:t>
                    </w:r>
                    <w:r>
                      <w:rPr>
                        <w:rFonts w:ascii="Times New Roman"/>
                        <w:spacing w:val="-10"/>
                        <w:w w:val="105"/>
                        <w:sz w:val="14"/>
                      </w:rPr>
                      <w:t> </w:t>
                    </w:r>
                    <w:r>
                      <w:rPr>
                        <w:rFonts w:ascii="Times New Roman"/>
                        <w:w w:val="105"/>
                        <w:sz w:val="14"/>
                      </w:rPr>
                      <w:t>interessi</w:t>
                    </w:r>
                    <w:r>
                      <w:rPr>
                        <w:rFonts w:ascii="Times New Roman"/>
                        <w:spacing w:val="-11"/>
                        <w:w w:val="105"/>
                        <w:sz w:val="14"/>
                      </w:rPr>
                      <w:t> </w:t>
                    </w:r>
                    <w:r>
                      <w:rPr>
                        <w:rFonts w:ascii="Times New Roman"/>
                        <w:w w:val="105"/>
                        <w:sz w:val="14"/>
                      </w:rPr>
                      <w:t>legali</w:t>
                    </w:r>
                    <w:r>
                      <w:rPr>
                        <w:rFonts w:ascii="Times New Roman"/>
                        <w:spacing w:val="-11"/>
                        <w:w w:val="105"/>
                        <w:sz w:val="14"/>
                      </w:rPr>
                      <w:t> </w:t>
                    </w:r>
                    <w:r>
                      <w:rPr>
                        <w:rFonts w:ascii="Times New Roman"/>
                        <w:w w:val="105"/>
                        <w:sz w:val="14"/>
                      </w:rPr>
                      <w:t>sul</w:t>
                    </w:r>
                    <w:r>
                      <w:rPr>
                        <w:rFonts w:ascii="Times New Roman"/>
                        <w:spacing w:val="-11"/>
                        <w:w w:val="105"/>
                        <w:sz w:val="14"/>
                      </w:rPr>
                      <w:t> </w:t>
                    </w:r>
                    <w:r>
                      <w:rPr>
                        <w:rFonts w:ascii="Times New Roman"/>
                        <w:w w:val="105"/>
                        <w:sz w:val="14"/>
                      </w:rPr>
                      <w:t>debito</w:t>
                    </w:r>
                    <w:r>
                      <w:rPr>
                        <w:rFonts w:ascii="Times New Roman"/>
                        <w:spacing w:val="-10"/>
                        <w:w w:val="105"/>
                        <w:sz w:val="14"/>
                      </w:rPr>
                      <w:t> </w:t>
                    </w:r>
                    <w:r>
                      <w:rPr>
                        <w:rFonts w:ascii="Times New Roman"/>
                        <w:w w:val="105"/>
                        <w:sz w:val="14"/>
                      </w:rPr>
                      <w:t>privilegiato </w:t>
                    </w:r>
                    <w:r>
                      <w:rPr>
                        <w:rFonts w:ascii="Times New Roman"/>
                        <w:spacing w:val="-3"/>
                        <w:w w:val="105"/>
                        <w:sz w:val="14"/>
                      </w:rPr>
                      <w:t>Fondo </w:t>
                    </w:r>
                    <w:r>
                      <w:rPr>
                        <w:rFonts w:ascii="Times New Roman"/>
                        <w:w w:val="105"/>
                        <w:sz w:val="14"/>
                      </w:rPr>
                      <w:t>generico (3% elenco creditori) </w:t>
                    </w:r>
                    <w:r>
                      <w:rPr>
                        <w:rFonts w:ascii="Times New Roman"/>
                        <w:spacing w:val="-3"/>
                        <w:w w:val="105"/>
                        <w:sz w:val="14"/>
                      </w:rPr>
                      <w:t>Fondo garanzie </w:t>
                    </w:r>
                    <w:r>
                      <w:rPr>
                        <w:rFonts w:ascii="Times New Roman"/>
                        <w:w w:val="105"/>
                        <w:sz w:val="14"/>
                      </w:rPr>
                      <w:t>(Safpet fase</w:t>
                    </w:r>
                    <w:r>
                      <w:rPr>
                        <w:rFonts w:ascii="Times New Roman"/>
                        <w:spacing w:val="-26"/>
                        <w:w w:val="105"/>
                        <w:sz w:val="14"/>
                      </w:rPr>
                      <w:t> </w:t>
                    </w:r>
                    <w:r>
                      <w:rPr>
                        <w:rFonts w:ascii="Times New Roman"/>
                        <w:w w:val="105"/>
                        <w:sz w:val="14"/>
                      </w:rPr>
                      <w:t>1)</w:t>
                    </w:r>
                  </w:p>
                  <w:p>
                    <w:pPr>
                      <w:spacing w:line="278" w:lineRule="auto" w:before="0"/>
                      <w:ind w:left="0" w:right="1328" w:firstLine="0"/>
                      <w:jc w:val="left"/>
                      <w:rPr>
                        <w:rFonts w:ascii="Times New Roman"/>
                        <w:sz w:val="14"/>
                      </w:rPr>
                    </w:pPr>
                    <w:r>
                      <w:rPr>
                        <w:rFonts w:ascii="Times New Roman"/>
                        <w:w w:val="105"/>
                        <w:sz w:val="14"/>
                      </w:rPr>
                      <w:t>Fondo garanzie (Safpet fase 2) F.do rischi incasso crediti</w:t>
                    </w:r>
                  </w:p>
                  <w:p>
                    <w:pPr>
                      <w:spacing w:line="278" w:lineRule="auto" w:before="0"/>
                      <w:ind w:left="0" w:right="393" w:firstLine="0"/>
                      <w:jc w:val="left"/>
                      <w:rPr>
                        <w:rFonts w:ascii="Times New Roman" w:hAnsi="Times New Roman"/>
                        <w:sz w:val="14"/>
                      </w:rPr>
                    </w:pPr>
                    <w:r>
                      <w:rPr>
                        <w:rFonts w:ascii="Times New Roman" w:hAnsi="Times New Roman"/>
                        <w:w w:val="105"/>
                        <w:sz w:val="14"/>
                      </w:rPr>
                      <w:t>F.do rischi penalità risoluzioni contrattuali Contenzioso legali contenzioso Grall Bio LLC Contenzioso legali contenzioso Andriz Garanzia Roquette</w:t>
                    </w:r>
                  </w:p>
                  <w:p>
                    <w:pPr>
                      <w:spacing w:line="278" w:lineRule="auto" w:before="0"/>
                      <w:ind w:left="0" w:right="1965" w:firstLine="0"/>
                      <w:jc w:val="left"/>
                      <w:rPr>
                        <w:rFonts w:ascii="Times New Roman"/>
                        <w:sz w:val="14"/>
                      </w:rPr>
                    </w:pPr>
                    <w:r>
                      <w:rPr>
                        <w:rFonts w:ascii="Times New Roman"/>
                        <w:w w:val="105"/>
                        <w:sz w:val="14"/>
                      </w:rPr>
                      <w:t>Garanzia Durr Garanzia C5-6 Italy Garanzia Hepta</w:t>
                    </w:r>
                  </w:p>
                </w:txbxContent>
              </v:textbox>
              <w10:wrap type="none"/>
            </v:shape>
            <v:shape style="position:absolute;left:3406;top:24;width:616;height:1465" type="#_x0000_t202" filled="false" stroked="false">
              <v:textbox inset="0,0,0,0">
                <w:txbxContent>
                  <w:p>
                    <w:pPr>
                      <w:spacing w:line="159" w:lineRule="exact" w:before="0"/>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p>
                    <w:pPr>
                      <w:spacing w:line="278" w:lineRule="auto" w:before="25"/>
                      <w:ind w:left="0" w:right="18" w:firstLine="11"/>
                      <w:jc w:val="center"/>
                      <w:rPr>
                        <w:rFonts w:ascii="Times New Roman"/>
                        <w:b/>
                        <w:sz w:val="14"/>
                      </w:rPr>
                    </w:pPr>
                    <w:r>
                      <w:rPr>
                        <w:rFonts w:ascii="Times New Roman"/>
                        <w:b/>
                        <w:w w:val="105"/>
                        <w:sz w:val="14"/>
                      </w:rPr>
                      <w:t>-       4.295.729</w:t>
                    </w:r>
                  </w:p>
                  <w:p>
                    <w:pPr>
                      <w:spacing w:before="0"/>
                      <w:ind w:left="0" w:right="9" w:firstLine="0"/>
                      <w:jc w:val="center"/>
                      <w:rPr>
                        <w:rFonts w:ascii="Times New Roman"/>
                        <w:b/>
                        <w:sz w:val="14"/>
                      </w:rPr>
                    </w:pPr>
                    <w:r>
                      <w:rPr>
                        <w:rFonts w:ascii="Times New Roman"/>
                        <w:b/>
                        <w:w w:val="105"/>
                        <w:sz w:val="14"/>
                      </w:rPr>
                      <w:t>279.808</w:t>
                    </w:r>
                  </w:p>
                  <w:p>
                    <w:pPr>
                      <w:spacing w:before="24"/>
                      <w:ind w:left="0" w:right="18" w:firstLine="0"/>
                      <w:jc w:val="center"/>
                      <w:rPr>
                        <w:rFonts w:ascii="Times New Roman"/>
                        <w:b/>
                        <w:sz w:val="14"/>
                      </w:rPr>
                    </w:pPr>
                    <w:r>
                      <w:rPr>
                        <w:rFonts w:ascii="Times New Roman"/>
                        <w:b/>
                        <w:w w:val="105"/>
                        <w:sz w:val="14"/>
                      </w:rPr>
                      <w:t>2.492.835</w:t>
                    </w:r>
                  </w:p>
                  <w:p>
                    <w:pPr>
                      <w:spacing w:before="24"/>
                      <w:ind w:left="0" w:right="6" w:firstLine="0"/>
                      <w:jc w:val="center"/>
                      <w:rPr>
                        <w:rFonts w:ascii="Times New Roman"/>
                        <w:b/>
                        <w:sz w:val="14"/>
                      </w:rPr>
                    </w:pPr>
                    <w:r>
                      <w:rPr>
                        <w:rFonts w:ascii="Times New Roman"/>
                        <w:b/>
                        <w:w w:val="103"/>
                        <w:sz w:val="14"/>
                      </w:rPr>
                      <w:t>-</w:t>
                    </w:r>
                  </w:p>
                </w:txbxContent>
              </v:textbox>
              <w10:wrap type="none"/>
            </v:shape>
            <v:shape style="position:absolute;left:4448;top:24;width:616;height:1465" type="#_x0000_t202" filled="false" stroked="false">
              <v:textbox inset="0,0,0,0">
                <w:txbxContent>
                  <w:p>
                    <w:pPr>
                      <w:spacing w:line="278" w:lineRule="auto" w:before="0"/>
                      <w:ind w:left="-1" w:right="18" w:firstLine="11"/>
                      <w:jc w:val="center"/>
                      <w:rPr>
                        <w:rFonts w:ascii="Times New Roman"/>
                        <w:b/>
                        <w:sz w:val="14"/>
                      </w:rPr>
                    </w:pPr>
                    <w:r>
                      <w:rPr>
                        <w:rFonts w:ascii="Times New Roman"/>
                        <w:b/>
                        <w:w w:val="105"/>
                        <w:sz w:val="14"/>
                      </w:rPr>
                      <w:t>-       6.477.189</w:t>
                    </w:r>
                  </w:p>
                  <w:p>
                    <w:pPr>
                      <w:spacing w:before="3"/>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txbxContent>
              </v:textbox>
              <w10:wrap type="none"/>
            </v:shape>
            <v:shape style="position:absolute;left:5769;top:24;width:69;height:1465" type="#_x0000_t202" filled="false" stroked="false">
              <v:textbox inset="0,0,0,0">
                <w:txbxContent>
                  <w:p>
                    <w:pPr>
                      <w:spacing w:line="159" w:lineRule="exact" w:before="0"/>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txbxContent>
              </v:textbox>
              <w10:wrap type="none"/>
            </v:shape>
            <v:shape style="position:absolute;left:6532;top:24;width:616;height:1465" type="#_x0000_t202" filled="false" stroked="false">
              <v:textbox inset="0,0,0,0">
                <w:txbxContent>
                  <w:p>
                    <w:pPr>
                      <w:spacing w:line="159" w:lineRule="exact" w:before="0"/>
                      <w:ind w:left="0" w:right="9" w:firstLine="0"/>
                      <w:jc w:val="center"/>
                      <w:rPr>
                        <w:rFonts w:ascii="Times New Roman"/>
                        <w:b/>
                        <w:sz w:val="14"/>
                      </w:rPr>
                    </w:pPr>
                    <w:r>
                      <w:rPr>
                        <w:rFonts w:ascii="Times New Roman"/>
                        <w:b/>
                        <w:w w:val="105"/>
                        <w:sz w:val="14"/>
                      </w:rPr>
                      <w:t>285.684</w:t>
                    </w:r>
                  </w:p>
                  <w:p>
                    <w:pPr>
                      <w:spacing w:line="278" w:lineRule="auto" w:before="25"/>
                      <w:ind w:left="92" w:right="110" w:firstLine="11"/>
                      <w:jc w:val="center"/>
                      <w:rPr>
                        <w:rFonts w:ascii="Times New Roman"/>
                        <w:b/>
                        <w:sz w:val="14"/>
                      </w:rPr>
                    </w:pPr>
                    <w:r>
                      <w:rPr>
                        <w:rFonts w:ascii="Times New Roman"/>
                        <w:b/>
                        <w:w w:val="105"/>
                        <w:sz w:val="14"/>
                      </w:rPr>
                      <w:t>-    51.464</w:t>
                    </w:r>
                  </w:p>
                  <w:p>
                    <w:pPr>
                      <w:spacing w:before="0"/>
                      <w:ind w:left="0" w:right="18" w:firstLine="0"/>
                      <w:jc w:val="center"/>
                      <w:rPr>
                        <w:rFonts w:ascii="Times New Roman"/>
                        <w:b/>
                        <w:sz w:val="14"/>
                      </w:rPr>
                    </w:pPr>
                    <w:r>
                      <w:rPr>
                        <w:rFonts w:ascii="Times New Roman"/>
                        <w:b/>
                        <w:w w:val="105"/>
                        <w:sz w:val="14"/>
                      </w:rPr>
                      <w:t>27.940</w:t>
                    </w:r>
                  </w:p>
                  <w:p>
                    <w:pPr>
                      <w:spacing w:before="25"/>
                      <w:ind w:left="-1" w:right="18" w:firstLine="0"/>
                      <w:jc w:val="center"/>
                      <w:rPr>
                        <w:rFonts w:ascii="Times New Roman"/>
                        <w:b/>
                        <w:sz w:val="14"/>
                      </w:rPr>
                    </w:pPr>
                    <w:r>
                      <w:rPr>
                        <w:rFonts w:ascii="Times New Roman"/>
                        <w:b/>
                        <w:w w:val="105"/>
                        <w:sz w:val="14"/>
                      </w:rPr>
                      <w:t>1.000.000</w:t>
                    </w:r>
                  </w:p>
                  <w:p>
                    <w:pPr>
                      <w:spacing w:before="25"/>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p>
                    <w:pPr>
                      <w:spacing w:before="25"/>
                      <w:ind w:left="0" w:right="6" w:firstLine="0"/>
                      <w:jc w:val="center"/>
                      <w:rPr>
                        <w:rFonts w:ascii="Times New Roman"/>
                        <w:b/>
                        <w:sz w:val="14"/>
                      </w:rPr>
                    </w:pPr>
                    <w:r>
                      <w:rPr>
                        <w:rFonts w:ascii="Times New Roman"/>
                        <w:b/>
                        <w:w w:val="103"/>
                        <w:sz w:val="14"/>
                      </w:rPr>
                      <w:t>-</w:t>
                    </w:r>
                  </w:p>
                </w:txbxContent>
              </v:textbox>
              <w10:wrap type="none"/>
            </v:shape>
            <v:shape style="position:absolute;left:3406;top:1702;width:616;height:1092" type="#_x0000_t202" filled="false" stroked="false">
              <v:textbox inset="0,0,0,0">
                <w:txbxContent>
                  <w:p>
                    <w:pPr>
                      <w:spacing w:line="159" w:lineRule="exact" w:before="0"/>
                      <w:ind w:left="0" w:right="6" w:firstLine="0"/>
                      <w:jc w:val="center"/>
                      <w:rPr>
                        <w:rFonts w:ascii="Times New Roman"/>
                        <w:b/>
                        <w:sz w:val="14"/>
                      </w:rPr>
                    </w:pPr>
                    <w:r>
                      <w:rPr>
                        <w:rFonts w:ascii="Times New Roman"/>
                        <w:b/>
                        <w:w w:val="103"/>
                        <w:sz w:val="14"/>
                      </w:rPr>
                      <w:t>-</w:t>
                    </w:r>
                  </w:p>
                  <w:p>
                    <w:pPr>
                      <w:spacing w:line="278" w:lineRule="auto" w:before="25"/>
                      <w:ind w:left="59" w:right="68" w:firstLine="2"/>
                      <w:jc w:val="center"/>
                      <w:rPr>
                        <w:rFonts w:ascii="Times New Roman"/>
                        <w:b/>
                        <w:sz w:val="14"/>
                      </w:rPr>
                    </w:pPr>
                    <w:r>
                      <w:rPr>
                        <w:rFonts w:ascii="Times New Roman"/>
                        <w:b/>
                        <w:w w:val="105"/>
                        <w:sz w:val="14"/>
                      </w:rPr>
                      <w:t>-     639.431</w:t>
                    </w:r>
                  </w:p>
                  <w:p>
                    <w:pPr>
                      <w:spacing w:before="0"/>
                      <w:ind w:left="0" w:right="18" w:firstLine="0"/>
                      <w:jc w:val="center"/>
                      <w:rPr>
                        <w:rFonts w:ascii="Times New Roman"/>
                        <w:b/>
                        <w:sz w:val="14"/>
                      </w:rPr>
                    </w:pPr>
                    <w:r>
                      <w:rPr>
                        <w:rFonts w:ascii="Times New Roman"/>
                        <w:b/>
                        <w:w w:val="105"/>
                        <w:sz w:val="14"/>
                      </w:rPr>
                      <w:t>1.759.940</w:t>
                    </w:r>
                  </w:p>
                  <w:p>
                    <w:pPr>
                      <w:spacing w:before="25"/>
                      <w:ind w:left="0" w:right="17" w:firstLine="0"/>
                      <w:jc w:val="center"/>
                      <w:rPr>
                        <w:rFonts w:ascii="Times New Roman"/>
                        <w:b/>
                        <w:sz w:val="14"/>
                      </w:rPr>
                    </w:pPr>
                    <w:r>
                      <w:rPr>
                        <w:rFonts w:ascii="Times New Roman"/>
                        <w:b/>
                        <w:w w:val="105"/>
                        <w:sz w:val="14"/>
                      </w:rPr>
                      <w:t>58.946</w:t>
                    </w:r>
                  </w:p>
                  <w:p>
                    <w:pPr>
                      <w:spacing w:before="25"/>
                      <w:ind w:left="0" w:right="9" w:firstLine="0"/>
                      <w:jc w:val="center"/>
                      <w:rPr>
                        <w:rFonts w:ascii="Times New Roman"/>
                        <w:b/>
                        <w:sz w:val="14"/>
                      </w:rPr>
                    </w:pPr>
                    <w:r>
                      <w:rPr>
                        <w:rFonts w:ascii="Times New Roman"/>
                        <w:b/>
                        <w:w w:val="105"/>
                        <w:sz w:val="14"/>
                      </w:rPr>
                      <w:t>130.669</w:t>
                    </w:r>
                  </w:p>
                </w:txbxContent>
              </v:textbox>
              <w10:wrap type="none"/>
            </v:shape>
            <v:shape style="position:absolute;left:4727;top:1702;width:69;height:1092" type="#_x0000_t202" filled="false" stroked="false">
              <v:textbox inset="0,0,0,0">
                <w:txbxContent>
                  <w:p>
                    <w:pPr>
                      <w:spacing w:line="159" w:lineRule="exact" w:before="0"/>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txbxContent>
              </v:textbox>
              <w10:wrap type="none"/>
            </v:shape>
            <v:shape style="position:absolute;left:5769;top:1702;width:69;height:1092" type="#_x0000_t202" filled="false" stroked="false">
              <v:textbox inset="0,0,0,0">
                <w:txbxContent>
                  <w:p>
                    <w:pPr>
                      <w:spacing w:line="159" w:lineRule="exact" w:before="0"/>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txbxContent>
              </v:textbox>
              <w10:wrap type="none"/>
            </v:shape>
            <v:shape style="position:absolute;left:6811;top:1702;width:69;height:1092" type="#_x0000_t202" filled="false" stroked="false">
              <v:textbox inset="0,0,0,0">
                <w:txbxContent>
                  <w:p>
                    <w:pPr>
                      <w:spacing w:line="159" w:lineRule="exact" w:before="0"/>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p>
                    <w:pPr>
                      <w:spacing w:before="25"/>
                      <w:ind w:left="0" w:right="0" w:firstLine="0"/>
                      <w:jc w:val="left"/>
                      <w:rPr>
                        <w:rFonts w:ascii="Times New Roman"/>
                        <w:b/>
                        <w:sz w:val="14"/>
                      </w:rPr>
                    </w:pPr>
                    <w:r>
                      <w:rPr>
                        <w:rFonts w:ascii="Times New Roman"/>
                        <w:b/>
                        <w:w w:val="103"/>
                        <w:sz w:val="14"/>
                      </w:rPr>
                      <w:t>-</w:t>
                    </w:r>
                  </w:p>
                </w:txbxContent>
              </v:textbox>
              <w10:wrap type="none"/>
            </v:shape>
            <v:shape style="position:absolute;left:7633;top:24;width:506;height:2769" type="#_x0000_t202" filled="false" stroked="false">
              <v:textbox inset="0,0,0,0">
                <w:txbxContent>
                  <w:p>
                    <w:pPr>
                      <w:spacing w:line="278" w:lineRule="auto" w:before="0"/>
                      <w:ind w:left="0" w:right="18" w:firstLine="2"/>
                      <w:jc w:val="center"/>
                      <w:rPr>
                        <w:rFonts w:ascii="Times New Roman"/>
                        <w:b/>
                        <w:sz w:val="14"/>
                      </w:rPr>
                    </w:pPr>
                    <w:r>
                      <w:rPr>
                        <w:rFonts w:ascii="Times New Roman"/>
                        <w:b/>
                        <w:w w:val="105"/>
                        <w:sz w:val="14"/>
                      </w:rPr>
                      <w:t>-     283.121</w:t>
                    </w:r>
                  </w:p>
                  <w:p>
                    <w:pPr>
                      <w:spacing w:before="3"/>
                      <w:ind w:left="0" w:right="15" w:firstLine="0"/>
                      <w:jc w:val="center"/>
                      <w:rPr>
                        <w:rFonts w:ascii="Times New Roman"/>
                        <w:b/>
                        <w:sz w:val="14"/>
                      </w:rPr>
                    </w:pPr>
                    <w:r>
                      <w:rPr>
                        <w:rFonts w:ascii="Times New Roman"/>
                        <w:b/>
                        <w:w w:val="103"/>
                        <w:sz w:val="14"/>
                      </w:rPr>
                      <w:t>-</w:t>
                    </w:r>
                  </w:p>
                  <w:p>
                    <w:pPr>
                      <w:spacing w:before="25"/>
                      <w:ind w:left="0" w:right="15" w:firstLine="0"/>
                      <w:jc w:val="center"/>
                      <w:rPr>
                        <w:rFonts w:ascii="Times New Roman"/>
                        <w:b/>
                        <w:sz w:val="14"/>
                      </w:rPr>
                    </w:pPr>
                    <w:r>
                      <w:rPr>
                        <w:rFonts w:ascii="Times New Roman"/>
                        <w:b/>
                        <w:w w:val="103"/>
                        <w:sz w:val="14"/>
                      </w:rPr>
                      <w:t>-</w:t>
                    </w:r>
                  </w:p>
                  <w:p>
                    <w:pPr>
                      <w:spacing w:before="25"/>
                      <w:ind w:left="0" w:right="15" w:firstLine="0"/>
                      <w:jc w:val="center"/>
                      <w:rPr>
                        <w:rFonts w:ascii="Times New Roman"/>
                        <w:b/>
                        <w:sz w:val="14"/>
                      </w:rPr>
                    </w:pPr>
                    <w:r>
                      <w:rPr>
                        <w:rFonts w:ascii="Times New Roman"/>
                        <w:b/>
                        <w:w w:val="103"/>
                        <w:sz w:val="14"/>
                      </w:rPr>
                      <w:t>-</w:t>
                    </w:r>
                  </w:p>
                  <w:p>
                    <w:pPr>
                      <w:spacing w:before="25"/>
                      <w:ind w:left="0" w:right="15" w:firstLine="0"/>
                      <w:jc w:val="center"/>
                      <w:rPr>
                        <w:rFonts w:ascii="Times New Roman"/>
                        <w:b/>
                        <w:sz w:val="14"/>
                      </w:rPr>
                    </w:pPr>
                    <w:r>
                      <w:rPr>
                        <w:rFonts w:ascii="Times New Roman"/>
                        <w:b/>
                        <w:w w:val="103"/>
                        <w:sz w:val="14"/>
                      </w:rPr>
                      <w:t>-</w:t>
                    </w:r>
                  </w:p>
                  <w:p>
                    <w:pPr>
                      <w:spacing w:line="278" w:lineRule="auto" w:before="25"/>
                      <w:ind w:left="0" w:right="18" w:firstLine="2"/>
                      <w:jc w:val="center"/>
                      <w:rPr>
                        <w:rFonts w:ascii="Times New Roman"/>
                        <w:b/>
                        <w:sz w:val="14"/>
                      </w:rPr>
                    </w:pPr>
                    <w:r>
                      <w:rPr>
                        <w:rFonts w:ascii="Times New Roman"/>
                        <w:b/>
                        <w:w w:val="105"/>
                        <w:sz w:val="14"/>
                      </w:rPr>
                      <w:t>-     580.000</w:t>
                    </w:r>
                  </w:p>
                  <w:p>
                    <w:pPr>
                      <w:spacing w:before="0"/>
                      <w:ind w:left="0" w:right="26" w:firstLine="0"/>
                      <w:jc w:val="center"/>
                      <w:rPr>
                        <w:rFonts w:ascii="Times New Roman"/>
                        <w:b/>
                        <w:sz w:val="14"/>
                      </w:rPr>
                    </w:pPr>
                    <w:r>
                      <w:rPr>
                        <w:rFonts w:ascii="Times New Roman"/>
                        <w:b/>
                        <w:w w:val="105"/>
                        <w:sz w:val="14"/>
                      </w:rPr>
                      <w:t>24.145</w:t>
                    </w:r>
                  </w:p>
                  <w:p>
                    <w:pPr>
                      <w:spacing w:before="25"/>
                      <w:ind w:left="0" w:right="26" w:firstLine="0"/>
                      <w:jc w:val="center"/>
                      <w:rPr>
                        <w:rFonts w:ascii="Times New Roman"/>
                        <w:b/>
                        <w:sz w:val="14"/>
                      </w:rPr>
                    </w:pPr>
                    <w:r>
                      <w:rPr>
                        <w:rFonts w:ascii="Times New Roman"/>
                        <w:b/>
                        <w:w w:val="105"/>
                        <w:sz w:val="14"/>
                      </w:rPr>
                      <w:t>20.964</w:t>
                    </w:r>
                  </w:p>
                  <w:p>
                    <w:pPr>
                      <w:spacing w:before="25"/>
                      <w:ind w:left="0" w:right="18" w:firstLine="0"/>
                      <w:jc w:val="center"/>
                      <w:rPr>
                        <w:rFonts w:ascii="Times New Roman"/>
                        <w:b/>
                        <w:sz w:val="14"/>
                      </w:rPr>
                    </w:pPr>
                    <w:r>
                      <w:rPr>
                        <w:rFonts w:ascii="Times New Roman"/>
                        <w:b/>
                        <w:w w:val="105"/>
                        <w:sz w:val="14"/>
                      </w:rPr>
                      <w:t>683.249</w:t>
                    </w:r>
                  </w:p>
                  <w:p>
                    <w:pPr>
                      <w:spacing w:before="25"/>
                      <w:ind w:left="0" w:right="15" w:firstLine="0"/>
                      <w:jc w:val="center"/>
                      <w:rPr>
                        <w:rFonts w:ascii="Times New Roman"/>
                        <w:b/>
                        <w:sz w:val="14"/>
                      </w:rPr>
                    </w:pPr>
                    <w:r>
                      <w:rPr>
                        <w:rFonts w:ascii="Times New Roman"/>
                        <w:b/>
                        <w:w w:val="103"/>
                        <w:sz w:val="14"/>
                      </w:rPr>
                      <w:t>-</w:t>
                    </w:r>
                  </w:p>
                  <w:p>
                    <w:pPr>
                      <w:spacing w:before="25"/>
                      <w:ind w:left="0" w:right="15" w:firstLine="0"/>
                      <w:jc w:val="center"/>
                      <w:rPr>
                        <w:rFonts w:ascii="Times New Roman"/>
                        <w:b/>
                        <w:sz w:val="14"/>
                      </w:rPr>
                    </w:pPr>
                    <w:r>
                      <w:rPr>
                        <w:rFonts w:ascii="Times New Roman"/>
                        <w:b/>
                        <w:w w:val="103"/>
                        <w:sz w:val="14"/>
                      </w:rPr>
                      <w:t>-</w:t>
                    </w:r>
                  </w:p>
                  <w:p>
                    <w:pPr>
                      <w:spacing w:before="25"/>
                      <w:ind w:left="0" w:right="15" w:firstLine="0"/>
                      <w:jc w:val="center"/>
                      <w:rPr>
                        <w:rFonts w:ascii="Times New Roman"/>
                        <w:b/>
                        <w:sz w:val="14"/>
                      </w:rPr>
                    </w:pPr>
                    <w:r>
                      <w:rPr>
                        <w:rFonts w:ascii="Times New Roman"/>
                        <w:b/>
                        <w:w w:val="103"/>
                        <w:sz w:val="14"/>
                      </w:rPr>
                      <w:t>-</w:t>
                    </w:r>
                  </w:p>
                  <w:p>
                    <w:pPr>
                      <w:spacing w:before="25"/>
                      <w:ind w:left="0" w:right="15" w:firstLine="0"/>
                      <w:jc w:val="center"/>
                      <w:rPr>
                        <w:rFonts w:ascii="Times New Roman"/>
                        <w:b/>
                        <w:sz w:val="14"/>
                      </w:rPr>
                    </w:pPr>
                    <w:r>
                      <w:rPr>
                        <w:rFonts w:ascii="Times New Roman"/>
                        <w:b/>
                        <w:w w:val="103"/>
                        <w:sz w:val="14"/>
                      </w:rPr>
                      <w:t>-</w:t>
                    </w:r>
                  </w:p>
                </w:txbxContent>
              </v:textbox>
              <w10:wrap type="none"/>
            </v:shape>
          </v:group>
        </w:pict>
      </w:r>
      <w:r>
        <w:rPr>
          <w:rFonts w:ascii="Times New Roman"/>
          <w:sz w:val="20"/>
        </w:rPr>
      </w:r>
    </w:p>
    <w:p>
      <w:pPr>
        <w:spacing w:after="0"/>
        <w:rPr>
          <w:rFonts w:ascii="Times New Roman"/>
          <w:sz w:val="20"/>
        </w:rPr>
        <w:sectPr>
          <w:pgSz w:w="11910" w:h="16840"/>
          <w:pgMar w:header="707" w:footer="1025" w:top="1740" w:bottom="1220" w:left="0" w:right="0"/>
        </w:sect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spacing w:before="5"/>
        <w:rPr>
          <w:rFonts w:ascii="Times New Roman"/>
          <w:b/>
          <w:sz w:val="25"/>
        </w:rPr>
      </w:pPr>
    </w:p>
    <w:p>
      <w:pPr>
        <w:pStyle w:val="BodyText"/>
        <w:spacing w:line="480" w:lineRule="auto" w:before="100"/>
        <w:ind w:left="1418" w:right="1413"/>
      </w:pPr>
      <w:r>
        <w:rPr/>
        <w:t>La Società ha precisato che l’eventuale rilascio totale o parziale dei fondi rischi concordatari, verrà interamente destinato in favore dei creditori chirografari.</w:t>
      </w:r>
    </w:p>
    <w:p>
      <w:pPr>
        <w:pStyle w:val="BodyText"/>
        <w:spacing w:line="480" w:lineRule="auto"/>
        <w:ind w:left="1418" w:right="1518"/>
      </w:pPr>
      <w:r>
        <w:rPr/>
        <w:t>Per una disamina più approfondita dei fondi rischi si rimanda al precedente par. 4.3 (Fondi Rischi).</w:t>
      </w:r>
    </w:p>
    <w:p>
      <w:pPr>
        <w:pStyle w:val="BodyText"/>
        <w:spacing w:line="480" w:lineRule="auto"/>
        <w:ind w:left="1418" w:right="1518"/>
      </w:pPr>
      <w:r>
        <w:rPr/>
        <w:t>In sintesi quindi è stato previsto lo sviluppo del piano concordatario secondo le tempistiche di esecuzione riportate nelle tabelle seguenti:</w:t>
      </w:r>
    </w:p>
    <w:p>
      <w:pPr>
        <w:pStyle w:val="BodyText"/>
        <w:ind w:left="2757"/>
        <w:rPr>
          <w:sz w:val="20"/>
        </w:rPr>
      </w:pPr>
      <w:r>
        <w:rPr>
          <w:sz w:val="20"/>
        </w:rPr>
        <w:drawing>
          <wp:inline distT="0" distB="0" distL="0" distR="0">
            <wp:extent cx="4034862" cy="2281618"/>
            <wp:effectExtent l="0" t="0" r="0" b="0"/>
            <wp:docPr id="9" name="image43.jpeg" descr=""/>
            <wp:cNvGraphicFramePr>
              <a:graphicFrameLocks noChangeAspect="1"/>
            </wp:cNvGraphicFramePr>
            <a:graphic>
              <a:graphicData uri="http://schemas.openxmlformats.org/drawingml/2006/picture">
                <pic:pic>
                  <pic:nvPicPr>
                    <pic:cNvPr id="10" name="image43.jpeg"/>
                    <pic:cNvPicPr/>
                  </pic:nvPicPr>
                  <pic:blipFill>
                    <a:blip r:embed="rId59" cstate="print"/>
                    <a:stretch>
                      <a:fillRect/>
                    </a:stretch>
                  </pic:blipFill>
                  <pic:spPr>
                    <a:xfrm>
                      <a:off x="0" y="0"/>
                      <a:ext cx="4034862" cy="2281618"/>
                    </a:xfrm>
                    <a:prstGeom prst="rect">
                      <a:avLst/>
                    </a:prstGeom>
                  </pic:spPr>
                </pic:pic>
              </a:graphicData>
            </a:graphic>
          </wp:inline>
        </w:drawing>
      </w:r>
      <w:r>
        <w:rPr>
          <w:sz w:val="20"/>
        </w:rPr>
      </w:r>
    </w:p>
    <w:p>
      <w:pPr>
        <w:pStyle w:val="BodyText"/>
        <w:rPr>
          <w:sz w:val="26"/>
        </w:rPr>
      </w:pPr>
    </w:p>
    <w:p>
      <w:pPr>
        <w:pStyle w:val="BodyText"/>
        <w:rPr>
          <w:sz w:val="26"/>
        </w:rPr>
      </w:pPr>
    </w:p>
    <w:p>
      <w:pPr>
        <w:pStyle w:val="BodyText"/>
        <w:spacing w:before="1"/>
        <w:rPr>
          <w:sz w:val="22"/>
        </w:rPr>
      </w:pPr>
    </w:p>
    <w:p>
      <w:pPr>
        <w:pStyle w:val="BodyText"/>
        <w:spacing w:line="480" w:lineRule="auto"/>
        <w:ind w:left="1418" w:right="1518"/>
      </w:pPr>
      <w:r>
        <w:rPr/>
        <w:t>La soddisfazione dei creditori secondo le percentuali assunte a piano si fonda su flussi di cassa a servizio del concordato rappresentati nel grafico che segue:</w:t>
      </w:r>
    </w:p>
    <w:p>
      <w:pPr>
        <w:spacing w:after="0" w:line="480" w:lineRule="auto"/>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17"/>
        </w:rPr>
      </w:pPr>
    </w:p>
    <w:p>
      <w:pPr>
        <w:tabs>
          <w:tab w:pos="5271" w:val="left" w:leader="none"/>
        </w:tabs>
        <w:spacing w:before="0"/>
        <w:ind w:left="1448" w:right="0" w:firstLine="0"/>
        <w:jc w:val="left"/>
        <w:rPr>
          <w:rFonts w:ascii="Calibri" w:hAnsi="Calibri"/>
          <w:b/>
          <w:sz w:val="13"/>
        </w:rPr>
      </w:pPr>
      <w:r>
        <w:rPr>
          <w:rFonts w:ascii="Calibri" w:hAnsi="Calibri"/>
          <w:w w:val="105"/>
          <w:sz w:val="13"/>
        </w:rPr>
        <w:t>k€</w:t>
        <w:tab/>
      </w:r>
      <w:r>
        <w:rPr>
          <w:rFonts w:ascii="Calibri" w:hAnsi="Calibri"/>
          <w:b/>
          <w:sz w:val="13"/>
        </w:rPr>
        <w:t>Altro</w:t>
      </w:r>
      <w:r>
        <w:rPr>
          <w:rFonts w:ascii="Calibri" w:hAnsi="Calibri"/>
          <w:b/>
          <w:spacing w:val="7"/>
          <w:sz w:val="13"/>
        </w:rPr>
        <w:t> </w:t>
      </w:r>
      <w:r>
        <w:rPr>
          <w:rFonts w:ascii="Calibri" w:hAnsi="Calibri"/>
          <w:b/>
          <w:sz w:val="13"/>
        </w:rPr>
        <w:t>attivo</w:t>
      </w:r>
    </w:p>
    <w:p>
      <w:pPr>
        <w:pStyle w:val="BodyText"/>
        <w:ind w:left="1545"/>
        <w:rPr>
          <w:rFonts w:ascii="Calibri"/>
          <w:sz w:val="20"/>
        </w:rPr>
      </w:pPr>
      <w:r>
        <w:rPr/>
        <w:pict>
          <v:group style="position:absolute;margin-left:260.971527pt;margin-top:.191594pt;width:65.6pt;height:20.150pt;mso-position-horizontal-relative:page;mso-position-vertical-relative:paragraph;z-index:-844432" coordorigin="5219,4" coordsize="1312,403">
            <v:line style="position:absolute" from="5242,26" to="5845,26" stroked="true" strokeweight="2.232117pt" strokecolor="#92d050">
              <v:stroke dashstyle="solid"/>
            </v:line>
            <v:shape style="position:absolute;left:5927;top:41;width:604;height:366" coordorigin="5927,41" coordsize="604,366" path="m6531,41l5927,41,5927,220,5927,228,5927,406,6531,406,6531,228,6531,220,6531,41e" filled="true" fillcolor="#c00000" stroked="false">
              <v:path arrowok="t"/>
              <v:fill type="solid"/>
            </v:shape>
            <v:shape style="position:absolute;left:5927;top:26;width:604;height:381" type="#_x0000_t202" filled="false" stroked="false">
              <v:textbox inset="0,0,0,0">
                <w:txbxContent>
                  <w:p>
                    <w:pPr>
                      <w:spacing w:line="240" w:lineRule="auto" w:before="0"/>
                      <w:rPr>
                        <w:sz w:val="12"/>
                      </w:rPr>
                    </w:pPr>
                  </w:p>
                  <w:p>
                    <w:pPr>
                      <w:spacing w:before="76"/>
                      <w:ind w:left="104" w:right="0" w:firstLine="0"/>
                      <w:jc w:val="left"/>
                      <w:rPr>
                        <w:rFonts w:ascii="Calibri"/>
                        <w:b/>
                        <w:sz w:val="13"/>
                      </w:rPr>
                    </w:pPr>
                    <w:r>
                      <w:rPr>
                        <w:rFonts w:ascii="Calibri"/>
                        <w:b/>
                        <w:color w:val="FFFFFF"/>
                        <w:w w:val="105"/>
                        <w:sz w:val="13"/>
                      </w:rPr>
                      <w:t>(2.499)</w:t>
                    </w:r>
                  </w:p>
                </w:txbxContent>
              </v:textbox>
              <w10:wrap type="none"/>
            </v:shape>
            <w10:wrap type="none"/>
          </v:group>
        </w:pict>
      </w:r>
      <w:r>
        <w:rPr/>
        <w:pict>
          <v:shape style="position:absolute;margin-left:363.448029pt;margin-top:46.799381pt;width:74.150pt;height:98.05pt;mso-position-horizontal-relative:page;mso-position-vertical-relative:paragraph;z-index:-844408" coordorigin="7269,936" coordsize="1483,1961" path="m7872,936l7269,936,7269,1197,7872,1197,7872,936m8752,1189l7924,1189,7924,1860,7924,1868,7924,2896,8752,2896,8752,1868,8752,1860,8752,1189e" filled="true" fillcolor="#c00000" stroked="false">
            <v:path arrowok="t"/>
            <v:fill type="solid"/>
            <w10:wrap type="none"/>
          </v:shape>
        </w:pict>
      </w:r>
      <w:r>
        <w:rPr>
          <w:rFonts w:ascii="Calibri"/>
          <w:sz w:val="20"/>
        </w:rPr>
        <w:pict>
          <v:group style="width:501.45pt;height:192.35pt;mso-position-horizontal-relative:char;mso-position-vertical-relative:line" coordorigin="0,0" coordsize="10029,3847">
            <v:rect style="position:absolute;left:1610;top:399;width:603;height:366" filled="true" fillcolor="#92d050" stroked="false">
              <v:fill type="solid"/>
            </v:rect>
            <v:rect style="position:absolute;left:954;top:757;width:604;height:187" filled="true" fillcolor="#92d050" stroked="false">
              <v:fill type="solid"/>
            </v:rect>
            <v:rect style="position:absolute;left:954;top:936;width:604;height:261" filled="true" fillcolor="#92d050" stroked="false">
              <v:fill type="solid"/>
            </v:rect>
            <v:rect style="position:absolute;left:954;top:1189;width:604;height:678" filled="true" fillcolor="#92d050" stroked="false">
              <v:fill type="solid"/>
            </v:rect>
            <v:rect style="position:absolute;left:75;top:1860;width:827;height:1036" filled="true" fillcolor="#92d050" stroked="false">
              <v:fill type="solid"/>
            </v:rect>
            <v:rect style="position:absolute;left:75;top:2889;width:827;height:365" filled="true" fillcolor="#92d050" stroked="false">
              <v:fill type="solid"/>
            </v:rect>
            <v:rect style="position:absolute;left:75;top:3247;width:827;height:186" filled="true" fillcolor="#92d050" stroked="false">
              <v:fill type="solid"/>
            </v:rect>
            <v:rect style="position:absolute;left:75;top:3425;width:827;height:171" filled="true" fillcolor="#92d050" stroked="false">
              <v:fill type="solid"/>
            </v:rect>
            <v:rect style="position:absolute;left:75;top:3589;width:827;height:254" filled="true" fillcolor="#92d050" stroked="false">
              <v:fill type="solid"/>
            </v:rect>
            <v:line style="position:absolute" from="4,8" to="4,3839" stroked="true" strokeweight=".37232pt" strokecolor="#000000">
              <v:stroke dashstyle="solid"/>
            </v:line>
            <v:line style="position:absolute" from="4,4" to="4,3843" stroked="true" strokeweight=".37232pt" strokecolor="#000000">
              <v:stroke dashstyle="solid"/>
            </v:line>
            <v:line style="position:absolute" from="11,3839" to="9945,3839" stroked="true" strokeweight=".37202pt" strokecolor="#000000">
              <v:stroke dashstyle="solid"/>
            </v:line>
            <v:line style="position:absolute" from="8,3839" to="9948,3839" stroked="true" strokeweight=".372026pt" strokecolor="#000000">
              <v:stroke dashstyle="solid"/>
            </v:line>
            <v:shape style="position:absolute;left:954;top:761;width:604;height:1107" type="#_x0000_t202" filled="false" stroked="false">
              <v:textbox inset="0,0,0,0">
                <w:txbxContent>
                  <w:p>
                    <w:pPr>
                      <w:spacing w:line="240" w:lineRule="auto" w:before="0"/>
                      <w:rPr>
                        <w:rFonts w:ascii="Calibri"/>
                        <w:b/>
                        <w:sz w:val="12"/>
                      </w:rPr>
                    </w:pPr>
                  </w:p>
                  <w:p>
                    <w:pPr>
                      <w:spacing w:line="240" w:lineRule="auto" w:before="11"/>
                      <w:rPr>
                        <w:rFonts w:ascii="Calibri"/>
                        <w:b/>
                        <w:sz w:val="9"/>
                      </w:rPr>
                    </w:pPr>
                  </w:p>
                  <w:p>
                    <w:pPr>
                      <w:spacing w:line="338" w:lineRule="auto" w:before="0"/>
                      <w:ind w:left="156" w:right="0" w:hanging="143"/>
                      <w:jc w:val="left"/>
                      <w:rPr>
                        <w:rFonts w:ascii="Calibri"/>
                        <w:b/>
                        <w:sz w:val="13"/>
                      </w:rPr>
                    </w:pPr>
                    <w:r>
                      <w:rPr>
                        <w:rFonts w:ascii="Calibri"/>
                        <w:b/>
                        <w:w w:val="105"/>
                        <w:sz w:val="13"/>
                      </w:rPr>
                      <w:t>arto Beta </w:t>
                    </w:r>
                    <w:r>
                      <w:rPr>
                        <w:rFonts w:ascii="Calibri"/>
                        <w:b/>
                        <w:color w:val="FFFFFF"/>
                        <w:w w:val="105"/>
                        <w:sz w:val="13"/>
                      </w:rPr>
                      <w:t>13.586</w:t>
                    </w:r>
                  </w:p>
                </w:txbxContent>
              </v:textbox>
              <w10:wrap type="none"/>
            </v:shape>
            <v:shape style="position:absolute;left:671;top:82;width:2234;height:492" type="#_x0000_t202" filled="false" stroked="false">
              <v:textbox inset="0,0,0,0">
                <w:txbxContent>
                  <w:p>
                    <w:pPr>
                      <w:spacing w:line="136" w:lineRule="exact" w:before="0"/>
                      <w:ind w:left="0" w:right="0" w:firstLine="543"/>
                      <w:jc w:val="left"/>
                      <w:rPr>
                        <w:rFonts w:ascii="Calibri"/>
                        <w:b/>
                        <w:sz w:val="13"/>
                      </w:rPr>
                    </w:pPr>
                    <w:r>
                      <w:rPr>
                        <w:rFonts w:ascii="Calibri"/>
                        <w:b/>
                        <w:w w:val="105"/>
                        <w:sz w:val="13"/>
                      </w:rPr>
                      <w:t>Cessione immobile Modugno</w:t>
                    </w:r>
                  </w:p>
                  <w:p>
                    <w:pPr>
                      <w:spacing w:before="20"/>
                      <w:ind w:left="0" w:right="0" w:firstLine="0"/>
                      <w:jc w:val="left"/>
                      <w:rPr>
                        <w:rFonts w:ascii="Calibri"/>
                        <w:b/>
                        <w:sz w:val="13"/>
                      </w:rPr>
                    </w:pPr>
                    <w:r>
                      <w:rPr>
                        <w:rFonts w:ascii="Calibri"/>
                        <w:b/>
                        <w:w w:val="105"/>
                        <w:sz w:val="13"/>
                      </w:rPr>
                      <w:t>Incasso crediti commerciali         </w:t>
                    </w:r>
                    <w:r>
                      <w:rPr>
                        <w:rFonts w:ascii="Calibri"/>
                        <w:b/>
                        <w:color w:val="FFFFFF"/>
                        <w:w w:val="105"/>
                        <w:sz w:val="13"/>
                        <w:shd w:fill="92D050" w:color="auto" w:val="clear"/>
                      </w:rPr>
                      <w:t>1.025</w:t>
                    </w:r>
                    <w:r>
                      <w:rPr>
                        <w:rFonts w:ascii="Calibri"/>
                        <w:b/>
                        <w:color w:val="FFFFFF"/>
                        <w:sz w:val="13"/>
                        <w:shd w:fill="92D050" w:color="auto" w:val="clear"/>
                      </w:rPr>
                      <w:t> </w:t>
                    </w:r>
                  </w:p>
                  <w:p>
                    <w:pPr>
                      <w:spacing w:line="157" w:lineRule="exact" w:before="20"/>
                      <w:ind w:left="1139" w:right="741" w:firstLine="0"/>
                      <w:jc w:val="center"/>
                      <w:rPr>
                        <w:rFonts w:ascii="Calibri"/>
                        <w:b/>
                        <w:sz w:val="13"/>
                      </w:rPr>
                    </w:pPr>
                    <w:r>
                      <w:rPr>
                        <w:rFonts w:ascii="Calibri"/>
                        <w:b/>
                        <w:color w:val="FFFFFF"/>
                        <w:w w:val="105"/>
                        <w:sz w:val="13"/>
                      </w:rPr>
                      <w:t>5.455</w:t>
                    </w:r>
                  </w:p>
                </w:txbxContent>
              </v:textbox>
              <w10:wrap type="none"/>
            </v:shape>
            <v:shape style="position:absolute;left:3011;top:82;width:624;height:135" type="#_x0000_t202" filled="false" stroked="false">
              <v:textbox inset="0,0,0,0">
                <w:txbxContent>
                  <w:p>
                    <w:pPr>
                      <w:spacing w:line="134" w:lineRule="exact" w:before="0"/>
                      <w:ind w:left="0" w:right="0" w:firstLine="0"/>
                      <w:jc w:val="left"/>
                      <w:rPr>
                        <w:rFonts w:ascii="Calibri"/>
                        <w:b/>
                        <w:sz w:val="13"/>
                      </w:rPr>
                    </w:pPr>
                    <w:r>
                      <w:rPr>
                        <w:rFonts w:ascii="Calibri"/>
                        <w:b/>
                        <w:color w:val="FFFFFF"/>
                        <w:w w:val="103"/>
                        <w:sz w:val="13"/>
                        <w:shd w:fill="92D050" w:color="auto" w:val="clear"/>
                      </w:rPr>
                      <w:t> </w:t>
                    </w:r>
                    <w:r>
                      <w:rPr>
                        <w:rFonts w:ascii="Calibri"/>
                        <w:b/>
                        <w:color w:val="FFFFFF"/>
                        <w:sz w:val="13"/>
                        <w:shd w:fill="92D050" w:color="auto" w:val="clear"/>
                      </w:rPr>
                      <w:t>     </w:t>
                    </w:r>
                    <w:r>
                      <w:rPr>
                        <w:rFonts w:ascii="Calibri"/>
                        <w:b/>
                        <w:color w:val="FFFFFF"/>
                        <w:w w:val="105"/>
                        <w:sz w:val="13"/>
                        <w:shd w:fill="92D050" w:color="auto" w:val="clear"/>
                      </w:rPr>
                      <w:t>1.229</w:t>
                    </w:r>
                    <w:r>
                      <w:rPr>
                        <w:rFonts w:ascii="Calibri"/>
                        <w:b/>
                        <w:color w:val="FFFFFF"/>
                        <w:sz w:val="13"/>
                        <w:shd w:fill="92D050" w:color="auto" w:val="clear"/>
                      </w:rPr>
                      <w:t> </w:t>
                    </w:r>
                  </w:p>
                </w:txbxContent>
              </v:textbox>
              <w10:wrap type="none"/>
            </v:shape>
            <v:shape style="position:absolute;left:4069;top:82;width:223;height:135" type="#_x0000_t202" filled="false" stroked="false">
              <v:textbox inset="0,0,0,0">
                <w:txbxContent>
                  <w:p>
                    <w:pPr>
                      <w:spacing w:line="134" w:lineRule="exact" w:before="0"/>
                      <w:ind w:left="0" w:right="0" w:firstLine="0"/>
                      <w:jc w:val="left"/>
                      <w:rPr>
                        <w:rFonts w:ascii="Calibri"/>
                        <w:b/>
                        <w:sz w:val="13"/>
                      </w:rPr>
                    </w:pPr>
                    <w:r>
                      <w:rPr>
                        <w:rFonts w:ascii="Calibri"/>
                        <w:b/>
                        <w:w w:val="105"/>
                        <w:sz w:val="13"/>
                      </w:rPr>
                      <w:t>183</w:t>
                    </w:r>
                  </w:p>
                </w:txbxContent>
              </v:textbox>
              <w10:wrap type="none"/>
            </v:shape>
            <v:shape style="position:absolute;left:3041;top:261;width:1930;height:491" type="#_x0000_t202" filled="false" stroked="false">
              <v:textbox inset="0,0,0,0">
                <w:txbxContent>
                  <w:p>
                    <w:pPr>
                      <w:spacing w:line="136" w:lineRule="exact" w:before="0"/>
                      <w:ind w:left="0" w:right="0" w:firstLine="0"/>
                      <w:jc w:val="left"/>
                      <w:rPr>
                        <w:rFonts w:ascii="Calibri" w:hAnsi="Calibri"/>
                        <w:b/>
                        <w:sz w:val="13"/>
                      </w:rPr>
                    </w:pPr>
                    <w:r>
                      <w:rPr>
                        <w:rFonts w:ascii="Calibri" w:hAnsi="Calibri"/>
                        <w:b/>
                        <w:sz w:val="13"/>
                      </w:rPr>
                      <w:t>Disponibilità liquide</w:t>
                    </w:r>
                  </w:p>
                  <w:p>
                    <w:pPr>
                      <w:tabs>
                        <w:tab w:pos="678" w:val="left" w:leader="none"/>
                      </w:tabs>
                      <w:spacing w:line="285" w:lineRule="auto" w:before="20"/>
                      <w:ind w:left="469" w:right="18" w:hanging="470"/>
                      <w:jc w:val="left"/>
                      <w:rPr>
                        <w:rFonts w:ascii="Calibri"/>
                        <w:b/>
                        <w:sz w:val="12"/>
                      </w:rPr>
                    </w:pPr>
                    <w:r>
                      <w:rPr>
                        <w:rFonts w:ascii="Calibri"/>
                        <w:b/>
                        <w:w w:val="105"/>
                        <w:sz w:val="13"/>
                      </w:rPr>
                      <w:t>e</w:t>
                    </w:r>
                    <w:r>
                      <w:rPr>
                        <w:rFonts w:ascii="Calibri"/>
                        <w:b/>
                        <w:spacing w:val="-7"/>
                        <w:w w:val="105"/>
                        <w:sz w:val="13"/>
                      </w:rPr>
                      <w:t> </w:t>
                    </w:r>
                    <w:r>
                      <w:rPr>
                        <w:rFonts w:ascii="Calibri"/>
                        <w:b/>
                        <w:w w:val="105"/>
                        <w:sz w:val="13"/>
                      </w:rPr>
                      <w:t>altro</w:t>
                      <w:tab/>
                      <w:tab/>
                    </w:r>
                    <w:r>
                      <w:rPr>
                        <w:rFonts w:ascii="Calibri"/>
                        <w:b/>
                        <w:w w:val="105"/>
                        <w:sz w:val="12"/>
                      </w:rPr>
                      <w:t>Debiti</w:t>
                    </w:r>
                    <w:r>
                      <w:rPr>
                        <w:rFonts w:ascii="Calibri"/>
                        <w:b/>
                        <w:spacing w:val="-2"/>
                        <w:w w:val="105"/>
                        <w:sz w:val="12"/>
                      </w:rPr>
                      <w:t> </w:t>
                    </w:r>
                    <w:r>
                      <w:rPr>
                        <w:rFonts w:ascii="Calibri"/>
                        <w:b/>
                        <w:w w:val="105"/>
                        <w:sz w:val="12"/>
                      </w:rPr>
                      <w:t>in</w:t>
                    </w:r>
                    <w:r>
                      <w:rPr>
                        <w:rFonts w:ascii="Calibri"/>
                        <w:b/>
                        <w:spacing w:val="-2"/>
                        <w:w w:val="105"/>
                        <w:sz w:val="12"/>
                      </w:rPr>
                      <w:t> </w:t>
                    </w:r>
                    <w:r>
                      <w:rPr>
                        <w:rFonts w:ascii="Calibri"/>
                        <w:b/>
                        <w:w w:val="105"/>
                        <w:sz w:val="12"/>
                      </w:rPr>
                      <w:t>prededuzione</w:t>
                    </w:r>
                    <w:r>
                      <w:rPr>
                        <w:rFonts w:ascii="Calibri"/>
                        <w:b/>
                        <w:w w:val="105"/>
                        <w:sz w:val="12"/>
                      </w:rPr>
                      <w:t> </w:t>
                    </w:r>
                    <w:r>
                      <w:rPr>
                        <w:rFonts w:ascii="Calibri"/>
                        <w:b/>
                        <w:w w:val="105"/>
                        <w:sz w:val="12"/>
                      </w:rPr>
                      <w:t>maturati fino al</w:t>
                    </w:r>
                    <w:r>
                      <w:rPr>
                        <w:rFonts w:ascii="Calibri"/>
                        <w:b/>
                        <w:spacing w:val="6"/>
                        <w:w w:val="105"/>
                        <w:sz w:val="12"/>
                      </w:rPr>
                      <w:t> </w:t>
                    </w:r>
                    <w:r>
                      <w:rPr>
                        <w:rFonts w:ascii="Calibri"/>
                        <w:b/>
                        <w:w w:val="105"/>
                        <w:sz w:val="12"/>
                      </w:rPr>
                      <w:t>31.12.2024</w:t>
                    </w:r>
                  </w:p>
                </w:txbxContent>
              </v:textbox>
              <w10:wrap type="none"/>
            </v:shape>
            <v:shape style="position:absolute;left:5082;top:261;width:1487;height:135" type="#_x0000_t202" filled="false" stroked="false">
              <v:textbox inset="0,0,0,0">
                <w:txbxContent>
                  <w:p>
                    <w:pPr>
                      <w:spacing w:line="134" w:lineRule="exact" w:before="0"/>
                      <w:ind w:left="0" w:right="0" w:firstLine="0"/>
                      <w:jc w:val="left"/>
                      <w:rPr>
                        <w:rFonts w:ascii="Calibri"/>
                        <w:b/>
                        <w:sz w:val="13"/>
                      </w:rPr>
                    </w:pPr>
                    <w:r>
                      <w:rPr>
                        <w:rFonts w:ascii="Calibri"/>
                        <w:b/>
                        <w:sz w:val="13"/>
                      </w:rPr>
                      <w:t>Costi della ristrutturazione</w:t>
                    </w:r>
                  </w:p>
                </w:txbxContent>
              </v:textbox>
              <w10:wrap type="none"/>
            </v:shape>
            <v:shape style="position:absolute;left:373;top:798;width:7235;height:388" type="#_x0000_t202" filled="false" stroked="false">
              <v:textbox inset="0,0,0,0">
                <w:txbxContent>
                  <w:p>
                    <w:pPr>
                      <w:spacing w:line="136" w:lineRule="exact" w:before="0"/>
                      <w:ind w:left="0" w:right="755" w:firstLine="0"/>
                      <w:jc w:val="right"/>
                      <w:rPr>
                        <w:rFonts w:ascii="Calibri"/>
                        <w:b/>
                        <w:sz w:val="13"/>
                      </w:rPr>
                    </w:pPr>
                    <w:r>
                      <w:rPr>
                        <w:rFonts w:ascii="Calibri"/>
                        <w:b/>
                        <w:sz w:val="13"/>
                      </w:rPr>
                      <w:t>Creditori Privilegiati</w:t>
                    </w:r>
                  </w:p>
                  <w:p>
                    <w:pPr>
                      <w:tabs>
                        <w:tab w:pos="5454" w:val="left" w:leader="none"/>
                      </w:tabs>
                      <w:spacing w:line="157" w:lineRule="exact" w:before="95"/>
                      <w:ind w:left="0" w:right="0" w:firstLine="0"/>
                      <w:jc w:val="left"/>
                      <w:rPr>
                        <w:rFonts w:ascii="Calibri"/>
                        <w:b/>
                        <w:sz w:val="13"/>
                      </w:rPr>
                    </w:pPr>
                    <w:r>
                      <w:rPr>
                        <w:rFonts w:ascii="Calibri"/>
                        <w:b/>
                        <w:w w:val="105"/>
                        <w:sz w:val="13"/>
                      </w:rPr>
                      <w:t>Incasso</w:t>
                    </w:r>
                    <w:r>
                      <w:rPr>
                        <w:rFonts w:ascii="Calibri"/>
                        <w:b/>
                        <w:spacing w:val="-1"/>
                        <w:w w:val="105"/>
                        <w:sz w:val="13"/>
                      </w:rPr>
                      <w:t> </w:t>
                    </w:r>
                    <w:r>
                      <w:rPr>
                        <w:rFonts w:ascii="Calibri"/>
                        <w:b/>
                        <w:spacing w:val="-3"/>
                        <w:w w:val="105"/>
                        <w:sz w:val="13"/>
                      </w:rPr>
                      <w:t>rip</w:t>
                      <w:tab/>
                    </w:r>
                    <w:r>
                      <w:rPr>
                        <w:rFonts w:ascii="Calibri"/>
                        <w:b/>
                        <w:color w:val="FFFFFF"/>
                        <w:w w:val="105"/>
                        <w:sz w:val="13"/>
                      </w:rPr>
                      <w:t>(2.264)     </w:t>
                    </w:r>
                    <w:r>
                      <w:rPr>
                        <w:rFonts w:ascii="Calibri"/>
                        <w:b/>
                        <w:w w:val="105"/>
                        <w:sz w:val="13"/>
                      </w:rPr>
                      <w:t>Creditori</w:t>
                    </w:r>
                    <w:r>
                      <w:rPr>
                        <w:rFonts w:ascii="Calibri"/>
                        <w:b/>
                        <w:spacing w:val="-7"/>
                        <w:w w:val="105"/>
                        <w:sz w:val="13"/>
                      </w:rPr>
                      <w:t> </w:t>
                    </w:r>
                    <w:r>
                      <w:rPr>
                        <w:rFonts w:ascii="Calibri"/>
                        <w:b/>
                        <w:w w:val="105"/>
                        <w:sz w:val="13"/>
                      </w:rPr>
                      <w:t>Chirografari</w:t>
                    </w:r>
                  </w:p>
                </w:txbxContent>
              </v:textbox>
              <w10:wrap type="none"/>
            </v:shape>
            <v:shape style="position:absolute;left:105;top:1856;width:1099;height:492" type="#_x0000_t202" filled="false" stroked="false">
              <v:textbox inset="0,0,0,0">
                <w:txbxContent>
                  <w:p>
                    <w:pPr>
                      <w:spacing w:line="136" w:lineRule="exact" w:before="0"/>
                      <w:ind w:left="0" w:right="0" w:firstLine="0"/>
                      <w:jc w:val="left"/>
                      <w:rPr>
                        <w:rFonts w:ascii="Calibri"/>
                        <w:sz w:val="13"/>
                      </w:rPr>
                    </w:pPr>
                    <w:r>
                      <w:rPr>
                        <w:rFonts w:ascii="Calibri"/>
                        <w:w w:val="105"/>
                        <w:sz w:val="13"/>
                      </w:rPr>
                      <w:t>Incasso quota parte</w:t>
                    </w:r>
                  </w:p>
                  <w:p>
                    <w:pPr>
                      <w:spacing w:line="271" w:lineRule="auto" w:before="20"/>
                      <w:ind w:left="0" w:right="13" w:firstLine="0"/>
                      <w:jc w:val="left"/>
                      <w:rPr>
                        <w:rFonts w:ascii="Calibri"/>
                        <w:sz w:val="13"/>
                      </w:rPr>
                    </w:pPr>
                    <w:r>
                      <w:rPr>
                        <w:rFonts w:ascii="Calibri"/>
                        <w:w w:val="105"/>
                        <w:sz w:val="13"/>
                      </w:rPr>
                      <w:t>corrispettivo Offerta Versalis</w:t>
                    </w:r>
                  </w:p>
                </w:txbxContent>
              </v:textbox>
              <w10:wrap type="none"/>
            </v:shape>
            <v:shape style="position:absolute;left:6558;top:2393;width:479;height:135" type="#_x0000_t202" filled="false" stroked="false">
              <v:textbox inset="0,0,0,0">
                <w:txbxContent>
                  <w:p>
                    <w:pPr>
                      <w:spacing w:line="134" w:lineRule="exact" w:before="0"/>
                      <w:ind w:left="0" w:right="0" w:firstLine="0"/>
                      <w:jc w:val="left"/>
                      <w:rPr>
                        <w:rFonts w:ascii="Calibri"/>
                        <w:b/>
                        <w:sz w:val="13"/>
                      </w:rPr>
                    </w:pPr>
                    <w:r>
                      <w:rPr>
                        <w:rFonts w:ascii="Calibri"/>
                        <w:b/>
                        <w:color w:val="FFFFFF"/>
                        <w:w w:val="105"/>
                        <w:sz w:val="13"/>
                      </w:rPr>
                      <w:t>(29.379)</w:t>
                    </w:r>
                  </w:p>
                </w:txbxContent>
              </v:textbox>
              <w10:wrap type="none"/>
            </v:shape>
            <v:shape style="position:absolute;left:455;top:2930;width:394;height:135" type="#_x0000_t202" filled="false" stroked="false">
              <v:textbox inset="0,0,0,0">
                <w:txbxContent>
                  <w:p>
                    <w:pPr>
                      <w:spacing w:line="134" w:lineRule="exact" w:before="0"/>
                      <w:ind w:left="0" w:right="0" w:firstLine="0"/>
                      <w:jc w:val="left"/>
                      <w:rPr>
                        <w:rFonts w:ascii="Calibri"/>
                        <w:b/>
                        <w:sz w:val="13"/>
                      </w:rPr>
                    </w:pPr>
                    <w:r>
                      <w:rPr>
                        <w:rFonts w:ascii="Calibri"/>
                        <w:b/>
                        <w:color w:val="FFFFFF"/>
                        <w:w w:val="105"/>
                        <w:sz w:val="13"/>
                      </w:rPr>
                      <w:t>28.786</w:t>
                    </w:r>
                  </w:p>
                </w:txbxContent>
              </v:textbox>
              <w10:wrap type="none"/>
            </v:shape>
            <v:shape style="position:absolute;left:5321;top:3109;width:4708;height:723" type="#_x0000_t202" filled="false" stroked="false">
              <v:textbox inset="0,0,0,0">
                <w:txbxContent>
                  <w:p>
                    <w:pPr>
                      <w:spacing w:line="136" w:lineRule="exact" w:before="0"/>
                      <w:ind w:left="2682" w:right="0" w:firstLine="0"/>
                      <w:jc w:val="left"/>
                      <w:rPr>
                        <w:rFonts w:ascii="Calibri"/>
                        <w:sz w:val="13"/>
                      </w:rPr>
                    </w:pPr>
                    <w:r>
                      <w:rPr>
                        <w:rFonts w:ascii="Calibri"/>
                        <w:sz w:val="13"/>
                      </w:rPr>
                      <w:t>Fondi rischi in prededuzione</w:t>
                    </w:r>
                  </w:p>
                  <w:p>
                    <w:pPr>
                      <w:tabs>
                        <w:tab w:pos="4053" w:val="left" w:leader="none"/>
                      </w:tabs>
                      <w:spacing w:before="20"/>
                      <w:ind w:left="0" w:right="0" w:firstLine="0"/>
                      <w:jc w:val="left"/>
                      <w:rPr>
                        <w:rFonts w:ascii="Calibri"/>
                        <w:sz w:val="13"/>
                      </w:rPr>
                    </w:pPr>
                    <w:r>
                      <w:rPr>
                        <w:rFonts w:ascii="Calibri"/>
                        <w:b/>
                        <w:w w:val="105"/>
                        <w:sz w:val="13"/>
                      </w:rPr>
                      <w:t>Creditore Chirografario Postergato</w:t>
                    </w:r>
                    <w:r>
                      <w:rPr>
                        <w:rFonts w:ascii="Calibri"/>
                        <w:b/>
                        <w:spacing w:val="-18"/>
                        <w:w w:val="105"/>
                        <w:sz w:val="13"/>
                      </w:rPr>
                      <w:t> </w:t>
                    </w:r>
                    <w:r>
                      <w:rPr>
                        <w:rFonts w:ascii="Calibri"/>
                        <w:b/>
                        <w:w w:val="105"/>
                        <w:sz w:val="13"/>
                      </w:rPr>
                      <w:t>volontario    </w:t>
                    </w:r>
                    <w:r>
                      <w:rPr>
                        <w:rFonts w:ascii="Calibri"/>
                        <w:b/>
                        <w:spacing w:val="28"/>
                        <w:w w:val="105"/>
                        <w:sz w:val="13"/>
                      </w:rPr>
                      <w:t> </w:t>
                    </w:r>
                    <w:r>
                      <w:rPr>
                        <w:rFonts w:ascii="Calibri"/>
                        <w:b/>
                        <w:color w:val="FFFFFF"/>
                        <w:w w:val="105"/>
                        <w:sz w:val="13"/>
                        <w:shd w:fill="C00000" w:color="auto" w:val="clear"/>
                      </w:rPr>
                      <w:t>(1.591)</w:t>
                    </w:r>
                    <w:r>
                      <w:rPr>
                        <w:rFonts w:ascii="Calibri"/>
                        <w:b/>
                        <w:color w:val="FFFFFF"/>
                        <w:w w:val="105"/>
                        <w:sz w:val="13"/>
                      </w:rPr>
                      <w:tab/>
                    </w:r>
                    <w:r>
                      <w:rPr>
                        <w:rFonts w:ascii="Calibri"/>
                        <w:sz w:val="13"/>
                      </w:rPr>
                      <w:t>Fondi</w:t>
                    </w:r>
                    <w:r>
                      <w:rPr>
                        <w:rFonts w:ascii="Calibri"/>
                        <w:spacing w:val="3"/>
                        <w:sz w:val="13"/>
                      </w:rPr>
                      <w:t> </w:t>
                    </w:r>
                    <w:r>
                      <w:rPr>
                        <w:rFonts w:ascii="Calibri"/>
                        <w:sz w:val="13"/>
                      </w:rPr>
                      <w:t>rischi</w:t>
                    </w:r>
                  </w:p>
                  <w:p>
                    <w:pPr>
                      <w:spacing w:before="5"/>
                      <w:ind w:left="3338" w:right="0" w:firstLine="0"/>
                      <w:jc w:val="left"/>
                      <w:rPr>
                        <w:rFonts w:ascii="Calibri"/>
                        <w:sz w:val="13"/>
                      </w:rPr>
                    </w:pPr>
                    <w:r>
                      <w:rPr>
                        <w:rFonts w:ascii="Calibri"/>
                        <w:b/>
                        <w:color w:val="FFFFFF"/>
                        <w:w w:val="103"/>
                        <w:sz w:val="13"/>
                        <w:shd w:fill="C00000" w:color="auto" w:val="clear"/>
                      </w:rPr>
                      <w:t> </w:t>
                    </w:r>
                    <w:r>
                      <w:rPr>
                        <w:rFonts w:ascii="Calibri"/>
                        <w:b/>
                        <w:color w:val="FFFFFF"/>
                        <w:sz w:val="13"/>
                        <w:shd w:fill="C00000" w:color="auto" w:val="clear"/>
                      </w:rPr>
                      <w:t>   </w:t>
                    </w:r>
                    <w:r>
                      <w:rPr>
                        <w:rFonts w:ascii="Calibri"/>
                        <w:b/>
                        <w:color w:val="FFFFFF"/>
                        <w:w w:val="105"/>
                        <w:sz w:val="13"/>
                        <w:shd w:fill="C00000" w:color="auto" w:val="clear"/>
                      </w:rPr>
                      <w:t>(1.365)      </w:t>
                    </w:r>
                    <w:r>
                      <w:rPr>
                        <w:rFonts w:ascii="Calibri"/>
                        <w:w w:val="105"/>
                        <w:sz w:val="13"/>
                      </w:rPr>
                      <w:t>chirografari</w:t>
                    </w:r>
                  </w:p>
                  <w:p>
                    <w:pPr>
                      <w:spacing w:line="157" w:lineRule="exact" w:before="87"/>
                      <w:ind w:left="2712" w:right="0" w:firstLine="0"/>
                      <w:jc w:val="left"/>
                      <w:rPr>
                        <w:rFonts w:ascii="Calibri"/>
                        <w:sz w:val="13"/>
                      </w:rPr>
                    </w:pPr>
                    <w:r>
                      <w:rPr>
                        <w:rFonts w:ascii="Calibri"/>
                        <w:sz w:val="13"/>
                      </w:rPr>
                      <w:t>Fondi rischi privilegiati</w:t>
                    </w:r>
                  </w:p>
                </w:txbxContent>
              </v:textbox>
              <w10:wrap type="none"/>
            </v:shape>
            <v:shape style="position:absolute;left:5053;top:399;width:604;height:545" type="#_x0000_t202" filled="true" fillcolor="#c00000" stroked="false">
              <v:textbox inset="0,0,0,0">
                <w:txbxContent>
                  <w:p>
                    <w:pPr>
                      <w:spacing w:line="240" w:lineRule="auto" w:before="0"/>
                      <w:rPr>
                        <w:rFonts w:ascii="Calibri"/>
                        <w:b/>
                        <w:sz w:val="12"/>
                      </w:rPr>
                    </w:pPr>
                  </w:p>
                  <w:p>
                    <w:pPr>
                      <w:spacing w:line="240" w:lineRule="auto" w:before="0"/>
                      <w:rPr>
                        <w:rFonts w:ascii="Calibri"/>
                        <w:b/>
                        <w:sz w:val="12"/>
                      </w:rPr>
                    </w:pPr>
                  </w:p>
                  <w:p>
                    <w:pPr>
                      <w:spacing w:before="82"/>
                      <w:ind w:left="104" w:right="0" w:firstLine="0"/>
                      <w:jc w:val="left"/>
                      <w:rPr>
                        <w:rFonts w:ascii="Calibri"/>
                        <w:b/>
                        <w:sz w:val="13"/>
                      </w:rPr>
                    </w:pPr>
                    <w:r>
                      <w:rPr>
                        <w:rFonts w:ascii="Calibri"/>
                        <w:b/>
                        <w:color w:val="FFFFFF"/>
                        <w:w w:val="105"/>
                        <w:sz w:val="13"/>
                      </w:rPr>
                      <w:t>(7.648)</w:t>
                    </w:r>
                  </w:p>
                </w:txbxContent>
              </v:textbox>
              <v:fill type="solid"/>
              <w10:wrap type="none"/>
            </v:shape>
            <v:shape style="position:absolute;left:7288;top:2889;width:604;height:366" type="#_x0000_t202" filled="true" fillcolor="#c00000" stroked="false">
              <v:textbox inset="0,0,0,0">
                <w:txbxContent>
                  <w:p>
                    <w:pPr>
                      <w:spacing w:before="18"/>
                      <w:ind w:left="104" w:right="0" w:firstLine="0"/>
                      <w:jc w:val="left"/>
                      <w:rPr>
                        <w:rFonts w:ascii="Calibri"/>
                        <w:b/>
                        <w:sz w:val="13"/>
                      </w:rPr>
                    </w:pPr>
                    <w:r>
                      <w:rPr>
                        <w:rFonts w:ascii="Calibri"/>
                        <w:b/>
                        <w:color w:val="FFFFFF"/>
                        <w:w w:val="105"/>
                        <w:sz w:val="13"/>
                      </w:rPr>
                      <w:t>(3.584)</w:t>
                    </w:r>
                  </w:p>
                </w:txbxContent>
              </v:textbox>
              <v:fill type="solid"/>
              <w10:wrap type="none"/>
            </v:shape>
            <v:shape style="position:absolute;left:9345;top:3589;width:604;height:254" type="#_x0000_t202" filled="true" fillcolor="#c00000" stroked="false">
              <v:textbox inset="0,0,0,0">
                <w:txbxContent>
                  <w:p>
                    <w:pPr>
                      <w:spacing w:before="85"/>
                      <w:ind w:left="104" w:right="0" w:firstLine="0"/>
                      <w:jc w:val="left"/>
                      <w:rPr>
                        <w:rFonts w:ascii="Calibri"/>
                        <w:b/>
                        <w:sz w:val="13"/>
                      </w:rPr>
                    </w:pPr>
                    <w:r>
                      <w:rPr>
                        <w:rFonts w:ascii="Calibri"/>
                        <w:b/>
                        <w:color w:val="FFFFFF"/>
                        <w:w w:val="105"/>
                        <w:sz w:val="13"/>
                      </w:rPr>
                      <w:t>(1.931)</w:t>
                    </w:r>
                  </w:p>
                </w:txbxContent>
              </v:textbox>
              <v:fill type="solid"/>
              <w10:wrap type="none"/>
            </v:shape>
          </v:group>
        </w:pict>
      </w:r>
      <w:r>
        <w:rPr>
          <w:rFonts w:ascii="Calibri"/>
          <w:sz w:val="20"/>
        </w:rPr>
      </w: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spacing w:before="4"/>
        <w:rPr>
          <w:rFonts w:ascii="Calibri"/>
          <w:b/>
          <w:sz w:val="21"/>
        </w:rPr>
      </w:pPr>
    </w:p>
    <w:p>
      <w:pPr>
        <w:pStyle w:val="Heading2"/>
        <w:numPr>
          <w:ilvl w:val="1"/>
          <w:numId w:val="95"/>
        </w:numPr>
        <w:tabs>
          <w:tab w:pos="2126" w:val="left" w:leader="none"/>
          <w:tab w:pos="2127" w:val="left" w:leader="none"/>
          <w:tab w:pos="2447" w:val="left" w:leader="none"/>
          <w:tab w:pos="3524" w:val="left" w:leader="none"/>
          <w:tab w:pos="4033" w:val="left" w:leader="none"/>
          <w:tab w:pos="5760" w:val="left" w:leader="none"/>
          <w:tab w:pos="6496" w:val="left" w:leader="none"/>
          <w:tab w:pos="7511" w:val="left" w:leader="none"/>
          <w:tab w:pos="8094" w:val="left" w:leader="none"/>
          <w:tab w:pos="8415" w:val="left" w:leader="none"/>
          <w:tab w:pos="9715" w:val="left" w:leader="none"/>
        </w:tabs>
        <w:spacing w:line="480" w:lineRule="auto" w:before="0" w:after="0"/>
        <w:ind w:left="2126" w:right="1420" w:hanging="708"/>
        <w:jc w:val="left"/>
      </w:pPr>
      <w:bookmarkStart w:name="_bookmark36" w:id="71"/>
      <w:bookmarkEnd w:id="71"/>
      <w:r>
        <w:rPr>
          <w:b w:val="0"/>
        </w:rPr>
      </w:r>
      <w:bookmarkStart w:name="_bookmark36" w:id="72"/>
      <w:bookmarkEnd w:id="72"/>
      <w:r>
        <w:rPr/>
        <w:t>I</w:t>
      </w:r>
      <w:r>
        <w:rPr/>
        <w:tab/>
        <w:t>RISCHI</w:t>
        <w:tab/>
        <w:t>DI</w:t>
        <w:tab/>
        <w:t>EXECUTION</w:t>
        <w:tab/>
        <w:t>DEL</w:t>
        <w:tab/>
        <w:t>PIANO</w:t>
        <w:tab/>
        <w:t>ED</w:t>
        <w:tab/>
        <w:t>I</w:t>
        <w:tab/>
        <w:t>RIFLESSI</w:t>
        <w:tab/>
        <w:t>SULLA FATTIBILITA’</w:t>
      </w:r>
    </w:p>
    <w:p>
      <w:pPr>
        <w:pStyle w:val="BodyText"/>
        <w:spacing w:line="480" w:lineRule="auto"/>
        <w:ind w:left="1418" w:right="1411"/>
        <w:jc w:val="both"/>
      </w:pPr>
      <w:r>
        <w:rPr/>
        <w:t>Il giudizio di fattibilità assume contorni particolarmente incisivi nella situazione di cui all’art. 160, quarto comma, l.f. (laddove è prevista una “soglia” minima di soddisfacimento per i creditori chirografari nel concordato liquidatorio).</w:t>
      </w:r>
    </w:p>
    <w:p>
      <w:pPr>
        <w:pStyle w:val="BodyText"/>
        <w:spacing w:line="480" w:lineRule="auto"/>
        <w:ind w:left="1418" w:right="1414"/>
        <w:jc w:val="both"/>
      </w:pPr>
      <w:r>
        <w:rPr/>
        <w:t>In tali fattispecie, l’attività dell’attestatore è per così dire “gravata” dalla necessità di accentuare la verifica delle condizioni di fattibilità del piano (sottoponendolo a severi test di resistenza), in quanto dalla prospettazione contenuta nella proposta sul raggiungimento o meno delle soglie discendono i rilevanti effetti prescritti dalle norme in esame.</w:t>
      </w:r>
    </w:p>
    <w:p>
      <w:pPr>
        <w:pStyle w:val="BodyText"/>
        <w:spacing w:line="480" w:lineRule="auto"/>
        <w:ind w:left="1418" w:right="1412"/>
        <w:jc w:val="both"/>
      </w:pPr>
      <w:r>
        <w:rPr/>
        <w:t>La </w:t>
      </w:r>
      <w:r>
        <w:rPr>
          <w:i/>
        </w:rPr>
        <w:t>sensitivity analysis</w:t>
      </w:r>
      <w:r>
        <w:rPr/>
        <w:t>, descritti nel prosieguo del paragrafo, tengono conto e muovono dai fattori di rischio che li scriventi ritengono di considerare.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6"/>
        </w:rPr>
      </w:pPr>
    </w:p>
    <w:p>
      <w:pPr>
        <w:spacing w:line="472" w:lineRule="auto" w:before="102"/>
        <w:ind w:left="1418" w:right="1518" w:firstLine="0"/>
        <w:jc w:val="left"/>
        <w:rPr>
          <w:sz w:val="24"/>
        </w:rPr>
      </w:pPr>
      <w:r>
        <w:rPr>
          <w:b/>
          <w:i/>
          <w:sz w:val="25"/>
        </w:rPr>
        <w:t>I rischi ai quali è maggiormente esposta l’impresa e le conseguenti variabili di piano </w:t>
      </w:r>
      <w:r>
        <w:rPr>
          <w:sz w:val="24"/>
        </w:rPr>
        <w:t>Dalle verifiche condotte è emerso che i fattori di rischio ai quali è maggiormente  esposta l’impresa risultano i seguenti:</w:t>
      </w:r>
    </w:p>
    <w:p>
      <w:pPr>
        <w:pStyle w:val="ListParagraph"/>
        <w:numPr>
          <w:ilvl w:val="0"/>
          <w:numId w:val="104"/>
        </w:numPr>
        <w:tabs>
          <w:tab w:pos="2127" w:val="left" w:leader="none"/>
        </w:tabs>
        <w:spacing w:line="480" w:lineRule="auto" w:before="7" w:after="0"/>
        <w:ind w:left="2138" w:right="1419" w:hanging="360"/>
        <w:jc w:val="both"/>
        <w:rPr>
          <w:sz w:val="24"/>
        </w:rPr>
      </w:pPr>
      <w:r>
        <w:rPr>
          <w:sz w:val="24"/>
        </w:rPr>
        <w:t>Rischi legati al sostenimento di maggiori costi operativi ovvero al realizzo di minori  incassi fino alla data di cessione del ramo</w:t>
      </w:r>
      <w:r>
        <w:rPr>
          <w:spacing w:val="-13"/>
          <w:sz w:val="24"/>
        </w:rPr>
        <w:t> </w:t>
      </w:r>
      <w:r>
        <w:rPr>
          <w:sz w:val="24"/>
        </w:rPr>
        <w:t>d’azienda;</w:t>
      </w:r>
    </w:p>
    <w:p>
      <w:pPr>
        <w:pStyle w:val="ListParagraph"/>
        <w:numPr>
          <w:ilvl w:val="0"/>
          <w:numId w:val="104"/>
        </w:numPr>
        <w:tabs>
          <w:tab w:pos="2127" w:val="left" w:leader="none"/>
        </w:tabs>
        <w:spacing w:line="240" w:lineRule="auto" w:before="0" w:after="0"/>
        <w:ind w:left="2126" w:right="0" w:hanging="348"/>
        <w:jc w:val="left"/>
        <w:rPr>
          <w:sz w:val="24"/>
        </w:rPr>
      </w:pPr>
      <w:r>
        <w:rPr>
          <w:sz w:val="24"/>
        </w:rPr>
        <w:t>Rischi legati a minor realizzo dei crediti</w:t>
      </w:r>
      <w:r>
        <w:rPr>
          <w:spacing w:val="-17"/>
          <w:sz w:val="24"/>
        </w:rPr>
        <w:t> </w:t>
      </w:r>
      <w:r>
        <w:rPr>
          <w:sz w:val="24"/>
        </w:rPr>
        <w:t>commerciali;</w:t>
      </w:r>
    </w:p>
    <w:p>
      <w:pPr>
        <w:pStyle w:val="BodyText"/>
        <w:spacing w:before="11"/>
        <w:rPr>
          <w:sz w:val="23"/>
        </w:rPr>
      </w:pPr>
    </w:p>
    <w:p>
      <w:pPr>
        <w:pStyle w:val="ListParagraph"/>
        <w:numPr>
          <w:ilvl w:val="0"/>
          <w:numId w:val="104"/>
        </w:numPr>
        <w:tabs>
          <w:tab w:pos="2127" w:val="left" w:leader="none"/>
        </w:tabs>
        <w:spacing w:line="480" w:lineRule="auto" w:before="0" w:after="0"/>
        <w:ind w:left="2138" w:right="1416" w:hanging="360"/>
        <w:jc w:val="both"/>
        <w:rPr>
          <w:sz w:val="24"/>
        </w:rPr>
      </w:pPr>
      <w:r>
        <w:rPr>
          <w:sz w:val="24"/>
        </w:rPr>
        <w:t>Rischi legati ad un minor incasso delle partite creditorie nei confronti di Beta Renewables alla luce di quanto specificato</w:t>
      </w:r>
      <w:r>
        <w:rPr>
          <w:spacing w:val="-13"/>
          <w:sz w:val="24"/>
        </w:rPr>
        <w:t> </w:t>
      </w:r>
      <w:r>
        <w:rPr>
          <w:sz w:val="24"/>
        </w:rPr>
        <w:t>infra;</w:t>
      </w:r>
    </w:p>
    <w:p>
      <w:pPr>
        <w:pStyle w:val="ListParagraph"/>
        <w:numPr>
          <w:ilvl w:val="0"/>
          <w:numId w:val="104"/>
        </w:numPr>
        <w:tabs>
          <w:tab w:pos="2187" w:val="left" w:leader="none"/>
        </w:tabs>
        <w:spacing w:line="480" w:lineRule="auto" w:before="0" w:after="0"/>
        <w:ind w:left="2138" w:right="1410" w:hanging="360"/>
        <w:jc w:val="both"/>
        <w:rPr>
          <w:sz w:val="24"/>
        </w:rPr>
      </w:pPr>
      <w:r>
        <w:rPr>
          <w:sz w:val="24"/>
        </w:rPr>
        <w:t>Rischi legati al sostenimento di passività potenziali derivanti dall’incasso dei contributi erogati dalla Comunità europea. Sulla base delle informazioni ad oggi pervenute e alla luce di quanto specificato dai legali della società, come meglio descritto nel precedente paragrafo 4.3. (Altri Debiti), gli scriventi non ritengono di configurare tale rischio come probabile e quindi di non rifletterlo nelle prove di</w:t>
      </w:r>
      <w:r>
        <w:rPr>
          <w:spacing w:val="-28"/>
          <w:sz w:val="24"/>
        </w:rPr>
        <w:t> </w:t>
      </w:r>
      <w:r>
        <w:rPr>
          <w:sz w:val="24"/>
        </w:rPr>
        <w:t>resistenza;</w:t>
      </w:r>
    </w:p>
    <w:p>
      <w:pPr>
        <w:pStyle w:val="ListParagraph"/>
        <w:numPr>
          <w:ilvl w:val="0"/>
          <w:numId w:val="104"/>
        </w:numPr>
        <w:tabs>
          <w:tab w:pos="2127" w:val="left" w:leader="none"/>
        </w:tabs>
        <w:spacing w:line="480" w:lineRule="auto" w:before="0" w:after="0"/>
        <w:ind w:left="2138" w:right="1410" w:hanging="360"/>
        <w:jc w:val="both"/>
        <w:rPr>
          <w:sz w:val="24"/>
        </w:rPr>
      </w:pPr>
      <w:r>
        <w:rPr>
          <w:sz w:val="24"/>
        </w:rPr>
        <w:t>Rischi legati ai contratti in essere. Alla luce di quanto specificato dai legali della Società e sulla base delle informazioni ad oggi pervenute, come meglio descritto nel precedente paragrafo 4.3., gli scriventi ritengono che tali rischi siano correttamente riflessi nei fondi rischi appostati nel piano</w:t>
      </w:r>
      <w:r>
        <w:rPr>
          <w:spacing w:val="-22"/>
          <w:sz w:val="24"/>
        </w:rPr>
        <w:t> </w:t>
      </w:r>
      <w:r>
        <w:rPr>
          <w:sz w:val="24"/>
        </w:rPr>
        <w:t>concordatario;</w:t>
      </w:r>
    </w:p>
    <w:p>
      <w:pPr>
        <w:pStyle w:val="ListParagraph"/>
        <w:numPr>
          <w:ilvl w:val="0"/>
          <w:numId w:val="104"/>
        </w:numPr>
        <w:tabs>
          <w:tab w:pos="2127" w:val="left" w:leader="none"/>
        </w:tabs>
        <w:spacing w:line="480" w:lineRule="auto" w:before="0" w:after="0"/>
        <w:ind w:left="2138" w:right="1411" w:hanging="360"/>
        <w:jc w:val="both"/>
        <w:rPr>
          <w:sz w:val="24"/>
        </w:rPr>
      </w:pPr>
      <w:r>
        <w:rPr>
          <w:sz w:val="24"/>
        </w:rPr>
        <w:t>Rischio legato al contenzioso con Graal Bio. Tale rischio si ritiene remoto alla luce del proponendo accordo</w:t>
      </w:r>
      <w:r>
        <w:rPr>
          <w:spacing w:val="-17"/>
          <w:sz w:val="24"/>
        </w:rPr>
        <w:t> </w:t>
      </w:r>
      <w:r>
        <w:rPr>
          <w:sz w:val="24"/>
        </w:rPr>
        <w:t>transattivo;</w:t>
      </w:r>
    </w:p>
    <w:p>
      <w:pPr>
        <w:pStyle w:val="ListParagraph"/>
        <w:numPr>
          <w:ilvl w:val="0"/>
          <w:numId w:val="104"/>
        </w:numPr>
        <w:tabs>
          <w:tab w:pos="2127" w:val="left" w:leader="none"/>
        </w:tabs>
        <w:spacing w:line="240" w:lineRule="auto" w:before="0" w:after="0"/>
        <w:ind w:left="2126" w:right="0" w:hanging="348"/>
        <w:jc w:val="left"/>
        <w:rPr>
          <w:sz w:val="24"/>
        </w:rPr>
      </w:pPr>
      <w:r>
        <w:rPr>
          <w:sz w:val="24"/>
        </w:rPr>
        <w:t>Rischi legati al contenzioso Andritz come specificato</w:t>
      </w:r>
      <w:r>
        <w:rPr>
          <w:spacing w:val="-22"/>
          <w:sz w:val="24"/>
        </w:rPr>
        <w:t> </w:t>
      </w:r>
      <w:r>
        <w:rPr>
          <w:sz w:val="24"/>
        </w:rPr>
        <w:t>infra;</w:t>
      </w:r>
    </w:p>
    <w:p>
      <w:pPr>
        <w:pStyle w:val="BodyText"/>
        <w:spacing w:before="11"/>
        <w:rPr>
          <w:sz w:val="23"/>
        </w:rPr>
      </w:pPr>
    </w:p>
    <w:p>
      <w:pPr>
        <w:pStyle w:val="ListParagraph"/>
        <w:numPr>
          <w:ilvl w:val="0"/>
          <w:numId w:val="104"/>
        </w:numPr>
        <w:tabs>
          <w:tab w:pos="2127" w:val="left" w:leader="none"/>
        </w:tabs>
        <w:spacing w:line="240" w:lineRule="auto" w:before="0" w:after="0"/>
        <w:ind w:left="2126" w:right="0" w:hanging="348"/>
        <w:jc w:val="left"/>
        <w:rPr>
          <w:sz w:val="24"/>
        </w:rPr>
      </w:pPr>
      <w:r>
        <w:rPr>
          <w:sz w:val="24"/>
        </w:rPr>
        <w:t>Rischi legati ad un minor realizzo legato alla cessione dell’immobile di</w:t>
      </w:r>
      <w:r>
        <w:rPr>
          <w:spacing w:val="-13"/>
          <w:sz w:val="24"/>
        </w:rPr>
        <w:t> </w:t>
      </w:r>
      <w:r>
        <w:rPr>
          <w:sz w:val="24"/>
        </w:rPr>
        <w:t>Modugno;</w:t>
      </w:r>
    </w:p>
    <w:p>
      <w:pPr>
        <w:spacing w:after="0" w:line="240" w:lineRule="auto"/>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6"/>
        </w:rPr>
      </w:pPr>
    </w:p>
    <w:p>
      <w:pPr>
        <w:spacing w:before="102"/>
        <w:ind w:left="1418" w:right="0" w:firstLine="0"/>
        <w:jc w:val="both"/>
        <w:rPr>
          <w:b/>
          <w:i/>
          <w:sz w:val="25"/>
        </w:rPr>
      </w:pPr>
      <w:r>
        <w:rPr>
          <w:b/>
          <w:i/>
          <w:w w:val="95"/>
          <w:sz w:val="25"/>
        </w:rPr>
        <w:t>Sensitivity analysis</w:t>
      </w:r>
    </w:p>
    <w:p>
      <w:pPr>
        <w:pStyle w:val="BodyText"/>
        <w:spacing w:before="7"/>
        <w:rPr>
          <w:b/>
          <w:i/>
          <w:sz w:val="23"/>
        </w:rPr>
      </w:pPr>
    </w:p>
    <w:p>
      <w:pPr>
        <w:pStyle w:val="BodyText"/>
        <w:spacing w:line="480" w:lineRule="auto" w:before="1"/>
        <w:ind w:left="1418" w:right="1416"/>
        <w:jc w:val="both"/>
      </w:pPr>
      <w:r>
        <w:rPr/>
        <w:t>Gli attestatori muovendo dai principali fattori di rischio innanzi rappresentati hanno applicato cinque specifiche azioni di sensibilità sulle variabili portate in conto a piano, evidenziate nella</w:t>
      </w:r>
    </w:p>
    <w:tbl>
      <w:tblPr>
        <w:tblW w:w="0" w:type="auto"/>
        <w:jc w:val="left"/>
        <w:tblInd w:w="138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6361"/>
        <w:gridCol w:w="1929"/>
        <w:gridCol w:w="91"/>
        <w:gridCol w:w="1825"/>
      </w:tblGrid>
      <w:tr>
        <w:trPr>
          <w:trHeight w:val="552" w:hRule="exact"/>
        </w:trPr>
        <w:tc>
          <w:tcPr>
            <w:tcW w:w="6361" w:type="dxa"/>
          </w:tcPr>
          <w:p>
            <w:pPr>
              <w:pStyle w:val="TableParagraph"/>
              <w:spacing w:before="0"/>
              <w:ind w:left="30"/>
              <w:jc w:val="left"/>
              <w:rPr>
                <w:sz w:val="24"/>
              </w:rPr>
            </w:pPr>
            <w:r>
              <w:rPr>
                <w:sz w:val="24"/>
              </w:rPr>
              <w:t>tabella seguente:</w:t>
            </w:r>
          </w:p>
        </w:tc>
        <w:tc>
          <w:tcPr>
            <w:tcW w:w="3844" w:type="dxa"/>
            <w:gridSpan w:val="3"/>
          </w:tcPr>
          <w:p>
            <w:pPr/>
          </w:p>
        </w:tc>
      </w:tr>
      <w:tr>
        <w:trPr>
          <w:trHeight w:val="310" w:hRule="exact"/>
        </w:trPr>
        <w:tc>
          <w:tcPr>
            <w:tcW w:w="6361" w:type="dxa"/>
          </w:tcPr>
          <w:p>
            <w:pPr>
              <w:pStyle w:val="TableParagraph"/>
              <w:tabs>
                <w:tab w:pos="470" w:val="left" w:leader="none"/>
                <w:tab w:pos="5959" w:val="left" w:leader="none"/>
              </w:tabs>
              <w:spacing w:before="18"/>
              <w:ind w:left="43"/>
              <w:jc w:val="left"/>
              <w:rPr>
                <w:rFonts w:ascii="Times New Roman"/>
                <w:b/>
                <w:sz w:val="23"/>
              </w:rPr>
            </w:pPr>
            <w:r>
              <w:rPr>
                <w:rFonts w:ascii="Times New Roman"/>
                <w:b/>
                <w:color w:val="FFFFFF"/>
                <w:spacing w:val="-20"/>
                <w:w w:val="101"/>
                <w:sz w:val="23"/>
                <w:shd w:fill="9F2F33" w:color="auto" w:val="clear"/>
              </w:rPr>
              <w:t> </w:t>
            </w:r>
            <w:r>
              <w:rPr>
                <w:rFonts w:ascii="Times New Roman"/>
                <w:b/>
                <w:color w:val="FFFFFF"/>
                <w:sz w:val="23"/>
                <w:shd w:fill="9F2F33" w:color="auto" w:val="clear"/>
              </w:rPr>
              <w:t>N</w:t>
              <w:tab/>
              <w:t>Sensitivty</w:t>
              <w:tab/>
            </w:r>
          </w:p>
        </w:tc>
        <w:tc>
          <w:tcPr>
            <w:tcW w:w="1929" w:type="dxa"/>
            <w:shd w:val="clear" w:color="auto" w:fill="9F2F33"/>
          </w:tcPr>
          <w:p>
            <w:pPr>
              <w:pStyle w:val="TableParagraph"/>
              <w:spacing w:before="18"/>
              <w:ind w:left="407" w:right="407"/>
              <w:jc w:val="center"/>
              <w:rPr>
                <w:rFonts w:ascii="Times New Roman"/>
                <w:b/>
                <w:sz w:val="23"/>
              </w:rPr>
            </w:pPr>
            <w:r>
              <w:rPr>
                <w:rFonts w:ascii="Times New Roman"/>
                <w:b/>
                <w:color w:val="FFFFFF"/>
                <w:sz w:val="23"/>
              </w:rPr>
              <w:t>Rischio</w:t>
            </w:r>
          </w:p>
        </w:tc>
        <w:tc>
          <w:tcPr>
            <w:tcW w:w="91" w:type="dxa"/>
            <w:shd w:val="clear" w:color="auto" w:fill="9F2F33"/>
          </w:tcPr>
          <w:p>
            <w:pPr/>
          </w:p>
        </w:tc>
        <w:tc>
          <w:tcPr>
            <w:tcW w:w="1825" w:type="dxa"/>
            <w:shd w:val="clear" w:color="auto" w:fill="9F2F33"/>
          </w:tcPr>
          <w:p>
            <w:pPr>
              <w:pStyle w:val="TableParagraph"/>
              <w:spacing w:before="18"/>
              <w:ind w:left="273" w:right="374"/>
              <w:jc w:val="center"/>
              <w:rPr>
                <w:rFonts w:ascii="Times New Roman"/>
                <w:b/>
                <w:sz w:val="23"/>
              </w:rPr>
            </w:pPr>
            <w:r>
              <w:rPr>
                <w:rFonts w:ascii="Times New Roman"/>
                <w:b/>
                <w:color w:val="FFFFFF"/>
                <w:sz w:val="23"/>
              </w:rPr>
              <w:t>Fabbisogno</w:t>
            </w:r>
          </w:p>
        </w:tc>
      </w:tr>
      <w:tr>
        <w:trPr>
          <w:trHeight w:val="335" w:hRule="exact"/>
        </w:trPr>
        <w:tc>
          <w:tcPr>
            <w:tcW w:w="6361" w:type="dxa"/>
          </w:tcPr>
          <w:p>
            <w:pPr>
              <w:pStyle w:val="TableParagraph"/>
              <w:spacing w:before="27"/>
              <w:ind w:left="263"/>
              <w:jc w:val="left"/>
              <w:rPr>
                <w:rFonts w:ascii="Times New Roman"/>
                <w:sz w:val="22"/>
              </w:rPr>
            </w:pPr>
            <w:r>
              <w:rPr>
                <w:rFonts w:ascii="Times New Roman"/>
                <w:sz w:val="22"/>
              </w:rPr>
              <w:t>1  Minor Incasso riparto Beta</w:t>
            </w:r>
          </w:p>
        </w:tc>
        <w:tc>
          <w:tcPr>
            <w:tcW w:w="1929" w:type="dxa"/>
          </w:tcPr>
          <w:p>
            <w:pPr>
              <w:pStyle w:val="TableParagraph"/>
              <w:spacing w:before="17"/>
              <w:ind w:left="407" w:right="407"/>
              <w:jc w:val="center"/>
              <w:rPr>
                <w:rFonts w:ascii="Times New Roman"/>
                <w:sz w:val="23"/>
              </w:rPr>
            </w:pPr>
            <w:r>
              <w:rPr>
                <w:rFonts w:ascii="Times New Roman"/>
                <w:sz w:val="23"/>
              </w:rPr>
              <w:t>(3.504.020)</w:t>
            </w:r>
          </w:p>
        </w:tc>
        <w:tc>
          <w:tcPr>
            <w:tcW w:w="91" w:type="dxa"/>
            <w:tcBorders>
              <w:bottom w:val="single" w:sz="5" w:space="0" w:color="008000"/>
            </w:tcBorders>
          </w:tcPr>
          <w:p>
            <w:pPr/>
          </w:p>
        </w:tc>
        <w:tc>
          <w:tcPr>
            <w:tcW w:w="1825" w:type="dxa"/>
          </w:tcPr>
          <w:p>
            <w:pPr>
              <w:pStyle w:val="TableParagraph"/>
              <w:spacing w:before="17"/>
              <w:ind w:left="273" w:right="374"/>
              <w:jc w:val="center"/>
              <w:rPr>
                <w:rFonts w:ascii="Times New Roman"/>
                <w:sz w:val="23"/>
              </w:rPr>
            </w:pPr>
            <w:r>
              <w:rPr>
                <w:rFonts w:ascii="Times New Roman"/>
                <w:sz w:val="23"/>
              </w:rPr>
              <w:t>(3.504.020)</w:t>
            </w:r>
          </w:p>
        </w:tc>
      </w:tr>
      <w:tr>
        <w:trPr>
          <w:trHeight w:val="285" w:hRule="exact"/>
        </w:trPr>
        <w:tc>
          <w:tcPr>
            <w:tcW w:w="6361" w:type="dxa"/>
          </w:tcPr>
          <w:p>
            <w:pPr>
              <w:pStyle w:val="TableParagraph"/>
              <w:spacing w:before="2"/>
              <w:ind w:left="263"/>
              <w:jc w:val="left"/>
              <w:rPr>
                <w:rFonts w:ascii="Times New Roman"/>
                <w:sz w:val="22"/>
              </w:rPr>
            </w:pPr>
            <w:r>
              <w:rPr>
                <w:rFonts w:ascii="Times New Roman"/>
                <w:sz w:val="22"/>
              </w:rPr>
              <w:t>2  Fondo rischi chirografario Andriz (rischio Regresso)</w:t>
            </w:r>
          </w:p>
        </w:tc>
        <w:tc>
          <w:tcPr>
            <w:tcW w:w="1929" w:type="dxa"/>
          </w:tcPr>
          <w:p>
            <w:pPr>
              <w:pStyle w:val="TableParagraph"/>
              <w:spacing w:line="257" w:lineRule="exact" w:before="0"/>
              <w:ind w:left="407" w:right="407"/>
              <w:jc w:val="center"/>
              <w:rPr>
                <w:rFonts w:ascii="Times New Roman"/>
                <w:sz w:val="23"/>
              </w:rPr>
            </w:pPr>
            <w:r>
              <w:rPr>
                <w:rFonts w:ascii="Times New Roman"/>
                <w:sz w:val="23"/>
              </w:rPr>
              <w:t>(2.034.408)</w:t>
            </w:r>
          </w:p>
        </w:tc>
        <w:tc>
          <w:tcPr>
            <w:tcW w:w="91" w:type="dxa"/>
            <w:tcBorders>
              <w:top w:val="single" w:sz="5" w:space="0" w:color="008000"/>
            </w:tcBorders>
          </w:tcPr>
          <w:p>
            <w:pPr/>
          </w:p>
        </w:tc>
        <w:tc>
          <w:tcPr>
            <w:tcW w:w="1825" w:type="dxa"/>
            <w:tcBorders>
              <w:right w:val="single" w:sz="5" w:space="0" w:color="FFFF00"/>
            </w:tcBorders>
          </w:tcPr>
          <w:p>
            <w:pPr>
              <w:pStyle w:val="TableParagraph"/>
              <w:spacing w:line="257" w:lineRule="exact" w:before="0"/>
              <w:ind w:left="392" w:right="486"/>
              <w:jc w:val="center"/>
              <w:rPr>
                <w:rFonts w:ascii="Times New Roman"/>
                <w:sz w:val="23"/>
              </w:rPr>
            </w:pPr>
            <w:r>
              <w:rPr>
                <w:rFonts w:ascii="Times New Roman"/>
                <w:sz w:val="23"/>
              </w:rPr>
              <w:t>(406.882)</w:t>
            </w:r>
          </w:p>
        </w:tc>
      </w:tr>
      <w:tr>
        <w:trPr>
          <w:trHeight w:val="309" w:hRule="exact"/>
        </w:trPr>
        <w:tc>
          <w:tcPr>
            <w:tcW w:w="6361" w:type="dxa"/>
          </w:tcPr>
          <w:p>
            <w:pPr>
              <w:pStyle w:val="TableParagraph"/>
              <w:spacing w:before="18"/>
              <w:ind w:left="263"/>
              <w:jc w:val="left"/>
              <w:rPr>
                <w:rFonts w:ascii="Times New Roman"/>
                <w:sz w:val="23"/>
              </w:rPr>
            </w:pPr>
            <w:r>
              <w:rPr>
                <w:rFonts w:ascii="Times New Roman"/>
                <w:sz w:val="22"/>
              </w:rPr>
              <w:t>3  </w:t>
            </w:r>
            <w:r>
              <w:rPr>
                <w:rFonts w:ascii="Times New Roman"/>
                <w:sz w:val="23"/>
              </w:rPr>
              <w:t>Cessione immobile Modugno  (-25%)</w:t>
            </w:r>
          </w:p>
        </w:tc>
        <w:tc>
          <w:tcPr>
            <w:tcW w:w="1929" w:type="dxa"/>
          </w:tcPr>
          <w:p>
            <w:pPr>
              <w:pStyle w:val="TableParagraph"/>
              <w:spacing w:before="18"/>
              <w:ind w:left="407" w:right="407"/>
              <w:jc w:val="center"/>
              <w:rPr>
                <w:rFonts w:ascii="Times New Roman"/>
                <w:sz w:val="23"/>
              </w:rPr>
            </w:pPr>
            <w:r>
              <w:rPr>
                <w:rFonts w:ascii="Times New Roman"/>
                <w:sz w:val="23"/>
              </w:rPr>
              <w:t>(256.150)</w:t>
            </w:r>
          </w:p>
        </w:tc>
        <w:tc>
          <w:tcPr>
            <w:tcW w:w="91" w:type="dxa"/>
          </w:tcPr>
          <w:p>
            <w:pPr/>
          </w:p>
        </w:tc>
        <w:tc>
          <w:tcPr>
            <w:tcW w:w="1825" w:type="dxa"/>
          </w:tcPr>
          <w:p>
            <w:pPr>
              <w:pStyle w:val="TableParagraph"/>
              <w:spacing w:before="18"/>
              <w:ind w:left="273" w:right="374"/>
              <w:jc w:val="center"/>
              <w:rPr>
                <w:rFonts w:ascii="Times New Roman"/>
                <w:sz w:val="23"/>
              </w:rPr>
            </w:pPr>
            <w:r>
              <w:rPr>
                <w:rFonts w:ascii="Times New Roman"/>
                <w:sz w:val="23"/>
              </w:rPr>
              <w:t>(256.150)</w:t>
            </w:r>
          </w:p>
        </w:tc>
      </w:tr>
      <w:tr>
        <w:trPr>
          <w:trHeight w:val="310" w:hRule="exact"/>
        </w:trPr>
        <w:tc>
          <w:tcPr>
            <w:tcW w:w="6361" w:type="dxa"/>
          </w:tcPr>
          <w:p>
            <w:pPr>
              <w:pStyle w:val="TableParagraph"/>
              <w:spacing w:before="28"/>
              <w:ind w:left="263"/>
              <w:jc w:val="left"/>
              <w:rPr>
                <w:rFonts w:ascii="Times New Roman"/>
                <w:sz w:val="22"/>
              </w:rPr>
            </w:pPr>
            <w:r>
              <w:rPr>
                <w:rFonts w:ascii="Times New Roman"/>
                <w:sz w:val="22"/>
              </w:rPr>
              <w:t>4  Minor Incasso crediti comm.li</w:t>
            </w:r>
          </w:p>
        </w:tc>
        <w:tc>
          <w:tcPr>
            <w:tcW w:w="1929" w:type="dxa"/>
          </w:tcPr>
          <w:p>
            <w:pPr>
              <w:pStyle w:val="TableParagraph"/>
              <w:spacing w:before="19"/>
              <w:ind w:left="407" w:right="407"/>
              <w:jc w:val="center"/>
              <w:rPr>
                <w:rFonts w:ascii="Times New Roman"/>
                <w:sz w:val="23"/>
              </w:rPr>
            </w:pPr>
            <w:r>
              <w:rPr>
                <w:rFonts w:ascii="Times New Roman"/>
                <w:sz w:val="23"/>
              </w:rPr>
              <w:t>(1.419.000)</w:t>
            </w:r>
          </w:p>
        </w:tc>
        <w:tc>
          <w:tcPr>
            <w:tcW w:w="91" w:type="dxa"/>
          </w:tcPr>
          <w:p>
            <w:pPr/>
          </w:p>
        </w:tc>
        <w:tc>
          <w:tcPr>
            <w:tcW w:w="1825" w:type="dxa"/>
          </w:tcPr>
          <w:p>
            <w:pPr>
              <w:pStyle w:val="TableParagraph"/>
              <w:spacing w:before="19"/>
              <w:ind w:left="273" w:right="374"/>
              <w:jc w:val="center"/>
              <w:rPr>
                <w:rFonts w:ascii="Times New Roman"/>
                <w:sz w:val="23"/>
              </w:rPr>
            </w:pPr>
            <w:r>
              <w:rPr>
                <w:rFonts w:ascii="Times New Roman"/>
                <w:sz w:val="23"/>
              </w:rPr>
              <w:t>(1.419.000)</w:t>
            </w:r>
          </w:p>
        </w:tc>
      </w:tr>
      <w:tr>
        <w:trPr>
          <w:trHeight w:val="305" w:hRule="exact"/>
        </w:trPr>
        <w:tc>
          <w:tcPr>
            <w:tcW w:w="6361" w:type="dxa"/>
            <w:tcBorders>
              <w:bottom w:val="single" w:sz="5" w:space="0" w:color="000000"/>
            </w:tcBorders>
          </w:tcPr>
          <w:p>
            <w:pPr>
              <w:pStyle w:val="TableParagraph"/>
              <w:spacing w:before="28"/>
              <w:ind w:left="263"/>
              <w:jc w:val="left"/>
              <w:rPr>
                <w:rFonts w:ascii="Times New Roman"/>
                <w:sz w:val="22"/>
              </w:rPr>
            </w:pPr>
            <w:r>
              <w:rPr>
                <w:rFonts w:ascii="Times New Roman"/>
                <w:sz w:val="22"/>
              </w:rPr>
              <w:t>5  Minori flussi da gestione operativa Apr/Lug 18</w:t>
            </w:r>
          </w:p>
        </w:tc>
        <w:tc>
          <w:tcPr>
            <w:tcW w:w="1929" w:type="dxa"/>
            <w:tcBorders>
              <w:bottom w:val="single" w:sz="5" w:space="0" w:color="000000"/>
            </w:tcBorders>
          </w:tcPr>
          <w:p>
            <w:pPr>
              <w:pStyle w:val="TableParagraph"/>
              <w:spacing w:before="19"/>
              <w:ind w:left="407" w:right="407"/>
              <w:jc w:val="center"/>
              <w:rPr>
                <w:rFonts w:ascii="Times New Roman"/>
                <w:sz w:val="23"/>
              </w:rPr>
            </w:pPr>
            <w:r>
              <w:rPr>
                <w:rFonts w:ascii="Times New Roman"/>
                <w:sz w:val="23"/>
              </w:rPr>
              <w:t>(138.000)</w:t>
            </w:r>
          </w:p>
        </w:tc>
        <w:tc>
          <w:tcPr>
            <w:tcW w:w="91" w:type="dxa"/>
            <w:tcBorders>
              <w:bottom w:val="single" w:sz="5" w:space="0" w:color="000000"/>
            </w:tcBorders>
          </w:tcPr>
          <w:p>
            <w:pPr/>
          </w:p>
        </w:tc>
        <w:tc>
          <w:tcPr>
            <w:tcW w:w="1825" w:type="dxa"/>
            <w:tcBorders>
              <w:bottom w:val="single" w:sz="5" w:space="0" w:color="000000"/>
            </w:tcBorders>
          </w:tcPr>
          <w:p>
            <w:pPr>
              <w:pStyle w:val="TableParagraph"/>
              <w:spacing w:before="19"/>
              <w:ind w:left="273" w:right="374"/>
              <w:jc w:val="center"/>
              <w:rPr>
                <w:rFonts w:ascii="Times New Roman"/>
                <w:sz w:val="23"/>
              </w:rPr>
            </w:pPr>
            <w:r>
              <w:rPr>
                <w:rFonts w:ascii="Times New Roman"/>
                <w:sz w:val="23"/>
              </w:rPr>
              <w:t>(138.000)</w:t>
            </w:r>
          </w:p>
        </w:tc>
      </w:tr>
      <w:tr>
        <w:trPr>
          <w:trHeight w:val="289" w:hRule="exact"/>
        </w:trPr>
        <w:tc>
          <w:tcPr>
            <w:tcW w:w="6361" w:type="dxa"/>
            <w:tcBorders>
              <w:top w:val="single" w:sz="5" w:space="0" w:color="000000"/>
            </w:tcBorders>
          </w:tcPr>
          <w:p>
            <w:pPr>
              <w:pStyle w:val="TableParagraph"/>
              <w:spacing w:before="27"/>
              <w:ind w:left="470"/>
              <w:jc w:val="left"/>
              <w:rPr>
                <w:rFonts w:ascii="Times New Roman"/>
                <w:b/>
                <w:sz w:val="22"/>
              </w:rPr>
            </w:pPr>
            <w:r>
              <w:rPr>
                <w:rFonts w:ascii="Times New Roman"/>
                <w:b/>
                <w:sz w:val="22"/>
              </w:rPr>
              <w:t>totale</w:t>
            </w:r>
          </w:p>
        </w:tc>
        <w:tc>
          <w:tcPr>
            <w:tcW w:w="1929" w:type="dxa"/>
            <w:tcBorders>
              <w:top w:val="single" w:sz="5" w:space="0" w:color="000000"/>
            </w:tcBorders>
          </w:tcPr>
          <w:p>
            <w:pPr>
              <w:pStyle w:val="TableParagraph"/>
              <w:spacing w:before="17"/>
              <w:ind w:left="407" w:right="407"/>
              <w:jc w:val="center"/>
              <w:rPr>
                <w:rFonts w:ascii="Times New Roman"/>
                <w:b/>
                <w:sz w:val="23"/>
              </w:rPr>
            </w:pPr>
            <w:r>
              <w:rPr>
                <w:rFonts w:ascii="Times New Roman"/>
                <w:b/>
                <w:sz w:val="23"/>
              </w:rPr>
              <w:t>(7.351.578)</w:t>
            </w:r>
          </w:p>
        </w:tc>
        <w:tc>
          <w:tcPr>
            <w:tcW w:w="91" w:type="dxa"/>
            <w:tcBorders>
              <w:top w:val="single" w:sz="5" w:space="0" w:color="000000"/>
            </w:tcBorders>
          </w:tcPr>
          <w:p>
            <w:pPr/>
          </w:p>
        </w:tc>
        <w:tc>
          <w:tcPr>
            <w:tcW w:w="1825" w:type="dxa"/>
            <w:tcBorders>
              <w:top w:val="single" w:sz="5" w:space="0" w:color="000000"/>
            </w:tcBorders>
          </w:tcPr>
          <w:p>
            <w:pPr>
              <w:pStyle w:val="TableParagraph"/>
              <w:spacing w:before="17"/>
              <w:ind w:left="273" w:right="374"/>
              <w:jc w:val="center"/>
              <w:rPr>
                <w:rFonts w:ascii="Times New Roman"/>
                <w:b/>
                <w:sz w:val="23"/>
              </w:rPr>
            </w:pPr>
            <w:r>
              <w:rPr>
                <w:rFonts w:ascii="Times New Roman"/>
                <w:b/>
                <w:sz w:val="23"/>
              </w:rPr>
              <w:t>(5.724.052)</w:t>
            </w:r>
          </w:p>
        </w:tc>
      </w:tr>
    </w:tbl>
    <w:p>
      <w:pPr>
        <w:pStyle w:val="BodyText"/>
        <w:spacing w:before="7"/>
        <w:rPr>
          <w:sz w:val="26"/>
        </w:rPr>
      </w:pPr>
    </w:p>
    <w:p>
      <w:pPr>
        <w:spacing w:before="0"/>
        <w:ind w:left="1418" w:right="0" w:firstLine="0"/>
        <w:jc w:val="both"/>
        <w:rPr>
          <w:sz w:val="24"/>
        </w:rPr>
      </w:pPr>
      <w:r>
        <w:rPr>
          <w:sz w:val="24"/>
        </w:rPr>
        <w:t>Le </w:t>
      </w:r>
      <w:r>
        <w:rPr>
          <w:b/>
          <w:sz w:val="24"/>
        </w:rPr>
        <w:t>sensitivity n.1 e n.2 </w:t>
      </w:r>
      <w:r>
        <w:rPr>
          <w:sz w:val="24"/>
        </w:rPr>
        <w:t>considerano rispettivamente:</w:t>
      </w:r>
    </w:p>
    <w:p>
      <w:pPr>
        <w:pStyle w:val="BodyText"/>
        <w:spacing w:before="10"/>
        <w:rPr>
          <w:sz w:val="23"/>
        </w:rPr>
      </w:pPr>
    </w:p>
    <w:p>
      <w:pPr>
        <w:pStyle w:val="ListParagraph"/>
        <w:numPr>
          <w:ilvl w:val="1"/>
          <w:numId w:val="104"/>
        </w:numPr>
        <w:tabs>
          <w:tab w:pos="2127" w:val="left" w:leader="none"/>
        </w:tabs>
        <w:spacing w:line="480" w:lineRule="auto" w:before="0" w:after="0"/>
        <w:ind w:left="2198" w:right="1419" w:hanging="360"/>
        <w:jc w:val="left"/>
        <w:rPr>
          <w:sz w:val="24"/>
        </w:rPr>
      </w:pPr>
      <w:r>
        <w:rPr>
          <w:sz w:val="24"/>
        </w:rPr>
        <w:t>un minor incasso derivante dal piano concordatario di Beta Renewables nella misura di Euro 3,5 Milioni</w:t>
      </w:r>
      <w:r>
        <w:rPr>
          <w:spacing w:val="-4"/>
          <w:sz w:val="24"/>
        </w:rPr>
        <w:t> </w:t>
      </w:r>
      <w:r>
        <w:rPr>
          <w:sz w:val="24"/>
        </w:rPr>
        <w:t>circa;</w:t>
      </w:r>
    </w:p>
    <w:p>
      <w:pPr>
        <w:pStyle w:val="ListParagraph"/>
        <w:numPr>
          <w:ilvl w:val="1"/>
          <w:numId w:val="104"/>
        </w:numPr>
        <w:tabs>
          <w:tab w:pos="2127" w:val="left" w:leader="none"/>
        </w:tabs>
        <w:spacing w:line="480" w:lineRule="auto" w:before="0" w:after="0"/>
        <w:ind w:left="2198" w:right="1416" w:hanging="360"/>
        <w:jc w:val="left"/>
        <w:rPr>
          <w:sz w:val="24"/>
        </w:rPr>
      </w:pPr>
      <w:r>
        <w:rPr>
          <w:sz w:val="24"/>
        </w:rPr>
        <w:t>lo stanziamento di un fondo rischi chirografario, nella misura di Euro 2 Milioni circa per fronteggiare l’eventuale pretesa legata alla causa di Andritz come specificato in</w:t>
      </w:r>
      <w:r>
        <w:rPr>
          <w:spacing w:val="-26"/>
          <w:sz w:val="24"/>
        </w:rPr>
        <w:t> </w:t>
      </w:r>
      <w:r>
        <w:rPr>
          <w:sz w:val="24"/>
        </w:rPr>
        <w:t>appresso.</w:t>
      </w:r>
    </w:p>
    <w:p>
      <w:pPr>
        <w:pStyle w:val="BodyText"/>
        <w:spacing w:line="480" w:lineRule="auto"/>
        <w:ind w:left="1418" w:right="1412"/>
        <w:jc w:val="both"/>
      </w:pPr>
      <w:r>
        <w:rPr/>
        <w:t>Il minor valore di realizzo del credito postergato vantato verso Beta rispetto quanto prospettato nel piano concordatario di quest’ultima deriva dal rischio legato alla causa passiva Andritz, che impatterebbe sul passivo della controllata, così come rappresentato nel paragrafo relativo alle </w:t>
      </w:r>
      <w:r>
        <w:rPr>
          <w:i/>
        </w:rPr>
        <w:t>sensitivity analysis </w:t>
      </w:r>
      <w:r>
        <w:rPr/>
        <w:t>dell’attestazione ex art. 161 co. 3 l.f. di Beta, rilasciata dagli scriventi in data 23 aprile 2018. Nello specifico gli scriventi hanno considerato di portare in conto, nell’ambito della analisi di sensitività del piano Beta, quale fondo rischi chirografario ulteriore, il rischio legato alla controversia Andritz nella misura di Euro 4,1 Milioni circa, basandosi come razionale  sull’importo specificato dall’Avv. Nanni nell’integrazione del 19 aprile 2018. Atteso che risulta - allo</w:t>
      </w:r>
      <w:r>
        <w:rPr>
          <w:spacing w:val="19"/>
        </w:rPr>
        <w:t> </w:t>
      </w:r>
      <w:r>
        <w:rPr/>
        <w:t>stato</w:t>
      </w:r>
      <w:r>
        <w:rPr>
          <w:spacing w:val="19"/>
        </w:rPr>
        <w:t> </w:t>
      </w:r>
      <w:r>
        <w:rPr/>
        <w:t>-</w:t>
      </w:r>
      <w:r>
        <w:rPr>
          <w:spacing w:val="19"/>
        </w:rPr>
        <w:t> </w:t>
      </w:r>
      <w:r>
        <w:rPr/>
        <w:t>arbitrario</w:t>
      </w:r>
      <w:r>
        <w:rPr>
          <w:spacing w:val="19"/>
        </w:rPr>
        <w:t> </w:t>
      </w:r>
      <w:r>
        <w:rPr/>
        <w:t>poter</w:t>
      </w:r>
      <w:r>
        <w:rPr>
          <w:spacing w:val="18"/>
        </w:rPr>
        <w:t> </w:t>
      </w:r>
      <w:r>
        <w:rPr/>
        <w:t>prevedere</w:t>
      </w:r>
      <w:r>
        <w:rPr>
          <w:spacing w:val="20"/>
        </w:rPr>
        <w:t> </w:t>
      </w:r>
      <w:r>
        <w:rPr/>
        <w:t>l’eventualità</w:t>
      </w:r>
      <w:r>
        <w:rPr>
          <w:spacing w:val="20"/>
        </w:rPr>
        <w:t> </w:t>
      </w:r>
      <w:r>
        <w:rPr/>
        <w:t>che</w:t>
      </w:r>
      <w:r>
        <w:rPr>
          <w:spacing w:val="20"/>
        </w:rPr>
        <w:t> </w:t>
      </w:r>
      <w:r>
        <w:rPr/>
        <w:t>Andritz</w:t>
      </w:r>
      <w:r>
        <w:rPr>
          <w:spacing w:val="20"/>
        </w:rPr>
        <w:t> </w:t>
      </w:r>
      <w:r>
        <w:rPr/>
        <w:t>chiami</w:t>
      </w:r>
      <w:r>
        <w:rPr>
          <w:spacing w:val="19"/>
        </w:rPr>
        <w:t> </w:t>
      </w:r>
      <w:r>
        <w:rPr/>
        <w:t>in</w:t>
      </w:r>
      <w:r>
        <w:rPr>
          <w:spacing w:val="17"/>
        </w:rPr>
        <w:t> </w:t>
      </w:r>
      <w:r>
        <w:rPr/>
        <w:t>causa</w:t>
      </w:r>
      <w:r>
        <w:rPr>
          <w:spacing w:val="20"/>
        </w:rPr>
        <w:t> </w:t>
      </w:r>
      <w:r>
        <w:rPr/>
        <w:t>le</w:t>
      </w:r>
      <w:r>
        <w:rPr>
          <w:spacing w:val="20"/>
        </w:rPr>
        <w:t> </w:t>
      </w:r>
      <w:r>
        <w:rPr/>
        <w:t>società</w:t>
      </w:r>
      <w:r>
        <w:rPr>
          <w:spacing w:val="20"/>
        </w:rPr>
        <w:t> </w:t>
      </w:r>
      <w:r>
        <w:rPr/>
        <w:t>Beta</w:t>
      </w:r>
      <w:r>
        <w:rPr>
          <w:spacing w:val="17"/>
        </w:rPr>
        <w:t> </w:t>
      </w:r>
      <w:r>
        <w:rPr/>
        <w:t>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8"/>
        <w:jc w:val="both"/>
      </w:pPr>
      <w:r>
        <w:rPr/>
        <w:t>Biochemtex, come specificato nella e mail dei legali americani del 18 aprile, esentando M&amp;G Finanziaria da ogni eventuale responsabilità, gli scriventi hanno ipotizzato, nella logica e nel limite della quantificazione sopra riferita:</w:t>
      </w:r>
    </w:p>
    <w:p>
      <w:pPr>
        <w:pStyle w:val="ListParagraph"/>
        <w:numPr>
          <w:ilvl w:val="0"/>
          <w:numId w:val="105"/>
        </w:numPr>
        <w:tabs>
          <w:tab w:pos="1563" w:val="left" w:leader="none"/>
        </w:tabs>
        <w:spacing w:line="480" w:lineRule="auto" w:before="0" w:after="0"/>
        <w:ind w:left="1418" w:right="1411" w:firstLine="0"/>
        <w:jc w:val="both"/>
        <w:rPr>
          <w:sz w:val="24"/>
        </w:rPr>
      </w:pPr>
      <w:r>
        <w:rPr>
          <w:sz w:val="24"/>
        </w:rPr>
        <w:t>che il rischio della controversia sia, solidale tra i tre potenziali convenuti e, </w:t>
      </w:r>
      <w:r>
        <w:rPr>
          <w:i/>
          <w:sz w:val="24"/>
        </w:rPr>
        <w:t>prima facie</w:t>
      </w:r>
      <w:r>
        <w:rPr>
          <w:sz w:val="24"/>
        </w:rPr>
        <w:t>, in capo a Beta (società in termini relativi maggiormente patrimonializzata e</w:t>
      </w:r>
      <w:r>
        <w:rPr>
          <w:spacing w:val="-26"/>
          <w:sz w:val="24"/>
        </w:rPr>
        <w:t> </w:t>
      </w:r>
      <w:r>
        <w:rPr>
          <w:sz w:val="24"/>
        </w:rPr>
        <w:t>solvibile);</w:t>
      </w:r>
    </w:p>
    <w:p>
      <w:pPr>
        <w:pStyle w:val="ListParagraph"/>
        <w:numPr>
          <w:ilvl w:val="0"/>
          <w:numId w:val="105"/>
        </w:numPr>
        <w:tabs>
          <w:tab w:pos="1554" w:val="left" w:leader="none"/>
        </w:tabs>
        <w:spacing w:line="240" w:lineRule="auto" w:before="0" w:after="0"/>
        <w:ind w:left="1553" w:right="0" w:hanging="135"/>
        <w:jc w:val="both"/>
        <w:rPr>
          <w:sz w:val="24"/>
        </w:rPr>
      </w:pPr>
      <w:r>
        <w:rPr>
          <w:sz w:val="24"/>
        </w:rPr>
        <w:t>l’esercizio di una azione di regresso nei confronti di Biochemtex e di M&amp;G</w:t>
      </w:r>
      <w:r>
        <w:rPr>
          <w:spacing w:val="-25"/>
          <w:sz w:val="24"/>
        </w:rPr>
        <w:t> </w:t>
      </w:r>
      <w:r>
        <w:rPr>
          <w:sz w:val="24"/>
        </w:rPr>
        <w:t>Finanziaria;</w:t>
      </w:r>
    </w:p>
    <w:p>
      <w:pPr>
        <w:pStyle w:val="BodyText"/>
        <w:spacing w:before="10"/>
        <w:rPr>
          <w:sz w:val="23"/>
        </w:rPr>
      </w:pPr>
    </w:p>
    <w:p>
      <w:pPr>
        <w:pStyle w:val="ListParagraph"/>
        <w:numPr>
          <w:ilvl w:val="0"/>
          <w:numId w:val="105"/>
        </w:numPr>
        <w:tabs>
          <w:tab w:pos="1571" w:val="left" w:leader="none"/>
        </w:tabs>
        <w:spacing w:line="480" w:lineRule="auto" w:before="0" w:after="0"/>
        <w:ind w:left="1418" w:right="1418" w:firstLine="0"/>
        <w:jc w:val="both"/>
        <w:rPr>
          <w:sz w:val="24"/>
        </w:rPr>
      </w:pPr>
      <w:r>
        <w:rPr>
          <w:sz w:val="24"/>
        </w:rPr>
        <w:t>la possibile infruttuosità del regresso nei confronti di M&amp;G Finanziaria, per la quale non si ha  ad oggi visibilità sulla solvibilità di lungo</w:t>
      </w:r>
      <w:r>
        <w:rPr>
          <w:spacing w:val="-19"/>
          <w:sz w:val="24"/>
        </w:rPr>
        <w:t> </w:t>
      </w:r>
      <w:r>
        <w:rPr>
          <w:sz w:val="24"/>
        </w:rPr>
        <w:t>periodo;</w:t>
      </w:r>
    </w:p>
    <w:p>
      <w:pPr>
        <w:pStyle w:val="ListParagraph"/>
        <w:numPr>
          <w:ilvl w:val="0"/>
          <w:numId w:val="105"/>
        </w:numPr>
        <w:tabs>
          <w:tab w:pos="1626" w:val="left" w:leader="none"/>
        </w:tabs>
        <w:spacing w:line="480" w:lineRule="auto" w:before="0" w:after="0"/>
        <w:ind w:left="1418" w:right="1412" w:firstLine="0"/>
        <w:jc w:val="both"/>
        <w:rPr>
          <w:sz w:val="24"/>
        </w:rPr>
      </w:pPr>
      <w:r>
        <w:rPr>
          <w:sz w:val="24"/>
        </w:rPr>
        <w:t>che pertanto la potenziale azione di regresso si concentri nei confronti della procedura Biochemtex, considerando un’attribuzione del 50% del rischio potenziale</w:t>
      </w:r>
      <w:r>
        <w:rPr>
          <w:spacing w:val="-18"/>
          <w:sz w:val="24"/>
        </w:rPr>
        <w:t> </w:t>
      </w:r>
      <w:r>
        <w:rPr>
          <w:sz w:val="24"/>
        </w:rPr>
        <w:t>stimato.</w:t>
      </w:r>
    </w:p>
    <w:p>
      <w:pPr>
        <w:pStyle w:val="BodyText"/>
        <w:ind w:left="1418"/>
        <w:jc w:val="both"/>
      </w:pPr>
      <w:r>
        <w:rPr/>
        <w:t>Dal che deriverebbero i seguenti impatti sul piano di Biochemtex:</w:t>
      </w:r>
    </w:p>
    <w:p>
      <w:pPr>
        <w:pStyle w:val="BodyText"/>
        <w:spacing w:before="11"/>
        <w:rPr>
          <w:sz w:val="23"/>
        </w:rPr>
      </w:pPr>
    </w:p>
    <w:p>
      <w:pPr>
        <w:pStyle w:val="ListParagraph"/>
        <w:numPr>
          <w:ilvl w:val="0"/>
          <w:numId w:val="106"/>
        </w:numPr>
        <w:tabs>
          <w:tab w:pos="2127" w:val="left" w:leader="none"/>
        </w:tabs>
        <w:spacing w:line="480" w:lineRule="auto" w:before="0" w:after="0"/>
        <w:ind w:left="2138" w:right="1411" w:hanging="360"/>
        <w:jc w:val="both"/>
        <w:rPr>
          <w:sz w:val="24"/>
        </w:rPr>
      </w:pPr>
      <w:r>
        <w:rPr>
          <w:sz w:val="24"/>
        </w:rPr>
        <w:t>Stanziamento di un fondo rischi per regresso di Beta nei confronti di Biochemtex nella misura del 50% del rischio potenziale, pari complessivamente a Euro 4,1 Milioni</w:t>
      </w:r>
      <w:r>
        <w:rPr>
          <w:position w:val="9"/>
          <w:sz w:val="14"/>
        </w:rPr>
        <w:t>4 </w:t>
      </w:r>
      <w:r>
        <w:rPr>
          <w:sz w:val="24"/>
        </w:rPr>
        <w:t>circa, e quindi di Euro 2,03 Milioni, come rappresentato nella tabella n.1. A fronte del conseguente credito Beta Renewables è destinata ad essere beneficiaria di un riparto di Biochemtex al 20%, quindi pari a Euro 0,4</w:t>
      </w:r>
      <w:r>
        <w:rPr>
          <w:spacing w:val="-18"/>
          <w:sz w:val="24"/>
        </w:rPr>
        <w:t> </w:t>
      </w:r>
      <w:r>
        <w:rPr>
          <w:sz w:val="24"/>
        </w:rPr>
        <w:t>Milioni.</w:t>
      </w:r>
    </w:p>
    <w:p>
      <w:pPr>
        <w:pStyle w:val="ListParagraph"/>
        <w:numPr>
          <w:ilvl w:val="0"/>
          <w:numId w:val="106"/>
        </w:numPr>
        <w:tabs>
          <w:tab w:pos="2127" w:val="left" w:leader="none"/>
        </w:tabs>
        <w:spacing w:line="480" w:lineRule="auto" w:before="0" w:after="0"/>
        <w:ind w:left="2138" w:right="1416" w:hanging="360"/>
        <w:jc w:val="both"/>
        <w:rPr>
          <w:sz w:val="24"/>
        </w:rPr>
      </w:pPr>
      <w:r>
        <w:rPr>
          <w:sz w:val="24"/>
        </w:rPr>
        <w:t>Per effetto di quanto sopra il passivo di Beta si incrementa di Euro 4,1 Milioni al chirografo (rischio complessivo Andritz) mentre il suo attivo si incrementa, come detto,  di Euro 0,4 Milioni per effetto del riparto Biochemtex. Gli effetti combinati su Beta Renewables del contenzioso Andritz e del meccanismo di regresso su Biochemtex </w:t>
      </w:r>
      <w:r>
        <w:rPr>
          <w:spacing w:val="53"/>
          <w:sz w:val="24"/>
        </w:rPr>
        <w:t> </w:t>
      </w:r>
      <w:r>
        <w:rPr>
          <w:sz w:val="24"/>
        </w:rPr>
        <w:t>fanno</w:t>
      </w:r>
    </w:p>
    <w:p>
      <w:pPr>
        <w:pStyle w:val="BodyText"/>
        <w:rPr>
          <w:sz w:val="20"/>
        </w:rPr>
      </w:pPr>
    </w:p>
    <w:p>
      <w:pPr>
        <w:pStyle w:val="BodyText"/>
        <w:rPr>
          <w:sz w:val="20"/>
        </w:rPr>
      </w:pPr>
    </w:p>
    <w:p>
      <w:pPr>
        <w:pStyle w:val="BodyText"/>
        <w:rPr>
          <w:sz w:val="20"/>
        </w:rPr>
      </w:pPr>
    </w:p>
    <w:p>
      <w:pPr>
        <w:pStyle w:val="BodyText"/>
        <w:spacing w:before="10"/>
        <w:rPr>
          <w:sz w:val="18"/>
        </w:rPr>
      </w:pPr>
      <w:r>
        <w:rPr/>
        <w:pict>
          <v:line style="position:absolute;mso-position-horizontal-relative:page;mso-position-vertical-relative:paragraph;z-index:3352;mso-wrap-distance-left:0;mso-wrap-distance-right:0" from="70.944pt,12.957456pt" to="214.964pt,12.957456pt" stroked="true" strokeweight=".72003pt" strokecolor="#000000">
            <v:stroke dashstyle="solid"/>
            <w10:wrap type="topAndBottom"/>
          </v:line>
        </w:pict>
      </w:r>
    </w:p>
    <w:p>
      <w:pPr>
        <w:spacing w:before="74"/>
        <w:ind w:left="1418" w:right="0" w:firstLine="0"/>
        <w:jc w:val="left"/>
        <w:rPr>
          <w:sz w:val="20"/>
        </w:rPr>
      </w:pPr>
      <w:r>
        <w:rPr>
          <w:position w:val="5"/>
          <w:sz w:val="13"/>
        </w:rPr>
        <w:t>4 </w:t>
      </w:r>
      <w:r>
        <w:rPr>
          <w:sz w:val="20"/>
        </w:rPr>
        <w:t>5 milioni di dollari al cambio €/$ di 1,228859 del 20 aprile 2018 fonte sole 24 ore finanza-mercati</w:t>
      </w:r>
    </w:p>
    <w:p>
      <w:pPr>
        <w:spacing w:after="0"/>
        <w:jc w:val="left"/>
        <w:rPr>
          <w:sz w:val="20"/>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138" w:right="1518"/>
      </w:pPr>
      <w:r>
        <w:rPr/>
        <w:t>sì che le somme disponibili – in accoglimento di questa </w:t>
      </w:r>
      <w:r>
        <w:rPr>
          <w:i/>
        </w:rPr>
        <w:t>sensitivity </w:t>
      </w:r>
      <w:r>
        <w:rPr/>
        <w:t>– per il riparto ai creditori postergati di Beta stessa si riducano di Euro 3,6</w:t>
      </w:r>
      <w:r>
        <w:rPr>
          <w:spacing w:val="-26"/>
        </w:rPr>
        <w:t> </w:t>
      </w:r>
      <w:r>
        <w:rPr/>
        <w:t>Milioni:</w:t>
      </w:r>
    </w:p>
    <w:p>
      <w:pPr>
        <w:pStyle w:val="ListParagraph"/>
        <w:numPr>
          <w:ilvl w:val="0"/>
          <w:numId w:val="106"/>
        </w:numPr>
        <w:tabs>
          <w:tab w:pos="2127" w:val="left" w:leader="none"/>
        </w:tabs>
        <w:spacing w:line="477" w:lineRule="auto" w:before="0" w:after="37"/>
        <w:ind w:left="2138" w:right="1419" w:hanging="360"/>
        <w:jc w:val="left"/>
        <w:rPr>
          <w:rFonts w:ascii="Calibri" w:hAnsi="Calibri"/>
          <w:sz w:val="22"/>
        </w:rPr>
      </w:pPr>
      <w:r>
        <w:rPr>
          <w:sz w:val="24"/>
        </w:rPr>
        <w:t>Conseguentemente sul piano Biochemtex l’effetto finale è un minor attivo da riparto Beta Renewables di Euro 3,5 Milioni come risulta dalla tabella</w:t>
      </w:r>
      <w:r>
        <w:rPr>
          <w:spacing w:val="-23"/>
          <w:sz w:val="24"/>
        </w:rPr>
        <w:t> </w:t>
      </w:r>
      <w:r>
        <w:rPr>
          <w:sz w:val="24"/>
        </w:rPr>
        <w:t>n.2;</w:t>
      </w:r>
    </w:p>
    <w:tbl>
      <w:tblPr>
        <w:tblW w:w="0" w:type="auto"/>
        <w:jc w:val="left"/>
        <w:tblInd w:w="230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5136"/>
        <w:gridCol w:w="372"/>
        <w:gridCol w:w="1818"/>
      </w:tblGrid>
      <w:tr>
        <w:trPr>
          <w:trHeight w:val="556" w:hRule="exact"/>
        </w:trPr>
        <w:tc>
          <w:tcPr>
            <w:tcW w:w="5136" w:type="dxa"/>
          </w:tcPr>
          <w:p>
            <w:pPr>
              <w:pStyle w:val="TableParagraph"/>
              <w:tabs>
                <w:tab w:pos="5135" w:val="left" w:leader="none"/>
              </w:tabs>
              <w:spacing w:line="238" w:lineRule="exact" w:before="0"/>
              <w:ind w:left="11"/>
              <w:jc w:val="left"/>
              <w:rPr>
                <w:rFonts w:ascii="Times New Roman"/>
                <w:b/>
                <w:sz w:val="21"/>
              </w:rPr>
            </w:pPr>
            <w:r>
              <w:rPr>
                <w:rFonts w:ascii="Times New Roman"/>
                <w:b/>
                <w:color w:val="FFFFFF"/>
                <w:spacing w:val="-19"/>
                <w:w w:val="103"/>
                <w:sz w:val="21"/>
                <w:shd w:fill="9F2F33" w:color="auto" w:val="clear"/>
              </w:rPr>
              <w:t> </w:t>
            </w:r>
            <w:r>
              <w:rPr>
                <w:rFonts w:ascii="Times New Roman"/>
                <w:b/>
                <w:color w:val="FFFFFF"/>
                <w:spacing w:val="-3"/>
                <w:w w:val="105"/>
                <w:sz w:val="21"/>
                <w:shd w:fill="9F2F33" w:color="auto" w:val="clear"/>
              </w:rPr>
              <w:t>Tabella</w:t>
            </w:r>
            <w:r>
              <w:rPr>
                <w:rFonts w:ascii="Times New Roman"/>
                <w:b/>
                <w:color w:val="FFFFFF"/>
                <w:spacing w:val="-6"/>
                <w:w w:val="105"/>
                <w:sz w:val="21"/>
                <w:shd w:fill="9F2F33" w:color="auto" w:val="clear"/>
              </w:rPr>
              <w:t> </w:t>
            </w:r>
            <w:r>
              <w:rPr>
                <w:rFonts w:ascii="Times New Roman"/>
                <w:b/>
                <w:color w:val="FFFFFF"/>
                <w:w w:val="105"/>
                <w:sz w:val="21"/>
                <w:shd w:fill="9F2F33" w:color="auto" w:val="clear"/>
              </w:rPr>
              <w:t>n.1</w:t>
            </w:r>
            <w:r>
              <w:rPr>
                <w:rFonts w:ascii="Times New Roman"/>
                <w:b/>
                <w:color w:val="FFFFFF"/>
                <w:sz w:val="21"/>
                <w:shd w:fill="9F2F33" w:color="auto" w:val="clear"/>
              </w:rPr>
              <w:tab/>
            </w:r>
          </w:p>
          <w:p>
            <w:pPr>
              <w:pStyle w:val="TableParagraph"/>
              <w:spacing w:before="56"/>
              <w:ind w:left="47"/>
              <w:jc w:val="left"/>
              <w:rPr>
                <w:rFonts w:ascii="Times New Roman"/>
                <w:sz w:val="20"/>
              </w:rPr>
            </w:pPr>
            <w:r>
              <w:rPr>
                <w:rFonts w:ascii="Times New Roman"/>
                <w:w w:val="105"/>
                <w:sz w:val="20"/>
              </w:rPr>
              <w:t>rischio causa Andritz</w:t>
            </w:r>
          </w:p>
        </w:tc>
        <w:tc>
          <w:tcPr>
            <w:tcW w:w="372" w:type="dxa"/>
          </w:tcPr>
          <w:p>
            <w:pPr/>
          </w:p>
        </w:tc>
        <w:tc>
          <w:tcPr>
            <w:tcW w:w="1818" w:type="dxa"/>
          </w:tcPr>
          <w:p>
            <w:pPr>
              <w:pStyle w:val="TableParagraph"/>
              <w:tabs>
                <w:tab w:pos="504" w:val="left" w:leader="none"/>
                <w:tab w:pos="1787" w:val="left" w:leader="none"/>
              </w:tabs>
              <w:spacing w:line="238" w:lineRule="exact" w:before="0"/>
              <w:ind w:right="28"/>
              <w:jc w:val="center"/>
              <w:rPr>
                <w:rFonts w:ascii="Times New Roman"/>
                <w:b/>
                <w:sz w:val="21"/>
              </w:rPr>
            </w:pPr>
            <w:r>
              <w:rPr>
                <w:rFonts w:ascii="Times New Roman"/>
                <w:b/>
                <w:color w:val="FFFFFF"/>
                <w:w w:val="103"/>
                <w:sz w:val="21"/>
                <w:shd w:fill="9F2F33" w:color="auto" w:val="clear"/>
              </w:rPr>
              <w:t> </w:t>
            </w:r>
            <w:r>
              <w:rPr>
                <w:rFonts w:ascii="Times New Roman"/>
                <w:b/>
                <w:color w:val="FFFFFF"/>
                <w:sz w:val="21"/>
                <w:shd w:fill="9F2F33" w:color="auto" w:val="clear"/>
              </w:rPr>
              <w:tab/>
            </w:r>
            <w:r>
              <w:rPr>
                <w:rFonts w:ascii="Times New Roman"/>
                <w:b/>
                <w:color w:val="FFFFFF"/>
                <w:w w:val="105"/>
                <w:sz w:val="21"/>
                <w:shd w:fill="9F2F33" w:color="auto" w:val="clear"/>
              </w:rPr>
              <w:t>Importo</w:t>
            </w:r>
            <w:r>
              <w:rPr>
                <w:rFonts w:ascii="Times New Roman"/>
                <w:b/>
                <w:color w:val="FFFFFF"/>
                <w:sz w:val="21"/>
                <w:shd w:fill="9F2F33" w:color="auto" w:val="clear"/>
              </w:rPr>
              <w:tab/>
            </w:r>
          </w:p>
          <w:p>
            <w:pPr>
              <w:pStyle w:val="TableParagraph"/>
              <w:spacing w:before="56"/>
              <w:ind w:left="39" w:right="28"/>
              <w:jc w:val="center"/>
              <w:rPr>
                <w:rFonts w:ascii="Times New Roman"/>
                <w:sz w:val="20"/>
              </w:rPr>
            </w:pPr>
            <w:r>
              <w:rPr>
                <w:rFonts w:ascii="Times New Roman"/>
                <w:w w:val="105"/>
                <w:sz w:val="20"/>
              </w:rPr>
              <w:t>4.068.815</w:t>
            </w:r>
          </w:p>
        </w:tc>
      </w:tr>
      <w:tr>
        <w:trPr>
          <w:trHeight w:val="279" w:hRule="exact"/>
        </w:trPr>
        <w:tc>
          <w:tcPr>
            <w:tcW w:w="5136" w:type="dxa"/>
            <w:tcBorders>
              <w:bottom w:val="single" w:sz="5" w:space="0" w:color="000000"/>
            </w:tcBorders>
          </w:tcPr>
          <w:p>
            <w:pPr>
              <w:pStyle w:val="TableParagraph"/>
              <w:spacing w:before="26"/>
              <w:ind w:left="47"/>
              <w:jc w:val="left"/>
              <w:rPr>
                <w:rFonts w:ascii="Times New Roman"/>
                <w:sz w:val="20"/>
              </w:rPr>
            </w:pPr>
            <w:r>
              <w:rPr>
                <w:rFonts w:ascii="Times New Roman"/>
                <w:w w:val="105"/>
                <w:sz w:val="20"/>
              </w:rPr>
              <w:t>% azione di regresso vs Biochemtex</w:t>
            </w:r>
          </w:p>
        </w:tc>
        <w:tc>
          <w:tcPr>
            <w:tcW w:w="372" w:type="dxa"/>
          </w:tcPr>
          <w:p>
            <w:pPr/>
          </w:p>
        </w:tc>
        <w:tc>
          <w:tcPr>
            <w:tcW w:w="1818" w:type="dxa"/>
            <w:tcBorders>
              <w:bottom w:val="single" w:sz="5" w:space="0" w:color="000000"/>
            </w:tcBorders>
          </w:tcPr>
          <w:p>
            <w:pPr>
              <w:pStyle w:val="TableParagraph"/>
              <w:spacing w:before="26"/>
              <w:ind w:right="8"/>
              <w:jc w:val="center"/>
              <w:rPr>
                <w:rFonts w:ascii="Times New Roman"/>
                <w:sz w:val="20"/>
              </w:rPr>
            </w:pPr>
            <w:r>
              <w:rPr>
                <w:rFonts w:ascii="Times New Roman"/>
                <w:w w:val="105"/>
                <w:sz w:val="20"/>
              </w:rPr>
              <w:t>50%</w:t>
            </w:r>
          </w:p>
        </w:tc>
      </w:tr>
      <w:tr>
        <w:trPr>
          <w:trHeight w:val="297" w:hRule="exact"/>
        </w:trPr>
        <w:tc>
          <w:tcPr>
            <w:tcW w:w="5136" w:type="dxa"/>
            <w:tcBorders>
              <w:top w:val="single" w:sz="5" w:space="0" w:color="000000"/>
            </w:tcBorders>
          </w:tcPr>
          <w:p>
            <w:pPr>
              <w:pStyle w:val="TableParagraph"/>
              <w:spacing w:before="29"/>
              <w:ind w:left="47"/>
              <w:jc w:val="left"/>
              <w:rPr>
                <w:rFonts w:ascii="Times New Roman"/>
                <w:sz w:val="20"/>
              </w:rPr>
            </w:pPr>
            <w:r>
              <w:rPr>
                <w:rFonts w:ascii="Times New Roman"/>
                <w:w w:val="105"/>
                <w:sz w:val="20"/>
              </w:rPr>
              <w:t>Eventuale fondo rischi in Biochemtex</w:t>
            </w:r>
          </w:p>
        </w:tc>
        <w:tc>
          <w:tcPr>
            <w:tcW w:w="372" w:type="dxa"/>
          </w:tcPr>
          <w:p>
            <w:pPr/>
          </w:p>
        </w:tc>
        <w:tc>
          <w:tcPr>
            <w:tcW w:w="1818" w:type="dxa"/>
            <w:tcBorders>
              <w:top w:val="single" w:sz="5" w:space="0" w:color="000000"/>
            </w:tcBorders>
          </w:tcPr>
          <w:p>
            <w:pPr>
              <w:pStyle w:val="TableParagraph"/>
              <w:spacing w:before="29"/>
              <w:ind w:left="39" w:right="28"/>
              <w:jc w:val="center"/>
              <w:rPr>
                <w:rFonts w:ascii="Times New Roman"/>
                <w:sz w:val="20"/>
              </w:rPr>
            </w:pPr>
            <w:r>
              <w:rPr>
                <w:rFonts w:ascii="Times New Roman"/>
                <w:w w:val="105"/>
                <w:sz w:val="20"/>
              </w:rPr>
              <w:t>2.034.408</w:t>
            </w:r>
          </w:p>
        </w:tc>
      </w:tr>
      <w:tr>
        <w:trPr>
          <w:trHeight w:val="288" w:hRule="exact"/>
        </w:trPr>
        <w:tc>
          <w:tcPr>
            <w:tcW w:w="5136" w:type="dxa"/>
          </w:tcPr>
          <w:p>
            <w:pPr>
              <w:pStyle w:val="TableParagraph"/>
              <w:spacing w:before="26"/>
              <w:ind w:left="47"/>
              <w:jc w:val="left"/>
              <w:rPr>
                <w:rFonts w:ascii="Times New Roman"/>
                <w:sz w:val="20"/>
              </w:rPr>
            </w:pPr>
            <w:r>
              <w:rPr>
                <w:rFonts w:ascii="Times New Roman"/>
                <w:w w:val="105"/>
                <w:sz w:val="20"/>
              </w:rPr>
              <w:t>% di riparto come da piano Biochemtex</w:t>
            </w:r>
          </w:p>
        </w:tc>
        <w:tc>
          <w:tcPr>
            <w:tcW w:w="372" w:type="dxa"/>
          </w:tcPr>
          <w:p>
            <w:pPr/>
          </w:p>
        </w:tc>
        <w:tc>
          <w:tcPr>
            <w:tcW w:w="1818" w:type="dxa"/>
          </w:tcPr>
          <w:p>
            <w:pPr>
              <w:pStyle w:val="TableParagraph"/>
              <w:spacing w:before="26"/>
              <w:ind w:right="8"/>
              <w:jc w:val="center"/>
              <w:rPr>
                <w:rFonts w:ascii="Times New Roman"/>
                <w:sz w:val="20"/>
              </w:rPr>
            </w:pPr>
            <w:r>
              <w:rPr>
                <w:rFonts w:ascii="Times New Roman"/>
                <w:w w:val="105"/>
                <w:sz w:val="20"/>
              </w:rPr>
              <w:t>20%</w:t>
            </w:r>
          </w:p>
        </w:tc>
      </w:tr>
      <w:tr>
        <w:trPr>
          <w:trHeight w:val="257" w:hRule="exact"/>
        </w:trPr>
        <w:tc>
          <w:tcPr>
            <w:tcW w:w="5136" w:type="dxa"/>
          </w:tcPr>
          <w:p>
            <w:pPr>
              <w:pStyle w:val="TableParagraph"/>
              <w:spacing w:before="26"/>
              <w:ind w:left="47"/>
              <w:jc w:val="left"/>
              <w:rPr>
                <w:rFonts w:ascii="Times New Roman"/>
                <w:sz w:val="20"/>
              </w:rPr>
            </w:pPr>
            <w:r>
              <w:rPr>
                <w:rFonts w:ascii="Times New Roman"/>
                <w:w w:val="105"/>
                <w:sz w:val="20"/>
              </w:rPr>
              <w:t>Fabbisogno a servizio del concordato Beta</w:t>
            </w:r>
          </w:p>
        </w:tc>
        <w:tc>
          <w:tcPr>
            <w:tcW w:w="372" w:type="dxa"/>
          </w:tcPr>
          <w:p>
            <w:pPr/>
          </w:p>
        </w:tc>
        <w:tc>
          <w:tcPr>
            <w:tcW w:w="1818" w:type="dxa"/>
          </w:tcPr>
          <w:p>
            <w:pPr>
              <w:pStyle w:val="TableParagraph"/>
              <w:spacing w:before="26"/>
              <w:ind w:left="51" w:right="28"/>
              <w:jc w:val="center"/>
              <w:rPr>
                <w:rFonts w:ascii="Times New Roman"/>
                <w:sz w:val="20"/>
              </w:rPr>
            </w:pPr>
            <w:r>
              <w:rPr>
                <w:rFonts w:ascii="Times New Roman"/>
                <w:w w:val="105"/>
                <w:sz w:val="20"/>
              </w:rPr>
              <w:t>406.882</w:t>
            </w:r>
          </w:p>
        </w:tc>
      </w:tr>
    </w:tbl>
    <w:p>
      <w:pPr>
        <w:pStyle w:val="BodyText"/>
        <w:rPr>
          <w:sz w:val="26"/>
        </w:rPr>
      </w:pPr>
    </w:p>
    <w:p>
      <w:pPr>
        <w:pStyle w:val="BodyText"/>
        <w:rPr>
          <w:sz w:val="26"/>
        </w:rPr>
      </w:pPr>
    </w:p>
    <w:p>
      <w:pPr>
        <w:pStyle w:val="BodyText"/>
        <w:rPr>
          <w:sz w:val="25"/>
        </w:rPr>
      </w:pPr>
    </w:p>
    <w:p>
      <w:pPr>
        <w:tabs>
          <w:tab w:pos="7443" w:val="left" w:leader="none"/>
          <w:tab w:pos="7814" w:val="left" w:leader="none"/>
          <w:tab w:pos="8319" w:val="left" w:leader="none"/>
          <w:tab w:pos="9603" w:val="left" w:leader="none"/>
        </w:tabs>
        <w:spacing w:before="0"/>
        <w:ind w:left="2319" w:right="0" w:firstLine="0"/>
        <w:jc w:val="left"/>
        <w:rPr>
          <w:rFonts w:ascii="Times New Roman"/>
          <w:b/>
          <w:sz w:val="21"/>
        </w:rPr>
      </w:pPr>
      <w:r>
        <w:rPr>
          <w:rFonts w:ascii="Times New Roman"/>
          <w:b/>
          <w:color w:val="FFFFFF"/>
          <w:spacing w:val="-19"/>
          <w:w w:val="103"/>
          <w:sz w:val="21"/>
          <w:shd w:fill="9F2F33" w:color="auto" w:val="clear"/>
        </w:rPr>
        <w:t> </w:t>
      </w:r>
      <w:r>
        <w:rPr>
          <w:rFonts w:ascii="Times New Roman"/>
          <w:b/>
          <w:color w:val="FFFFFF"/>
          <w:spacing w:val="-3"/>
          <w:w w:val="105"/>
          <w:sz w:val="21"/>
          <w:shd w:fill="9F2F33" w:color="auto" w:val="clear"/>
        </w:rPr>
        <w:t>Tabella</w:t>
      </w:r>
      <w:r>
        <w:rPr>
          <w:rFonts w:ascii="Times New Roman"/>
          <w:b/>
          <w:color w:val="FFFFFF"/>
          <w:w w:val="105"/>
          <w:sz w:val="21"/>
          <w:shd w:fill="9F2F33" w:color="auto" w:val="clear"/>
        </w:rPr>
        <w:t> n.2</w:t>
        <w:tab/>
      </w:r>
      <w:r>
        <w:rPr>
          <w:rFonts w:ascii="Times New Roman"/>
          <w:b/>
          <w:color w:val="FFFFFF"/>
          <w:w w:val="105"/>
          <w:sz w:val="21"/>
        </w:rPr>
        <w:tab/>
      </w:r>
      <w:r>
        <w:rPr>
          <w:rFonts w:ascii="Times New Roman"/>
          <w:b/>
          <w:color w:val="FFFFFF"/>
          <w:w w:val="105"/>
          <w:sz w:val="21"/>
          <w:shd w:fill="9F2F33" w:color="auto" w:val="clear"/>
        </w:rPr>
        <w:tab/>
        <w:t>Importo</w:t>
      </w:r>
      <w:r>
        <w:rPr>
          <w:rFonts w:ascii="Times New Roman"/>
          <w:b/>
          <w:color w:val="FFFFFF"/>
          <w:sz w:val="21"/>
          <w:shd w:fill="9F2F33" w:color="auto" w:val="clear"/>
        </w:rPr>
        <w:tab/>
      </w:r>
    </w:p>
    <w:p>
      <w:pPr>
        <w:spacing w:before="55"/>
        <w:ind w:left="2355" w:right="0" w:firstLine="0"/>
        <w:jc w:val="left"/>
        <w:rPr>
          <w:rFonts w:ascii="Times New Roman"/>
          <w:b/>
          <w:sz w:val="20"/>
        </w:rPr>
      </w:pPr>
      <w:r>
        <w:rPr>
          <w:rFonts w:ascii="Times New Roman"/>
          <w:b/>
          <w:sz w:val="20"/>
          <w:u w:val="thick"/>
        </w:rPr>
        <w:t>Piano Beta</w:t>
      </w:r>
    </w:p>
    <w:p>
      <w:pPr>
        <w:tabs>
          <w:tab w:pos="9546" w:val="right" w:leader="none"/>
        </w:tabs>
        <w:spacing w:before="48"/>
        <w:ind w:left="2355" w:right="0" w:firstLine="0"/>
        <w:jc w:val="left"/>
        <w:rPr>
          <w:rFonts w:ascii="Times New Roman" w:hAnsi="Times New Roman"/>
          <w:sz w:val="20"/>
        </w:rPr>
      </w:pPr>
      <w:r>
        <w:rPr>
          <w:rFonts w:ascii="Times New Roman" w:hAnsi="Times New Roman"/>
          <w:spacing w:val="-3"/>
          <w:w w:val="105"/>
          <w:sz w:val="21"/>
        </w:rPr>
        <w:t>Riparto </w:t>
      </w:r>
      <w:r>
        <w:rPr>
          <w:rFonts w:ascii="Times New Roman" w:hAnsi="Times New Roman"/>
          <w:w w:val="105"/>
          <w:sz w:val="21"/>
        </w:rPr>
        <w:t>ai</w:t>
      </w:r>
      <w:r>
        <w:rPr>
          <w:rFonts w:ascii="Times New Roman" w:hAnsi="Times New Roman"/>
          <w:spacing w:val="-14"/>
          <w:w w:val="105"/>
          <w:sz w:val="21"/>
        </w:rPr>
        <w:t> </w:t>
      </w:r>
      <w:r>
        <w:rPr>
          <w:rFonts w:ascii="Times New Roman" w:hAnsi="Times New Roman"/>
          <w:w w:val="105"/>
          <w:sz w:val="21"/>
        </w:rPr>
        <w:t>Creditori</w:t>
      </w:r>
      <w:r>
        <w:rPr>
          <w:rFonts w:ascii="Times New Roman" w:hAnsi="Times New Roman"/>
          <w:spacing w:val="-14"/>
          <w:w w:val="105"/>
          <w:sz w:val="21"/>
        </w:rPr>
        <w:t> </w:t>
      </w:r>
      <w:r>
        <w:rPr>
          <w:rFonts w:ascii="Times New Roman" w:hAnsi="Times New Roman"/>
          <w:spacing w:val="-3"/>
          <w:w w:val="105"/>
          <w:sz w:val="21"/>
        </w:rPr>
        <w:t>Chirografari</w:t>
      </w:r>
      <w:r>
        <w:rPr>
          <w:rFonts w:ascii="Times New Roman" w:hAnsi="Times New Roman"/>
          <w:spacing w:val="-14"/>
          <w:w w:val="105"/>
          <w:sz w:val="21"/>
        </w:rPr>
        <w:t> </w:t>
      </w:r>
      <w:r>
        <w:rPr>
          <w:rFonts w:ascii="Times New Roman" w:hAnsi="Times New Roman"/>
          <w:w w:val="105"/>
          <w:sz w:val="21"/>
        </w:rPr>
        <w:t>Postergati</w:t>
      </w:r>
      <w:r>
        <w:rPr>
          <w:rFonts w:ascii="Times New Roman" w:hAnsi="Times New Roman"/>
          <w:spacing w:val="-14"/>
          <w:w w:val="105"/>
          <w:sz w:val="21"/>
        </w:rPr>
        <w:t> </w:t>
      </w:r>
      <w:r>
        <w:rPr>
          <w:rFonts w:ascii="Times New Roman" w:hAnsi="Times New Roman"/>
          <w:w w:val="105"/>
          <w:sz w:val="21"/>
        </w:rPr>
        <w:t>(44%</w:t>
      </w:r>
      <w:r>
        <w:rPr>
          <w:rFonts w:ascii="Times New Roman" w:hAnsi="Times New Roman"/>
          <w:spacing w:val="-3"/>
          <w:w w:val="105"/>
          <w:sz w:val="21"/>
        </w:rPr>
        <w:t> </w:t>
      </w:r>
      <w:r>
        <w:rPr>
          <w:rFonts w:ascii="Times New Roman" w:hAnsi="Times New Roman"/>
          <w:w w:val="105"/>
          <w:sz w:val="21"/>
        </w:rPr>
        <w:t>ca</w:t>
      </w:r>
      <w:r>
        <w:rPr>
          <w:rFonts w:ascii="Times New Roman" w:hAnsi="Times New Roman"/>
          <w:spacing w:val="-3"/>
          <w:w w:val="105"/>
          <w:sz w:val="21"/>
        </w:rPr>
        <w:t> </w:t>
      </w:r>
      <w:r>
        <w:rPr>
          <w:rFonts w:ascii="Times New Roman" w:hAnsi="Times New Roman"/>
          <w:w w:val="105"/>
          <w:sz w:val="21"/>
        </w:rPr>
        <w:t>di</w:t>
      </w:r>
      <w:r>
        <w:rPr>
          <w:rFonts w:ascii="Times New Roman" w:hAnsi="Times New Roman"/>
          <w:spacing w:val="-14"/>
          <w:w w:val="105"/>
          <w:sz w:val="21"/>
        </w:rPr>
        <w:t> </w:t>
      </w:r>
      <w:r>
        <w:rPr>
          <w:rFonts w:ascii="Times New Roman" w:hAnsi="Times New Roman"/>
          <w:w w:val="105"/>
          <w:sz w:val="21"/>
        </w:rPr>
        <w:t>31,5M€)</w:t>
      </w:r>
      <w:r>
        <w:rPr>
          <w:rFonts w:ascii="Times New Roman" w:hAnsi="Times New Roman"/>
          <w:w w:val="105"/>
          <w:sz w:val="20"/>
        </w:rPr>
        <w:tab/>
      </w:r>
      <w:r>
        <w:rPr>
          <w:rFonts w:ascii="Times New Roman" w:hAnsi="Times New Roman"/>
          <w:spacing w:val="2"/>
          <w:w w:val="105"/>
          <w:sz w:val="20"/>
        </w:rPr>
        <w:t>14.124.745</w:t>
      </w:r>
    </w:p>
    <w:p>
      <w:pPr>
        <w:tabs>
          <w:tab w:pos="9546" w:val="right" w:leader="none"/>
        </w:tabs>
        <w:spacing w:before="55"/>
        <w:ind w:left="2355" w:right="0" w:firstLine="0"/>
        <w:jc w:val="left"/>
        <w:rPr>
          <w:rFonts w:ascii="Times New Roman"/>
          <w:b/>
          <w:sz w:val="20"/>
        </w:rPr>
      </w:pPr>
      <w:r>
        <w:rPr>
          <w:rFonts w:ascii="Times New Roman"/>
          <w:b/>
          <w:sz w:val="20"/>
        </w:rPr>
        <w:t>Riparto </w:t>
      </w:r>
      <w:r>
        <w:rPr>
          <w:rFonts w:ascii="Times New Roman"/>
          <w:b/>
          <w:spacing w:val="-4"/>
          <w:sz w:val="20"/>
        </w:rPr>
        <w:t>vs </w:t>
      </w:r>
      <w:r>
        <w:rPr>
          <w:rFonts w:ascii="Times New Roman"/>
          <w:b/>
          <w:spacing w:val="3"/>
          <w:sz w:val="20"/>
        </w:rPr>
        <w:t>Biochemtex </w:t>
      </w:r>
      <w:r>
        <w:rPr>
          <w:rFonts w:ascii="Times New Roman"/>
          <w:b/>
          <w:spacing w:val="7"/>
          <w:sz w:val="20"/>
        </w:rPr>
        <w:t>in</w:t>
      </w:r>
      <w:r>
        <w:rPr>
          <w:rFonts w:ascii="Times New Roman"/>
          <w:b/>
          <w:spacing w:val="-7"/>
          <w:sz w:val="20"/>
        </w:rPr>
        <w:t> </w:t>
      </w:r>
      <w:r>
        <w:rPr>
          <w:rFonts w:ascii="Times New Roman"/>
          <w:b/>
          <w:spacing w:val="-3"/>
          <w:sz w:val="20"/>
        </w:rPr>
        <w:t>hp</w:t>
      </w:r>
      <w:r>
        <w:rPr>
          <w:rFonts w:ascii="Times New Roman"/>
          <w:b/>
          <w:spacing w:val="-7"/>
          <w:sz w:val="20"/>
        </w:rPr>
        <w:t> </w:t>
      </w:r>
      <w:r>
        <w:rPr>
          <w:rFonts w:ascii="Times New Roman"/>
          <w:b/>
          <w:sz w:val="20"/>
        </w:rPr>
        <w:t>piano</w:t>
        <w:tab/>
      </w:r>
      <w:r>
        <w:rPr>
          <w:rFonts w:ascii="Times New Roman"/>
          <w:b/>
          <w:spacing w:val="2"/>
          <w:sz w:val="20"/>
        </w:rPr>
        <w:t>13.586.136</w:t>
      </w:r>
    </w:p>
    <w:p>
      <w:pPr>
        <w:tabs>
          <w:tab w:pos="9171" w:val="left" w:leader="none"/>
        </w:tabs>
        <w:spacing w:before="57"/>
        <w:ind w:left="2403" w:right="0" w:firstLine="0"/>
        <w:jc w:val="left"/>
        <w:rPr>
          <w:rFonts w:ascii="Times New Roman"/>
          <w:sz w:val="20"/>
        </w:rPr>
      </w:pPr>
      <w:r>
        <w:rPr>
          <w:rFonts w:ascii="Times New Roman"/>
          <w:sz w:val="20"/>
        </w:rPr>
        <w:t>% Biochemtex creditto su</w:t>
      </w:r>
      <w:r>
        <w:rPr>
          <w:rFonts w:ascii="Times New Roman"/>
          <w:spacing w:val="28"/>
          <w:sz w:val="20"/>
        </w:rPr>
        <w:t> </w:t>
      </w:r>
      <w:r>
        <w:rPr>
          <w:rFonts w:ascii="Times New Roman"/>
          <w:sz w:val="20"/>
        </w:rPr>
        <w:t>Chiro</w:t>
      </w:r>
      <w:r>
        <w:rPr>
          <w:rFonts w:ascii="Times New Roman"/>
          <w:spacing w:val="16"/>
          <w:sz w:val="20"/>
        </w:rPr>
        <w:t> </w:t>
      </w:r>
      <w:r>
        <w:rPr>
          <w:rFonts w:ascii="Times New Roman"/>
          <w:sz w:val="20"/>
        </w:rPr>
        <w:t>Postergati</w:t>
        <w:tab/>
      </w:r>
      <w:r>
        <w:rPr>
          <w:rFonts w:ascii="Times New Roman"/>
          <w:spacing w:val="5"/>
          <w:sz w:val="20"/>
        </w:rPr>
        <w:t>96%</w:t>
      </w:r>
    </w:p>
    <w:p>
      <w:pPr>
        <w:spacing w:before="213"/>
        <w:ind w:left="2355" w:right="0" w:firstLine="0"/>
        <w:jc w:val="left"/>
        <w:rPr>
          <w:rFonts w:ascii="Times New Roman"/>
          <w:b/>
          <w:sz w:val="20"/>
        </w:rPr>
      </w:pPr>
      <w:r>
        <w:rPr>
          <w:rFonts w:ascii="Times New Roman"/>
          <w:b/>
          <w:sz w:val="20"/>
          <w:u w:val="thick"/>
        </w:rPr>
        <w:t>Sensitivity su Piano Beta</w:t>
      </w:r>
    </w:p>
    <w:p>
      <w:pPr>
        <w:tabs>
          <w:tab w:pos="9546" w:val="right" w:leader="none"/>
        </w:tabs>
        <w:spacing w:before="48"/>
        <w:ind w:left="2355" w:right="0" w:firstLine="0"/>
        <w:jc w:val="left"/>
        <w:rPr>
          <w:rFonts w:ascii="Times New Roman" w:hAnsi="Times New Roman"/>
          <w:sz w:val="20"/>
        </w:rPr>
      </w:pPr>
      <w:r>
        <w:rPr>
          <w:rFonts w:ascii="Times New Roman" w:hAnsi="Times New Roman"/>
          <w:spacing w:val="-3"/>
          <w:w w:val="105"/>
          <w:sz w:val="21"/>
        </w:rPr>
        <w:t>Riparto </w:t>
      </w:r>
      <w:r>
        <w:rPr>
          <w:rFonts w:ascii="Times New Roman" w:hAnsi="Times New Roman"/>
          <w:w w:val="105"/>
          <w:sz w:val="21"/>
        </w:rPr>
        <w:t>ai</w:t>
      </w:r>
      <w:r>
        <w:rPr>
          <w:rFonts w:ascii="Times New Roman" w:hAnsi="Times New Roman"/>
          <w:spacing w:val="-14"/>
          <w:w w:val="105"/>
          <w:sz w:val="21"/>
        </w:rPr>
        <w:t> </w:t>
      </w:r>
      <w:r>
        <w:rPr>
          <w:rFonts w:ascii="Times New Roman" w:hAnsi="Times New Roman"/>
          <w:w w:val="105"/>
          <w:sz w:val="21"/>
        </w:rPr>
        <w:t>Creditori</w:t>
      </w:r>
      <w:r>
        <w:rPr>
          <w:rFonts w:ascii="Times New Roman" w:hAnsi="Times New Roman"/>
          <w:spacing w:val="-14"/>
          <w:w w:val="105"/>
          <w:sz w:val="21"/>
        </w:rPr>
        <w:t> </w:t>
      </w:r>
      <w:r>
        <w:rPr>
          <w:rFonts w:ascii="Times New Roman" w:hAnsi="Times New Roman"/>
          <w:spacing w:val="-3"/>
          <w:w w:val="105"/>
          <w:sz w:val="21"/>
        </w:rPr>
        <w:t>Chirografari</w:t>
      </w:r>
      <w:r>
        <w:rPr>
          <w:rFonts w:ascii="Times New Roman" w:hAnsi="Times New Roman"/>
          <w:spacing w:val="-14"/>
          <w:w w:val="105"/>
          <w:sz w:val="21"/>
        </w:rPr>
        <w:t> </w:t>
      </w:r>
      <w:r>
        <w:rPr>
          <w:rFonts w:ascii="Times New Roman" w:hAnsi="Times New Roman"/>
          <w:w w:val="105"/>
          <w:sz w:val="21"/>
        </w:rPr>
        <w:t>Postergati</w:t>
      </w:r>
      <w:r>
        <w:rPr>
          <w:rFonts w:ascii="Times New Roman" w:hAnsi="Times New Roman"/>
          <w:spacing w:val="-14"/>
          <w:w w:val="105"/>
          <w:sz w:val="21"/>
        </w:rPr>
        <w:t> </w:t>
      </w:r>
      <w:r>
        <w:rPr>
          <w:rFonts w:ascii="Times New Roman" w:hAnsi="Times New Roman"/>
          <w:w w:val="105"/>
          <w:sz w:val="21"/>
        </w:rPr>
        <w:t>(33%</w:t>
      </w:r>
      <w:r>
        <w:rPr>
          <w:rFonts w:ascii="Times New Roman" w:hAnsi="Times New Roman"/>
          <w:spacing w:val="-3"/>
          <w:w w:val="105"/>
          <w:sz w:val="21"/>
        </w:rPr>
        <w:t> </w:t>
      </w:r>
      <w:r>
        <w:rPr>
          <w:rFonts w:ascii="Times New Roman" w:hAnsi="Times New Roman"/>
          <w:w w:val="105"/>
          <w:sz w:val="21"/>
        </w:rPr>
        <w:t>ca</w:t>
      </w:r>
      <w:r>
        <w:rPr>
          <w:rFonts w:ascii="Times New Roman" w:hAnsi="Times New Roman"/>
          <w:spacing w:val="-3"/>
          <w:w w:val="105"/>
          <w:sz w:val="21"/>
        </w:rPr>
        <w:t> </w:t>
      </w:r>
      <w:r>
        <w:rPr>
          <w:rFonts w:ascii="Times New Roman" w:hAnsi="Times New Roman"/>
          <w:w w:val="105"/>
          <w:sz w:val="21"/>
        </w:rPr>
        <w:t>di</w:t>
      </w:r>
      <w:r>
        <w:rPr>
          <w:rFonts w:ascii="Times New Roman" w:hAnsi="Times New Roman"/>
          <w:spacing w:val="-14"/>
          <w:w w:val="105"/>
          <w:sz w:val="21"/>
        </w:rPr>
        <w:t> </w:t>
      </w:r>
      <w:r>
        <w:rPr>
          <w:rFonts w:ascii="Times New Roman" w:hAnsi="Times New Roman"/>
          <w:w w:val="105"/>
          <w:sz w:val="21"/>
        </w:rPr>
        <w:t>31,5M€)</w:t>
      </w:r>
      <w:r>
        <w:rPr>
          <w:rFonts w:ascii="Times New Roman" w:hAnsi="Times New Roman"/>
          <w:w w:val="105"/>
          <w:sz w:val="20"/>
        </w:rPr>
        <w:tab/>
      </w:r>
      <w:r>
        <w:rPr>
          <w:rFonts w:ascii="Times New Roman" w:hAnsi="Times New Roman"/>
          <w:spacing w:val="2"/>
          <w:w w:val="105"/>
          <w:sz w:val="20"/>
        </w:rPr>
        <w:t>10.481.812</w:t>
      </w:r>
    </w:p>
    <w:p>
      <w:pPr>
        <w:tabs>
          <w:tab w:pos="9546" w:val="right" w:leader="none"/>
        </w:tabs>
        <w:spacing w:before="56"/>
        <w:ind w:left="2355" w:right="0" w:firstLine="0"/>
        <w:jc w:val="left"/>
        <w:rPr>
          <w:rFonts w:ascii="Times New Roman"/>
          <w:b/>
          <w:sz w:val="20"/>
        </w:rPr>
      </w:pPr>
      <w:r>
        <w:rPr>
          <w:rFonts w:ascii="Times New Roman"/>
          <w:b/>
          <w:sz w:val="20"/>
        </w:rPr>
        <w:t>Riparto </w:t>
      </w:r>
      <w:r>
        <w:rPr>
          <w:rFonts w:ascii="Times New Roman"/>
          <w:b/>
          <w:spacing w:val="-4"/>
          <w:sz w:val="20"/>
        </w:rPr>
        <w:t>vs </w:t>
      </w:r>
      <w:r>
        <w:rPr>
          <w:rFonts w:ascii="Times New Roman"/>
          <w:b/>
          <w:spacing w:val="3"/>
          <w:sz w:val="20"/>
        </w:rPr>
        <w:t>Biochemtex </w:t>
      </w:r>
      <w:r>
        <w:rPr>
          <w:rFonts w:ascii="Times New Roman"/>
          <w:b/>
          <w:spacing w:val="7"/>
          <w:sz w:val="20"/>
        </w:rPr>
        <w:t>in</w:t>
      </w:r>
      <w:r>
        <w:rPr>
          <w:rFonts w:ascii="Times New Roman"/>
          <w:b/>
          <w:spacing w:val="-5"/>
          <w:sz w:val="20"/>
        </w:rPr>
        <w:t> </w:t>
      </w:r>
      <w:r>
        <w:rPr>
          <w:rFonts w:ascii="Times New Roman"/>
          <w:b/>
          <w:spacing w:val="-3"/>
          <w:sz w:val="20"/>
        </w:rPr>
        <w:t>hp</w:t>
      </w:r>
      <w:r>
        <w:rPr>
          <w:rFonts w:ascii="Times New Roman"/>
          <w:b/>
          <w:spacing w:val="-7"/>
          <w:sz w:val="20"/>
        </w:rPr>
        <w:t> </w:t>
      </w:r>
      <w:r>
        <w:rPr>
          <w:rFonts w:ascii="Times New Roman"/>
          <w:b/>
          <w:spacing w:val="4"/>
          <w:sz w:val="20"/>
        </w:rPr>
        <w:t>sensitivity</w:t>
        <w:tab/>
      </w:r>
      <w:r>
        <w:rPr>
          <w:rFonts w:ascii="Times New Roman"/>
          <w:b/>
          <w:spacing w:val="2"/>
          <w:sz w:val="20"/>
        </w:rPr>
        <w:t>10.082.116</w:t>
      </w:r>
    </w:p>
    <w:p>
      <w:pPr>
        <w:tabs>
          <w:tab w:pos="9171" w:val="left" w:leader="none"/>
        </w:tabs>
        <w:spacing w:before="58"/>
        <w:ind w:left="2403" w:right="0" w:firstLine="0"/>
        <w:jc w:val="left"/>
        <w:rPr>
          <w:rFonts w:ascii="Times New Roman"/>
          <w:sz w:val="20"/>
        </w:rPr>
      </w:pPr>
      <w:r>
        <w:rPr>
          <w:rFonts w:ascii="Times New Roman"/>
          <w:sz w:val="20"/>
        </w:rPr>
        <w:t>% Biochemtex creditto su</w:t>
      </w:r>
      <w:r>
        <w:rPr>
          <w:rFonts w:ascii="Times New Roman"/>
          <w:spacing w:val="30"/>
          <w:sz w:val="20"/>
        </w:rPr>
        <w:t> </w:t>
      </w:r>
      <w:r>
        <w:rPr>
          <w:rFonts w:ascii="Times New Roman"/>
          <w:sz w:val="20"/>
        </w:rPr>
        <w:t>Chirografari</w:t>
      </w:r>
      <w:r>
        <w:rPr>
          <w:rFonts w:ascii="Times New Roman"/>
          <w:spacing w:val="13"/>
          <w:sz w:val="20"/>
        </w:rPr>
        <w:t> </w:t>
      </w:r>
      <w:r>
        <w:rPr>
          <w:rFonts w:ascii="Times New Roman"/>
          <w:sz w:val="20"/>
        </w:rPr>
        <w:t>Postergati</w:t>
        <w:tab/>
      </w:r>
      <w:r>
        <w:rPr>
          <w:rFonts w:ascii="Times New Roman"/>
          <w:spacing w:val="5"/>
          <w:sz w:val="20"/>
        </w:rPr>
        <w:t>96%</w:t>
      </w:r>
    </w:p>
    <w:p>
      <w:pPr>
        <w:tabs>
          <w:tab w:pos="8559" w:val="left" w:leader="none"/>
        </w:tabs>
        <w:spacing w:before="346"/>
        <w:ind w:left="2355" w:right="0" w:firstLine="0"/>
        <w:jc w:val="left"/>
        <w:rPr>
          <w:rFonts w:ascii="Times New Roman"/>
          <w:b/>
          <w:sz w:val="20"/>
        </w:rPr>
      </w:pPr>
      <w:r>
        <w:rPr/>
        <w:pict>
          <v:group style="position:absolute;margin-left:115.059998pt;margin-top:15.225355pt;width:257.45pt;height:.6pt;mso-position-horizontal-relative:page;mso-position-vertical-relative:paragraph;z-index:3376" coordorigin="2301,305" coordsize="5149,12">
            <v:line style="position:absolute" from="2313,311" to="7437,311" stroked="true" strokeweight=".597889pt" strokecolor="#000000">
              <v:stroke dashstyle="solid"/>
            </v:line>
            <v:line style="position:absolute" from="2307,311" to="7443,311" stroked="true" strokeweight=".597879pt" strokecolor="#000000">
              <v:stroke dashstyle="solid"/>
            </v:line>
            <w10:wrap type="none"/>
          </v:group>
        </w:pict>
      </w:r>
      <w:r>
        <w:rPr/>
        <w:pict>
          <v:group style="position:absolute;margin-left:390.452789pt;margin-top:15.225355pt;width:90.05pt;height:.6pt;mso-position-horizontal-relative:page;mso-position-vertical-relative:paragraph;z-index:3400" coordorigin="7809,305" coordsize="1801,12">
            <v:line style="position:absolute" from="7821,311" to="9597,311" stroked="true" strokeweight=".597889pt" strokecolor="#000000">
              <v:stroke dashstyle="solid"/>
            </v:line>
            <v:line style="position:absolute" from="7815,311" to="9603,311" stroked="true" strokeweight=".597879pt" strokecolor="#000000">
              <v:stroke dashstyle="solid"/>
            </v:line>
            <w10:wrap type="none"/>
          </v:group>
        </w:pict>
      </w:r>
      <w:r>
        <w:rPr>
          <w:rFonts w:ascii="Times New Roman"/>
          <w:b/>
          <w:spacing w:val="2"/>
          <w:sz w:val="20"/>
        </w:rPr>
        <w:t>Minor </w:t>
      </w:r>
      <w:r>
        <w:rPr>
          <w:rFonts w:ascii="Times New Roman"/>
          <w:b/>
          <w:sz w:val="20"/>
        </w:rPr>
        <w:t>Riparto</w:t>
      </w:r>
      <w:r>
        <w:rPr>
          <w:rFonts w:ascii="Times New Roman"/>
          <w:b/>
          <w:spacing w:val="26"/>
          <w:sz w:val="20"/>
        </w:rPr>
        <w:t> </w:t>
      </w:r>
      <w:r>
        <w:rPr>
          <w:rFonts w:ascii="Times New Roman"/>
          <w:b/>
          <w:spacing w:val="-4"/>
          <w:sz w:val="20"/>
        </w:rPr>
        <w:t>vs</w:t>
      </w:r>
      <w:r>
        <w:rPr>
          <w:rFonts w:ascii="Times New Roman"/>
          <w:b/>
          <w:spacing w:val="13"/>
          <w:sz w:val="20"/>
        </w:rPr>
        <w:t> </w:t>
      </w:r>
      <w:r>
        <w:rPr>
          <w:rFonts w:ascii="Times New Roman"/>
          <w:b/>
          <w:spacing w:val="3"/>
          <w:sz w:val="20"/>
        </w:rPr>
        <w:t>Biochemtex</w:t>
        <w:tab/>
      </w:r>
      <w:r>
        <w:rPr>
          <w:rFonts w:ascii="Times New Roman"/>
          <w:b/>
          <w:spacing w:val="2"/>
          <w:sz w:val="20"/>
        </w:rPr>
        <w:t>(3.504.020)</w:t>
      </w:r>
    </w:p>
    <w:p>
      <w:pPr>
        <w:pStyle w:val="BodyText"/>
        <w:rPr>
          <w:rFonts w:ascii="Times New Roman"/>
          <w:b/>
          <w:sz w:val="26"/>
        </w:rPr>
      </w:pPr>
    </w:p>
    <w:p>
      <w:pPr>
        <w:pStyle w:val="BodyText"/>
        <w:rPr>
          <w:rFonts w:ascii="Times New Roman"/>
          <w:b/>
          <w:sz w:val="26"/>
        </w:rPr>
      </w:pPr>
    </w:p>
    <w:p>
      <w:pPr>
        <w:pStyle w:val="BodyText"/>
        <w:spacing w:before="1"/>
        <w:rPr>
          <w:rFonts w:ascii="Times New Roman"/>
          <w:b/>
          <w:sz w:val="21"/>
        </w:rPr>
      </w:pPr>
    </w:p>
    <w:p>
      <w:pPr>
        <w:pStyle w:val="BodyText"/>
        <w:spacing w:line="480" w:lineRule="auto" w:before="1"/>
        <w:ind w:left="1418" w:right="1518"/>
      </w:pPr>
      <w:r>
        <w:rPr/>
        <w:t>La </w:t>
      </w:r>
      <w:r>
        <w:rPr>
          <w:b/>
        </w:rPr>
        <w:t>sensitivity n.3 </w:t>
      </w:r>
      <w:r>
        <w:rPr/>
        <w:t>considera l’abbattimento forfettario del 25% del valore di realizzo dell’immobile di Modugno.</w:t>
      </w:r>
    </w:p>
    <w:p>
      <w:pPr>
        <w:pStyle w:val="BodyText"/>
        <w:ind w:left="1418"/>
      </w:pPr>
      <w:r>
        <w:rPr/>
        <w:t>A tal riguardo gli scriventi hanno attentamente esaminato la relazione dell’Arch. Bolamberti del</w:t>
      </w:r>
    </w:p>
    <w:p>
      <w:pPr>
        <w:pStyle w:val="BodyText"/>
        <w:spacing w:before="10"/>
        <w:rPr>
          <w:sz w:val="23"/>
        </w:rPr>
      </w:pPr>
    </w:p>
    <w:p>
      <w:pPr>
        <w:pStyle w:val="ListParagraph"/>
        <w:numPr>
          <w:ilvl w:val="0"/>
          <w:numId w:val="85"/>
        </w:numPr>
        <w:tabs>
          <w:tab w:pos="1806" w:val="left" w:leader="none"/>
        </w:tabs>
        <w:spacing w:line="480" w:lineRule="auto" w:before="0" w:after="0"/>
        <w:ind w:left="1418" w:right="1417" w:firstLine="0"/>
        <w:jc w:val="left"/>
        <w:rPr>
          <w:sz w:val="24"/>
        </w:rPr>
      </w:pPr>
      <w:r>
        <w:rPr>
          <w:sz w:val="24"/>
        </w:rPr>
        <w:t>febbraio 2018 che attraverso un percorso completo e motivato perviene alla stima dell’immobile in esame pari ad Euro 1,05 Milioni</w:t>
      </w:r>
      <w:r>
        <w:rPr>
          <w:spacing w:val="-6"/>
          <w:sz w:val="24"/>
        </w:rPr>
        <w:t> </w:t>
      </w:r>
      <w:r>
        <w:rPr>
          <w:sz w:val="24"/>
        </w:rPr>
        <w:t>circa.</w:t>
      </w:r>
    </w:p>
    <w:p>
      <w:pPr>
        <w:pStyle w:val="BodyText"/>
        <w:ind w:left="1418"/>
      </w:pPr>
      <w:r>
        <w:rPr/>
        <w:t>Hanno tuttavia richiesto una specifica integrazione in data 20 aprile 2018 sui seguenti aspetti:</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107"/>
        </w:numPr>
        <w:tabs>
          <w:tab w:pos="2127" w:val="left" w:leader="none"/>
        </w:tabs>
        <w:spacing w:line="240" w:lineRule="auto" w:before="100" w:after="0"/>
        <w:ind w:left="2138" w:right="0" w:hanging="360"/>
        <w:jc w:val="left"/>
        <w:rPr>
          <w:sz w:val="24"/>
        </w:rPr>
      </w:pPr>
      <w:r>
        <w:rPr>
          <w:sz w:val="24"/>
        </w:rPr>
        <w:t>il tipo di attività svolta all’interno</w:t>
      </w:r>
      <w:r>
        <w:rPr>
          <w:spacing w:val="-3"/>
          <w:sz w:val="24"/>
        </w:rPr>
        <w:t> </w:t>
      </w:r>
      <w:r>
        <w:rPr>
          <w:sz w:val="24"/>
        </w:rPr>
        <w:t>dell’immobile;</w:t>
      </w:r>
    </w:p>
    <w:p>
      <w:pPr>
        <w:pStyle w:val="BodyText"/>
        <w:spacing w:before="11"/>
        <w:rPr>
          <w:sz w:val="23"/>
        </w:rPr>
      </w:pPr>
    </w:p>
    <w:p>
      <w:pPr>
        <w:pStyle w:val="ListParagraph"/>
        <w:numPr>
          <w:ilvl w:val="0"/>
          <w:numId w:val="107"/>
        </w:numPr>
        <w:tabs>
          <w:tab w:pos="2127" w:val="left" w:leader="none"/>
        </w:tabs>
        <w:spacing w:line="240" w:lineRule="auto" w:before="0" w:after="0"/>
        <w:ind w:left="2126" w:right="0" w:hanging="348"/>
        <w:jc w:val="left"/>
        <w:rPr>
          <w:sz w:val="24"/>
        </w:rPr>
      </w:pPr>
      <w:r>
        <w:rPr>
          <w:sz w:val="24"/>
        </w:rPr>
        <w:t>l’eventuale rischio ambientale ed oneri di</w:t>
      </w:r>
      <w:r>
        <w:rPr>
          <w:spacing w:val="-7"/>
          <w:sz w:val="24"/>
        </w:rPr>
        <w:t> </w:t>
      </w:r>
      <w:r>
        <w:rPr>
          <w:sz w:val="24"/>
        </w:rPr>
        <w:t>smaltimento,</w:t>
      </w:r>
    </w:p>
    <w:p>
      <w:pPr>
        <w:pStyle w:val="BodyText"/>
        <w:spacing w:before="11"/>
        <w:rPr>
          <w:sz w:val="23"/>
        </w:rPr>
      </w:pPr>
    </w:p>
    <w:p>
      <w:pPr>
        <w:pStyle w:val="ListParagraph"/>
        <w:numPr>
          <w:ilvl w:val="0"/>
          <w:numId w:val="107"/>
        </w:numPr>
        <w:tabs>
          <w:tab w:pos="2127" w:val="left" w:leader="none"/>
        </w:tabs>
        <w:spacing w:line="480" w:lineRule="auto" w:before="0" w:after="0"/>
        <w:ind w:left="2138" w:right="1413" w:hanging="360"/>
        <w:jc w:val="left"/>
        <w:rPr>
          <w:sz w:val="24"/>
        </w:rPr>
      </w:pPr>
      <w:r>
        <w:rPr>
          <w:sz w:val="24"/>
        </w:rPr>
        <w:t>eventuali costi di manutenzione ordinaria e straordinaria da sostenere fino alla data ipotizzata di vendita</w:t>
      </w:r>
      <w:r>
        <w:rPr>
          <w:spacing w:val="-7"/>
          <w:sz w:val="24"/>
        </w:rPr>
        <w:t> </w:t>
      </w:r>
      <w:r>
        <w:rPr>
          <w:sz w:val="24"/>
        </w:rPr>
        <w:t>(2024);</w:t>
      </w:r>
    </w:p>
    <w:p>
      <w:pPr>
        <w:pStyle w:val="ListParagraph"/>
        <w:numPr>
          <w:ilvl w:val="0"/>
          <w:numId w:val="107"/>
        </w:numPr>
        <w:tabs>
          <w:tab w:pos="2127" w:val="left" w:leader="none"/>
        </w:tabs>
        <w:spacing w:line="240" w:lineRule="auto" w:before="0" w:after="0"/>
        <w:ind w:left="2126" w:right="0" w:hanging="348"/>
        <w:jc w:val="left"/>
        <w:rPr>
          <w:sz w:val="24"/>
        </w:rPr>
      </w:pPr>
      <w:r>
        <w:rPr>
          <w:sz w:val="24"/>
        </w:rPr>
        <w:t>numero di scambi osservati sul mercato per beni con queste</w:t>
      </w:r>
      <w:r>
        <w:rPr>
          <w:spacing w:val="-35"/>
          <w:sz w:val="24"/>
        </w:rPr>
        <w:t> </w:t>
      </w:r>
      <w:r>
        <w:rPr>
          <w:sz w:val="24"/>
        </w:rPr>
        <w:t>caratteristiche.</w:t>
      </w:r>
    </w:p>
    <w:p>
      <w:pPr>
        <w:pStyle w:val="BodyText"/>
      </w:pPr>
    </w:p>
    <w:p>
      <w:pPr>
        <w:pStyle w:val="BodyText"/>
        <w:spacing w:line="480" w:lineRule="auto"/>
        <w:ind w:left="1418" w:right="1411"/>
        <w:jc w:val="both"/>
      </w:pPr>
      <w:r>
        <w:rPr/>
        <w:t>La relazione integrativa evidenzia che il tipo di attività esercitata presso l’immobile dovrebbe escludere ad avviso del perito la presenza di rischi ambientali, mentre eventuali attività di manutenzione dell’immobile dovrebbero essere contenute nell’importo di euro 30 mila.</w:t>
      </w:r>
    </w:p>
    <w:p>
      <w:pPr>
        <w:spacing w:line="480" w:lineRule="auto" w:before="0"/>
        <w:ind w:left="1418" w:right="1410" w:firstLine="0"/>
        <w:jc w:val="both"/>
        <w:rPr>
          <w:sz w:val="24"/>
        </w:rPr>
      </w:pPr>
      <w:r>
        <w:rPr>
          <w:sz w:val="24"/>
        </w:rPr>
        <w:t>Per quanto attiene alle vendite osservabili sul mercato, il perito precisa che “</w:t>
      </w:r>
      <w:r>
        <w:rPr>
          <w:i/>
          <w:sz w:val="24"/>
        </w:rPr>
        <w:t>il mercato degli immobili </w:t>
      </w:r>
      <w:r>
        <w:rPr>
          <w:i/>
          <w:sz w:val="24"/>
        </w:rPr>
        <w:t>produttivi sconta le difficoltà del sistema produttivo stesso, e che attualmente è in fase di stagnazione con scambi ridotti al minimo</w:t>
      </w:r>
      <w:r>
        <w:rPr>
          <w:sz w:val="24"/>
        </w:rPr>
        <w:t>”.</w:t>
      </w:r>
    </w:p>
    <w:p>
      <w:pPr>
        <w:pStyle w:val="BodyText"/>
        <w:spacing w:line="480" w:lineRule="auto" w:before="1"/>
        <w:ind w:left="1418" w:right="1408"/>
        <w:jc w:val="both"/>
      </w:pPr>
      <w:r>
        <w:rPr/>
        <w:t>Considerato quanto sopra, gli scriventi prendono atto dei limitati scambi intervenuti con riguardo ad immobili con caratteristiche similari e della insussistenza attuale di interessi concreti  all’acquisto dell’immobile. Ciò potrebbe comportare problematiche non tanto a livello di congruità del valore stimato, quanto piuttosto a livello di effettiva esitabilità del bene sul mercato. Di conseguenza, nella prospettiva di fattibilità del piano, gli scriventi hanno ritenuto necessario effettuare una </w:t>
      </w:r>
      <w:r>
        <w:rPr>
          <w:i/>
        </w:rPr>
        <w:t>sensitivity</w:t>
      </w:r>
      <w:r>
        <w:rPr/>
        <w:t>, con abbattimento del 25%, funzionale ad esprimere il rischio che, nell’orizzonte temporale di esecuzione del piano, al fine di poter reperire interessati all’acquisto il bene possa essere alienato ad un prezzo significativamente inferiore a quello previsto a</w:t>
      </w:r>
      <w:r>
        <w:rPr>
          <w:spacing w:val="-36"/>
        </w:rPr>
        <w:t> </w:t>
      </w:r>
      <w:r>
        <w:rPr/>
        <w:t>piano.</w:t>
      </w:r>
    </w:p>
    <w:p>
      <w:pPr>
        <w:pStyle w:val="BodyText"/>
        <w:rPr>
          <w:sz w:val="26"/>
        </w:rPr>
      </w:pPr>
    </w:p>
    <w:p>
      <w:pPr>
        <w:pStyle w:val="BodyText"/>
        <w:spacing w:before="11"/>
        <w:rPr>
          <w:sz w:val="21"/>
        </w:rPr>
      </w:pPr>
    </w:p>
    <w:p>
      <w:pPr>
        <w:pStyle w:val="BodyText"/>
        <w:spacing w:line="480" w:lineRule="auto"/>
        <w:ind w:left="1418" w:right="1417"/>
        <w:jc w:val="both"/>
      </w:pPr>
      <w:r>
        <w:rPr/>
        <w:t>La </w:t>
      </w:r>
      <w:r>
        <w:rPr>
          <w:b/>
        </w:rPr>
        <w:t>sensitivity n. 4 </w:t>
      </w:r>
      <w:r>
        <w:rPr/>
        <w:t>porta in conto un potenziale minor realizzo dei crediti commerciali legati agli incassi  previsti  a  piano  relativi  alla  commessa  Energochemica  e  al  contributo  erogato dalla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1"/>
        <w:jc w:val="both"/>
      </w:pPr>
      <w:r>
        <w:rPr/>
        <w:t>Comunità europea legato al progetto denominato Bioskoh relativo al finanziamento della ricerca sulla biomassa da utilizzare nello stabilimento di Energochemica.</w:t>
      </w:r>
    </w:p>
    <w:p>
      <w:pPr>
        <w:spacing w:line="480" w:lineRule="auto" w:before="0"/>
        <w:ind w:left="1418" w:right="1411" w:firstLine="0"/>
        <w:jc w:val="both"/>
        <w:rPr>
          <w:sz w:val="24"/>
        </w:rPr>
      </w:pPr>
      <w:r>
        <w:rPr>
          <w:sz w:val="24"/>
        </w:rPr>
        <w:t>In riferimento alla commessa Enorghemica si precisa che, come specificato nel parere sui rischi legati ai contratti, rilasciato in data 20 aprile 2018 da G.O.P. e meglio analizzato nel precedente paragrafo 4.3, “</w:t>
      </w:r>
      <w:r>
        <w:rPr>
          <w:i/>
          <w:sz w:val="24"/>
        </w:rPr>
        <w:t>sulla base di quanto comunicato dalla Società, tutte le macchine sono state consegnate e accettate, </w:t>
      </w:r>
      <w:r>
        <w:rPr>
          <w:i/>
          <w:sz w:val="24"/>
        </w:rPr>
        <w:t>tuttavia il cantiere non si è ancora aperto, non è cominciata la costruzione né il montaggio, quindi non è assolutamente possibile effettuare il test run entro 44 mesi dal Commencement date, pertanto non ci saranno più liabilities su questo contratto. In ogni caso si rileva che l’Advisor finanziario nel Piano concordatario ha previsto prudenzialmente la copertura dell’eventuale rischio di escussione della letter of credit a garanzia del down payment, mediante l’appostazione di un apposito fondo</w:t>
      </w:r>
      <w:r>
        <w:rPr>
          <w:sz w:val="24"/>
        </w:rPr>
        <w:t>”. In particolare il fondo a cui si fa riferimento risulta appostato nel piano per Euro 0,58 Milioni, calcolato nella misura del 20% del debito  nei confronti di Banca Intesa derivante dalle lettere di credito rilasciate a Enorghemica per l’importo complessivo di Euro 2,9 Milioni. Nonostante infatti il piano non consideri come rischio  probabile, per le ragioni innanzi descritte, l’escussione di tali garanzie, che peraltro risultano in scadenza per Euro 0,8 Milioni nel giugno 2019 e per Euro 2,1 Milioni nel Settembre 2018, detto fondo è stato allocato tra quelli in prededuzione con la denominazione di “Fondo rischi incasso crediti”. Si precisa inoltre che il credito vantato nei confronti di Energochemica, pari a euro 4,1 Milioni circa, risulta</w:t>
      </w:r>
      <w:r>
        <w:rPr>
          <w:spacing w:val="-12"/>
          <w:sz w:val="24"/>
        </w:rPr>
        <w:t> </w:t>
      </w:r>
      <w:r>
        <w:rPr>
          <w:sz w:val="24"/>
        </w:rPr>
        <w:t>composto:</w:t>
      </w:r>
    </w:p>
    <w:p>
      <w:pPr>
        <w:pStyle w:val="ListParagraph"/>
        <w:numPr>
          <w:ilvl w:val="0"/>
          <w:numId w:val="108"/>
        </w:numPr>
        <w:tabs>
          <w:tab w:pos="2127" w:val="left" w:leader="none"/>
        </w:tabs>
        <w:spacing w:line="453" w:lineRule="auto" w:before="0" w:after="0"/>
        <w:ind w:left="2198" w:right="1418" w:hanging="360"/>
        <w:jc w:val="both"/>
        <w:rPr>
          <w:sz w:val="24"/>
        </w:rPr>
      </w:pPr>
      <w:r>
        <w:rPr>
          <w:sz w:val="24"/>
        </w:rPr>
        <w:t>per Euro 2,4 Milioni da crediti maturati per stato avanzamento lavori legati alla consegna del materiale (già</w:t>
      </w:r>
      <w:r>
        <w:rPr>
          <w:spacing w:val="-16"/>
          <w:sz w:val="24"/>
        </w:rPr>
        <w:t> </w:t>
      </w:r>
      <w:r>
        <w:rPr>
          <w:sz w:val="24"/>
        </w:rPr>
        <w:t>avvenuto);</w:t>
      </w:r>
    </w:p>
    <w:p>
      <w:pPr>
        <w:pStyle w:val="ListParagraph"/>
        <w:numPr>
          <w:ilvl w:val="0"/>
          <w:numId w:val="108"/>
        </w:numPr>
        <w:tabs>
          <w:tab w:pos="2127" w:val="left" w:leader="none"/>
        </w:tabs>
        <w:spacing w:line="465" w:lineRule="auto" w:before="29" w:after="0"/>
        <w:ind w:left="2198" w:right="1411" w:hanging="360"/>
        <w:jc w:val="both"/>
        <w:rPr>
          <w:sz w:val="24"/>
        </w:rPr>
      </w:pPr>
      <w:r>
        <w:rPr>
          <w:sz w:val="24"/>
        </w:rPr>
        <w:t>per Euro 1,6 Milioni da crediti legati al buon esito del </w:t>
      </w:r>
      <w:r>
        <w:rPr>
          <w:i/>
          <w:sz w:val="24"/>
        </w:rPr>
        <w:t>performance test </w:t>
      </w:r>
      <w:r>
        <w:rPr>
          <w:sz w:val="24"/>
        </w:rPr>
        <w:t>che prevede, una volta assemblati i componenti meccanici, che l’impianto fornisca determinate prestazioni, oggetto</w:t>
      </w:r>
      <w:r>
        <w:rPr>
          <w:spacing w:val="24"/>
          <w:sz w:val="24"/>
        </w:rPr>
        <w:t> </w:t>
      </w:r>
      <w:r>
        <w:rPr>
          <w:sz w:val="24"/>
        </w:rPr>
        <w:t>poi</w:t>
      </w:r>
      <w:r>
        <w:rPr>
          <w:spacing w:val="25"/>
          <w:sz w:val="24"/>
        </w:rPr>
        <w:t> </w:t>
      </w:r>
      <w:r>
        <w:rPr>
          <w:sz w:val="24"/>
        </w:rPr>
        <w:t>di</w:t>
      </w:r>
      <w:r>
        <w:rPr>
          <w:spacing w:val="23"/>
          <w:sz w:val="24"/>
        </w:rPr>
        <w:t> </w:t>
      </w:r>
      <w:r>
        <w:rPr>
          <w:sz w:val="24"/>
        </w:rPr>
        <w:t>verifica</w:t>
      </w:r>
      <w:r>
        <w:rPr>
          <w:spacing w:val="26"/>
          <w:sz w:val="24"/>
        </w:rPr>
        <w:t> </w:t>
      </w:r>
      <w:r>
        <w:rPr>
          <w:sz w:val="24"/>
        </w:rPr>
        <w:t>da</w:t>
      </w:r>
      <w:r>
        <w:rPr>
          <w:spacing w:val="24"/>
          <w:sz w:val="24"/>
        </w:rPr>
        <w:t> </w:t>
      </w:r>
      <w:r>
        <w:rPr>
          <w:sz w:val="24"/>
        </w:rPr>
        <w:t>parte</w:t>
      </w:r>
      <w:r>
        <w:rPr>
          <w:spacing w:val="26"/>
          <w:sz w:val="24"/>
        </w:rPr>
        <w:t> </w:t>
      </w:r>
      <w:r>
        <w:rPr>
          <w:sz w:val="24"/>
        </w:rPr>
        <w:t>del</w:t>
      </w:r>
      <w:r>
        <w:rPr>
          <w:spacing w:val="24"/>
          <w:sz w:val="24"/>
        </w:rPr>
        <w:t> </w:t>
      </w:r>
      <w:r>
        <w:rPr>
          <w:sz w:val="24"/>
        </w:rPr>
        <w:t>committente.</w:t>
      </w:r>
      <w:r>
        <w:rPr>
          <w:spacing w:val="23"/>
          <w:sz w:val="24"/>
        </w:rPr>
        <w:t> </w:t>
      </w:r>
      <w:r>
        <w:rPr>
          <w:sz w:val="24"/>
        </w:rPr>
        <w:t>Come</w:t>
      </w:r>
      <w:r>
        <w:rPr>
          <w:spacing w:val="26"/>
          <w:sz w:val="24"/>
        </w:rPr>
        <w:t> </w:t>
      </w:r>
      <w:r>
        <w:rPr>
          <w:sz w:val="24"/>
        </w:rPr>
        <w:t>detto,</w:t>
      </w:r>
      <w:r>
        <w:rPr>
          <w:spacing w:val="23"/>
          <w:sz w:val="24"/>
        </w:rPr>
        <w:t> </w:t>
      </w:r>
      <w:r>
        <w:rPr>
          <w:sz w:val="24"/>
        </w:rPr>
        <w:t>allo</w:t>
      </w:r>
      <w:r>
        <w:rPr>
          <w:spacing w:val="26"/>
          <w:sz w:val="24"/>
        </w:rPr>
        <w:t> </w:t>
      </w:r>
      <w:r>
        <w:rPr>
          <w:sz w:val="24"/>
        </w:rPr>
        <w:t>stato,</w:t>
      </w:r>
      <w:r>
        <w:rPr>
          <w:spacing w:val="25"/>
          <w:sz w:val="24"/>
        </w:rPr>
        <w:t> </w:t>
      </w:r>
      <w:r>
        <w:rPr>
          <w:sz w:val="24"/>
        </w:rPr>
        <w:t>non</w:t>
      </w:r>
      <w:r>
        <w:rPr>
          <w:spacing w:val="25"/>
          <w:sz w:val="24"/>
        </w:rPr>
        <w:t> </w:t>
      </w:r>
      <w:r>
        <w:rPr>
          <w:sz w:val="24"/>
        </w:rPr>
        <w:t>risultano</w:t>
      </w:r>
    </w:p>
    <w:p>
      <w:pPr>
        <w:spacing w:after="0" w:line="465"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2198" w:right="1409"/>
        <w:jc w:val="both"/>
      </w:pPr>
      <w:r>
        <w:rPr/>
        <w:t>contestazioni da parte del cliente, tuttavia la commessa non è ancora in una fase avanzata per cui si ritiene che il test run venga eseguito con tutta probabilità quando la commessa sarà in capo Versalis (commessa inclusa nella proposta vincolante di acquisto del ramo). Muovendo da tali fattori connessi a performance qualitative degli impianti e legate a variabili – a parere di chi scrive - del tutto aleatorie, vista anche la previsione di incasso di detti crediti nell’anno 2020, non pare certa, in ottica prudenziale, la realizzazione di dette poste creditorie in funzione di potenziali contestazioni della controparte legate al test  run. In virtù di ciò, in considerazione anche delle modalità di calcolo del fondo e dell’importo rilevante del credito, gli scriventi hanno ritenuto di abbattere il credito nell’ambito delle analisi di sensitività, per la parte che residua tra l’importo legato al Performance test ed il fondo rischi incasso crediti, come rappresentato nella tabella riassuntiva riportata nella pagina</w:t>
      </w:r>
      <w:r>
        <w:rPr>
          <w:spacing w:val="-19"/>
        </w:rPr>
        <w:t> </w:t>
      </w:r>
      <w:r>
        <w:rPr/>
        <w:t>seguente.</w:t>
      </w:r>
    </w:p>
    <w:p>
      <w:pPr>
        <w:pStyle w:val="BodyText"/>
        <w:spacing w:line="480" w:lineRule="auto"/>
        <w:ind w:left="1418" w:right="1411"/>
        <w:jc w:val="both"/>
        <w:rPr>
          <w:i/>
        </w:rPr>
      </w:pPr>
      <w:r>
        <w:rPr/>
        <w:t>In riferimento al progetto Bioskoh si precisa che attualmente la società è in attesa di ricevere l’approvazione da parte della Commissione Europea della scheda tecnica di progetto e della rendicontazione dei costi, passaggi necessari per l’erogazione del contributo, pari a Euro 0,36 Milioni. Il piano ne prevede l’incasso nel mese di luglio 2018. Si precisa inoltre che tale progetto, legato alle attività di ricerca svolte non solo da Biochemtex ma anche da parte di altre società, prevede un coordinatore di progetto, ad oggi identificato nella ricorrente. Tuttavia la società sta predisponendo la richiesta di variazione del coordinatore che prevede di ultimare entro il mese di Maggio 2018. Si rileva altresì che in generale il pagamento viene effettuato al coordinatore, che poi distribuisce i contributi a tutti i partner in base a quanto rendicontato da ciascuno per la parte di propria competenza. Stante lo stato del progetto ed in considerazione del fatto che l’Offerta Versalis</w:t>
      </w:r>
      <w:r>
        <w:rPr>
          <w:spacing w:val="18"/>
        </w:rPr>
        <w:t> </w:t>
      </w:r>
      <w:r>
        <w:rPr/>
        <w:t>prevede</w:t>
      </w:r>
      <w:r>
        <w:rPr>
          <w:spacing w:val="20"/>
        </w:rPr>
        <w:t> </w:t>
      </w:r>
      <w:r>
        <w:rPr/>
        <w:t>espressamente</w:t>
      </w:r>
      <w:r>
        <w:rPr>
          <w:spacing w:val="20"/>
        </w:rPr>
        <w:t> </w:t>
      </w:r>
      <w:r>
        <w:rPr/>
        <w:t>che</w:t>
      </w:r>
      <w:r>
        <w:rPr>
          <w:spacing w:val="20"/>
        </w:rPr>
        <w:t> </w:t>
      </w:r>
      <w:r>
        <w:rPr/>
        <w:t>“</w:t>
      </w:r>
      <w:r>
        <w:rPr>
          <w:i/>
        </w:rPr>
        <w:t>fanno</w:t>
      </w:r>
      <w:r>
        <w:rPr>
          <w:i/>
          <w:spacing w:val="19"/>
        </w:rPr>
        <w:t> </w:t>
      </w:r>
      <w:r>
        <w:rPr>
          <w:i/>
        </w:rPr>
        <w:t>parte</w:t>
      </w:r>
      <w:r>
        <w:rPr>
          <w:i/>
          <w:spacing w:val="18"/>
        </w:rPr>
        <w:t> </w:t>
      </w:r>
      <w:r>
        <w:rPr>
          <w:i/>
        </w:rPr>
        <w:t>delle</w:t>
      </w:r>
      <w:r>
        <w:rPr>
          <w:i/>
          <w:spacing w:val="18"/>
        </w:rPr>
        <w:t> </w:t>
      </w:r>
      <w:r>
        <w:rPr>
          <w:i/>
        </w:rPr>
        <w:t>Aziende</w:t>
      </w:r>
      <w:r>
        <w:rPr>
          <w:i/>
          <w:spacing w:val="19"/>
        </w:rPr>
        <w:t> </w:t>
      </w:r>
      <w:r>
        <w:rPr>
          <w:i/>
        </w:rPr>
        <w:t>Bio</w:t>
      </w:r>
      <w:r>
        <w:rPr>
          <w:i/>
          <w:spacing w:val="18"/>
        </w:rPr>
        <w:t> </w:t>
      </w:r>
      <w:r>
        <w:rPr>
          <w:i/>
        </w:rPr>
        <w:t>e</w:t>
      </w:r>
      <w:r>
        <w:rPr>
          <w:i/>
          <w:spacing w:val="21"/>
        </w:rPr>
        <w:t> </w:t>
      </w:r>
      <w:r>
        <w:rPr>
          <w:i/>
        </w:rPr>
        <w:t>sono</w:t>
      </w:r>
      <w:r>
        <w:rPr>
          <w:i/>
          <w:spacing w:val="21"/>
        </w:rPr>
        <w:t> </w:t>
      </w:r>
      <w:r>
        <w:rPr>
          <w:i/>
        </w:rPr>
        <w:t>pertanto</w:t>
      </w:r>
      <w:r>
        <w:rPr>
          <w:i/>
          <w:spacing w:val="19"/>
        </w:rPr>
        <w:t> </w:t>
      </w:r>
      <w:r>
        <w:rPr>
          <w:i/>
        </w:rPr>
        <w:t>oggetto</w:t>
      </w:r>
      <w:r>
        <w:rPr>
          <w:i/>
          <w:spacing w:val="20"/>
        </w:rPr>
        <w:t> </w:t>
      </w:r>
      <w:r>
        <w:rPr>
          <w:i/>
        </w:rPr>
        <w:t>della</w:t>
      </w:r>
      <w:r>
        <w:rPr>
          <w:i/>
          <w:spacing w:val="19"/>
        </w:rPr>
        <w:t> </w:t>
      </w:r>
      <w:r>
        <w:rPr>
          <w:i/>
        </w:rPr>
        <w:t>presente</w:t>
      </w:r>
    </w:p>
    <w:p>
      <w:pPr>
        <w:spacing w:after="0" w:line="480" w:lineRule="auto"/>
        <w:jc w:val="both"/>
        <w:sectPr>
          <w:pgSz w:w="11910" w:h="16840"/>
          <w:pgMar w:header="707" w:footer="1025"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11" w:firstLine="0"/>
        <w:jc w:val="both"/>
        <w:rPr>
          <w:sz w:val="24"/>
        </w:rPr>
      </w:pPr>
      <w:r>
        <w:rPr>
          <w:i/>
          <w:sz w:val="24"/>
        </w:rPr>
        <w:t>Offerta e saranno trasferiti a all’Offerente, tutti i singoli beni, diritti e rapporti inerenti e/o funzionali alle  </w:t>
      </w:r>
      <w:r>
        <w:rPr>
          <w:i/>
          <w:sz w:val="24"/>
        </w:rPr>
        <w:t>Attività Bio e/o alle Tecnologie Bio (complessivamente i “Beni e Rapporti Trasferiti”, ivi inclusi, a titolo esemplificativo e non esaustivo …: (vii) Finanziamenti agevolati: la documentazione, i progetti (incluso lo stato di avanzamento sino alla Data di Esecuzione) … i rapporti, i contratti, le convenzioni e ogni altro elemento relativo e/o necessari al mantenimento dei finanziamenti agevolati, sovvenzioni, grant, finanziamenti alla ricerca e sviluppo e altra agevolazione o sovvenzione … restando espressamente esclusi i debiti e gli obblighi, anche di rimborso o relativi a inadempimenti, penali, maturati sino alla Data di Esecuzione o comunque conseguenti a eventuali azioni o omissioni compiute dalla Società fino alla Data di Esecuzione” (cfr. art. 1.2. – (vii) 1 dell’“Offerta Versalis”) </w:t>
      </w:r>
      <w:r>
        <w:rPr>
          <w:sz w:val="24"/>
        </w:rPr>
        <w:t>e che il piano prevede che tale progetto passi a Versalis nell’ambito dell’aggiudicazione del ramo BIO a partire dal mese di Agosto, si ritiene che possano insorgere rischi legati alla realizzabilità  del contributo in virtù delle tempistiche di incasso che, allo stato, non risultano</w:t>
      </w:r>
      <w:r>
        <w:rPr>
          <w:spacing w:val="-27"/>
          <w:sz w:val="24"/>
        </w:rPr>
        <w:t> </w:t>
      </w:r>
      <w:r>
        <w:rPr>
          <w:sz w:val="24"/>
        </w:rPr>
        <w:t>certe.</w:t>
      </w:r>
    </w:p>
    <w:p>
      <w:pPr>
        <w:pStyle w:val="BodyText"/>
        <w:spacing w:line="480" w:lineRule="auto" w:after="44"/>
        <w:ind w:left="1418" w:right="1498"/>
      </w:pPr>
      <w:r>
        <w:rPr/>
        <w:t>A valle di tale disamina si è ritenuto di abbattere prudenzialmente tale credito in misura integrale. La tabella seguente riassume quanto sopra descritto:</w:t>
      </w:r>
    </w:p>
    <w:tbl>
      <w:tblPr>
        <w:tblW w:w="0" w:type="auto"/>
        <w:jc w:val="left"/>
        <w:tblInd w:w="230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404"/>
        <w:gridCol w:w="2892"/>
      </w:tblGrid>
      <w:tr>
        <w:trPr>
          <w:trHeight w:val="828" w:hRule="exact"/>
        </w:trPr>
        <w:tc>
          <w:tcPr>
            <w:tcW w:w="4404" w:type="dxa"/>
          </w:tcPr>
          <w:p>
            <w:pPr>
              <w:pStyle w:val="TableParagraph"/>
              <w:spacing w:line="225" w:lineRule="exact" w:before="0"/>
              <w:ind w:left="47"/>
              <w:jc w:val="left"/>
              <w:rPr>
                <w:rFonts w:ascii="Times New Roman"/>
                <w:b/>
                <w:sz w:val="20"/>
              </w:rPr>
            </w:pPr>
            <w:r>
              <w:rPr>
                <w:rFonts w:ascii="Times New Roman"/>
                <w:b/>
                <w:sz w:val="20"/>
                <w:u w:val="thick"/>
              </w:rPr>
              <w:t>Minor Incasso crediti  comm.li</w:t>
            </w:r>
          </w:p>
          <w:p>
            <w:pPr>
              <w:pStyle w:val="TableParagraph"/>
              <w:spacing w:before="58"/>
              <w:ind w:left="47"/>
              <w:jc w:val="left"/>
              <w:rPr>
                <w:rFonts w:ascii="Times New Roman"/>
                <w:i/>
                <w:sz w:val="20"/>
              </w:rPr>
            </w:pPr>
            <w:r>
              <w:rPr>
                <w:rFonts w:ascii="Times New Roman"/>
                <w:i/>
                <w:sz w:val="20"/>
              </w:rPr>
              <w:t>di cui</w:t>
            </w:r>
          </w:p>
          <w:p>
            <w:pPr>
              <w:pStyle w:val="TableParagraph"/>
              <w:spacing w:before="58"/>
              <w:ind w:left="47"/>
              <w:jc w:val="left"/>
              <w:rPr>
                <w:rFonts w:ascii="Times New Roman"/>
                <w:sz w:val="20"/>
              </w:rPr>
            </w:pPr>
            <w:r>
              <w:rPr>
                <w:rFonts w:ascii="Times New Roman"/>
                <w:sz w:val="20"/>
              </w:rPr>
              <w:t>Energochemica (Performance  test)</w:t>
            </w:r>
          </w:p>
        </w:tc>
        <w:tc>
          <w:tcPr>
            <w:tcW w:w="2892" w:type="dxa"/>
          </w:tcPr>
          <w:p>
            <w:pPr>
              <w:pStyle w:val="TableParagraph"/>
              <w:spacing w:before="0"/>
              <w:jc w:val="left"/>
              <w:rPr>
                <w:sz w:val="24"/>
              </w:rPr>
            </w:pPr>
          </w:p>
          <w:p>
            <w:pPr>
              <w:pStyle w:val="TableParagraph"/>
              <w:spacing w:before="9"/>
              <w:jc w:val="left"/>
              <w:rPr>
                <w:sz w:val="25"/>
              </w:rPr>
            </w:pPr>
          </w:p>
          <w:p>
            <w:pPr>
              <w:pStyle w:val="TableParagraph"/>
              <w:spacing w:before="1"/>
              <w:ind w:right="383"/>
              <w:rPr>
                <w:rFonts w:ascii="Times New Roman"/>
                <w:sz w:val="21"/>
              </w:rPr>
            </w:pPr>
            <w:r>
              <w:rPr>
                <w:rFonts w:ascii="Times New Roman"/>
                <w:sz w:val="21"/>
              </w:rPr>
              <w:t>(1.637.000)</w:t>
            </w:r>
          </w:p>
        </w:tc>
      </w:tr>
      <w:tr>
        <w:trPr>
          <w:trHeight w:val="283" w:hRule="exact"/>
        </w:trPr>
        <w:tc>
          <w:tcPr>
            <w:tcW w:w="4404" w:type="dxa"/>
            <w:tcBorders>
              <w:bottom w:val="single" w:sz="5" w:space="0" w:color="000000"/>
            </w:tcBorders>
          </w:tcPr>
          <w:p>
            <w:pPr>
              <w:pStyle w:val="TableParagraph"/>
              <w:spacing w:before="30"/>
              <w:ind w:left="47"/>
              <w:jc w:val="left"/>
              <w:rPr>
                <w:rFonts w:ascii="Times New Roman"/>
                <w:sz w:val="20"/>
              </w:rPr>
            </w:pPr>
            <w:r>
              <w:rPr>
                <w:rFonts w:ascii="Times New Roman"/>
                <w:sz w:val="20"/>
              </w:rPr>
              <w:t>F.do  rischi incasso crediti</w:t>
            </w:r>
          </w:p>
        </w:tc>
        <w:tc>
          <w:tcPr>
            <w:tcW w:w="2892" w:type="dxa"/>
            <w:tcBorders>
              <w:bottom w:val="single" w:sz="5" w:space="0" w:color="000000"/>
            </w:tcBorders>
          </w:tcPr>
          <w:p>
            <w:pPr>
              <w:pStyle w:val="TableParagraph"/>
              <w:spacing w:before="21"/>
              <w:ind w:right="502"/>
              <w:rPr>
                <w:rFonts w:ascii="Times New Roman"/>
                <w:sz w:val="21"/>
              </w:rPr>
            </w:pPr>
            <w:r>
              <w:rPr>
                <w:rFonts w:ascii="Times New Roman"/>
                <w:sz w:val="21"/>
              </w:rPr>
              <w:t>580.000</w:t>
            </w:r>
          </w:p>
        </w:tc>
      </w:tr>
      <w:tr>
        <w:trPr>
          <w:trHeight w:val="293" w:hRule="exact"/>
        </w:trPr>
        <w:tc>
          <w:tcPr>
            <w:tcW w:w="4404" w:type="dxa"/>
            <w:tcBorders>
              <w:top w:val="single" w:sz="5" w:space="0" w:color="000000"/>
            </w:tcBorders>
          </w:tcPr>
          <w:p>
            <w:pPr>
              <w:pStyle w:val="TableParagraph"/>
              <w:spacing w:before="29"/>
              <w:ind w:left="47"/>
              <w:jc w:val="left"/>
              <w:rPr>
                <w:rFonts w:ascii="Times New Roman"/>
                <w:sz w:val="20"/>
              </w:rPr>
            </w:pPr>
            <w:r>
              <w:rPr>
                <w:rFonts w:ascii="Times New Roman"/>
                <w:sz w:val="20"/>
              </w:rPr>
              <w:t>sub totale</w:t>
            </w:r>
          </w:p>
        </w:tc>
        <w:tc>
          <w:tcPr>
            <w:tcW w:w="2892" w:type="dxa"/>
            <w:tcBorders>
              <w:top w:val="single" w:sz="5" w:space="0" w:color="000000"/>
            </w:tcBorders>
          </w:tcPr>
          <w:p>
            <w:pPr>
              <w:pStyle w:val="TableParagraph"/>
              <w:spacing w:before="19"/>
              <w:ind w:right="383"/>
              <w:rPr>
                <w:rFonts w:ascii="Times New Roman"/>
                <w:sz w:val="21"/>
              </w:rPr>
            </w:pPr>
            <w:r>
              <w:rPr>
                <w:rFonts w:ascii="Times New Roman"/>
                <w:sz w:val="21"/>
              </w:rPr>
              <w:t>(1.057.000)</w:t>
            </w:r>
          </w:p>
        </w:tc>
      </w:tr>
      <w:tr>
        <w:trPr>
          <w:trHeight w:val="283" w:hRule="exact"/>
        </w:trPr>
        <w:tc>
          <w:tcPr>
            <w:tcW w:w="4404" w:type="dxa"/>
            <w:tcBorders>
              <w:bottom w:val="single" w:sz="5" w:space="0" w:color="000000"/>
            </w:tcBorders>
          </w:tcPr>
          <w:p>
            <w:pPr>
              <w:pStyle w:val="TableParagraph"/>
              <w:spacing w:before="30"/>
              <w:ind w:left="47"/>
              <w:jc w:val="left"/>
              <w:rPr>
                <w:rFonts w:ascii="Times New Roman"/>
                <w:sz w:val="20"/>
              </w:rPr>
            </w:pPr>
            <w:r>
              <w:rPr>
                <w:rFonts w:ascii="Times New Roman"/>
                <w:sz w:val="20"/>
              </w:rPr>
              <w:t>Biosko</w:t>
            </w:r>
          </w:p>
        </w:tc>
        <w:tc>
          <w:tcPr>
            <w:tcW w:w="2892" w:type="dxa"/>
            <w:tcBorders>
              <w:bottom w:val="single" w:sz="5" w:space="0" w:color="000000"/>
            </w:tcBorders>
          </w:tcPr>
          <w:p>
            <w:pPr>
              <w:pStyle w:val="TableParagraph"/>
              <w:spacing w:before="21"/>
              <w:ind w:right="466"/>
              <w:rPr>
                <w:rFonts w:ascii="Times New Roman"/>
                <w:sz w:val="21"/>
              </w:rPr>
            </w:pPr>
            <w:r>
              <w:rPr>
                <w:rFonts w:ascii="Times New Roman"/>
                <w:sz w:val="21"/>
              </w:rPr>
              <w:t>(362.000)</w:t>
            </w:r>
          </w:p>
        </w:tc>
      </w:tr>
      <w:tr>
        <w:trPr>
          <w:trHeight w:val="269" w:hRule="exact"/>
        </w:trPr>
        <w:tc>
          <w:tcPr>
            <w:tcW w:w="4404" w:type="dxa"/>
            <w:tcBorders>
              <w:top w:val="single" w:sz="5" w:space="0" w:color="000000"/>
            </w:tcBorders>
          </w:tcPr>
          <w:p>
            <w:pPr>
              <w:pStyle w:val="TableParagraph"/>
              <w:spacing w:before="29"/>
              <w:ind w:left="47"/>
              <w:jc w:val="left"/>
              <w:rPr>
                <w:rFonts w:ascii="Times New Roman"/>
                <w:sz w:val="20"/>
              </w:rPr>
            </w:pPr>
            <w:r>
              <w:rPr>
                <w:rFonts w:ascii="Times New Roman"/>
                <w:sz w:val="20"/>
              </w:rPr>
              <w:t>totale</w:t>
            </w:r>
          </w:p>
        </w:tc>
        <w:tc>
          <w:tcPr>
            <w:tcW w:w="2892" w:type="dxa"/>
            <w:tcBorders>
              <w:top w:val="single" w:sz="5" w:space="0" w:color="000000"/>
            </w:tcBorders>
          </w:tcPr>
          <w:p>
            <w:pPr>
              <w:pStyle w:val="TableParagraph"/>
              <w:spacing w:before="19"/>
              <w:ind w:right="383"/>
              <w:rPr>
                <w:rFonts w:ascii="Times New Roman"/>
                <w:sz w:val="21"/>
              </w:rPr>
            </w:pPr>
            <w:r>
              <w:rPr>
                <w:rFonts w:ascii="Times New Roman"/>
                <w:sz w:val="21"/>
              </w:rPr>
              <w:t>(1.419.000)</w:t>
            </w:r>
          </w:p>
        </w:tc>
      </w:tr>
    </w:tbl>
    <w:p>
      <w:pPr>
        <w:pStyle w:val="BodyText"/>
        <w:rPr>
          <w:sz w:val="26"/>
        </w:rPr>
      </w:pPr>
    </w:p>
    <w:p>
      <w:pPr>
        <w:pStyle w:val="BodyText"/>
        <w:rPr>
          <w:sz w:val="26"/>
        </w:rPr>
      </w:pPr>
    </w:p>
    <w:p>
      <w:pPr>
        <w:pStyle w:val="BodyText"/>
        <w:spacing w:before="6"/>
        <w:rPr>
          <w:sz w:val="22"/>
        </w:rPr>
      </w:pPr>
    </w:p>
    <w:p>
      <w:pPr>
        <w:pStyle w:val="BodyText"/>
        <w:spacing w:line="480" w:lineRule="auto" w:before="1"/>
        <w:ind w:left="1418" w:right="1412"/>
        <w:jc w:val="both"/>
      </w:pPr>
      <w:r>
        <w:rPr/>
        <w:t>In ultimo la </w:t>
      </w:r>
      <w:r>
        <w:rPr>
          <w:b/>
        </w:rPr>
        <w:t>sensitivity n.5 </w:t>
      </w:r>
      <w:r>
        <w:rPr/>
        <w:t>considera la generazione di ulteriori costi operativi nel periodo aprile luglio 2018 per Euro 138 mila. In questo caso, assunto l’effetto cumulato dell’abbattimento del contributo Bioskoh, come sopra descritto, che incide sulle disponibilità liquide di breve termine,  si è ritenuto di arrotondare per difetto l’effetto complessivo della </w:t>
      </w:r>
      <w:r>
        <w:rPr>
          <w:i/>
        </w:rPr>
        <w:t>sensitivity </w:t>
      </w:r>
      <w:r>
        <w:rPr/>
        <w:t>sulla cassa di breve termine giungendo così all’importo di Euro 0,5 Milioni, come riportato nella tabella</w:t>
      </w:r>
      <w:r>
        <w:rPr>
          <w:spacing w:val="-16"/>
        </w:rPr>
        <w:t> </w:t>
      </w:r>
      <w:r>
        <w:rPr/>
        <w:t>seguente: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rPr>
          <w:sz w:val="20"/>
        </w:rPr>
      </w:pPr>
    </w:p>
    <w:tbl>
      <w:tblPr>
        <w:tblW w:w="0" w:type="auto"/>
        <w:jc w:val="left"/>
        <w:tblInd w:w="230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875"/>
        <w:gridCol w:w="2421"/>
      </w:tblGrid>
      <w:tr>
        <w:trPr>
          <w:trHeight w:val="539" w:hRule="exact"/>
        </w:trPr>
        <w:tc>
          <w:tcPr>
            <w:tcW w:w="4875" w:type="dxa"/>
          </w:tcPr>
          <w:p>
            <w:pPr>
              <w:pStyle w:val="TableParagraph"/>
              <w:spacing w:line="225" w:lineRule="exact" w:before="0"/>
              <w:ind w:left="47"/>
              <w:jc w:val="left"/>
              <w:rPr>
                <w:rFonts w:ascii="Times New Roman"/>
                <w:b/>
                <w:sz w:val="20"/>
              </w:rPr>
            </w:pPr>
            <w:r>
              <w:rPr>
                <w:rFonts w:ascii="Times New Roman"/>
                <w:b/>
                <w:sz w:val="20"/>
                <w:u w:val="thick"/>
              </w:rPr>
              <w:t>Minori  flussi  da gestione operativa Apr/Lug 18</w:t>
            </w:r>
          </w:p>
          <w:p>
            <w:pPr>
              <w:pStyle w:val="TableParagraph"/>
              <w:spacing w:before="58"/>
              <w:ind w:left="47"/>
              <w:jc w:val="left"/>
              <w:rPr>
                <w:rFonts w:ascii="Times New Roman"/>
                <w:i/>
                <w:sz w:val="20"/>
              </w:rPr>
            </w:pPr>
            <w:r>
              <w:rPr>
                <w:rFonts w:ascii="Times New Roman"/>
                <w:i/>
                <w:sz w:val="20"/>
              </w:rPr>
              <w:t>di cui</w:t>
            </w:r>
          </w:p>
        </w:tc>
        <w:tc>
          <w:tcPr>
            <w:tcW w:w="2421" w:type="dxa"/>
          </w:tcPr>
          <w:p>
            <w:pPr>
              <w:pStyle w:val="TableParagraph"/>
              <w:spacing w:line="225" w:lineRule="exact" w:before="0"/>
              <w:ind w:left="680"/>
              <w:jc w:val="left"/>
              <w:rPr>
                <w:rFonts w:ascii="Times New Roman"/>
                <w:b/>
                <w:sz w:val="20"/>
              </w:rPr>
            </w:pPr>
            <w:r>
              <w:rPr>
                <w:rFonts w:ascii="Times New Roman"/>
                <w:b/>
                <w:sz w:val="20"/>
              </w:rPr>
              <w:t>importi</w:t>
            </w:r>
          </w:p>
        </w:tc>
      </w:tr>
      <w:tr>
        <w:trPr>
          <w:trHeight w:val="289" w:hRule="exact"/>
        </w:trPr>
        <w:tc>
          <w:tcPr>
            <w:tcW w:w="4875" w:type="dxa"/>
          </w:tcPr>
          <w:p>
            <w:pPr>
              <w:pStyle w:val="TableParagraph"/>
              <w:spacing w:before="31"/>
              <w:ind w:left="47"/>
              <w:jc w:val="left"/>
              <w:rPr>
                <w:rFonts w:ascii="Times New Roman"/>
                <w:sz w:val="20"/>
              </w:rPr>
            </w:pPr>
            <w:r>
              <w:rPr>
                <w:rFonts w:ascii="Times New Roman"/>
                <w:sz w:val="20"/>
              </w:rPr>
              <w:t>Biosko (*)</w:t>
            </w:r>
          </w:p>
        </w:tc>
        <w:tc>
          <w:tcPr>
            <w:tcW w:w="2421" w:type="dxa"/>
          </w:tcPr>
          <w:p>
            <w:pPr>
              <w:pStyle w:val="TableParagraph"/>
              <w:spacing w:before="22"/>
              <w:ind w:right="466"/>
              <w:rPr>
                <w:rFonts w:ascii="Times New Roman"/>
                <w:sz w:val="21"/>
              </w:rPr>
            </w:pPr>
            <w:r>
              <w:rPr>
                <w:rFonts w:ascii="Times New Roman"/>
                <w:sz w:val="21"/>
              </w:rPr>
              <w:t>(362.000)</w:t>
            </w:r>
          </w:p>
        </w:tc>
      </w:tr>
      <w:tr>
        <w:trPr>
          <w:trHeight w:val="288" w:hRule="exact"/>
        </w:trPr>
        <w:tc>
          <w:tcPr>
            <w:tcW w:w="4875" w:type="dxa"/>
          </w:tcPr>
          <w:p>
            <w:pPr>
              <w:pStyle w:val="TableParagraph"/>
              <w:spacing w:before="30"/>
              <w:ind w:left="47"/>
              <w:jc w:val="left"/>
              <w:rPr>
                <w:rFonts w:ascii="Times New Roman"/>
                <w:sz w:val="20"/>
              </w:rPr>
            </w:pPr>
            <w:r>
              <w:rPr>
                <w:rFonts w:ascii="Times New Roman"/>
                <w:sz w:val="20"/>
              </w:rPr>
              <w:t>Costi gestione operativa cumulati  (10%)</w:t>
            </w:r>
          </w:p>
        </w:tc>
        <w:tc>
          <w:tcPr>
            <w:tcW w:w="2421" w:type="dxa"/>
          </w:tcPr>
          <w:p>
            <w:pPr>
              <w:pStyle w:val="TableParagraph"/>
              <w:spacing w:before="21"/>
              <w:ind w:right="466"/>
              <w:rPr>
                <w:rFonts w:ascii="Times New Roman"/>
                <w:sz w:val="21"/>
              </w:rPr>
            </w:pPr>
            <w:r>
              <w:rPr>
                <w:rFonts w:ascii="Times New Roman"/>
                <w:sz w:val="21"/>
              </w:rPr>
              <w:t>(160.900)</w:t>
            </w:r>
          </w:p>
        </w:tc>
      </w:tr>
      <w:tr>
        <w:trPr>
          <w:trHeight w:val="283" w:hRule="exact"/>
        </w:trPr>
        <w:tc>
          <w:tcPr>
            <w:tcW w:w="4875" w:type="dxa"/>
            <w:tcBorders>
              <w:bottom w:val="single" w:sz="5" w:space="0" w:color="000000"/>
            </w:tcBorders>
          </w:tcPr>
          <w:p>
            <w:pPr>
              <w:pStyle w:val="TableParagraph"/>
              <w:spacing w:before="30"/>
              <w:ind w:left="47"/>
              <w:jc w:val="left"/>
              <w:rPr>
                <w:rFonts w:ascii="Times New Roman"/>
                <w:sz w:val="20"/>
              </w:rPr>
            </w:pPr>
            <w:r>
              <w:rPr>
                <w:rFonts w:ascii="Times New Roman"/>
                <w:sz w:val="20"/>
              </w:rPr>
              <w:t>arrotondamento difetto</w:t>
            </w:r>
          </w:p>
        </w:tc>
        <w:tc>
          <w:tcPr>
            <w:tcW w:w="2421" w:type="dxa"/>
            <w:tcBorders>
              <w:bottom w:val="single" w:sz="5" w:space="0" w:color="000000"/>
            </w:tcBorders>
          </w:tcPr>
          <w:p>
            <w:pPr>
              <w:pStyle w:val="TableParagraph"/>
              <w:spacing w:before="20"/>
              <w:ind w:right="562"/>
              <w:rPr>
                <w:rFonts w:ascii="Times New Roman"/>
                <w:sz w:val="21"/>
              </w:rPr>
            </w:pPr>
            <w:r>
              <w:rPr>
                <w:rFonts w:ascii="Times New Roman"/>
                <w:sz w:val="21"/>
              </w:rPr>
              <w:t>22.900</w:t>
            </w:r>
          </w:p>
        </w:tc>
      </w:tr>
      <w:tr>
        <w:trPr>
          <w:trHeight w:val="299" w:hRule="exact"/>
        </w:trPr>
        <w:tc>
          <w:tcPr>
            <w:tcW w:w="4875" w:type="dxa"/>
            <w:tcBorders>
              <w:top w:val="single" w:sz="5" w:space="0" w:color="000000"/>
            </w:tcBorders>
          </w:tcPr>
          <w:p>
            <w:pPr>
              <w:pStyle w:val="TableParagraph"/>
              <w:spacing w:before="29"/>
              <w:ind w:left="47"/>
              <w:jc w:val="left"/>
              <w:rPr>
                <w:rFonts w:ascii="Times New Roman"/>
                <w:sz w:val="20"/>
              </w:rPr>
            </w:pPr>
            <w:r>
              <w:rPr>
                <w:rFonts w:ascii="Times New Roman"/>
                <w:sz w:val="20"/>
              </w:rPr>
              <w:t>totale</w:t>
            </w:r>
          </w:p>
        </w:tc>
        <w:tc>
          <w:tcPr>
            <w:tcW w:w="2421" w:type="dxa"/>
            <w:tcBorders>
              <w:top w:val="single" w:sz="5" w:space="0" w:color="000000"/>
            </w:tcBorders>
          </w:tcPr>
          <w:p>
            <w:pPr>
              <w:pStyle w:val="TableParagraph"/>
              <w:spacing w:before="20"/>
              <w:ind w:right="466"/>
              <w:rPr>
                <w:rFonts w:ascii="Times New Roman"/>
                <w:sz w:val="21"/>
              </w:rPr>
            </w:pPr>
            <w:r>
              <w:rPr>
                <w:rFonts w:ascii="Times New Roman"/>
                <w:sz w:val="21"/>
              </w:rPr>
              <w:t>(500.000)</w:t>
            </w:r>
          </w:p>
        </w:tc>
      </w:tr>
      <w:tr>
        <w:trPr>
          <w:trHeight w:val="255" w:hRule="exact"/>
        </w:trPr>
        <w:tc>
          <w:tcPr>
            <w:tcW w:w="4875" w:type="dxa"/>
          </w:tcPr>
          <w:p>
            <w:pPr>
              <w:pStyle w:val="TableParagraph"/>
              <w:spacing w:before="24"/>
              <w:ind w:left="47"/>
              <w:jc w:val="left"/>
              <w:rPr>
                <w:rFonts w:ascii="Times New Roman"/>
                <w:i/>
                <w:sz w:val="20"/>
              </w:rPr>
            </w:pPr>
            <w:r>
              <w:rPr>
                <w:rFonts w:ascii="Times New Roman"/>
                <w:i/>
                <w:sz w:val="20"/>
              </w:rPr>
              <w:t>(*) incluso tra i crediti comm.li</w:t>
            </w:r>
          </w:p>
        </w:tc>
        <w:tc>
          <w:tcPr>
            <w:tcW w:w="2421" w:type="dxa"/>
          </w:tcPr>
          <w:p>
            <w:pPr/>
          </w:p>
        </w:tc>
      </w:tr>
    </w:tbl>
    <w:p>
      <w:pPr>
        <w:pStyle w:val="BodyText"/>
        <w:rPr>
          <w:sz w:val="20"/>
        </w:rPr>
      </w:pPr>
    </w:p>
    <w:p>
      <w:pPr>
        <w:pStyle w:val="BodyText"/>
        <w:rPr>
          <w:sz w:val="20"/>
        </w:rPr>
      </w:pPr>
    </w:p>
    <w:p>
      <w:pPr>
        <w:pStyle w:val="BodyText"/>
        <w:spacing w:before="9"/>
        <w:rPr>
          <w:sz w:val="25"/>
        </w:rPr>
      </w:pPr>
    </w:p>
    <w:p>
      <w:pPr>
        <w:pStyle w:val="BodyText"/>
        <w:spacing w:before="100"/>
        <w:ind w:left="1418"/>
        <w:jc w:val="both"/>
      </w:pPr>
      <w:r>
        <w:rPr/>
        <w:t>Esaurita l’analisi di cui sopra, si perviene alla sintesi quantitativa di seguito rappresentata:</w:t>
      </w:r>
    </w:p>
    <w:p>
      <w:pPr>
        <w:pStyle w:val="BodyText"/>
        <w:spacing w:before="10"/>
        <w:rPr>
          <w:sz w:val="26"/>
        </w:rPr>
      </w:pPr>
    </w:p>
    <w:tbl>
      <w:tblPr>
        <w:tblW w:w="0" w:type="auto"/>
        <w:jc w:val="left"/>
        <w:tblInd w:w="139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335"/>
        <w:gridCol w:w="1175"/>
        <w:gridCol w:w="1477"/>
        <w:gridCol w:w="1491"/>
        <w:gridCol w:w="1558"/>
      </w:tblGrid>
      <w:tr>
        <w:trPr>
          <w:trHeight w:val="880" w:hRule="exact"/>
        </w:trPr>
        <w:tc>
          <w:tcPr>
            <w:tcW w:w="4335" w:type="dxa"/>
          </w:tcPr>
          <w:p>
            <w:pPr>
              <w:pStyle w:val="TableParagraph"/>
              <w:spacing w:line="176" w:lineRule="exact" w:before="0"/>
              <w:ind w:left="57"/>
              <w:jc w:val="left"/>
              <w:rPr>
                <w:rFonts w:ascii="Times New Roman"/>
                <w:b/>
                <w:sz w:val="16"/>
              </w:rPr>
            </w:pPr>
            <w:r>
              <w:rPr>
                <w:rFonts w:ascii="Times New Roman"/>
                <w:b/>
                <w:sz w:val="16"/>
                <w:u w:val="single"/>
              </w:rPr>
              <w:t>Biochemtex Italia S.p.A.</w:t>
            </w:r>
          </w:p>
          <w:p>
            <w:pPr>
              <w:pStyle w:val="TableParagraph"/>
              <w:spacing w:before="3"/>
              <w:jc w:val="left"/>
              <w:rPr>
                <w:sz w:val="23"/>
              </w:rPr>
            </w:pPr>
          </w:p>
          <w:p>
            <w:pPr>
              <w:pStyle w:val="TableParagraph"/>
              <w:tabs>
                <w:tab w:pos="3995" w:val="left" w:leader="none"/>
              </w:tabs>
              <w:spacing w:before="0"/>
              <w:ind w:left="30"/>
              <w:jc w:val="left"/>
              <w:rPr>
                <w:rFonts w:ascii="Times New Roman"/>
                <w:b/>
                <w:sz w:val="16"/>
              </w:rPr>
            </w:pPr>
            <w:r>
              <w:rPr>
                <w:rFonts w:ascii="Times New Roman"/>
                <w:b/>
                <w:color w:val="FFFFFF"/>
                <w:spacing w:val="-14"/>
                <w:w w:val="104"/>
                <w:sz w:val="16"/>
                <w:shd w:fill="9F2F33" w:color="auto" w:val="clear"/>
              </w:rPr>
              <w:t> </w:t>
            </w:r>
            <w:r>
              <w:rPr>
                <w:rFonts w:ascii="Times New Roman"/>
                <w:b/>
                <w:color w:val="FFFFFF"/>
                <w:w w:val="105"/>
                <w:sz w:val="16"/>
                <w:shd w:fill="9F2F33" w:color="auto" w:val="clear"/>
              </w:rPr>
              <w:t>Attivo</w:t>
            </w:r>
            <w:r>
              <w:rPr>
                <w:rFonts w:ascii="Times New Roman"/>
                <w:b/>
                <w:color w:val="FFFFFF"/>
                <w:spacing w:val="-7"/>
                <w:w w:val="105"/>
                <w:sz w:val="16"/>
                <w:shd w:fill="9F2F33" w:color="auto" w:val="clear"/>
              </w:rPr>
              <w:t> </w:t>
            </w:r>
            <w:r>
              <w:rPr>
                <w:rFonts w:ascii="Times New Roman"/>
                <w:b/>
                <w:color w:val="FFFFFF"/>
                <w:w w:val="105"/>
                <w:sz w:val="16"/>
                <w:shd w:fill="9F2F33" w:color="auto" w:val="clear"/>
              </w:rPr>
              <w:t>concordatario</w:t>
            </w:r>
            <w:r>
              <w:rPr>
                <w:rFonts w:ascii="Times New Roman"/>
                <w:b/>
                <w:color w:val="FFFFFF"/>
                <w:sz w:val="16"/>
                <w:shd w:fill="9F2F33" w:color="auto" w:val="clear"/>
              </w:rPr>
              <w:tab/>
            </w:r>
          </w:p>
          <w:p>
            <w:pPr>
              <w:pStyle w:val="TableParagraph"/>
              <w:spacing w:before="38"/>
              <w:ind w:left="57"/>
              <w:jc w:val="left"/>
              <w:rPr>
                <w:rFonts w:ascii="Times New Roman"/>
                <w:sz w:val="16"/>
              </w:rPr>
            </w:pPr>
            <w:r>
              <w:rPr>
                <w:rFonts w:ascii="Times New Roman"/>
                <w:w w:val="105"/>
                <w:sz w:val="16"/>
              </w:rPr>
              <w:t>Incasso quota parte corrispettivo Offerta Versalis</w:t>
            </w:r>
          </w:p>
        </w:tc>
        <w:tc>
          <w:tcPr>
            <w:tcW w:w="1175" w:type="dxa"/>
          </w:tcPr>
          <w:p>
            <w:pPr/>
          </w:p>
        </w:tc>
        <w:tc>
          <w:tcPr>
            <w:tcW w:w="1477" w:type="dxa"/>
          </w:tcPr>
          <w:p>
            <w:pPr/>
          </w:p>
        </w:tc>
        <w:tc>
          <w:tcPr>
            <w:tcW w:w="1491" w:type="dxa"/>
          </w:tcPr>
          <w:p>
            <w:pPr>
              <w:pStyle w:val="TableParagraph"/>
              <w:spacing w:before="0"/>
              <w:jc w:val="left"/>
              <w:rPr>
                <w:sz w:val="18"/>
              </w:rPr>
            </w:pPr>
          </w:p>
          <w:p>
            <w:pPr>
              <w:pStyle w:val="TableParagraph"/>
              <w:spacing w:before="10"/>
              <w:jc w:val="left"/>
              <w:rPr>
                <w:sz w:val="20"/>
              </w:rPr>
            </w:pPr>
          </w:p>
          <w:p>
            <w:pPr>
              <w:pStyle w:val="TableParagraph"/>
              <w:tabs>
                <w:tab w:pos="417" w:val="left" w:leader="none"/>
                <w:tab w:pos="1383" w:val="left" w:leader="none"/>
              </w:tabs>
              <w:spacing w:before="0"/>
              <w:ind w:right="11"/>
              <w:jc w:val="center"/>
              <w:rPr>
                <w:rFonts w:ascii="Times New Roman"/>
                <w:b/>
                <w:sz w:val="16"/>
              </w:rPr>
            </w:pPr>
            <w:r>
              <w:rPr>
                <w:rFonts w:ascii="Times New Roman"/>
                <w:b/>
                <w:color w:val="FFFFFF"/>
                <w:w w:val="104"/>
                <w:sz w:val="16"/>
                <w:shd w:fill="9F2F33" w:color="auto" w:val="clear"/>
              </w:rPr>
              <w:t> </w:t>
            </w:r>
            <w:r>
              <w:rPr>
                <w:rFonts w:ascii="Times New Roman"/>
                <w:b/>
                <w:color w:val="FFFFFF"/>
                <w:sz w:val="16"/>
                <w:shd w:fill="9F2F33" w:color="auto" w:val="clear"/>
              </w:rPr>
              <w:tab/>
            </w:r>
            <w:r>
              <w:rPr>
                <w:rFonts w:ascii="Times New Roman"/>
                <w:b/>
                <w:color w:val="FFFFFF"/>
                <w:w w:val="105"/>
                <w:sz w:val="16"/>
                <w:shd w:fill="9F2F33" w:color="auto" w:val="clear"/>
              </w:rPr>
              <w:t>Importi</w:t>
            </w:r>
            <w:r>
              <w:rPr>
                <w:rFonts w:ascii="Times New Roman"/>
                <w:b/>
                <w:color w:val="FFFFFF"/>
                <w:sz w:val="16"/>
                <w:shd w:fill="9F2F33" w:color="auto" w:val="clear"/>
              </w:rPr>
              <w:tab/>
            </w:r>
          </w:p>
          <w:p>
            <w:pPr>
              <w:pStyle w:val="TableParagraph"/>
              <w:spacing w:before="38"/>
              <w:ind w:left="42" w:right="11"/>
              <w:jc w:val="center"/>
              <w:rPr>
                <w:rFonts w:ascii="Times New Roman"/>
                <w:sz w:val="16"/>
              </w:rPr>
            </w:pPr>
            <w:r>
              <w:rPr>
                <w:rFonts w:ascii="Times New Roman"/>
                <w:w w:val="105"/>
                <w:sz w:val="16"/>
              </w:rPr>
              <w:t>28.785.813</w:t>
            </w:r>
          </w:p>
        </w:tc>
        <w:tc>
          <w:tcPr>
            <w:tcW w:w="1558" w:type="dxa"/>
          </w:tcPr>
          <w:p>
            <w:pPr>
              <w:pStyle w:val="TableParagraph"/>
              <w:spacing w:before="0"/>
              <w:jc w:val="left"/>
              <w:rPr>
                <w:sz w:val="18"/>
              </w:rPr>
            </w:pPr>
          </w:p>
          <w:p>
            <w:pPr>
              <w:pStyle w:val="TableParagraph"/>
              <w:spacing w:before="10"/>
              <w:jc w:val="left"/>
              <w:rPr>
                <w:sz w:val="20"/>
              </w:rPr>
            </w:pPr>
          </w:p>
          <w:p>
            <w:pPr>
              <w:pStyle w:val="TableParagraph"/>
              <w:tabs>
                <w:tab w:pos="557" w:val="left" w:leader="none"/>
                <w:tab w:pos="1467" w:val="left" w:leader="none"/>
              </w:tabs>
              <w:spacing w:before="0"/>
              <w:ind w:right="28"/>
              <w:rPr>
                <w:rFonts w:ascii="Times New Roman"/>
                <w:b/>
                <w:sz w:val="16"/>
              </w:rPr>
            </w:pPr>
            <w:r>
              <w:rPr>
                <w:rFonts w:ascii="Times New Roman"/>
                <w:b/>
                <w:color w:val="FFFFFF"/>
                <w:w w:val="104"/>
                <w:sz w:val="16"/>
                <w:shd w:fill="9F2F33" w:color="auto" w:val="clear"/>
              </w:rPr>
              <w:t> </w:t>
            </w:r>
            <w:r>
              <w:rPr>
                <w:rFonts w:ascii="Times New Roman"/>
                <w:b/>
                <w:color w:val="FFFFFF"/>
                <w:sz w:val="16"/>
                <w:shd w:fill="9F2F33" w:color="auto" w:val="clear"/>
              </w:rPr>
              <w:tab/>
            </w:r>
            <w:r>
              <w:rPr>
                <w:rFonts w:ascii="Times New Roman"/>
                <w:b/>
                <w:color w:val="FFFFFF"/>
                <w:spacing w:val="-1"/>
                <w:w w:val="105"/>
                <w:sz w:val="16"/>
                <w:shd w:fill="9F2F33" w:color="auto" w:val="clear"/>
              </w:rPr>
              <w:t>delta</w:t>
            </w:r>
            <w:r>
              <w:rPr>
                <w:rFonts w:ascii="Times New Roman"/>
                <w:b/>
                <w:color w:val="FFFFFF"/>
                <w:spacing w:val="-1"/>
                <w:sz w:val="16"/>
                <w:shd w:fill="9F2F33" w:color="auto" w:val="clear"/>
              </w:rPr>
              <w:tab/>
            </w:r>
          </w:p>
          <w:p>
            <w:pPr>
              <w:pStyle w:val="TableParagraph"/>
              <w:spacing w:before="38"/>
              <w:ind w:right="68"/>
              <w:rPr>
                <w:rFonts w:ascii="Times New Roman"/>
                <w:sz w:val="16"/>
              </w:rPr>
            </w:pPr>
            <w:r>
              <w:rPr>
                <w:rFonts w:ascii="Times New Roman"/>
                <w:w w:val="98"/>
                <w:sz w:val="16"/>
              </w:rPr>
              <w:t>-</w:t>
            </w:r>
          </w:p>
        </w:tc>
      </w:tr>
      <w:tr>
        <w:trPr>
          <w:trHeight w:val="208" w:hRule="exact"/>
        </w:trPr>
        <w:tc>
          <w:tcPr>
            <w:tcW w:w="4335" w:type="dxa"/>
          </w:tcPr>
          <w:p>
            <w:pPr>
              <w:pStyle w:val="TableParagraph"/>
              <w:spacing w:before="4"/>
              <w:ind w:left="57"/>
              <w:jc w:val="left"/>
              <w:rPr>
                <w:rFonts w:ascii="Times New Roman"/>
                <w:sz w:val="16"/>
              </w:rPr>
            </w:pPr>
            <w:r>
              <w:rPr>
                <w:rFonts w:ascii="Times New Roman"/>
                <w:w w:val="105"/>
                <w:sz w:val="16"/>
              </w:rPr>
              <w:t>Incasso riparto Beta</w:t>
            </w:r>
          </w:p>
        </w:tc>
        <w:tc>
          <w:tcPr>
            <w:tcW w:w="1175" w:type="dxa"/>
          </w:tcPr>
          <w:p>
            <w:pPr/>
          </w:p>
        </w:tc>
        <w:tc>
          <w:tcPr>
            <w:tcW w:w="1477" w:type="dxa"/>
          </w:tcPr>
          <w:p>
            <w:pPr/>
          </w:p>
        </w:tc>
        <w:tc>
          <w:tcPr>
            <w:tcW w:w="1491" w:type="dxa"/>
          </w:tcPr>
          <w:p>
            <w:pPr>
              <w:pStyle w:val="TableParagraph"/>
              <w:spacing w:before="4"/>
              <w:ind w:left="42" w:right="11"/>
              <w:jc w:val="center"/>
              <w:rPr>
                <w:rFonts w:ascii="Times New Roman"/>
                <w:sz w:val="16"/>
              </w:rPr>
            </w:pPr>
            <w:r>
              <w:rPr>
                <w:rFonts w:ascii="Times New Roman"/>
                <w:w w:val="105"/>
                <w:sz w:val="16"/>
              </w:rPr>
              <w:t>10.082.116</w:t>
            </w:r>
          </w:p>
        </w:tc>
        <w:tc>
          <w:tcPr>
            <w:tcW w:w="1558" w:type="dxa"/>
          </w:tcPr>
          <w:p>
            <w:pPr>
              <w:pStyle w:val="TableParagraph"/>
              <w:spacing w:before="4"/>
              <w:ind w:right="70"/>
              <w:rPr>
                <w:rFonts w:ascii="Times New Roman"/>
                <w:sz w:val="16"/>
              </w:rPr>
            </w:pPr>
            <w:r>
              <w:rPr>
                <w:rFonts w:ascii="Times New Roman"/>
                <w:w w:val="95"/>
                <w:sz w:val="16"/>
              </w:rPr>
              <w:t>(3.504.020)</w:t>
            </w:r>
          </w:p>
        </w:tc>
      </w:tr>
      <w:tr>
        <w:trPr>
          <w:trHeight w:val="238" w:hRule="exact"/>
        </w:trPr>
        <w:tc>
          <w:tcPr>
            <w:tcW w:w="4335" w:type="dxa"/>
          </w:tcPr>
          <w:p>
            <w:pPr>
              <w:pStyle w:val="TableParagraph"/>
              <w:spacing w:before="19"/>
              <w:ind w:left="57"/>
              <w:jc w:val="left"/>
              <w:rPr>
                <w:rFonts w:ascii="Times New Roman"/>
                <w:sz w:val="16"/>
              </w:rPr>
            </w:pPr>
            <w:r>
              <w:rPr>
                <w:rFonts w:ascii="Times New Roman"/>
                <w:w w:val="105"/>
                <w:sz w:val="16"/>
              </w:rPr>
              <w:t>Incasso riparto IBPE</w:t>
            </w:r>
          </w:p>
        </w:tc>
        <w:tc>
          <w:tcPr>
            <w:tcW w:w="1175" w:type="dxa"/>
          </w:tcPr>
          <w:p>
            <w:pPr/>
          </w:p>
        </w:tc>
        <w:tc>
          <w:tcPr>
            <w:tcW w:w="1477" w:type="dxa"/>
          </w:tcPr>
          <w:p>
            <w:pPr/>
          </w:p>
        </w:tc>
        <w:tc>
          <w:tcPr>
            <w:tcW w:w="1491" w:type="dxa"/>
          </w:tcPr>
          <w:p>
            <w:pPr>
              <w:pStyle w:val="TableParagraph"/>
              <w:spacing w:before="19"/>
              <w:ind w:left="52" w:right="11"/>
              <w:jc w:val="center"/>
              <w:rPr>
                <w:rFonts w:ascii="Times New Roman"/>
                <w:sz w:val="16"/>
              </w:rPr>
            </w:pPr>
            <w:r>
              <w:rPr>
                <w:rFonts w:ascii="Times New Roman"/>
                <w:w w:val="105"/>
                <w:sz w:val="16"/>
              </w:rPr>
              <w:t>4.016</w:t>
            </w:r>
          </w:p>
        </w:tc>
        <w:tc>
          <w:tcPr>
            <w:tcW w:w="1558" w:type="dxa"/>
          </w:tcPr>
          <w:p>
            <w:pPr>
              <w:pStyle w:val="TableParagraph"/>
              <w:spacing w:before="19"/>
              <w:ind w:right="68"/>
              <w:rPr>
                <w:rFonts w:ascii="Times New Roman"/>
                <w:sz w:val="16"/>
              </w:rPr>
            </w:pPr>
            <w:r>
              <w:rPr>
                <w:rFonts w:ascii="Times New Roman"/>
                <w:w w:val="98"/>
                <w:sz w:val="16"/>
              </w:rPr>
              <w:t>-</w:t>
            </w:r>
          </w:p>
        </w:tc>
      </w:tr>
      <w:tr>
        <w:trPr>
          <w:trHeight w:val="209" w:hRule="exact"/>
        </w:trPr>
        <w:tc>
          <w:tcPr>
            <w:tcW w:w="4335" w:type="dxa"/>
          </w:tcPr>
          <w:p>
            <w:pPr>
              <w:pStyle w:val="TableParagraph"/>
              <w:spacing w:before="4"/>
              <w:ind w:left="57"/>
              <w:jc w:val="left"/>
              <w:rPr>
                <w:rFonts w:ascii="Times New Roman"/>
                <w:sz w:val="16"/>
              </w:rPr>
            </w:pPr>
            <w:r>
              <w:rPr>
                <w:rFonts w:ascii="Times New Roman"/>
                <w:w w:val="105"/>
                <w:sz w:val="16"/>
              </w:rPr>
              <w:t>Cessione immobile Modugno</w:t>
            </w:r>
          </w:p>
        </w:tc>
        <w:tc>
          <w:tcPr>
            <w:tcW w:w="1175" w:type="dxa"/>
          </w:tcPr>
          <w:p>
            <w:pPr/>
          </w:p>
        </w:tc>
        <w:tc>
          <w:tcPr>
            <w:tcW w:w="1477" w:type="dxa"/>
          </w:tcPr>
          <w:p>
            <w:pPr/>
          </w:p>
        </w:tc>
        <w:tc>
          <w:tcPr>
            <w:tcW w:w="1491" w:type="dxa"/>
          </w:tcPr>
          <w:p>
            <w:pPr>
              <w:pStyle w:val="TableParagraph"/>
              <w:spacing w:before="4"/>
              <w:ind w:left="52" w:right="11"/>
              <w:jc w:val="center"/>
              <w:rPr>
                <w:rFonts w:ascii="Times New Roman"/>
                <w:sz w:val="16"/>
              </w:rPr>
            </w:pPr>
            <w:r>
              <w:rPr>
                <w:rFonts w:ascii="Times New Roman"/>
                <w:w w:val="105"/>
                <w:sz w:val="16"/>
              </w:rPr>
              <w:t>768.450</w:t>
            </w:r>
          </w:p>
        </w:tc>
        <w:tc>
          <w:tcPr>
            <w:tcW w:w="1558" w:type="dxa"/>
          </w:tcPr>
          <w:p>
            <w:pPr>
              <w:pStyle w:val="TableParagraph"/>
              <w:spacing w:before="4"/>
              <w:ind w:right="70"/>
              <w:rPr>
                <w:rFonts w:ascii="Times New Roman"/>
                <w:sz w:val="16"/>
              </w:rPr>
            </w:pPr>
            <w:r>
              <w:rPr>
                <w:rFonts w:ascii="Times New Roman"/>
                <w:w w:val="95"/>
                <w:sz w:val="16"/>
              </w:rPr>
              <w:t>(256.150)</w:t>
            </w:r>
          </w:p>
        </w:tc>
      </w:tr>
      <w:tr>
        <w:trPr>
          <w:trHeight w:val="223" w:hRule="exact"/>
        </w:trPr>
        <w:tc>
          <w:tcPr>
            <w:tcW w:w="4335" w:type="dxa"/>
          </w:tcPr>
          <w:p>
            <w:pPr>
              <w:pStyle w:val="TableParagraph"/>
              <w:spacing w:before="19"/>
              <w:ind w:left="57"/>
              <w:jc w:val="left"/>
              <w:rPr>
                <w:rFonts w:ascii="Times New Roman"/>
                <w:sz w:val="16"/>
              </w:rPr>
            </w:pPr>
            <w:r>
              <w:rPr>
                <w:rFonts w:ascii="Times New Roman"/>
                <w:w w:val="105"/>
                <w:sz w:val="16"/>
              </w:rPr>
              <w:t>Deposito cauzionale immobile Rivalta</w:t>
            </w:r>
          </w:p>
        </w:tc>
        <w:tc>
          <w:tcPr>
            <w:tcW w:w="1175" w:type="dxa"/>
          </w:tcPr>
          <w:p>
            <w:pPr/>
          </w:p>
        </w:tc>
        <w:tc>
          <w:tcPr>
            <w:tcW w:w="1477" w:type="dxa"/>
          </w:tcPr>
          <w:p>
            <w:pPr/>
          </w:p>
        </w:tc>
        <w:tc>
          <w:tcPr>
            <w:tcW w:w="1491" w:type="dxa"/>
          </w:tcPr>
          <w:p>
            <w:pPr>
              <w:pStyle w:val="TableParagraph"/>
              <w:spacing w:before="19"/>
              <w:ind w:left="43" w:right="11"/>
              <w:jc w:val="center"/>
              <w:rPr>
                <w:rFonts w:ascii="Times New Roman"/>
                <w:sz w:val="16"/>
              </w:rPr>
            </w:pPr>
            <w:r>
              <w:rPr>
                <w:rFonts w:ascii="Times New Roman"/>
                <w:w w:val="105"/>
                <w:sz w:val="16"/>
              </w:rPr>
              <w:t>33.250</w:t>
            </w:r>
          </w:p>
        </w:tc>
        <w:tc>
          <w:tcPr>
            <w:tcW w:w="1558" w:type="dxa"/>
          </w:tcPr>
          <w:p>
            <w:pPr>
              <w:pStyle w:val="TableParagraph"/>
              <w:spacing w:before="19"/>
              <w:ind w:right="68"/>
              <w:rPr>
                <w:rFonts w:ascii="Times New Roman"/>
                <w:sz w:val="16"/>
              </w:rPr>
            </w:pPr>
            <w:r>
              <w:rPr>
                <w:rFonts w:ascii="Times New Roman"/>
                <w:w w:val="98"/>
                <w:sz w:val="16"/>
              </w:rPr>
              <w:t>-</w:t>
            </w:r>
          </w:p>
        </w:tc>
      </w:tr>
      <w:tr>
        <w:trPr>
          <w:trHeight w:val="238" w:hRule="exact"/>
        </w:trPr>
        <w:tc>
          <w:tcPr>
            <w:tcW w:w="4335" w:type="dxa"/>
          </w:tcPr>
          <w:p>
            <w:pPr>
              <w:pStyle w:val="TableParagraph"/>
              <w:spacing w:before="18"/>
              <w:ind w:left="57"/>
              <w:jc w:val="left"/>
              <w:rPr>
                <w:rFonts w:ascii="Times New Roman"/>
                <w:sz w:val="16"/>
              </w:rPr>
            </w:pPr>
            <w:r>
              <w:rPr>
                <w:rFonts w:ascii="Times New Roman"/>
                <w:w w:val="105"/>
                <w:sz w:val="16"/>
              </w:rPr>
              <w:t>Altri depositi cauzionali</w:t>
            </w:r>
          </w:p>
        </w:tc>
        <w:tc>
          <w:tcPr>
            <w:tcW w:w="1175" w:type="dxa"/>
          </w:tcPr>
          <w:p>
            <w:pPr/>
          </w:p>
        </w:tc>
        <w:tc>
          <w:tcPr>
            <w:tcW w:w="1477" w:type="dxa"/>
          </w:tcPr>
          <w:p>
            <w:pPr/>
          </w:p>
        </w:tc>
        <w:tc>
          <w:tcPr>
            <w:tcW w:w="1491" w:type="dxa"/>
          </w:tcPr>
          <w:p>
            <w:pPr>
              <w:pStyle w:val="TableParagraph"/>
              <w:spacing w:before="18"/>
              <w:ind w:left="52" w:right="11"/>
              <w:jc w:val="center"/>
              <w:rPr>
                <w:rFonts w:ascii="Times New Roman"/>
                <w:sz w:val="16"/>
              </w:rPr>
            </w:pPr>
            <w:r>
              <w:rPr>
                <w:rFonts w:ascii="Times New Roman"/>
                <w:w w:val="105"/>
                <w:sz w:val="16"/>
              </w:rPr>
              <w:t>8.500</w:t>
            </w:r>
          </w:p>
        </w:tc>
        <w:tc>
          <w:tcPr>
            <w:tcW w:w="1558" w:type="dxa"/>
          </w:tcPr>
          <w:p>
            <w:pPr>
              <w:pStyle w:val="TableParagraph"/>
              <w:spacing w:before="18"/>
              <w:ind w:right="68"/>
              <w:rPr>
                <w:rFonts w:ascii="Times New Roman"/>
                <w:sz w:val="16"/>
              </w:rPr>
            </w:pPr>
            <w:r>
              <w:rPr>
                <w:rFonts w:ascii="Times New Roman"/>
                <w:w w:val="98"/>
                <w:sz w:val="16"/>
              </w:rPr>
              <w:t>-</w:t>
            </w:r>
          </w:p>
        </w:tc>
      </w:tr>
      <w:tr>
        <w:trPr>
          <w:trHeight w:val="209" w:hRule="exact"/>
        </w:trPr>
        <w:tc>
          <w:tcPr>
            <w:tcW w:w="4335" w:type="dxa"/>
          </w:tcPr>
          <w:p>
            <w:pPr>
              <w:pStyle w:val="TableParagraph"/>
              <w:spacing w:before="4"/>
              <w:ind w:left="57"/>
              <w:jc w:val="left"/>
              <w:rPr>
                <w:rFonts w:ascii="Times New Roman"/>
                <w:sz w:val="16"/>
              </w:rPr>
            </w:pPr>
            <w:r>
              <w:rPr>
                <w:rFonts w:ascii="Times New Roman"/>
                <w:w w:val="105"/>
                <w:sz w:val="16"/>
              </w:rPr>
              <w:t>Incasso crediti commerciali</w:t>
            </w:r>
          </w:p>
        </w:tc>
        <w:tc>
          <w:tcPr>
            <w:tcW w:w="1175" w:type="dxa"/>
          </w:tcPr>
          <w:p>
            <w:pPr/>
          </w:p>
        </w:tc>
        <w:tc>
          <w:tcPr>
            <w:tcW w:w="1477" w:type="dxa"/>
          </w:tcPr>
          <w:p>
            <w:pPr/>
          </w:p>
        </w:tc>
        <w:tc>
          <w:tcPr>
            <w:tcW w:w="1491" w:type="dxa"/>
          </w:tcPr>
          <w:p>
            <w:pPr>
              <w:pStyle w:val="TableParagraph"/>
              <w:spacing w:before="4"/>
              <w:ind w:left="52" w:right="11"/>
              <w:jc w:val="center"/>
              <w:rPr>
                <w:rFonts w:ascii="Times New Roman"/>
                <w:sz w:val="16"/>
              </w:rPr>
            </w:pPr>
            <w:r>
              <w:rPr>
                <w:rFonts w:ascii="Times New Roman"/>
                <w:w w:val="105"/>
                <w:sz w:val="16"/>
              </w:rPr>
              <w:t>4.035.789</w:t>
            </w:r>
          </w:p>
        </w:tc>
        <w:tc>
          <w:tcPr>
            <w:tcW w:w="1558" w:type="dxa"/>
          </w:tcPr>
          <w:p>
            <w:pPr>
              <w:pStyle w:val="TableParagraph"/>
              <w:spacing w:before="4"/>
              <w:ind w:right="70"/>
              <w:rPr>
                <w:rFonts w:ascii="Times New Roman"/>
                <w:sz w:val="16"/>
              </w:rPr>
            </w:pPr>
            <w:r>
              <w:rPr>
                <w:rFonts w:ascii="Times New Roman"/>
                <w:w w:val="95"/>
                <w:sz w:val="16"/>
              </w:rPr>
              <w:t>(1.419.000)</w:t>
            </w:r>
          </w:p>
        </w:tc>
      </w:tr>
      <w:tr>
        <w:trPr>
          <w:trHeight w:val="223" w:hRule="exact"/>
        </w:trPr>
        <w:tc>
          <w:tcPr>
            <w:tcW w:w="4335" w:type="dxa"/>
          </w:tcPr>
          <w:p>
            <w:pPr>
              <w:pStyle w:val="TableParagraph"/>
              <w:spacing w:before="18"/>
              <w:ind w:left="57"/>
              <w:jc w:val="left"/>
              <w:rPr>
                <w:rFonts w:ascii="Times New Roman"/>
                <w:sz w:val="16"/>
              </w:rPr>
            </w:pPr>
            <w:r>
              <w:rPr>
                <w:rFonts w:ascii="Times New Roman"/>
                <w:w w:val="105"/>
                <w:sz w:val="16"/>
              </w:rPr>
              <w:t>Crediti fiscali</w:t>
            </w:r>
          </w:p>
        </w:tc>
        <w:tc>
          <w:tcPr>
            <w:tcW w:w="1175" w:type="dxa"/>
          </w:tcPr>
          <w:p>
            <w:pPr/>
          </w:p>
        </w:tc>
        <w:tc>
          <w:tcPr>
            <w:tcW w:w="1477" w:type="dxa"/>
          </w:tcPr>
          <w:p>
            <w:pPr/>
          </w:p>
        </w:tc>
        <w:tc>
          <w:tcPr>
            <w:tcW w:w="1491" w:type="dxa"/>
          </w:tcPr>
          <w:p>
            <w:pPr>
              <w:pStyle w:val="TableParagraph"/>
              <w:spacing w:before="18"/>
              <w:ind w:left="52" w:right="11"/>
              <w:jc w:val="center"/>
              <w:rPr>
                <w:rFonts w:ascii="Times New Roman"/>
                <w:sz w:val="16"/>
              </w:rPr>
            </w:pPr>
            <w:r>
              <w:rPr>
                <w:rFonts w:ascii="Times New Roman"/>
                <w:w w:val="105"/>
                <w:sz w:val="16"/>
              </w:rPr>
              <w:t>136.903</w:t>
            </w:r>
          </w:p>
        </w:tc>
        <w:tc>
          <w:tcPr>
            <w:tcW w:w="1558" w:type="dxa"/>
          </w:tcPr>
          <w:p>
            <w:pPr>
              <w:pStyle w:val="TableParagraph"/>
              <w:spacing w:before="18"/>
              <w:ind w:right="68"/>
              <w:rPr>
                <w:rFonts w:ascii="Times New Roman"/>
                <w:sz w:val="16"/>
              </w:rPr>
            </w:pPr>
            <w:r>
              <w:rPr>
                <w:rFonts w:ascii="Times New Roman"/>
                <w:w w:val="98"/>
                <w:sz w:val="16"/>
              </w:rPr>
              <w:t>-</w:t>
            </w:r>
          </w:p>
        </w:tc>
      </w:tr>
      <w:tr>
        <w:trPr>
          <w:trHeight w:val="223" w:hRule="exact"/>
        </w:trPr>
        <w:tc>
          <w:tcPr>
            <w:tcW w:w="4335" w:type="dxa"/>
          </w:tcPr>
          <w:p>
            <w:pPr>
              <w:pStyle w:val="TableParagraph"/>
              <w:spacing w:before="19"/>
              <w:ind w:left="57"/>
              <w:jc w:val="left"/>
              <w:rPr>
                <w:rFonts w:ascii="Times New Roman" w:hAnsi="Times New Roman"/>
                <w:sz w:val="16"/>
              </w:rPr>
            </w:pPr>
            <w:r>
              <w:rPr>
                <w:rFonts w:ascii="Times New Roman" w:hAnsi="Times New Roman"/>
                <w:w w:val="105"/>
                <w:sz w:val="16"/>
              </w:rPr>
              <w:t>Disponibilità liquide e altro attivo da realizzare</w:t>
            </w:r>
          </w:p>
        </w:tc>
        <w:tc>
          <w:tcPr>
            <w:tcW w:w="1175" w:type="dxa"/>
          </w:tcPr>
          <w:p>
            <w:pPr/>
          </w:p>
        </w:tc>
        <w:tc>
          <w:tcPr>
            <w:tcW w:w="1477" w:type="dxa"/>
          </w:tcPr>
          <w:p>
            <w:pPr/>
          </w:p>
        </w:tc>
        <w:tc>
          <w:tcPr>
            <w:tcW w:w="1491" w:type="dxa"/>
          </w:tcPr>
          <w:p>
            <w:pPr>
              <w:pStyle w:val="TableParagraph"/>
              <w:spacing w:before="19"/>
              <w:ind w:left="52" w:right="11"/>
              <w:jc w:val="center"/>
              <w:rPr>
                <w:rFonts w:ascii="Times New Roman"/>
                <w:sz w:val="16"/>
              </w:rPr>
            </w:pPr>
            <w:r>
              <w:rPr>
                <w:rFonts w:ascii="Times New Roman"/>
                <w:w w:val="105"/>
                <w:sz w:val="16"/>
              </w:rPr>
              <w:t>1.228.933</w:t>
            </w:r>
          </w:p>
        </w:tc>
        <w:tc>
          <w:tcPr>
            <w:tcW w:w="1558" w:type="dxa"/>
          </w:tcPr>
          <w:p>
            <w:pPr>
              <w:pStyle w:val="TableParagraph"/>
              <w:spacing w:before="19"/>
              <w:ind w:right="68"/>
              <w:rPr>
                <w:rFonts w:ascii="Times New Roman"/>
                <w:sz w:val="16"/>
              </w:rPr>
            </w:pPr>
            <w:r>
              <w:rPr>
                <w:rFonts w:ascii="Times New Roman"/>
                <w:w w:val="98"/>
                <w:sz w:val="16"/>
              </w:rPr>
              <w:t>-</w:t>
            </w:r>
          </w:p>
        </w:tc>
      </w:tr>
      <w:tr>
        <w:trPr>
          <w:trHeight w:val="204" w:hRule="exact"/>
        </w:trPr>
        <w:tc>
          <w:tcPr>
            <w:tcW w:w="4335" w:type="dxa"/>
          </w:tcPr>
          <w:p>
            <w:pPr>
              <w:pStyle w:val="TableParagraph"/>
              <w:tabs>
                <w:tab w:pos="3995" w:val="left" w:leader="none"/>
              </w:tabs>
              <w:spacing w:before="18"/>
              <w:ind w:left="30"/>
              <w:jc w:val="left"/>
              <w:rPr>
                <w:rFonts w:ascii="Times New Roman"/>
                <w:b/>
                <w:sz w:val="16"/>
              </w:rPr>
            </w:pPr>
            <w:r>
              <w:rPr>
                <w:rFonts w:ascii="Times New Roman"/>
                <w:b/>
                <w:color w:val="FFFFFF"/>
                <w:spacing w:val="-14"/>
                <w:w w:val="104"/>
                <w:sz w:val="16"/>
                <w:shd w:fill="878A8D" w:color="auto" w:val="clear"/>
              </w:rPr>
              <w:t> </w:t>
            </w:r>
            <w:r>
              <w:rPr>
                <w:rFonts w:ascii="Times New Roman"/>
                <w:b/>
                <w:color w:val="FFFFFF"/>
                <w:w w:val="105"/>
                <w:sz w:val="16"/>
                <w:shd w:fill="878A8D" w:color="auto" w:val="clear"/>
              </w:rPr>
              <w:t>Totale Attivo da</w:t>
            </w:r>
            <w:r>
              <w:rPr>
                <w:rFonts w:ascii="Times New Roman"/>
                <w:b/>
                <w:color w:val="FFFFFF"/>
                <w:spacing w:val="13"/>
                <w:w w:val="105"/>
                <w:sz w:val="16"/>
                <w:shd w:fill="878A8D" w:color="auto" w:val="clear"/>
              </w:rPr>
              <w:t> </w:t>
            </w:r>
            <w:r>
              <w:rPr>
                <w:rFonts w:ascii="Times New Roman"/>
                <w:b/>
                <w:color w:val="FFFFFF"/>
                <w:spacing w:val="-3"/>
                <w:w w:val="105"/>
                <w:sz w:val="16"/>
                <w:shd w:fill="878A8D" w:color="auto" w:val="clear"/>
              </w:rPr>
              <w:t>realizzare</w:t>
            </w:r>
            <w:r>
              <w:rPr>
                <w:rFonts w:ascii="Times New Roman"/>
                <w:b/>
                <w:color w:val="FFFFFF"/>
                <w:spacing w:val="-3"/>
                <w:sz w:val="16"/>
                <w:shd w:fill="878A8D" w:color="auto" w:val="clear"/>
              </w:rPr>
              <w:tab/>
            </w:r>
          </w:p>
        </w:tc>
        <w:tc>
          <w:tcPr>
            <w:tcW w:w="1175" w:type="dxa"/>
          </w:tcPr>
          <w:p>
            <w:pPr/>
          </w:p>
        </w:tc>
        <w:tc>
          <w:tcPr>
            <w:tcW w:w="1477" w:type="dxa"/>
          </w:tcPr>
          <w:p>
            <w:pPr/>
          </w:p>
        </w:tc>
        <w:tc>
          <w:tcPr>
            <w:tcW w:w="1491" w:type="dxa"/>
          </w:tcPr>
          <w:p>
            <w:pPr>
              <w:pStyle w:val="TableParagraph"/>
              <w:tabs>
                <w:tab w:pos="333" w:val="left" w:leader="none"/>
                <w:tab w:pos="1383" w:val="left" w:leader="none"/>
              </w:tabs>
              <w:spacing w:before="18"/>
              <w:ind w:right="11"/>
              <w:jc w:val="center"/>
              <w:rPr>
                <w:rFonts w:ascii="Times New Roman"/>
                <w:b/>
                <w:sz w:val="16"/>
              </w:rPr>
            </w:pPr>
            <w:r>
              <w:rPr>
                <w:rFonts w:ascii="Times New Roman"/>
                <w:b/>
                <w:color w:val="FFFFFF"/>
                <w:w w:val="104"/>
                <w:sz w:val="16"/>
                <w:shd w:fill="878A8D" w:color="auto" w:val="clear"/>
              </w:rPr>
              <w:t> </w:t>
            </w:r>
            <w:r>
              <w:rPr>
                <w:rFonts w:ascii="Times New Roman"/>
                <w:b/>
                <w:color w:val="FFFFFF"/>
                <w:sz w:val="16"/>
                <w:shd w:fill="878A8D" w:color="auto" w:val="clear"/>
              </w:rPr>
              <w:tab/>
            </w:r>
            <w:r>
              <w:rPr>
                <w:rFonts w:ascii="Times New Roman"/>
                <w:b/>
                <w:color w:val="FFFFFF"/>
                <w:w w:val="105"/>
                <w:sz w:val="16"/>
                <w:shd w:fill="878A8D" w:color="auto" w:val="clear"/>
              </w:rPr>
              <w:t>45.083.769</w:t>
            </w:r>
            <w:r>
              <w:rPr>
                <w:rFonts w:ascii="Times New Roman"/>
                <w:b/>
                <w:color w:val="FFFFFF"/>
                <w:sz w:val="16"/>
                <w:shd w:fill="878A8D" w:color="auto" w:val="clear"/>
              </w:rPr>
              <w:tab/>
            </w:r>
          </w:p>
        </w:tc>
        <w:tc>
          <w:tcPr>
            <w:tcW w:w="1558" w:type="dxa"/>
          </w:tcPr>
          <w:p>
            <w:pPr>
              <w:pStyle w:val="TableParagraph"/>
              <w:tabs>
                <w:tab w:pos="343" w:val="left" w:leader="none"/>
                <w:tab w:pos="1467" w:val="left" w:leader="none"/>
              </w:tabs>
              <w:spacing w:before="18"/>
              <w:ind w:right="28"/>
              <w:rPr>
                <w:rFonts w:ascii="Times New Roman"/>
                <w:b/>
                <w:sz w:val="16"/>
              </w:rPr>
            </w:pPr>
            <w:r>
              <w:rPr>
                <w:rFonts w:ascii="Times New Roman"/>
                <w:b/>
                <w:color w:val="FFFFFF"/>
                <w:w w:val="104"/>
                <w:sz w:val="16"/>
                <w:shd w:fill="878A8D" w:color="auto" w:val="clear"/>
              </w:rPr>
              <w:t> </w:t>
            </w:r>
            <w:r>
              <w:rPr>
                <w:rFonts w:ascii="Times New Roman"/>
                <w:b/>
                <w:color w:val="FFFFFF"/>
                <w:sz w:val="16"/>
                <w:shd w:fill="878A8D" w:color="auto" w:val="clear"/>
              </w:rPr>
              <w:tab/>
            </w:r>
            <w:r>
              <w:rPr>
                <w:rFonts w:ascii="Times New Roman"/>
                <w:b/>
                <w:color w:val="FFFFFF"/>
                <w:w w:val="105"/>
                <w:sz w:val="16"/>
                <w:shd w:fill="878A8D" w:color="auto" w:val="clear"/>
              </w:rPr>
              <w:t>(5.179.170)</w:t>
            </w:r>
            <w:r>
              <w:rPr>
                <w:rFonts w:ascii="Times New Roman"/>
                <w:b/>
                <w:color w:val="FFFFFF"/>
                <w:sz w:val="16"/>
                <w:shd w:fill="878A8D" w:color="auto" w:val="clear"/>
              </w:rPr>
              <w:tab/>
            </w:r>
          </w:p>
        </w:tc>
      </w:tr>
    </w:tbl>
    <w:p>
      <w:pPr>
        <w:pStyle w:val="BodyText"/>
        <w:rPr>
          <w:sz w:val="20"/>
        </w:rPr>
      </w:pPr>
    </w:p>
    <w:p>
      <w:pPr>
        <w:pStyle w:val="BodyText"/>
        <w:spacing w:before="6"/>
        <w:rPr>
          <w:sz w:val="20"/>
        </w:rPr>
      </w:pPr>
    </w:p>
    <w:tbl>
      <w:tblPr>
        <w:tblW w:w="0" w:type="auto"/>
        <w:jc w:val="left"/>
        <w:tblInd w:w="139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283"/>
        <w:gridCol w:w="1374"/>
        <w:gridCol w:w="1384"/>
        <w:gridCol w:w="1374"/>
        <w:gridCol w:w="1618"/>
      </w:tblGrid>
      <w:tr>
        <w:trPr>
          <w:trHeight w:val="232" w:hRule="exact"/>
        </w:trPr>
        <w:tc>
          <w:tcPr>
            <w:tcW w:w="4283" w:type="dxa"/>
          </w:tcPr>
          <w:p>
            <w:pPr>
              <w:pStyle w:val="TableParagraph"/>
              <w:tabs>
                <w:tab w:pos="3995" w:val="left" w:leader="none"/>
              </w:tabs>
              <w:spacing w:before="27"/>
              <w:ind w:left="30"/>
              <w:jc w:val="left"/>
              <w:rPr>
                <w:rFonts w:ascii="Times New Roman"/>
                <w:b/>
                <w:sz w:val="16"/>
              </w:rPr>
            </w:pPr>
            <w:r>
              <w:rPr>
                <w:rFonts w:ascii="Times New Roman"/>
                <w:b/>
                <w:color w:val="FFFFFF"/>
                <w:spacing w:val="-14"/>
                <w:w w:val="104"/>
                <w:sz w:val="16"/>
                <w:shd w:fill="9F2F33" w:color="auto" w:val="clear"/>
              </w:rPr>
              <w:t> </w:t>
            </w:r>
            <w:r>
              <w:rPr>
                <w:rFonts w:ascii="Times New Roman"/>
                <w:b/>
                <w:color w:val="FFFFFF"/>
                <w:w w:val="105"/>
                <w:sz w:val="16"/>
                <w:shd w:fill="9F2F33" w:color="auto" w:val="clear"/>
              </w:rPr>
              <w:t>Passivo</w:t>
            </w:r>
            <w:r>
              <w:rPr>
                <w:rFonts w:ascii="Times New Roman"/>
                <w:b/>
                <w:color w:val="FFFFFF"/>
                <w:spacing w:val="-6"/>
                <w:w w:val="105"/>
                <w:sz w:val="16"/>
                <w:shd w:fill="9F2F33" w:color="auto" w:val="clear"/>
              </w:rPr>
              <w:t> </w:t>
            </w:r>
            <w:r>
              <w:rPr>
                <w:rFonts w:ascii="Times New Roman"/>
                <w:b/>
                <w:color w:val="FFFFFF"/>
                <w:w w:val="105"/>
                <w:sz w:val="16"/>
                <w:shd w:fill="9F2F33" w:color="auto" w:val="clear"/>
              </w:rPr>
              <w:t>concordatario</w:t>
            </w:r>
            <w:r>
              <w:rPr>
                <w:rFonts w:ascii="Times New Roman"/>
                <w:b/>
                <w:color w:val="FFFFFF"/>
                <w:sz w:val="16"/>
                <w:shd w:fill="9F2F33" w:color="auto" w:val="clear"/>
              </w:rPr>
              <w:tab/>
            </w:r>
          </w:p>
        </w:tc>
        <w:tc>
          <w:tcPr>
            <w:tcW w:w="1374" w:type="dxa"/>
            <w:shd w:val="clear" w:color="auto" w:fill="9F2F33"/>
          </w:tcPr>
          <w:p>
            <w:pPr>
              <w:pStyle w:val="TableParagraph"/>
              <w:spacing w:before="27"/>
              <w:ind w:left="390"/>
              <w:jc w:val="left"/>
              <w:rPr>
                <w:rFonts w:ascii="Times New Roman"/>
                <w:b/>
                <w:sz w:val="16"/>
              </w:rPr>
            </w:pPr>
            <w:r>
              <w:rPr>
                <w:rFonts w:ascii="Times New Roman"/>
                <w:b/>
                <w:color w:val="FFFFFF"/>
                <w:w w:val="105"/>
                <w:sz w:val="16"/>
              </w:rPr>
              <w:t>Importo</w:t>
            </w:r>
          </w:p>
        </w:tc>
        <w:tc>
          <w:tcPr>
            <w:tcW w:w="1384" w:type="dxa"/>
            <w:shd w:val="clear" w:color="auto" w:fill="9F2F33"/>
          </w:tcPr>
          <w:p>
            <w:pPr>
              <w:pStyle w:val="TableParagraph"/>
              <w:spacing w:before="27"/>
              <w:ind w:right="7"/>
              <w:jc w:val="center"/>
              <w:rPr>
                <w:rFonts w:ascii="Times New Roman"/>
                <w:b/>
                <w:sz w:val="16"/>
              </w:rPr>
            </w:pPr>
            <w:r>
              <w:rPr>
                <w:rFonts w:ascii="Times New Roman"/>
                <w:b/>
                <w:color w:val="FFFFFF"/>
                <w:w w:val="105"/>
                <w:sz w:val="16"/>
              </w:rPr>
              <w:t>Soddisfacimento</w:t>
            </w:r>
          </w:p>
        </w:tc>
        <w:tc>
          <w:tcPr>
            <w:tcW w:w="1374" w:type="dxa"/>
            <w:shd w:val="clear" w:color="auto" w:fill="9F2F33"/>
          </w:tcPr>
          <w:p>
            <w:pPr>
              <w:pStyle w:val="TableParagraph"/>
              <w:spacing w:before="27"/>
              <w:ind w:left="255" w:right="271"/>
              <w:jc w:val="center"/>
              <w:rPr>
                <w:rFonts w:ascii="Times New Roman"/>
                <w:b/>
                <w:sz w:val="16"/>
              </w:rPr>
            </w:pPr>
            <w:r>
              <w:rPr>
                <w:rFonts w:ascii="Times New Roman"/>
                <w:b/>
                <w:color w:val="FFFFFF"/>
                <w:w w:val="105"/>
                <w:sz w:val="16"/>
              </w:rPr>
              <w:t>Importo</w:t>
            </w:r>
          </w:p>
        </w:tc>
        <w:tc>
          <w:tcPr>
            <w:tcW w:w="1618" w:type="dxa"/>
          </w:tcPr>
          <w:p>
            <w:pPr>
              <w:pStyle w:val="TableParagraph"/>
              <w:tabs>
                <w:tab w:pos="557" w:val="left" w:leader="none"/>
                <w:tab w:pos="1467" w:val="left" w:leader="none"/>
              </w:tabs>
              <w:spacing w:before="27"/>
              <w:ind w:right="28"/>
              <w:rPr>
                <w:rFonts w:ascii="Times New Roman"/>
                <w:b/>
                <w:sz w:val="16"/>
              </w:rPr>
            </w:pPr>
            <w:r>
              <w:rPr>
                <w:rFonts w:ascii="Times New Roman"/>
                <w:b/>
                <w:color w:val="FFFFFF"/>
                <w:w w:val="104"/>
                <w:sz w:val="16"/>
                <w:shd w:fill="9F2F33" w:color="auto" w:val="clear"/>
              </w:rPr>
              <w:t> </w:t>
            </w:r>
            <w:r>
              <w:rPr>
                <w:rFonts w:ascii="Times New Roman"/>
                <w:b/>
                <w:color w:val="FFFFFF"/>
                <w:sz w:val="16"/>
                <w:shd w:fill="9F2F33" w:color="auto" w:val="clear"/>
              </w:rPr>
              <w:tab/>
            </w:r>
            <w:r>
              <w:rPr>
                <w:rFonts w:ascii="Times New Roman"/>
                <w:b/>
                <w:color w:val="FFFFFF"/>
                <w:spacing w:val="-1"/>
                <w:w w:val="105"/>
                <w:sz w:val="16"/>
                <w:shd w:fill="9F2F33" w:color="auto" w:val="clear"/>
              </w:rPr>
              <w:t>delta</w:t>
            </w:r>
            <w:r>
              <w:rPr>
                <w:rFonts w:ascii="Times New Roman"/>
                <w:b/>
                <w:color w:val="FFFFFF"/>
                <w:spacing w:val="-1"/>
                <w:sz w:val="16"/>
                <w:shd w:fill="9F2F33" w:color="auto" w:val="clear"/>
              </w:rPr>
              <w:tab/>
            </w:r>
          </w:p>
        </w:tc>
      </w:tr>
      <w:tr>
        <w:trPr>
          <w:trHeight w:val="223" w:hRule="exact"/>
        </w:trPr>
        <w:tc>
          <w:tcPr>
            <w:tcW w:w="4283" w:type="dxa"/>
          </w:tcPr>
          <w:p>
            <w:pPr>
              <w:pStyle w:val="TableParagraph"/>
              <w:spacing w:before="18"/>
              <w:ind w:left="57"/>
              <w:jc w:val="left"/>
              <w:rPr>
                <w:rFonts w:ascii="Times New Roman"/>
                <w:sz w:val="16"/>
              </w:rPr>
            </w:pPr>
            <w:r>
              <w:rPr>
                <w:rFonts w:ascii="Times New Roman"/>
                <w:w w:val="105"/>
                <w:sz w:val="16"/>
              </w:rPr>
              <w:t>Debiti in prededuzione maturati fino al 31.12.2024</w:t>
            </w:r>
          </w:p>
        </w:tc>
        <w:tc>
          <w:tcPr>
            <w:tcW w:w="1374" w:type="dxa"/>
          </w:tcPr>
          <w:p>
            <w:pPr>
              <w:pStyle w:val="TableParagraph"/>
              <w:spacing w:before="18"/>
              <w:ind w:left="380"/>
              <w:jc w:val="left"/>
              <w:rPr>
                <w:rFonts w:ascii="Times New Roman"/>
                <w:sz w:val="16"/>
              </w:rPr>
            </w:pPr>
            <w:r>
              <w:rPr>
                <w:rFonts w:ascii="Times New Roman"/>
                <w:w w:val="105"/>
                <w:sz w:val="16"/>
              </w:rPr>
              <w:t>2.637.431</w:t>
            </w:r>
          </w:p>
        </w:tc>
        <w:tc>
          <w:tcPr>
            <w:tcW w:w="1384" w:type="dxa"/>
          </w:tcPr>
          <w:p>
            <w:pPr>
              <w:pStyle w:val="TableParagraph"/>
              <w:spacing w:before="18"/>
              <w:jc w:val="center"/>
              <w:rPr>
                <w:rFonts w:ascii="Times New Roman"/>
                <w:sz w:val="16"/>
              </w:rPr>
            </w:pPr>
            <w:r>
              <w:rPr>
                <w:rFonts w:ascii="Times New Roman"/>
                <w:w w:val="105"/>
                <w:sz w:val="16"/>
              </w:rPr>
              <w:t>100,00%</w:t>
            </w:r>
          </w:p>
        </w:tc>
        <w:tc>
          <w:tcPr>
            <w:tcW w:w="1374" w:type="dxa"/>
          </w:tcPr>
          <w:p>
            <w:pPr>
              <w:pStyle w:val="TableParagraph"/>
              <w:spacing w:before="18"/>
              <w:ind w:left="307" w:right="261"/>
              <w:jc w:val="center"/>
              <w:rPr>
                <w:rFonts w:ascii="Times New Roman"/>
                <w:sz w:val="16"/>
              </w:rPr>
            </w:pPr>
            <w:r>
              <w:rPr>
                <w:rFonts w:ascii="Times New Roman"/>
                <w:w w:val="105"/>
                <w:sz w:val="16"/>
              </w:rPr>
              <w:t>2.637.431</w:t>
            </w:r>
          </w:p>
        </w:tc>
        <w:tc>
          <w:tcPr>
            <w:tcW w:w="1618" w:type="dxa"/>
          </w:tcPr>
          <w:p>
            <w:pPr>
              <w:pStyle w:val="TableParagraph"/>
              <w:spacing w:before="18"/>
              <w:ind w:right="71"/>
              <w:rPr>
                <w:rFonts w:ascii="Times New Roman"/>
                <w:sz w:val="16"/>
              </w:rPr>
            </w:pPr>
            <w:r>
              <w:rPr>
                <w:rFonts w:ascii="Times New Roman"/>
                <w:w w:val="95"/>
                <w:sz w:val="16"/>
              </w:rPr>
              <w:t>138.000</w:t>
            </w:r>
          </w:p>
        </w:tc>
      </w:tr>
      <w:tr>
        <w:trPr>
          <w:trHeight w:val="223" w:hRule="exact"/>
        </w:trPr>
        <w:tc>
          <w:tcPr>
            <w:tcW w:w="4283" w:type="dxa"/>
          </w:tcPr>
          <w:p>
            <w:pPr>
              <w:pStyle w:val="TableParagraph"/>
              <w:spacing w:before="18"/>
              <w:ind w:left="57"/>
              <w:jc w:val="left"/>
              <w:rPr>
                <w:rFonts w:ascii="Times New Roman"/>
                <w:sz w:val="16"/>
              </w:rPr>
            </w:pPr>
            <w:r>
              <w:rPr>
                <w:rFonts w:ascii="Times New Roman"/>
                <w:w w:val="105"/>
                <w:sz w:val="16"/>
              </w:rPr>
              <w:t>Costi della ristrutturazione</w:t>
            </w:r>
          </w:p>
        </w:tc>
        <w:tc>
          <w:tcPr>
            <w:tcW w:w="1374" w:type="dxa"/>
          </w:tcPr>
          <w:p>
            <w:pPr>
              <w:pStyle w:val="TableParagraph"/>
              <w:spacing w:before="18"/>
              <w:ind w:left="380"/>
              <w:jc w:val="left"/>
              <w:rPr>
                <w:rFonts w:ascii="Times New Roman"/>
                <w:sz w:val="16"/>
              </w:rPr>
            </w:pPr>
            <w:r>
              <w:rPr>
                <w:rFonts w:ascii="Times New Roman"/>
                <w:w w:val="105"/>
                <w:sz w:val="16"/>
              </w:rPr>
              <w:t>7.648.191</w:t>
            </w:r>
          </w:p>
        </w:tc>
        <w:tc>
          <w:tcPr>
            <w:tcW w:w="1384" w:type="dxa"/>
          </w:tcPr>
          <w:p>
            <w:pPr>
              <w:pStyle w:val="TableParagraph"/>
              <w:spacing w:before="18"/>
              <w:jc w:val="center"/>
              <w:rPr>
                <w:rFonts w:ascii="Times New Roman"/>
                <w:sz w:val="16"/>
              </w:rPr>
            </w:pPr>
            <w:r>
              <w:rPr>
                <w:rFonts w:ascii="Times New Roman"/>
                <w:w w:val="105"/>
                <w:sz w:val="16"/>
              </w:rPr>
              <w:t>100,00%</w:t>
            </w:r>
          </w:p>
        </w:tc>
        <w:tc>
          <w:tcPr>
            <w:tcW w:w="1374" w:type="dxa"/>
          </w:tcPr>
          <w:p>
            <w:pPr>
              <w:pStyle w:val="TableParagraph"/>
              <w:spacing w:before="18"/>
              <w:ind w:left="307" w:right="261"/>
              <w:jc w:val="center"/>
              <w:rPr>
                <w:rFonts w:ascii="Times New Roman"/>
                <w:sz w:val="16"/>
              </w:rPr>
            </w:pPr>
            <w:r>
              <w:rPr>
                <w:rFonts w:ascii="Times New Roman"/>
                <w:w w:val="105"/>
                <w:sz w:val="16"/>
              </w:rPr>
              <w:t>7.648.191</w:t>
            </w:r>
          </w:p>
        </w:tc>
        <w:tc>
          <w:tcPr>
            <w:tcW w:w="1618" w:type="dxa"/>
          </w:tcPr>
          <w:p>
            <w:pPr>
              <w:pStyle w:val="TableParagraph"/>
              <w:spacing w:before="18"/>
              <w:ind w:right="68"/>
              <w:rPr>
                <w:rFonts w:ascii="Times New Roman"/>
                <w:sz w:val="16"/>
              </w:rPr>
            </w:pPr>
            <w:r>
              <w:rPr>
                <w:rFonts w:ascii="Times New Roman"/>
                <w:w w:val="98"/>
                <w:sz w:val="16"/>
              </w:rPr>
              <w:t>-</w:t>
            </w:r>
          </w:p>
        </w:tc>
      </w:tr>
      <w:tr>
        <w:trPr>
          <w:trHeight w:val="223" w:hRule="exact"/>
        </w:trPr>
        <w:tc>
          <w:tcPr>
            <w:tcW w:w="4283" w:type="dxa"/>
          </w:tcPr>
          <w:p>
            <w:pPr>
              <w:pStyle w:val="TableParagraph"/>
              <w:spacing w:before="19"/>
              <w:ind w:left="57"/>
              <w:jc w:val="left"/>
              <w:rPr>
                <w:rFonts w:ascii="Times New Roman"/>
                <w:sz w:val="16"/>
              </w:rPr>
            </w:pPr>
            <w:r>
              <w:rPr>
                <w:rFonts w:ascii="Times New Roman"/>
                <w:w w:val="105"/>
                <w:sz w:val="16"/>
              </w:rPr>
              <w:t>Creditori Privilegiati</w:t>
            </w:r>
          </w:p>
        </w:tc>
        <w:tc>
          <w:tcPr>
            <w:tcW w:w="1374" w:type="dxa"/>
          </w:tcPr>
          <w:p>
            <w:pPr>
              <w:pStyle w:val="TableParagraph"/>
              <w:spacing w:before="19"/>
              <w:ind w:left="380"/>
              <w:jc w:val="left"/>
              <w:rPr>
                <w:rFonts w:ascii="Times New Roman"/>
                <w:sz w:val="16"/>
              </w:rPr>
            </w:pPr>
            <w:r>
              <w:rPr>
                <w:rFonts w:ascii="Times New Roman"/>
                <w:w w:val="105"/>
                <w:sz w:val="16"/>
              </w:rPr>
              <w:t>2.264.405</w:t>
            </w:r>
          </w:p>
        </w:tc>
        <w:tc>
          <w:tcPr>
            <w:tcW w:w="1384" w:type="dxa"/>
          </w:tcPr>
          <w:p>
            <w:pPr>
              <w:pStyle w:val="TableParagraph"/>
              <w:spacing w:before="19"/>
              <w:jc w:val="center"/>
              <w:rPr>
                <w:rFonts w:ascii="Times New Roman"/>
                <w:sz w:val="16"/>
              </w:rPr>
            </w:pPr>
            <w:r>
              <w:rPr>
                <w:rFonts w:ascii="Times New Roman"/>
                <w:w w:val="105"/>
                <w:sz w:val="16"/>
              </w:rPr>
              <w:t>100,00%</w:t>
            </w:r>
          </w:p>
        </w:tc>
        <w:tc>
          <w:tcPr>
            <w:tcW w:w="1374" w:type="dxa"/>
          </w:tcPr>
          <w:p>
            <w:pPr>
              <w:pStyle w:val="TableParagraph"/>
              <w:spacing w:before="19"/>
              <w:ind w:left="307" w:right="261"/>
              <w:jc w:val="center"/>
              <w:rPr>
                <w:rFonts w:ascii="Times New Roman"/>
                <w:sz w:val="16"/>
              </w:rPr>
            </w:pPr>
            <w:r>
              <w:rPr>
                <w:rFonts w:ascii="Times New Roman"/>
                <w:w w:val="105"/>
                <w:sz w:val="16"/>
              </w:rPr>
              <w:t>2.264.405</w:t>
            </w:r>
          </w:p>
        </w:tc>
        <w:tc>
          <w:tcPr>
            <w:tcW w:w="1618" w:type="dxa"/>
          </w:tcPr>
          <w:p>
            <w:pPr>
              <w:pStyle w:val="TableParagraph"/>
              <w:spacing w:before="19"/>
              <w:ind w:right="68"/>
              <w:rPr>
                <w:rFonts w:ascii="Times New Roman"/>
                <w:sz w:val="16"/>
              </w:rPr>
            </w:pPr>
            <w:r>
              <w:rPr>
                <w:rFonts w:ascii="Times New Roman"/>
                <w:w w:val="98"/>
                <w:sz w:val="16"/>
              </w:rPr>
              <w:t>-</w:t>
            </w:r>
          </w:p>
        </w:tc>
      </w:tr>
      <w:tr>
        <w:trPr>
          <w:trHeight w:val="223" w:hRule="exact"/>
        </w:trPr>
        <w:tc>
          <w:tcPr>
            <w:tcW w:w="4283" w:type="dxa"/>
          </w:tcPr>
          <w:p>
            <w:pPr>
              <w:pStyle w:val="TableParagraph"/>
              <w:spacing w:before="18"/>
              <w:ind w:left="57"/>
              <w:jc w:val="left"/>
              <w:rPr>
                <w:rFonts w:ascii="Times New Roman"/>
                <w:sz w:val="16"/>
              </w:rPr>
            </w:pPr>
            <w:r>
              <w:rPr>
                <w:rFonts w:ascii="Times New Roman"/>
                <w:sz w:val="16"/>
              </w:rPr>
              <w:t>Creditori Chirografari</w:t>
            </w:r>
          </w:p>
        </w:tc>
        <w:tc>
          <w:tcPr>
            <w:tcW w:w="1374" w:type="dxa"/>
          </w:tcPr>
          <w:p>
            <w:pPr>
              <w:pStyle w:val="TableParagraph"/>
              <w:spacing w:before="18"/>
              <w:ind w:left="297"/>
              <w:jc w:val="left"/>
              <w:rPr>
                <w:rFonts w:ascii="Times New Roman"/>
                <w:sz w:val="16"/>
              </w:rPr>
            </w:pPr>
            <w:r>
              <w:rPr>
                <w:rFonts w:ascii="Times New Roman"/>
                <w:w w:val="105"/>
                <w:sz w:val="16"/>
              </w:rPr>
              <w:t>146.893.331</w:t>
            </w:r>
          </w:p>
        </w:tc>
        <w:tc>
          <w:tcPr>
            <w:tcW w:w="1384" w:type="dxa"/>
          </w:tcPr>
          <w:p>
            <w:pPr>
              <w:pStyle w:val="TableParagraph"/>
              <w:tabs>
                <w:tab w:pos="427" w:val="left" w:leader="none"/>
                <w:tab w:pos="1383" w:val="left" w:leader="none"/>
              </w:tabs>
              <w:spacing w:before="18"/>
              <w:jc w:val="center"/>
              <w:rPr>
                <w:rFonts w:ascii="Times New Roman"/>
                <w:b/>
                <w:sz w:val="16"/>
              </w:rPr>
            </w:pPr>
            <w:r>
              <w:rPr>
                <w:rFonts w:ascii="Times New Roman"/>
                <w:b/>
                <w:w w:val="104"/>
                <w:sz w:val="16"/>
                <w:shd w:fill="F1F1F1" w:color="auto" w:val="clear"/>
              </w:rPr>
              <w:t> </w:t>
            </w:r>
            <w:r>
              <w:rPr>
                <w:rFonts w:ascii="Times New Roman"/>
                <w:b/>
                <w:sz w:val="16"/>
                <w:shd w:fill="F1F1F1" w:color="auto" w:val="clear"/>
              </w:rPr>
              <w:tab/>
            </w:r>
            <w:r>
              <w:rPr>
                <w:rFonts w:ascii="Times New Roman"/>
                <w:b/>
                <w:w w:val="105"/>
                <w:sz w:val="16"/>
                <w:shd w:fill="F1F1F1" w:color="auto" w:val="clear"/>
              </w:rPr>
              <w:t>18,65%</w:t>
            </w:r>
            <w:r>
              <w:rPr>
                <w:rFonts w:ascii="Times New Roman"/>
                <w:b/>
                <w:sz w:val="16"/>
                <w:shd w:fill="F1F1F1" w:color="auto" w:val="clear"/>
              </w:rPr>
              <w:tab/>
            </w:r>
          </w:p>
        </w:tc>
        <w:tc>
          <w:tcPr>
            <w:tcW w:w="1374" w:type="dxa"/>
          </w:tcPr>
          <w:p>
            <w:pPr>
              <w:pStyle w:val="TableParagraph"/>
              <w:spacing w:before="18"/>
              <w:ind w:left="307" w:right="271"/>
              <w:jc w:val="center"/>
              <w:rPr>
                <w:rFonts w:ascii="Times New Roman"/>
                <w:sz w:val="16"/>
              </w:rPr>
            </w:pPr>
            <w:r>
              <w:rPr>
                <w:rFonts w:ascii="Times New Roman"/>
                <w:w w:val="105"/>
                <w:sz w:val="16"/>
              </w:rPr>
              <w:t>27.396.583</w:t>
            </w:r>
          </w:p>
        </w:tc>
        <w:tc>
          <w:tcPr>
            <w:tcW w:w="1618" w:type="dxa"/>
          </w:tcPr>
          <w:p>
            <w:pPr>
              <w:pStyle w:val="TableParagraph"/>
              <w:spacing w:before="18"/>
              <w:ind w:right="70"/>
              <w:rPr>
                <w:rFonts w:ascii="Times New Roman"/>
                <w:sz w:val="16"/>
              </w:rPr>
            </w:pPr>
            <w:r>
              <w:rPr>
                <w:rFonts w:ascii="Times New Roman"/>
                <w:w w:val="95"/>
                <w:sz w:val="16"/>
              </w:rPr>
              <w:t>(1.982.084)</w:t>
            </w:r>
          </w:p>
        </w:tc>
      </w:tr>
      <w:tr>
        <w:trPr>
          <w:trHeight w:val="238" w:hRule="exact"/>
        </w:trPr>
        <w:tc>
          <w:tcPr>
            <w:tcW w:w="4283" w:type="dxa"/>
          </w:tcPr>
          <w:p>
            <w:pPr>
              <w:pStyle w:val="TableParagraph"/>
              <w:spacing w:before="18"/>
              <w:ind w:left="57"/>
              <w:jc w:val="left"/>
              <w:rPr>
                <w:rFonts w:ascii="Times New Roman"/>
                <w:sz w:val="16"/>
              </w:rPr>
            </w:pPr>
            <w:r>
              <w:rPr>
                <w:rFonts w:ascii="Times New Roman"/>
                <w:w w:val="105"/>
                <w:sz w:val="16"/>
              </w:rPr>
              <w:t>Creditori Chirografari Postergati</w:t>
            </w:r>
          </w:p>
        </w:tc>
        <w:tc>
          <w:tcPr>
            <w:tcW w:w="1374" w:type="dxa"/>
          </w:tcPr>
          <w:p>
            <w:pPr>
              <w:pStyle w:val="TableParagraph"/>
              <w:spacing w:before="18"/>
              <w:ind w:left="380"/>
              <w:jc w:val="left"/>
              <w:rPr>
                <w:rFonts w:ascii="Times New Roman"/>
                <w:sz w:val="16"/>
              </w:rPr>
            </w:pPr>
            <w:r>
              <w:rPr>
                <w:rFonts w:ascii="Times New Roman"/>
                <w:w w:val="105"/>
                <w:sz w:val="16"/>
              </w:rPr>
              <w:t>7.366.557</w:t>
            </w:r>
          </w:p>
        </w:tc>
        <w:tc>
          <w:tcPr>
            <w:tcW w:w="1384" w:type="dxa"/>
          </w:tcPr>
          <w:p>
            <w:pPr>
              <w:pStyle w:val="TableParagraph"/>
              <w:spacing w:before="18"/>
              <w:jc w:val="center"/>
              <w:rPr>
                <w:rFonts w:ascii="Times New Roman"/>
                <w:sz w:val="16"/>
              </w:rPr>
            </w:pPr>
            <w:r>
              <w:rPr>
                <w:rFonts w:ascii="Times New Roman"/>
                <w:w w:val="105"/>
                <w:sz w:val="16"/>
              </w:rPr>
              <w:t>0,00%</w:t>
            </w:r>
          </w:p>
        </w:tc>
        <w:tc>
          <w:tcPr>
            <w:tcW w:w="1374" w:type="dxa"/>
          </w:tcPr>
          <w:p>
            <w:pPr>
              <w:pStyle w:val="TableParagraph"/>
              <w:spacing w:before="18"/>
              <w:jc w:val="center"/>
              <w:rPr>
                <w:rFonts w:ascii="Times New Roman"/>
                <w:sz w:val="16"/>
              </w:rPr>
            </w:pPr>
            <w:r>
              <w:rPr>
                <w:rFonts w:ascii="Times New Roman"/>
                <w:w w:val="104"/>
                <w:sz w:val="16"/>
              </w:rPr>
              <w:t>-</w:t>
            </w:r>
          </w:p>
        </w:tc>
        <w:tc>
          <w:tcPr>
            <w:tcW w:w="1618" w:type="dxa"/>
          </w:tcPr>
          <w:p>
            <w:pPr>
              <w:pStyle w:val="TableParagraph"/>
              <w:spacing w:before="18"/>
              <w:ind w:right="68"/>
              <w:rPr>
                <w:rFonts w:ascii="Times New Roman"/>
                <w:sz w:val="16"/>
              </w:rPr>
            </w:pPr>
            <w:r>
              <w:rPr>
                <w:rFonts w:ascii="Times New Roman"/>
                <w:w w:val="98"/>
                <w:sz w:val="16"/>
              </w:rPr>
              <w:t>-</w:t>
            </w:r>
          </w:p>
        </w:tc>
      </w:tr>
      <w:tr>
        <w:trPr>
          <w:trHeight w:val="209" w:hRule="exact"/>
        </w:trPr>
        <w:tc>
          <w:tcPr>
            <w:tcW w:w="4283" w:type="dxa"/>
          </w:tcPr>
          <w:p>
            <w:pPr>
              <w:pStyle w:val="TableParagraph"/>
              <w:spacing w:before="4"/>
              <w:ind w:left="57"/>
              <w:jc w:val="left"/>
              <w:rPr>
                <w:rFonts w:ascii="Times New Roman"/>
                <w:sz w:val="16"/>
              </w:rPr>
            </w:pPr>
            <w:r>
              <w:rPr>
                <w:rFonts w:ascii="Times New Roman"/>
                <w:w w:val="105"/>
                <w:sz w:val="16"/>
              </w:rPr>
              <w:t>Creditore Chirografario Postergato volontario</w:t>
            </w:r>
          </w:p>
        </w:tc>
        <w:tc>
          <w:tcPr>
            <w:tcW w:w="1374" w:type="dxa"/>
          </w:tcPr>
          <w:p>
            <w:pPr>
              <w:pStyle w:val="TableParagraph"/>
              <w:spacing w:before="4"/>
              <w:ind w:left="334"/>
              <w:jc w:val="left"/>
              <w:rPr>
                <w:rFonts w:ascii="Times New Roman"/>
                <w:sz w:val="16"/>
              </w:rPr>
            </w:pPr>
            <w:r>
              <w:rPr>
                <w:rFonts w:ascii="Times New Roman"/>
                <w:w w:val="105"/>
                <w:sz w:val="16"/>
              </w:rPr>
              <w:t>20.000.000</w:t>
            </w:r>
          </w:p>
        </w:tc>
        <w:tc>
          <w:tcPr>
            <w:tcW w:w="1384" w:type="dxa"/>
            <w:shd w:val="clear" w:color="auto" w:fill="F1F1F1"/>
          </w:tcPr>
          <w:p>
            <w:pPr>
              <w:pStyle w:val="TableParagraph"/>
              <w:spacing w:before="4"/>
              <w:ind w:left="92" w:right="82"/>
              <w:jc w:val="center"/>
              <w:rPr>
                <w:rFonts w:ascii="Times New Roman"/>
                <w:b/>
                <w:sz w:val="16"/>
              </w:rPr>
            </w:pPr>
            <w:r>
              <w:rPr>
                <w:rFonts w:ascii="Times New Roman"/>
                <w:b/>
                <w:w w:val="105"/>
                <w:sz w:val="16"/>
              </w:rPr>
              <w:t>0,00%</w:t>
            </w:r>
          </w:p>
        </w:tc>
        <w:tc>
          <w:tcPr>
            <w:tcW w:w="1374" w:type="dxa"/>
          </w:tcPr>
          <w:p>
            <w:pPr>
              <w:pStyle w:val="TableParagraph"/>
              <w:spacing w:before="4"/>
              <w:jc w:val="center"/>
              <w:rPr>
                <w:rFonts w:ascii="Times New Roman"/>
                <w:sz w:val="16"/>
              </w:rPr>
            </w:pPr>
            <w:r>
              <w:rPr>
                <w:rFonts w:ascii="Times New Roman"/>
                <w:w w:val="104"/>
                <w:sz w:val="16"/>
              </w:rPr>
              <w:t>-</w:t>
            </w:r>
          </w:p>
        </w:tc>
        <w:tc>
          <w:tcPr>
            <w:tcW w:w="1618" w:type="dxa"/>
          </w:tcPr>
          <w:p>
            <w:pPr>
              <w:pStyle w:val="TableParagraph"/>
              <w:spacing w:before="4"/>
              <w:ind w:right="70"/>
              <w:rPr>
                <w:rFonts w:ascii="Times New Roman"/>
                <w:sz w:val="16"/>
              </w:rPr>
            </w:pPr>
            <w:r>
              <w:rPr>
                <w:rFonts w:ascii="Times New Roman"/>
                <w:w w:val="95"/>
                <w:sz w:val="16"/>
              </w:rPr>
              <w:t>(3.584.207)</w:t>
            </w:r>
          </w:p>
        </w:tc>
      </w:tr>
      <w:tr>
        <w:trPr>
          <w:trHeight w:val="223" w:hRule="exact"/>
        </w:trPr>
        <w:tc>
          <w:tcPr>
            <w:tcW w:w="4283" w:type="dxa"/>
          </w:tcPr>
          <w:p>
            <w:pPr>
              <w:pStyle w:val="TableParagraph"/>
              <w:spacing w:before="18"/>
              <w:ind w:left="57"/>
              <w:jc w:val="left"/>
              <w:rPr>
                <w:rFonts w:ascii="Times New Roman"/>
                <w:sz w:val="16"/>
              </w:rPr>
            </w:pPr>
            <w:r>
              <w:rPr>
                <w:rFonts w:ascii="Times New Roman"/>
                <w:w w:val="105"/>
                <w:sz w:val="16"/>
              </w:rPr>
              <w:t>Fondi rischi in prededuzione</w:t>
            </w:r>
          </w:p>
        </w:tc>
        <w:tc>
          <w:tcPr>
            <w:tcW w:w="1374" w:type="dxa"/>
          </w:tcPr>
          <w:p>
            <w:pPr>
              <w:pStyle w:val="TableParagraph"/>
              <w:spacing w:before="18"/>
              <w:ind w:left="380"/>
              <w:jc w:val="left"/>
              <w:rPr>
                <w:rFonts w:ascii="Times New Roman"/>
                <w:sz w:val="16"/>
              </w:rPr>
            </w:pPr>
            <w:r>
              <w:rPr>
                <w:rFonts w:ascii="Times New Roman"/>
                <w:w w:val="105"/>
                <w:sz w:val="16"/>
              </w:rPr>
              <w:t>1.591.479</w:t>
            </w:r>
          </w:p>
        </w:tc>
        <w:tc>
          <w:tcPr>
            <w:tcW w:w="1384" w:type="dxa"/>
          </w:tcPr>
          <w:p>
            <w:pPr>
              <w:pStyle w:val="TableParagraph"/>
              <w:spacing w:before="18"/>
              <w:jc w:val="center"/>
              <w:rPr>
                <w:rFonts w:ascii="Times New Roman"/>
                <w:sz w:val="16"/>
              </w:rPr>
            </w:pPr>
            <w:r>
              <w:rPr>
                <w:rFonts w:ascii="Times New Roman"/>
                <w:w w:val="105"/>
                <w:sz w:val="16"/>
              </w:rPr>
              <w:t>100,00%</w:t>
            </w:r>
          </w:p>
        </w:tc>
        <w:tc>
          <w:tcPr>
            <w:tcW w:w="1374" w:type="dxa"/>
          </w:tcPr>
          <w:p>
            <w:pPr>
              <w:pStyle w:val="TableParagraph"/>
              <w:spacing w:before="18"/>
              <w:ind w:left="307" w:right="261"/>
              <w:jc w:val="center"/>
              <w:rPr>
                <w:rFonts w:ascii="Times New Roman"/>
                <w:sz w:val="16"/>
              </w:rPr>
            </w:pPr>
            <w:r>
              <w:rPr>
                <w:rFonts w:ascii="Times New Roman"/>
                <w:w w:val="105"/>
                <w:sz w:val="16"/>
              </w:rPr>
              <w:t>1.591.479</w:t>
            </w:r>
          </w:p>
        </w:tc>
        <w:tc>
          <w:tcPr>
            <w:tcW w:w="1618" w:type="dxa"/>
          </w:tcPr>
          <w:p>
            <w:pPr>
              <w:pStyle w:val="TableParagraph"/>
              <w:spacing w:before="18"/>
              <w:ind w:right="68"/>
              <w:rPr>
                <w:rFonts w:ascii="Times New Roman"/>
                <w:sz w:val="16"/>
              </w:rPr>
            </w:pPr>
            <w:r>
              <w:rPr>
                <w:rFonts w:ascii="Times New Roman"/>
                <w:w w:val="98"/>
                <w:sz w:val="16"/>
              </w:rPr>
              <w:t>-</w:t>
            </w:r>
          </w:p>
        </w:tc>
      </w:tr>
      <w:tr>
        <w:trPr>
          <w:trHeight w:val="215" w:hRule="exact"/>
        </w:trPr>
        <w:tc>
          <w:tcPr>
            <w:tcW w:w="4283" w:type="dxa"/>
          </w:tcPr>
          <w:p>
            <w:pPr>
              <w:pStyle w:val="TableParagraph"/>
              <w:spacing w:before="18"/>
              <w:ind w:left="57"/>
              <w:jc w:val="left"/>
              <w:rPr>
                <w:rFonts w:ascii="Times New Roman"/>
                <w:sz w:val="16"/>
              </w:rPr>
            </w:pPr>
            <w:r>
              <w:rPr>
                <w:rFonts w:ascii="Times New Roman"/>
                <w:w w:val="105"/>
                <w:sz w:val="16"/>
              </w:rPr>
              <w:t>Fondi rischi privilegiati</w:t>
            </w:r>
          </w:p>
        </w:tc>
        <w:tc>
          <w:tcPr>
            <w:tcW w:w="1374" w:type="dxa"/>
          </w:tcPr>
          <w:p>
            <w:pPr>
              <w:pStyle w:val="TableParagraph"/>
              <w:spacing w:before="18"/>
              <w:ind w:left="380"/>
              <w:jc w:val="left"/>
              <w:rPr>
                <w:rFonts w:ascii="Times New Roman"/>
                <w:sz w:val="16"/>
              </w:rPr>
            </w:pPr>
            <w:r>
              <w:rPr>
                <w:rFonts w:ascii="Times New Roman"/>
                <w:w w:val="105"/>
                <w:sz w:val="16"/>
              </w:rPr>
              <w:t>1.365.088</w:t>
            </w:r>
          </w:p>
        </w:tc>
        <w:tc>
          <w:tcPr>
            <w:tcW w:w="1384" w:type="dxa"/>
          </w:tcPr>
          <w:p>
            <w:pPr>
              <w:pStyle w:val="TableParagraph"/>
              <w:spacing w:before="18"/>
              <w:jc w:val="center"/>
              <w:rPr>
                <w:rFonts w:ascii="Times New Roman"/>
                <w:sz w:val="16"/>
              </w:rPr>
            </w:pPr>
            <w:r>
              <w:rPr>
                <w:rFonts w:ascii="Times New Roman"/>
                <w:w w:val="105"/>
                <w:sz w:val="16"/>
              </w:rPr>
              <w:t>100,00%</w:t>
            </w:r>
          </w:p>
        </w:tc>
        <w:tc>
          <w:tcPr>
            <w:tcW w:w="1374" w:type="dxa"/>
          </w:tcPr>
          <w:p>
            <w:pPr>
              <w:pStyle w:val="TableParagraph"/>
              <w:spacing w:before="18"/>
              <w:ind w:left="307" w:right="261"/>
              <w:jc w:val="center"/>
              <w:rPr>
                <w:rFonts w:ascii="Times New Roman"/>
                <w:sz w:val="16"/>
              </w:rPr>
            </w:pPr>
            <w:r>
              <w:rPr>
                <w:rFonts w:ascii="Times New Roman"/>
                <w:w w:val="105"/>
                <w:sz w:val="16"/>
              </w:rPr>
              <w:t>1.365.088</w:t>
            </w:r>
          </w:p>
        </w:tc>
        <w:tc>
          <w:tcPr>
            <w:tcW w:w="1618" w:type="dxa"/>
          </w:tcPr>
          <w:p>
            <w:pPr>
              <w:pStyle w:val="TableParagraph"/>
              <w:spacing w:before="18"/>
              <w:ind w:right="68"/>
              <w:rPr>
                <w:rFonts w:ascii="Times New Roman"/>
                <w:sz w:val="16"/>
              </w:rPr>
            </w:pPr>
            <w:r>
              <w:rPr>
                <w:rFonts w:ascii="Times New Roman"/>
                <w:w w:val="98"/>
                <w:sz w:val="16"/>
              </w:rPr>
              <w:t>-</w:t>
            </w:r>
          </w:p>
        </w:tc>
      </w:tr>
      <w:tr>
        <w:trPr>
          <w:trHeight w:val="233" w:hRule="exact"/>
        </w:trPr>
        <w:tc>
          <w:tcPr>
            <w:tcW w:w="4283" w:type="dxa"/>
          </w:tcPr>
          <w:p>
            <w:pPr>
              <w:pStyle w:val="TableParagraph"/>
              <w:spacing w:before="27"/>
              <w:ind w:left="57"/>
              <w:jc w:val="left"/>
              <w:rPr>
                <w:rFonts w:ascii="Times New Roman"/>
                <w:sz w:val="16"/>
              </w:rPr>
            </w:pPr>
            <w:r>
              <w:rPr>
                <w:rFonts w:ascii="Times New Roman"/>
                <w:w w:val="105"/>
                <w:sz w:val="16"/>
              </w:rPr>
              <w:t>Fondi rischi chirografari</w:t>
            </w:r>
          </w:p>
        </w:tc>
        <w:tc>
          <w:tcPr>
            <w:tcW w:w="1374" w:type="dxa"/>
          </w:tcPr>
          <w:p>
            <w:pPr>
              <w:pStyle w:val="TableParagraph"/>
              <w:spacing w:before="27"/>
              <w:ind w:left="334"/>
              <w:jc w:val="left"/>
              <w:rPr>
                <w:rFonts w:ascii="Times New Roman"/>
                <w:sz w:val="16"/>
              </w:rPr>
            </w:pPr>
            <w:r>
              <w:rPr>
                <w:rFonts w:ascii="Times New Roman"/>
                <w:w w:val="105"/>
                <w:sz w:val="16"/>
              </w:rPr>
              <w:t>11.691.766</w:t>
            </w:r>
          </w:p>
        </w:tc>
        <w:tc>
          <w:tcPr>
            <w:tcW w:w="1384" w:type="dxa"/>
            <w:shd w:val="clear" w:color="auto" w:fill="F1F1F1"/>
          </w:tcPr>
          <w:p>
            <w:pPr>
              <w:pStyle w:val="TableParagraph"/>
              <w:spacing w:before="27"/>
              <w:ind w:left="101" w:right="82"/>
              <w:jc w:val="center"/>
              <w:rPr>
                <w:rFonts w:ascii="Times New Roman"/>
                <w:b/>
                <w:sz w:val="16"/>
              </w:rPr>
            </w:pPr>
            <w:r>
              <w:rPr>
                <w:rFonts w:ascii="Times New Roman"/>
                <w:b/>
                <w:w w:val="105"/>
                <w:sz w:val="16"/>
              </w:rPr>
              <w:t>18,65%</w:t>
            </w:r>
          </w:p>
        </w:tc>
        <w:tc>
          <w:tcPr>
            <w:tcW w:w="1374" w:type="dxa"/>
          </w:tcPr>
          <w:p>
            <w:pPr>
              <w:pStyle w:val="TableParagraph"/>
              <w:spacing w:before="27"/>
              <w:ind w:left="307" w:right="261"/>
              <w:jc w:val="center"/>
              <w:rPr>
                <w:rFonts w:ascii="Times New Roman"/>
                <w:sz w:val="16"/>
              </w:rPr>
            </w:pPr>
            <w:r>
              <w:rPr>
                <w:rFonts w:ascii="Times New Roman"/>
                <w:w w:val="105"/>
                <w:sz w:val="16"/>
              </w:rPr>
              <w:t>2.180.592</w:t>
            </w:r>
          </w:p>
        </w:tc>
        <w:tc>
          <w:tcPr>
            <w:tcW w:w="1618" w:type="dxa"/>
          </w:tcPr>
          <w:p>
            <w:pPr>
              <w:pStyle w:val="TableParagraph"/>
              <w:spacing w:before="27"/>
              <w:ind w:right="71"/>
              <w:rPr>
                <w:rFonts w:ascii="Times New Roman"/>
                <w:sz w:val="16"/>
              </w:rPr>
            </w:pPr>
            <w:r>
              <w:rPr>
                <w:rFonts w:ascii="Times New Roman"/>
                <w:w w:val="95"/>
                <w:sz w:val="16"/>
              </w:rPr>
              <w:t>249.120</w:t>
            </w:r>
          </w:p>
        </w:tc>
      </w:tr>
      <w:tr>
        <w:trPr>
          <w:trHeight w:val="214" w:hRule="exact"/>
        </w:trPr>
        <w:tc>
          <w:tcPr>
            <w:tcW w:w="4283" w:type="dxa"/>
          </w:tcPr>
          <w:p>
            <w:pPr>
              <w:pStyle w:val="TableParagraph"/>
              <w:spacing w:before="17"/>
              <w:ind w:left="57"/>
              <w:jc w:val="left"/>
              <w:rPr>
                <w:rFonts w:ascii="Times New Roman"/>
                <w:sz w:val="16"/>
              </w:rPr>
            </w:pPr>
            <w:r>
              <w:rPr>
                <w:rFonts w:ascii="Times New Roman"/>
                <w:w w:val="105"/>
                <w:sz w:val="16"/>
              </w:rPr>
              <w:t>Fondi rischi chirografari Postergato</w:t>
            </w:r>
          </w:p>
        </w:tc>
        <w:tc>
          <w:tcPr>
            <w:tcW w:w="1374" w:type="dxa"/>
          </w:tcPr>
          <w:p>
            <w:pPr>
              <w:pStyle w:val="TableParagraph"/>
              <w:spacing w:before="17"/>
              <w:ind w:left="380"/>
              <w:jc w:val="left"/>
              <w:rPr>
                <w:rFonts w:ascii="Times New Roman"/>
                <w:sz w:val="16"/>
              </w:rPr>
            </w:pPr>
            <w:r>
              <w:rPr>
                <w:rFonts w:ascii="Times New Roman"/>
                <w:w w:val="105"/>
                <w:sz w:val="16"/>
              </w:rPr>
              <w:t>6.477.189</w:t>
            </w:r>
          </w:p>
        </w:tc>
        <w:tc>
          <w:tcPr>
            <w:tcW w:w="1384" w:type="dxa"/>
          </w:tcPr>
          <w:p>
            <w:pPr>
              <w:pStyle w:val="TableParagraph"/>
              <w:spacing w:before="17"/>
              <w:jc w:val="center"/>
              <w:rPr>
                <w:rFonts w:ascii="Times New Roman"/>
                <w:sz w:val="16"/>
              </w:rPr>
            </w:pPr>
            <w:r>
              <w:rPr>
                <w:rFonts w:ascii="Times New Roman"/>
                <w:w w:val="105"/>
                <w:sz w:val="16"/>
              </w:rPr>
              <w:t>0,00%</w:t>
            </w:r>
          </w:p>
        </w:tc>
        <w:tc>
          <w:tcPr>
            <w:tcW w:w="1374" w:type="dxa"/>
          </w:tcPr>
          <w:p>
            <w:pPr>
              <w:pStyle w:val="TableParagraph"/>
              <w:spacing w:before="17"/>
              <w:jc w:val="center"/>
              <w:rPr>
                <w:rFonts w:ascii="Times New Roman"/>
                <w:sz w:val="16"/>
              </w:rPr>
            </w:pPr>
            <w:r>
              <w:rPr>
                <w:rFonts w:ascii="Times New Roman"/>
                <w:w w:val="104"/>
                <w:sz w:val="16"/>
              </w:rPr>
              <w:t>-</w:t>
            </w:r>
          </w:p>
        </w:tc>
        <w:tc>
          <w:tcPr>
            <w:tcW w:w="1618" w:type="dxa"/>
          </w:tcPr>
          <w:p>
            <w:pPr>
              <w:pStyle w:val="TableParagraph"/>
              <w:spacing w:before="17"/>
              <w:ind w:right="68"/>
              <w:rPr>
                <w:rFonts w:ascii="Times New Roman"/>
                <w:sz w:val="16"/>
              </w:rPr>
            </w:pPr>
            <w:r>
              <w:rPr>
                <w:rFonts w:ascii="Times New Roman"/>
                <w:w w:val="98"/>
                <w:sz w:val="16"/>
              </w:rPr>
              <w:t>-</w:t>
            </w:r>
          </w:p>
        </w:tc>
      </w:tr>
      <w:tr>
        <w:trPr>
          <w:trHeight w:val="233" w:hRule="exact"/>
        </w:trPr>
        <w:tc>
          <w:tcPr>
            <w:tcW w:w="4283" w:type="dxa"/>
          </w:tcPr>
          <w:p>
            <w:pPr>
              <w:pStyle w:val="TableParagraph"/>
              <w:tabs>
                <w:tab w:pos="3995" w:val="left" w:leader="none"/>
              </w:tabs>
              <w:spacing w:before="27"/>
              <w:ind w:left="30"/>
              <w:jc w:val="left"/>
              <w:rPr>
                <w:rFonts w:ascii="Times New Roman"/>
                <w:b/>
                <w:sz w:val="16"/>
              </w:rPr>
            </w:pPr>
            <w:r>
              <w:rPr>
                <w:rFonts w:ascii="Times New Roman"/>
                <w:b/>
                <w:color w:val="FFFFFF"/>
                <w:spacing w:val="-14"/>
                <w:w w:val="104"/>
                <w:sz w:val="16"/>
                <w:shd w:fill="878A8D" w:color="auto" w:val="clear"/>
              </w:rPr>
              <w:t> </w:t>
            </w:r>
            <w:r>
              <w:rPr>
                <w:rFonts w:ascii="Times New Roman"/>
                <w:b/>
                <w:color w:val="FFFFFF"/>
                <w:w w:val="105"/>
                <w:sz w:val="16"/>
                <w:shd w:fill="878A8D" w:color="auto" w:val="clear"/>
              </w:rPr>
              <w:t>Totale Passivo da</w:t>
            </w:r>
            <w:r>
              <w:rPr>
                <w:rFonts w:ascii="Times New Roman"/>
                <w:b/>
                <w:color w:val="FFFFFF"/>
                <w:spacing w:val="-1"/>
                <w:w w:val="105"/>
                <w:sz w:val="16"/>
                <w:shd w:fill="878A8D" w:color="auto" w:val="clear"/>
              </w:rPr>
              <w:t> </w:t>
            </w:r>
            <w:r>
              <w:rPr>
                <w:rFonts w:ascii="Times New Roman"/>
                <w:b/>
                <w:color w:val="FFFFFF"/>
                <w:w w:val="105"/>
                <w:sz w:val="16"/>
                <w:shd w:fill="878A8D" w:color="auto" w:val="clear"/>
              </w:rPr>
              <w:t>soddisfare</w:t>
            </w:r>
            <w:r>
              <w:rPr>
                <w:rFonts w:ascii="Times New Roman"/>
                <w:b/>
                <w:color w:val="FFFFFF"/>
                <w:sz w:val="16"/>
                <w:shd w:fill="878A8D" w:color="auto" w:val="clear"/>
              </w:rPr>
              <w:tab/>
            </w:r>
          </w:p>
        </w:tc>
        <w:tc>
          <w:tcPr>
            <w:tcW w:w="1374" w:type="dxa"/>
            <w:shd w:val="clear" w:color="auto" w:fill="878A8D"/>
          </w:tcPr>
          <w:p>
            <w:pPr>
              <w:pStyle w:val="TableParagraph"/>
              <w:spacing w:before="27"/>
              <w:ind w:left="297"/>
              <w:jc w:val="left"/>
              <w:rPr>
                <w:rFonts w:ascii="Times New Roman"/>
                <w:b/>
                <w:sz w:val="16"/>
              </w:rPr>
            </w:pPr>
            <w:r>
              <w:rPr>
                <w:rFonts w:ascii="Times New Roman"/>
                <w:b/>
                <w:color w:val="FFFFFF"/>
                <w:w w:val="105"/>
                <w:sz w:val="16"/>
              </w:rPr>
              <w:t>207.935.437</w:t>
            </w:r>
          </w:p>
        </w:tc>
        <w:tc>
          <w:tcPr>
            <w:tcW w:w="1384" w:type="dxa"/>
            <w:shd w:val="clear" w:color="auto" w:fill="878A8D"/>
          </w:tcPr>
          <w:p>
            <w:pPr/>
          </w:p>
        </w:tc>
        <w:tc>
          <w:tcPr>
            <w:tcW w:w="1374" w:type="dxa"/>
            <w:shd w:val="clear" w:color="auto" w:fill="878A8D"/>
          </w:tcPr>
          <w:p>
            <w:pPr>
              <w:pStyle w:val="TableParagraph"/>
              <w:spacing w:before="27"/>
              <w:ind w:left="307" w:right="271"/>
              <w:jc w:val="center"/>
              <w:rPr>
                <w:rFonts w:ascii="Times New Roman"/>
                <w:b/>
                <w:sz w:val="16"/>
              </w:rPr>
            </w:pPr>
            <w:r>
              <w:rPr>
                <w:rFonts w:ascii="Times New Roman"/>
                <w:b/>
                <w:color w:val="FFFFFF"/>
                <w:w w:val="105"/>
                <w:sz w:val="16"/>
              </w:rPr>
              <w:t>45.083.769</w:t>
            </w:r>
          </w:p>
        </w:tc>
        <w:tc>
          <w:tcPr>
            <w:tcW w:w="1618" w:type="dxa"/>
          </w:tcPr>
          <w:p>
            <w:pPr>
              <w:pStyle w:val="TableParagraph"/>
              <w:tabs>
                <w:tab w:pos="343" w:val="left" w:leader="none"/>
                <w:tab w:pos="1467" w:val="left" w:leader="none"/>
              </w:tabs>
              <w:spacing w:before="27"/>
              <w:ind w:right="28"/>
              <w:rPr>
                <w:rFonts w:ascii="Times New Roman"/>
                <w:b/>
                <w:sz w:val="16"/>
              </w:rPr>
            </w:pPr>
            <w:r>
              <w:rPr>
                <w:rFonts w:ascii="Times New Roman"/>
                <w:b/>
                <w:color w:val="FFFFFF"/>
                <w:w w:val="104"/>
                <w:sz w:val="16"/>
                <w:shd w:fill="878A8D" w:color="auto" w:val="clear"/>
              </w:rPr>
              <w:t> </w:t>
            </w:r>
            <w:r>
              <w:rPr>
                <w:rFonts w:ascii="Times New Roman"/>
                <w:b/>
                <w:color w:val="FFFFFF"/>
                <w:sz w:val="16"/>
                <w:shd w:fill="878A8D" w:color="auto" w:val="clear"/>
              </w:rPr>
              <w:tab/>
            </w:r>
            <w:r>
              <w:rPr>
                <w:rFonts w:ascii="Times New Roman"/>
                <w:b/>
                <w:color w:val="FFFFFF"/>
                <w:w w:val="105"/>
                <w:sz w:val="16"/>
                <w:shd w:fill="878A8D" w:color="auto" w:val="clear"/>
              </w:rPr>
              <w:t>(5.179.170)</w:t>
            </w:r>
            <w:r>
              <w:rPr>
                <w:rFonts w:ascii="Times New Roman"/>
                <w:b/>
                <w:color w:val="FFFFFF"/>
                <w:sz w:val="16"/>
                <w:shd w:fill="878A8D" w:color="auto" w:val="clear"/>
              </w:rPr>
              <w:tab/>
            </w:r>
          </w:p>
        </w:tc>
      </w:tr>
    </w:tbl>
    <w:p>
      <w:pPr>
        <w:pStyle w:val="BodyText"/>
        <w:spacing w:before="1"/>
      </w:pPr>
    </w:p>
    <w:p>
      <w:pPr>
        <w:pStyle w:val="BodyText"/>
        <w:spacing w:line="480" w:lineRule="auto"/>
        <w:ind w:left="1418" w:right="1413"/>
        <w:jc w:val="both"/>
      </w:pPr>
      <w:r>
        <w:rPr>
          <w:u w:val="single"/>
        </w:rPr>
        <w:t>Alla copertura del fabbisogno necessario al rimborso integrale dei creditori in prededuzione e privilegiati, nonché al pagamento della percentuale di soddisfacimento dei creditori chirografari non postergati nella misura del 20%, concorrono:</w:t>
      </w:r>
    </w:p>
    <w:p>
      <w:pPr>
        <w:pStyle w:val="ListParagraph"/>
        <w:numPr>
          <w:ilvl w:val="0"/>
          <w:numId w:val="109"/>
        </w:numPr>
        <w:tabs>
          <w:tab w:pos="2126" w:val="left" w:leader="none"/>
          <w:tab w:pos="2127" w:val="left" w:leader="none"/>
        </w:tabs>
        <w:spacing w:line="304" w:lineRule="exact" w:before="0" w:after="0"/>
        <w:ind w:left="2126" w:right="0" w:hanging="348"/>
        <w:jc w:val="left"/>
        <w:rPr>
          <w:sz w:val="24"/>
        </w:rPr>
      </w:pPr>
      <w:r>
        <w:rPr>
          <w:sz w:val="24"/>
          <w:u w:val="single"/>
        </w:rPr>
        <w:t>l’impegno da parte della famiglia Ghisolfi, fino ad Euro 0,5</w:t>
      </w:r>
      <w:r>
        <w:rPr>
          <w:spacing w:val="-16"/>
          <w:sz w:val="24"/>
          <w:u w:val="single"/>
        </w:rPr>
        <w:t> </w:t>
      </w:r>
      <w:r>
        <w:rPr>
          <w:sz w:val="24"/>
          <w:u w:val="single"/>
        </w:rPr>
        <w:t>Milioni;</w:t>
      </w:r>
    </w:p>
    <w:p>
      <w:pPr>
        <w:spacing w:after="0" w:line="304" w:lineRule="exact"/>
        <w:jc w:val="left"/>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3"/>
        <w:rPr>
          <w:sz w:val="27"/>
        </w:rPr>
      </w:pPr>
    </w:p>
    <w:p>
      <w:pPr>
        <w:pStyle w:val="ListParagraph"/>
        <w:numPr>
          <w:ilvl w:val="0"/>
          <w:numId w:val="109"/>
        </w:numPr>
        <w:tabs>
          <w:tab w:pos="2126" w:val="left" w:leader="none"/>
          <w:tab w:pos="2127" w:val="left" w:leader="none"/>
        </w:tabs>
        <w:spacing w:line="240" w:lineRule="auto" w:before="100" w:after="0"/>
        <w:ind w:left="2126" w:right="0" w:hanging="348"/>
        <w:jc w:val="left"/>
        <w:rPr>
          <w:sz w:val="24"/>
        </w:rPr>
      </w:pPr>
      <w:r>
        <w:rPr>
          <w:sz w:val="24"/>
          <w:u w:val="single"/>
        </w:rPr>
        <w:t>l’esistenza dei  fondi rischi generici privilegiato e chirografario  fino ad Euro 1,9   </w:t>
      </w:r>
      <w:r>
        <w:rPr>
          <w:spacing w:val="41"/>
          <w:sz w:val="24"/>
          <w:u w:val="single"/>
        </w:rPr>
        <w:t> </w:t>
      </w:r>
      <w:r>
        <w:rPr>
          <w:sz w:val="24"/>
          <w:u w:val="single"/>
        </w:rPr>
        <w:t>Milioni</w:t>
      </w:r>
    </w:p>
    <w:p>
      <w:pPr>
        <w:pStyle w:val="BodyText"/>
        <w:spacing w:before="3"/>
        <w:rPr>
          <w:sz w:val="15"/>
        </w:rPr>
      </w:pPr>
    </w:p>
    <w:p>
      <w:pPr>
        <w:pStyle w:val="BodyText"/>
        <w:spacing w:before="100"/>
        <w:ind w:left="2138"/>
      </w:pPr>
      <w:r>
        <w:rPr>
          <w:u w:val="single"/>
        </w:rPr>
        <w:t>circa;</w:t>
      </w:r>
    </w:p>
    <w:p>
      <w:pPr>
        <w:pStyle w:val="BodyText"/>
        <w:spacing w:before="10"/>
        <w:rPr>
          <w:sz w:val="23"/>
        </w:rPr>
      </w:pPr>
    </w:p>
    <w:p>
      <w:pPr>
        <w:pStyle w:val="BodyText"/>
        <w:spacing w:line="480" w:lineRule="auto" w:before="1" w:after="10"/>
        <w:ind w:left="1418" w:right="1518"/>
      </w:pPr>
      <w:r>
        <w:rPr>
          <w:u w:val="single"/>
        </w:rPr>
        <w:t>impattando la parte residua delle </w:t>
      </w:r>
      <w:r>
        <w:rPr>
          <w:i/>
          <w:u w:val="single"/>
        </w:rPr>
        <w:t>sensitivity </w:t>
      </w:r>
      <w:r>
        <w:rPr>
          <w:u w:val="single"/>
        </w:rPr>
        <w:t>sul soddisfacimento del creditore chirografario postergato volontario fino ad Euro 3,4 Milioni circa, come rappresentato nella tabella seguente</w:t>
      </w:r>
      <w:r>
        <w:rPr/>
        <w:t>:</w:t>
      </w:r>
    </w:p>
    <w:tbl>
      <w:tblPr>
        <w:tblW w:w="0" w:type="auto"/>
        <w:jc w:val="left"/>
        <w:tblInd w:w="1400"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5658"/>
        <w:gridCol w:w="1718"/>
        <w:gridCol w:w="81"/>
        <w:gridCol w:w="1626"/>
      </w:tblGrid>
      <w:tr>
        <w:trPr>
          <w:trHeight w:val="277" w:hRule="exact"/>
        </w:trPr>
        <w:tc>
          <w:tcPr>
            <w:tcW w:w="5658" w:type="dxa"/>
          </w:tcPr>
          <w:p>
            <w:pPr>
              <w:pStyle w:val="TableParagraph"/>
              <w:tabs>
                <w:tab w:pos="5300" w:val="left" w:leader="none"/>
              </w:tabs>
              <w:spacing w:before="21"/>
              <w:ind w:left="30"/>
              <w:jc w:val="left"/>
              <w:rPr>
                <w:rFonts w:ascii="Times New Roman"/>
                <w:b/>
                <w:sz w:val="20"/>
              </w:rPr>
            </w:pPr>
            <w:r>
              <w:rPr>
                <w:rFonts w:ascii="Times New Roman"/>
                <w:b/>
                <w:color w:val="FFFFFF"/>
                <w:spacing w:val="-18"/>
                <w:w w:val="103"/>
                <w:sz w:val="20"/>
                <w:shd w:fill="9F2F33" w:color="auto" w:val="clear"/>
              </w:rPr>
              <w:t> </w:t>
            </w:r>
            <w:r>
              <w:rPr>
                <w:rFonts w:ascii="Times New Roman"/>
                <w:b/>
                <w:color w:val="FFFFFF"/>
                <w:w w:val="105"/>
                <w:sz w:val="20"/>
                <w:shd w:fill="9F2F33" w:color="auto" w:val="clear"/>
              </w:rPr>
              <w:t>N  </w:t>
            </w:r>
            <w:r>
              <w:rPr>
                <w:rFonts w:ascii="Times New Roman"/>
                <w:b/>
                <w:color w:val="FFFFFF"/>
                <w:spacing w:val="19"/>
                <w:w w:val="105"/>
                <w:sz w:val="20"/>
                <w:shd w:fill="9F2F33" w:color="auto" w:val="clear"/>
              </w:rPr>
              <w:t> </w:t>
            </w:r>
            <w:r>
              <w:rPr>
                <w:rFonts w:ascii="Times New Roman"/>
                <w:b/>
                <w:color w:val="FFFFFF"/>
                <w:w w:val="105"/>
                <w:sz w:val="20"/>
                <w:shd w:fill="9F2F33" w:color="auto" w:val="clear"/>
              </w:rPr>
              <w:t>Sensitivty</w:t>
            </w:r>
            <w:r>
              <w:rPr>
                <w:rFonts w:ascii="Times New Roman"/>
                <w:b/>
                <w:color w:val="FFFFFF"/>
                <w:sz w:val="20"/>
                <w:shd w:fill="9F2F33" w:color="auto" w:val="clear"/>
              </w:rPr>
              <w:tab/>
            </w:r>
          </w:p>
        </w:tc>
        <w:tc>
          <w:tcPr>
            <w:tcW w:w="1718" w:type="dxa"/>
            <w:shd w:val="clear" w:color="auto" w:fill="9F2F33"/>
          </w:tcPr>
          <w:p>
            <w:pPr>
              <w:pStyle w:val="TableParagraph"/>
              <w:spacing w:before="21"/>
              <w:ind w:left="348" w:right="349"/>
              <w:jc w:val="center"/>
              <w:rPr>
                <w:rFonts w:ascii="Times New Roman"/>
                <w:b/>
                <w:sz w:val="20"/>
              </w:rPr>
            </w:pPr>
            <w:r>
              <w:rPr>
                <w:rFonts w:ascii="Times New Roman"/>
                <w:b/>
                <w:color w:val="FFFFFF"/>
                <w:w w:val="105"/>
                <w:sz w:val="20"/>
              </w:rPr>
              <w:t>Rischio</w:t>
            </w:r>
          </w:p>
        </w:tc>
        <w:tc>
          <w:tcPr>
            <w:tcW w:w="81" w:type="dxa"/>
            <w:shd w:val="clear" w:color="auto" w:fill="9F2F33"/>
          </w:tcPr>
          <w:p>
            <w:pPr/>
          </w:p>
        </w:tc>
        <w:tc>
          <w:tcPr>
            <w:tcW w:w="1626" w:type="dxa"/>
            <w:shd w:val="clear" w:color="auto" w:fill="9F2F33"/>
          </w:tcPr>
          <w:p>
            <w:pPr>
              <w:pStyle w:val="TableParagraph"/>
              <w:spacing w:before="21"/>
              <w:ind w:left="228" w:right="318"/>
              <w:jc w:val="center"/>
              <w:rPr>
                <w:rFonts w:ascii="Times New Roman"/>
                <w:b/>
                <w:sz w:val="20"/>
              </w:rPr>
            </w:pPr>
            <w:r>
              <w:rPr>
                <w:rFonts w:ascii="Times New Roman"/>
                <w:b/>
                <w:color w:val="FFFFFF"/>
                <w:w w:val="105"/>
                <w:sz w:val="20"/>
              </w:rPr>
              <w:t>Fabbisogno</w:t>
            </w:r>
          </w:p>
        </w:tc>
      </w:tr>
      <w:tr>
        <w:trPr>
          <w:trHeight w:val="299" w:hRule="exact"/>
        </w:trPr>
        <w:tc>
          <w:tcPr>
            <w:tcW w:w="5658" w:type="dxa"/>
          </w:tcPr>
          <w:p>
            <w:pPr>
              <w:pStyle w:val="TableParagraph"/>
              <w:spacing w:before="30"/>
              <w:ind w:left="226"/>
              <w:jc w:val="left"/>
              <w:rPr>
                <w:rFonts w:ascii="Times New Roman"/>
                <w:sz w:val="19"/>
              </w:rPr>
            </w:pPr>
            <w:r>
              <w:rPr>
                <w:rFonts w:ascii="Times New Roman"/>
                <w:w w:val="105"/>
                <w:sz w:val="19"/>
              </w:rPr>
              <w:t>1 Minor Incasso riparto Beta</w:t>
            </w:r>
          </w:p>
        </w:tc>
        <w:tc>
          <w:tcPr>
            <w:tcW w:w="1718" w:type="dxa"/>
          </w:tcPr>
          <w:p>
            <w:pPr>
              <w:pStyle w:val="TableParagraph"/>
              <w:spacing w:before="21"/>
              <w:ind w:left="349" w:right="349"/>
              <w:jc w:val="center"/>
              <w:rPr>
                <w:rFonts w:ascii="Times New Roman"/>
                <w:sz w:val="20"/>
              </w:rPr>
            </w:pPr>
            <w:r>
              <w:rPr>
                <w:rFonts w:ascii="Times New Roman"/>
                <w:w w:val="105"/>
                <w:sz w:val="20"/>
              </w:rPr>
              <w:t>(3.504.020)</w:t>
            </w:r>
          </w:p>
        </w:tc>
        <w:tc>
          <w:tcPr>
            <w:tcW w:w="81" w:type="dxa"/>
            <w:tcBorders>
              <w:bottom w:val="single" w:sz="18" w:space="0" w:color="008000"/>
            </w:tcBorders>
          </w:tcPr>
          <w:p>
            <w:pPr/>
          </w:p>
        </w:tc>
        <w:tc>
          <w:tcPr>
            <w:tcW w:w="1626" w:type="dxa"/>
          </w:tcPr>
          <w:p>
            <w:pPr>
              <w:pStyle w:val="TableParagraph"/>
              <w:spacing w:before="21"/>
              <w:ind w:left="227" w:right="318"/>
              <w:jc w:val="center"/>
              <w:rPr>
                <w:rFonts w:ascii="Times New Roman"/>
                <w:sz w:val="20"/>
              </w:rPr>
            </w:pPr>
            <w:r>
              <w:rPr>
                <w:rFonts w:ascii="Times New Roman"/>
                <w:w w:val="105"/>
                <w:sz w:val="20"/>
              </w:rPr>
              <w:t>(3.504.020)</w:t>
            </w:r>
          </w:p>
        </w:tc>
      </w:tr>
      <w:tr>
        <w:trPr>
          <w:trHeight w:val="255" w:hRule="exact"/>
        </w:trPr>
        <w:tc>
          <w:tcPr>
            <w:tcW w:w="5658" w:type="dxa"/>
          </w:tcPr>
          <w:p>
            <w:pPr>
              <w:pStyle w:val="TableParagraph"/>
              <w:spacing w:before="7"/>
              <w:ind w:left="226"/>
              <w:jc w:val="left"/>
              <w:rPr>
                <w:rFonts w:ascii="Times New Roman"/>
                <w:sz w:val="19"/>
              </w:rPr>
            </w:pPr>
            <w:r>
              <w:rPr>
                <w:rFonts w:ascii="Times New Roman"/>
                <w:w w:val="105"/>
                <w:sz w:val="19"/>
              </w:rPr>
              <w:t>2 Fondo rischi chirografario Andriz (rischio Regresso)</w:t>
            </w:r>
          </w:p>
        </w:tc>
        <w:tc>
          <w:tcPr>
            <w:tcW w:w="1718" w:type="dxa"/>
          </w:tcPr>
          <w:p>
            <w:pPr>
              <w:pStyle w:val="TableParagraph"/>
              <w:spacing w:line="228" w:lineRule="exact" w:before="0"/>
              <w:ind w:left="349" w:right="349"/>
              <w:jc w:val="center"/>
              <w:rPr>
                <w:rFonts w:ascii="Times New Roman"/>
                <w:sz w:val="20"/>
              </w:rPr>
            </w:pPr>
            <w:r>
              <w:rPr>
                <w:rFonts w:ascii="Times New Roman"/>
                <w:w w:val="105"/>
                <w:sz w:val="20"/>
              </w:rPr>
              <w:t>(2.034.408)</w:t>
            </w:r>
          </w:p>
        </w:tc>
        <w:tc>
          <w:tcPr>
            <w:tcW w:w="81" w:type="dxa"/>
            <w:tcBorders>
              <w:top w:val="single" w:sz="18" w:space="0" w:color="008000"/>
            </w:tcBorders>
          </w:tcPr>
          <w:p>
            <w:pPr/>
          </w:p>
        </w:tc>
        <w:tc>
          <w:tcPr>
            <w:tcW w:w="1626" w:type="dxa"/>
            <w:tcBorders>
              <w:right w:val="single" w:sz="5" w:space="0" w:color="FFFF00"/>
            </w:tcBorders>
          </w:tcPr>
          <w:p>
            <w:pPr>
              <w:pStyle w:val="TableParagraph"/>
              <w:spacing w:line="228" w:lineRule="exact" w:before="0"/>
              <w:ind w:left="336" w:right="421"/>
              <w:jc w:val="center"/>
              <w:rPr>
                <w:rFonts w:ascii="Times New Roman"/>
                <w:sz w:val="20"/>
              </w:rPr>
            </w:pPr>
            <w:r>
              <w:rPr>
                <w:rFonts w:ascii="Times New Roman"/>
                <w:w w:val="105"/>
                <w:sz w:val="20"/>
              </w:rPr>
              <w:t>(406.882)</w:t>
            </w:r>
          </w:p>
        </w:tc>
      </w:tr>
      <w:tr>
        <w:trPr>
          <w:trHeight w:val="276" w:hRule="exact"/>
        </w:trPr>
        <w:tc>
          <w:tcPr>
            <w:tcW w:w="5658" w:type="dxa"/>
          </w:tcPr>
          <w:p>
            <w:pPr>
              <w:pStyle w:val="TableParagraph"/>
              <w:spacing w:before="20"/>
              <w:ind w:left="226"/>
              <w:jc w:val="left"/>
              <w:rPr>
                <w:rFonts w:ascii="Times New Roman"/>
                <w:sz w:val="20"/>
              </w:rPr>
            </w:pPr>
            <w:r>
              <w:rPr>
                <w:rFonts w:ascii="Times New Roman"/>
                <w:w w:val="105"/>
                <w:sz w:val="19"/>
              </w:rPr>
              <w:t>3 </w:t>
            </w:r>
            <w:r>
              <w:rPr>
                <w:rFonts w:ascii="Times New Roman"/>
                <w:w w:val="105"/>
                <w:sz w:val="20"/>
              </w:rPr>
              <w:t>Cessione immobile Modugno (-25%)</w:t>
            </w:r>
          </w:p>
        </w:tc>
        <w:tc>
          <w:tcPr>
            <w:tcW w:w="1718" w:type="dxa"/>
          </w:tcPr>
          <w:p>
            <w:pPr>
              <w:pStyle w:val="TableParagraph"/>
              <w:spacing w:before="20"/>
              <w:ind w:left="349" w:right="349"/>
              <w:jc w:val="center"/>
              <w:rPr>
                <w:rFonts w:ascii="Times New Roman"/>
                <w:sz w:val="20"/>
              </w:rPr>
            </w:pPr>
            <w:r>
              <w:rPr>
                <w:rFonts w:ascii="Times New Roman"/>
                <w:w w:val="105"/>
                <w:sz w:val="20"/>
              </w:rPr>
              <w:t>(256.150)</w:t>
            </w:r>
          </w:p>
        </w:tc>
        <w:tc>
          <w:tcPr>
            <w:tcW w:w="81" w:type="dxa"/>
          </w:tcPr>
          <w:p>
            <w:pPr/>
          </w:p>
        </w:tc>
        <w:tc>
          <w:tcPr>
            <w:tcW w:w="1626" w:type="dxa"/>
          </w:tcPr>
          <w:p>
            <w:pPr>
              <w:pStyle w:val="TableParagraph"/>
              <w:spacing w:before="20"/>
              <w:ind w:left="227" w:right="318"/>
              <w:jc w:val="center"/>
              <w:rPr>
                <w:rFonts w:ascii="Times New Roman"/>
                <w:sz w:val="20"/>
              </w:rPr>
            </w:pPr>
            <w:r>
              <w:rPr>
                <w:rFonts w:ascii="Times New Roman"/>
                <w:w w:val="105"/>
                <w:sz w:val="20"/>
              </w:rPr>
              <w:t>(256.150)</w:t>
            </w:r>
          </w:p>
        </w:tc>
      </w:tr>
      <w:tr>
        <w:trPr>
          <w:trHeight w:val="277" w:hRule="exact"/>
        </w:trPr>
        <w:tc>
          <w:tcPr>
            <w:tcW w:w="5658" w:type="dxa"/>
          </w:tcPr>
          <w:p>
            <w:pPr>
              <w:pStyle w:val="TableParagraph"/>
              <w:spacing w:before="31"/>
              <w:ind w:left="226"/>
              <w:jc w:val="left"/>
              <w:rPr>
                <w:rFonts w:ascii="Times New Roman"/>
                <w:sz w:val="19"/>
              </w:rPr>
            </w:pPr>
            <w:r>
              <w:rPr>
                <w:rFonts w:ascii="Times New Roman"/>
                <w:w w:val="105"/>
                <w:sz w:val="19"/>
              </w:rPr>
              <w:t>4 Minor Incasso crediti comm.li</w:t>
            </w:r>
          </w:p>
        </w:tc>
        <w:tc>
          <w:tcPr>
            <w:tcW w:w="1718" w:type="dxa"/>
          </w:tcPr>
          <w:p>
            <w:pPr>
              <w:pStyle w:val="TableParagraph"/>
              <w:spacing w:before="21"/>
              <w:ind w:left="349" w:right="349"/>
              <w:jc w:val="center"/>
              <w:rPr>
                <w:rFonts w:ascii="Times New Roman"/>
                <w:sz w:val="20"/>
              </w:rPr>
            </w:pPr>
            <w:r>
              <w:rPr>
                <w:rFonts w:ascii="Times New Roman"/>
                <w:w w:val="105"/>
                <w:sz w:val="20"/>
              </w:rPr>
              <w:t>(1.419.000)</w:t>
            </w:r>
          </w:p>
        </w:tc>
        <w:tc>
          <w:tcPr>
            <w:tcW w:w="81" w:type="dxa"/>
          </w:tcPr>
          <w:p>
            <w:pPr/>
          </w:p>
        </w:tc>
        <w:tc>
          <w:tcPr>
            <w:tcW w:w="1626" w:type="dxa"/>
          </w:tcPr>
          <w:p>
            <w:pPr>
              <w:pStyle w:val="TableParagraph"/>
              <w:spacing w:before="21"/>
              <w:ind w:left="227" w:right="318"/>
              <w:jc w:val="center"/>
              <w:rPr>
                <w:rFonts w:ascii="Times New Roman"/>
                <w:sz w:val="20"/>
              </w:rPr>
            </w:pPr>
            <w:r>
              <w:rPr>
                <w:rFonts w:ascii="Times New Roman"/>
                <w:w w:val="105"/>
                <w:sz w:val="20"/>
              </w:rPr>
              <w:t>(1.419.000)</w:t>
            </w:r>
          </w:p>
        </w:tc>
      </w:tr>
      <w:tr>
        <w:trPr>
          <w:trHeight w:val="272" w:hRule="exact"/>
        </w:trPr>
        <w:tc>
          <w:tcPr>
            <w:tcW w:w="5658" w:type="dxa"/>
            <w:tcBorders>
              <w:bottom w:val="single" w:sz="5" w:space="0" w:color="000000"/>
            </w:tcBorders>
          </w:tcPr>
          <w:p>
            <w:pPr>
              <w:pStyle w:val="TableParagraph"/>
              <w:spacing w:before="31"/>
              <w:ind w:left="226"/>
              <w:jc w:val="left"/>
              <w:rPr>
                <w:rFonts w:ascii="Times New Roman"/>
                <w:sz w:val="19"/>
              </w:rPr>
            </w:pPr>
            <w:r>
              <w:rPr>
                <w:rFonts w:ascii="Times New Roman"/>
                <w:w w:val="105"/>
                <w:sz w:val="19"/>
              </w:rPr>
              <w:t>5 Minori flussi da gestione operativa Apr/Lug 18</w:t>
            </w:r>
          </w:p>
        </w:tc>
        <w:tc>
          <w:tcPr>
            <w:tcW w:w="1718" w:type="dxa"/>
            <w:tcBorders>
              <w:bottom w:val="single" w:sz="5" w:space="0" w:color="000000"/>
            </w:tcBorders>
          </w:tcPr>
          <w:p>
            <w:pPr>
              <w:pStyle w:val="TableParagraph"/>
              <w:spacing w:before="22"/>
              <w:ind w:left="349" w:right="349"/>
              <w:jc w:val="center"/>
              <w:rPr>
                <w:rFonts w:ascii="Times New Roman"/>
                <w:sz w:val="20"/>
              </w:rPr>
            </w:pPr>
            <w:r>
              <w:rPr>
                <w:rFonts w:ascii="Times New Roman"/>
                <w:w w:val="105"/>
                <w:sz w:val="20"/>
              </w:rPr>
              <w:t>(138.000)</w:t>
            </w:r>
          </w:p>
        </w:tc>
        <w:tc>
          <w:tcPr>
            <w:tcW w:w="81" w:type="dxa"/>
            <w:tcBorders>
              <w:bottom w:val="single" w:sz="5" w:space="0" w:color="000000"/>
            </w:tcBorders>
          </w:tcPr>
          <w:p>
            <w:pPr/>
          </w:p>
        </w:tc>
        <w:tc>
          <w:tcPr>
            <w:tcW w:w="1626" w:type="dxa"/>
            <w:tcBorders>
              <w:bottom w:val="single" w:sz="5" w:space="0" w:color="000000"/>
            </w:tcBorders>
          </w:tcPr>
          <w:p>
            <w:pPr>
              <w:pStyle w:val="TableParagraph"/>
              <w:spacing w:before="22"/>
              <w:ind w:left="227" w:right="318"/>
              <w:jc w:val="center"/>
              <w:rPr>
                <w:rFonts w:ascii="Times New Roman"/>
                <w:sz w:val="20"/>
              </w:rPr>
            </w:pPr>
            <w:r>
              <w:rPr>
                <w:rFonts w:ascii="Times New Roman"/>
                <w:w w:val="105"/>
                <w:sz w:val="20"/>
              </w:rPr>
              <w:t>(138.000)</w:t>
            </w:r>
          </w:p>
        </w:tc>
      </w:tr>
      <w:tr>
        <w:trPr>
          <w:trHeight w:val="548" w:hRule="exact"/>
        </w:trPr>
        <w:tc>
          <w:tcPr>
            <w:tcW w:w="5658" w:type="dxa"/>
            <w:tcBorders>
              <w:top w:val="single" w:sz="5" w:space="0" w:color="000000"/>
            </w:tcBorders>
          </w:tcPr>
          <w:p>
            <w:pPr>
              <w:pStyle w:val="TableParagraph"/>
              <w:spacing w:before="30"/>
              <w:ind w:left="410"/>
              <w:jc w:val="left"/>
              <w:rPr>
                <w:rFonts w:ascii="Times New Roman"/>
                <w:b/>
                <w:sz w:val="19"/>
              </w:rPr>
            </w:pPr>
            <w:r>
              <w:rPr>
                <w:rFonts w:ascii="Times New Roman"/>
                <w:b/>
                <w:w w:val="105"/>
                <w:sz w:val="19"/>
              </w:rPr>
              <w:t>totale</w:t>
            </w:r>
          </w:p>
        </w:tc>
        <w:tc>
          <w:tcPr>
            <w:tcW w:w="1718" w:type="dxa"/>
            <w:tcBorders>
              <w:top w:val="single" w:sz="5" w:space="0" w:color="000000"/>
            </w:tcBorders>
          </w:tcPr>
          <w:p>
            <w:pPr>
              <w:pStyle w:val="TableParagraph"/>
              <w:spacing w:before="20"/>
              <w:ind w:left="349" w:right="349"/>
              <w:jc w:val="center"/>
              <w:rPr>
                <w:rFonts w:ascii="Times New Roman"/>
                <w:b/>
                <w:sz w:val="20"/>
              </w:rPr>
            </w:pPr>
            <w:r>
              <w:rPr>
                <w:rFonts w:ascii="Times New Roman"/>
                <w:b/>
                <w:w w:val="105"/>
                <w:sz w:val="20"/>
              </w:rPr>
              <w:t>(7.351.578)</w:t>
            </w:r>
          </w:p>
        </w:tc>
        <w:tc>
          <w:tcPr>
            <w:tcW w:w="81" w:type="dxa"/>
            <w:tcBorders>
              <w:top w:val="single" w:sz="5" w:space="0" w:color="000000"/>
            </w:tcBorders>
          </w:tcPr>
          <w:p>
            <w:pPr/>
          </w:p>
        </w:tc>
        <w:tc>
          <w:tcPr>
            <w:tcW w:w="1626" w:type="dxa"/>
            <w:tcBorders>
              <w:top w:val="single" w:sz="5" w:space="0" w:color="000000"/>
            </w:tcBorders>
          </w:tcPr>
          <w:p>
            <w:pPr>
              <w:pStyle w:val="TableParagraph"/>
              <w:spacing w:before="20"/>
              <w:ind w:left="227" w:right="318"/>
              <w:jc w:val="center"/>
              <w:rPr>
                <w:rFonts w:ascii="Times New Roman"/>
                <w:b/>
                <w:sz w:val="20"/>
              </w:rPr>
            </w:pPr>
            <w:r>
              <w:rPr>
                <w:rFonts w:ascii="Times New Roman"/>
                <w:b/>
                <w:w w:val="105"/>
                <w:sz w:val="20"/>
              </w:rPr>
              <w:t>(5.724.052)</w:t>
            </w:r>
          </w:p>
        </w:tc>
      </w:tr>
      <w:tr>
        <w:trPr>
          <w:trHeight w:val="277" w:hRule="exact"/>
        </w:trPr>
        <w:tc>
          <w:tcPr>
            <w:tcW w:w="7376" w:type="dxa"/>
            <w:gridSpan w:val="2"/>
          </w:tcPr>
          <w:p>
            <w:pPr>
              <w:pStyle w:val="TableParagraph"/>
              <w:tabs>
                <w:tab w:pos="5300" w:val="left" w:leader="none"/>
              </w:tabs>
              <w:spacing w:before="32"/>
              <w:ind w:left="30"/>
              <w:jc w:val="left"/>
              <w:rPr>
                <w:rFonts w:ascii="Times New Roman"/>
                <w:b/>
                <w:sz w:val="20"/>
              </w:rPr>
            </w:pPr>
            <w:r>
              <w:rPr>
                <w:rFonts w:ascii="Times New Roman"/>
                <w:b/>
                <w:color w:val="FFFFFF"/>
                <w:spacing w:val="-18"/>
                <w:w w:val="103"/>
                <w:sz w:val="20"/>
                <w:shd w:fill="9F2F33" w:color="auto" w:val="clear"/>
              </w:rPr>
              <w:t> </w:t>
            </w:r>
            <w:r>
              <w:rPr>
                <w:rFonts w:ascii="Times New Roman"/>
                <w:b/>
                <w:color w:val="FFFFFF"/>
                <w:w w:val="105"/>
                <w:sz w:val="20"/>
                <w:shd w:fill="9F2F33" w:color="auto" w:val="clear"/>
              </w:rPr>
              <w:t>N  </w:t>
            </w:r>
            <w:r>
              <w:rPr>
                <w:rFonts w:ascii="Times New Roman"/>
                <w:b/>
                <w:color w:val="FFFFFF"/>
                <w:spacing w:val="25"/>
                <w:w w:val="105"/>
                <w:sz w:val="20"/>
                <w:shd w:fill="9F2F33" w:color="auto" w:val="clear"/>
              </w:rPr>
              <w:t> </w:t>
            </w:r>
            <w:r>
              <w:rPr>
                <w:rFonts w:ascii="Times New Roman"/>
                <w:b/>
                <w:color w:val="FFFFFF"/>
                <w:w w:val="105"/>
                <w:sz w:val="20"/>
                <w:shd w:fill="9F2F33" w:color="auto" w:val="clear"/>
              </w:rPr>
              <w:t>Mitigant</w:t>
            </w:r>
            <w:r>
              <w:rPr>
                <w:rFonts w:ascii="Times New Roman"/>
                <w:b/>
                <w:color w:val="FFFFFF"/>
                <w:sz w:val="20"/>
                <w:shd w:fill="9F2F33" w:color="auto" w:val="clear"/>
              </w:rPr>
              <w:tab/>
            </w:r>
          </w:p>
        </w:tc>
        <w:tc>
          <w:tcPr>
            <w:tcW w:w="1707" w:type="dxa"/>
            <w:gridSpan w:val="2"/>
            <w:shd w:val="clear" w:color="auto" w:fill="9F2F33"/>
          </w:tcPr>
          <w:p>
            <w:pPr>
              <w:pStyle w:val="TableParagraph"/>
              <w:spacing w:before="32"/>
              <w:ind w:left="334"/>
              <w:jc w:val="left"/>
              <w:rPr>
                <w:rFonts w:ascii="Times New Roman"/>
                <w:b/>
                <w:sz w:val="20"/>
              </w:rPr>
            </w:pPr>
            <w:r>
              <w:rPr>
                <w:rFonts w:ascii="Times New Roman"/>
                <w:b/>
                <w:color w:val="FFFFFF"/>
                <w:w w:val="105"/>
                <w:sz w:val="20"/>
              </w:rPr>
              <w:t>Fabbisogno</w:t>
            </w:r>
          </w:p>
        </w:tc>
      </w:tr>
      <w:tr>
        <w:trPr>
          <w:trHeight w:val="276" w:hRule="exact"/>
        </w:trPr>
        <w:tc>
          <w:tcPr>
            <w:tcW w:w="7376" w:type="dxa"/>
            <w:gridSpan w:val="2"/>
          </w:tcPr>
          <w:p>
            <w:pPr>
              <w:pStyle w:val="TableParagraph"/>
              <w:spacing w:before="30"/>
              <w:ind w:left="226"/>
              <w:jc w:val="left"/>
              <w:rPr>
                <w:rFonts w:ascii="Times New Roman"/>
                <w:sz w:val="19"/>
              </w:rPr>
            </w:pPr>
            <w:r>
              <w:rPr>
                <w:rFonts w:ascii="Times New Roman"/>
                <w:w w:val="105"/>
                <w:sz w:val="19"/>
              </w:rPr>
              <w:t>1 Fondo rischi privilegiati generico</w:t>
            </w:r>
          </w:p>
        </w:tc>
        <w:tc>
          <w:tcPr>
            <w:tcW w:w="1707" w:type="dxa"/>
            <w:gridSpan w:val="2"/>
            <w:tcBorders>
              <w:right w:val="single" w:sz="5" w:space="0" w:color="D9D9D9"/>
            </w:tcBorders>
          </w:tcPr>
          <w:p>
            <w:pPr>
              <w:pStyle w:val="TableParagraph"/>
              <w:spacing w:before="20"/>
              <w:ind w:left="461"/>
              <w:jc w:val="left"/>
              <w:rPr>
                <w:rFonts w:ascii="Times New Roman"/>
                <w:sz w:val="20"/>
              </w:rPr>
            </w:pPr>
            <w:r>
              <w:rPr>
                <w:rFonts w:ascii="Times New Roman"/>
                <w:w w:val="105"/>
                <w:sz w:val="20"/>
              </w:rPr>
              <w:t>1.000.000</w:t>
            </w:r>
          </w:p>
        </w:tc>
      </w:tr>
      <w:tr>
        <w:trPr>
          <w:trHeight w:val="277" w:hRule="exact"/>
        </w:trPr>
        <w:tc>
          <w:tcPr>
            <w:tcW w:w="7376" w:type="dxa"/>
            <w:gridSpan w:val="2"/>
          </w:tcPr>
          <w:p>
            <w:pPr>
              <w:pStyle w:val="TableParagraph"/>
              <w:spacing w:before="31"/>
              <w:ind w:left="226"/>
              <w:jc w:val="left"/>
              <w:rPr>
                <w:rFonts w:ascii="Times New Roman"/>
                <w:sz w:val="19"/>
              </w:rPr>
            </w:pPr>
            <w:r>
              <w:rPr>
                <w:rFonts w:ascii="Times New Roman"/>
                <w:w w:val="105"/>
                <w:sz w:val="19"/>
              </w:rPr>
              <w:t>2 Fondo rischi chirografari generico</w:t>
            </w:r>
          </w:p>
        </w:tc>
        <w:tc>
          <w:tcPr>
            <w:tcW w:w="1707" w:type="dxa"/>
            <w:gridSpan w:val="2"/>
            <w:tcBorders>
              <w:right w:val="single" w:sz="5" w:space="0" w:color="D9D9D9"/>
            </w:tcBorders>
          </w:tcPr>
          <w:p>
            <w:pPr>
              <w:pStyle w:val="TableParagraph"/>
              <w:spacing w:before="22"/>
              <w:ind w:left="541"/>
              <w:jc w:val="left"/>
              <w:rPr>
                <w:rFonts w:ascii="Times New Roman"/>
                <w:sz w:val="20"/>
              </w:rPr>
            </w:pPr>
            <w:r>
              <w:rPr>
                <w:rFonts w:ascii="Times New Roman"/>
                <w:w w:val="105"/>
                <w:sz w:val="20"/>
              </w:rPr>
              <w:t>859.146</w:t>
            </w:r>
          </w:p>
        </w:tc>
      </w:tr>
      <w:tr>
        <w:trPr>
          <w:trHeight w:val="272" w:hRule="exact"/>
        </w:trPr>
        <w:tc>
          <w:tcPr>
            <w:tcW w:w="7376" w:type="dxa"/>
            <w:gridSpan w:val="2"/>
          </w:tcPr>
          <w:p>
            <w:pPr>
              <w:pStyle w:val="TableParagraph"/>
              <w:spacing w:before="31"/>
              <w:ind w:left="226"/>
              <w:jc w:val="left"/>
              <w:rPr>
                <w:rFonts w:ascii="Times New Roman"/>
                <w:sz w:val="19"/>
              </w:rPr>
            </w:pPr>
            <w:r>
              <w:rPr>
                <w:rFonts w:ascii="Times New Roman"/>
                <w:w w:val="105"/>
                <w:sz w:val="19"/>
              </w:rPr>
              <w:t>3 Versamento ulteriore Dott.Ghisolfi</w:t>
            </w:r>
          </w:p>
        </w:tc>
        <w:tc>
          <w:tcPr>
            <w:tcW w:w="1707" w:type="dxa"/>
            <w:gridSpan w:val="2"/>
            <w:tcBorders>
              <w:bottom w:val="single" w:sz="5" w:space="0" w:color="000000"/>
              <w:right w:val="single" w:sz="5" w:space="0" w:color="D9D9D9"/>
            </w:tcBorders>
          </w:tcPr>
          <w:p>
            <w:pPr>
              <w:pStyle w:val="TableParagraph"/>
              <w:spacing w:before="21"/>
              <w:ind w:left="541"/>
              <w:jc w:val="left"/>
              <w:rPr>
                <w:rFonts w:ascii="Times New Roman"/>
                <w:sz w:val="20"/>
              </w:rPr>
            </w:pPr>
            <w:r>
              <w:rPr>
                <w:rFonts w:ascii="Times New Roman"/>
                <w:w w:val="105"/>
                <w:sz w:val="20"/>
              </w:rPr>
              <w:t>500.000</w:t>
            </w:r>
          </w:p>
        </w:tc>
      </w:tr>
      <w:tr>
        <w:trPr>
          <w:trHeight w:val="258" w:hRule="exact"/>
        </w:trPr>
        <w:tc>
          <w:tcPr>
            <w:tcW w:w="7376" w:type="dxa"/>
            <w:gridSpan w:val="2"/>
          </w:tcPr>
          <w:p>
            <w:pPr>
              <w:pStyle w:val="TableParagraph"/>
              <w:spacing w:before="36"/>
              <w:ind w:left="410"/>
              <w:jc w:val="left"/>
              <w:rPr>
                <w:rFonts w:ascii="Times New Roman"/>
                <w:b/>
                <w:sz w:val="19"/>
              </w:rPr>
            </w:pPr>
            <w:r>
              <w:rPr>
                <w:rFonts w:ascii="Times New Roman"/>
                <w:b/>
                <w:w w:val="105"/>
                <w:sz w:val="19"/>
              </w:rPr>
              <w:t>sub totale</w:t>
            </w:r>
          </w:p>
        </w:tc>
        <w:tc>
          <w:tcPr>
            <w:tcW w:w="1707" w:type="dxa"/>
            <w:gridSpan w:val="2"/>
            <w:tcBorders>
              <w:top w:val="single" w:sz="5" w:space="0" w:color="000000"/>
            </w:tcBorders>
          </w:tcPr>
          <w:p>
            <w:pPr>
              <w:pStyle w:val="TableParagraph"/>
              <w:spacing w:before="21"/>
              <w:ind w:left="461"/>
              <w:jc w:val="left"/>
              <w:rPr>
                <w:rFonts w:ascii="Times New Roman"/>
                <w:sz w:val="20"/>
              </w:rPr>
            </w:pPr>
            <w:r>
              <w:rPr>
                <w:rFonts w:ascii="Times New Roman"/>
                <w:w w:val="105"/>
                <w:sz w:val="20"/>
              </w:rPr>
              <w:t>2.359.146</w:t>
            </w:r>
          </w:p>
        </w:tc>
      </w:tr>
    </w:tbl>
    <w:p>
      <w:pPr>
        <w:tabs>
          <w:tab w:pos="10078" w:val="right" w:leader="none"/>
        </w:tabs>
        <w:spacing w:before="206"/>
        <w:ind w:left="1626" w:right="0" w:firstLine="0"/>
        <w:jc w:val="left"/>
        <w:rPr>
          <w:rFonts w:ascii="Times New Roman"/>
          <w:sz w:val="20"/>
        </w:rPr>
      </w:pPr>
      <w:r>
        <w:rPr/>
        <w:pict>
          <v:line style="position:absolute;mso-position-horizontal-relative:page;mso-position-vertical-relative:paragraph;z-index:3424" from="523.876953pt,8.684181pt" to="523.876953pt,23.110777pt" stroked="true" strokeweight=".575873pt" strokecolor="#d9d9d9">
            <v:stroke dashstyle="solid"/>
            <w10:wrap type="none"/>
          </v:line>
        </w:pict>
      </w:r>
      <w:r>
        <w:rPr>
          <w:rFonts w:ascii="Times New Roman"/>
          <w:w w:val="105"/>
          <w:sz w:val="19"/>
        </w:rPr>
        <w:t>4  Minor soddisfacimento Creditore Chirografario</w:t>
      </w:r>
      <w:r>
        <w:rPr>
          <w:rFonts w:ascii="Times New Roman"/>
          <w:spacing w:val="-25"/>
          <w:w w:val="105"/>
          <w:sz w:val="19"/>
        </w:rPr>
        <w:t> </w:t>
      </w:r>
      <w:r>
        <w:rPr>
          <w:rFonts w:ascii="Times New Roman"/>
          <w:w w:val="105"/>
          <w:sz w:val="19"/>
        </w:rPr>
        <w:t>Postergato</w:t>
      </w:r>
      <w:r>
        <w:rPr>
          <w:rFonts w:ascii="Times New Roman"/>
          <w:spacing w:val="-2"/>
          <w:w w:val="105"/>
          <w:sz w:val="19"/>
        </w:rPr>
        <w:t> </w:t>
      </w:r>
      <w:r>
        <w:rPr>
          <w:rFonts w:ascii="Times New Roman"/>
          <w:w w:val="105"/>
          <w:sz w:val="19"/>
        </w:rPr>
        <w:t>volontario</w:t>
      </w:r>
      <w:r>
        <w:rPr>
          <w:rFonts w:ascii="Times New Roman"/>
          <w:w w:val="105"/>
          <w:sz w:val="20"/>
        </w:rPr>
        <w:tab/>
        <w:t>3.364.906</w:t>
      </w:r>
    </w:p>
    <w:p>
      <w:pPr>
        <w:tabs>
          <w:tab w:pos="10078" w:val="right" w:leader="none"/>
        </w:tabs>
        <w:spacing w:before="219"/>
        <w:ind w:left="1811" w:right="0" w:firstLine="0"/>
        <w:jc w:val="left"/>
        <w:rPr>
          <w:rFonts w:ascii="Times New Roman"/>
          <w:b/>
          <w:sz w:val="20"/>
        </w:rPr>
      </w:pPr>
      <w:r>
        <w:rPr/>
        <w:pict>
          <v:group style="position:absolute;margin-left:87.960648pt;margin-top:9.321561pt;width:247.4pt;height:.6pt;mso-position-horizontal-relative:page;mso-position-vertical-relative:paragraph;z-index:3448" coordorigin="1759,186" coordsize="4948,12">
            <v:line style="position:absolute" from="1771,192" to="6695,192" stroked="true" strokeweight=".575147pt" strokecolor="#000000">
              <v:stroke dashstyle="solid"/>
            </v:line>
            <v:line style="position:absolute" from="1765,192" to="6701,192" stroked="true" strokeweight=".575137pt" strokecolor="#000000">
              <v:stroke dashstyle="solid"/>
            </v:line>
            <w10:wrap type="none"/>
          </v:group>
        </w:pict>
      </w:r>
      <w:r>
        <w:rPr/>
        <w:pict>
          <v:group style="position:absolute;margin-left:437.961548pt;margin-top:9.321561pt;width:86.55pt;height:.6pt;mso-position-horizontal-relative:page;mso-position-vertical-relative:paragraph;z-index:3472" coordorigin="8759,186" coordsize="1731,12">
            <v:line style="position:absolute" from="8771,192" to="10478,192" stroked="true" strokeweight=".575147pt" strokecolor="#000000">
              <v:stroke dashstyle="solid"/>
            </v:line>
            <v:line style="position:absolute" from="8765,192" to="10483,192" stroked="true" strokeweight=".575137pt" strokecolor="#000000">
              <v:stroke dashstyle="solid"/>
            </v:line>
            <w10:wrap type="none"/>
          </v:group>
        </w:pict>
      </w:r>
      <w:r>
        <w:rPr>
          <w:rFonts w:ascii="Times New Roman"/>
          <w:b/>
          <w:spacing w:val="3"/>
          <w:w w:val="105"/>
          <w:sz w:val="19"/>
        </w:rPr>
        <w:t>totale</w:t>
      </w:r>
      <w:r>
        <w:rPr>
          <w:rFonts w:ascii="Times New Roman"/>
          <w:b/>
          <w:spacing w:val="3"/>
          <w:w w:val="105"/>
          <w:sz w:val="20"/>
        </w:rPr>
        <w:tab/>
      </w:r>
      <w:r>
        <w:rPr>
          <w:rFonts w:ascii="Times New Roman"/>
          <w:b/>
          <w:w w:val="105"/>
          <w:sz w:val="20"/>
        </w:rPr>
        <w:t>5.724.052</w:t>
      </w:r>
    </w:p>
    <w:p>
      <w:pPr>
        <w:pStyle w:val="BodyText"/>
        <w:spacing w:line="480" w:lineRule="auto" w:before="835"/>
        <w:ind w:left="1418" w:right="1412"/>
        <w:jc w:val="both"/>
      </w:pPr>
      <w:r>
        <w:rPr/>
        <w:t>Dal che la percentuale di soddisfacimento dei creditori chirografari risulterebbe pari al 20% mentre la percentuale di soddisfacimento del creditore chirografario postergato volontario residua pari al 1,1 %, determinandosi così un </w:t>
      </w:r>
      <w:r>
        <w:rPr>
          <w:i/>
        </w:rPr>
        <w:t>buffer </w:t>
      </w:r>
      <w:r>
        <w:rPr/>
        <w:t>a disposizione del creditore chirografario volontario di Euro 0,2 Milioni , come di seguito rappresentato: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19"/>
        </w:rPr>
      </w:pPr>
    </w:p>
    <w:tbl>
      <w:tblPr>
        <w:tblW w:w="0" w:type="auto"/>
        <w:jc w:val="left"/>
        <w:tblInd w:w="139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941"/>
        <w:gridCol w:w="1067"/>
        <w:gridCol w:w="1342"/>
        <w:gridCol w:w="1354"/>
        <w:gridCol w:w="1418"/>
      </w:tblGrid>
      <w:tr>
        <w:trPr>
          <w:trHeight w:val="798" w:hRule="exact"/>
        </w:trPr>
        <w:tc>
          <w:tcPr>
            <w:tcW w:w="3941" w:type="dxa"/>
          </w:tcPr>
          <w:p>
            <w:pPr>
              <w:pStyle w:val="TableParagraph"/>
              <w:spacing w:line="158" w:lineRule="exact" w:before="0"/>
              <w:ind w:left="55"/>
              <w:jc w:val="left"/>
              <w:rPr>
                <w:rFonts w:ascii="Times New Roman"/>
                <w:b/>
                <w:sz w:val="14"/>
              </w:rPr>
            </w:pPr>
            <w:r>
              <w:rPr>
                <w:rFonts w:ascii="Times New Roman"/>
                <w:b/>
                <w:w w:val="105"/>
                <w:sz w:val="14"/>
                <w:u w:val="single"/>
              </w:rPr>
              <w:t>Biochemtex Italia S.p.A</w:t>
            </w:r>
            <w:r>
              <w:rPr>
                <w:rFonts w:ascii="Times New Roman"/>
                <w:b/>
                <w:w w:val="105"/>
                <w:sz w:val="14"/>
              </w:rPr>
              <w:t>.</w:t>
            </w:r>
          </w:p>
          <w:p>
            <w:pPr>
              <w:pStyle w:val="TableParagraph"/>
              <w:spacing w:before="9"/>
              <w:jc w:val="left"/>
              <w:rPr>
                <w:sz w:val="20"/>
              </w:rPr>
            </w:pPr>
          </w:p>
          <w:p>
            <w:pPr>
              <w:pStyle w:val="TableParagraph"/>
              <w:tabs>
                <w:tab w:pos="3632" w:val="left" w:leader="none"/>
              </w:tabs>
              <w:spacing w:before="0"/>
              <w:ind w:left="30"/>
              <w:jc w:val="left"/>
              <w:rPr>
                <w:rFonts w:ascii="Times New Roman"/>
                <w:b/>
                <w:sz w:val="15"/>
              </w:rPr>
            </w:pPr>
            <w:r>
              <w:rPr>
                <w:rFonts w:ascii="Times New Roman"/>
                <w:b/>
                <w:color w:val="FFFFFF"/>
                <w:spacing w:val="-13"/>
                <w:w w:val="101"/>
                <w:sz w:val="15"/>
                <w:shd w:fill="9F2F33" w:color="auto" w:val="clear"/>
              </w:rPr>
              <w:t> </w:t>
            </w:r>
            <w:r>
              <w:rPr>
                <w:rFonts w:ascii="Times New Roman"/>
                <w:b/>
                <w:color w:val="FFFFFF"/>
                <w:sz w:val="15"/>
                <w:shd w:fill="9F2F33" w:color="auto" w:val="clear"/>
              </w:rPr>
              <w:t>Attivo</w:t>
            </w:r>
            <w:r>
              <w:rPr>
                <w:rFonts w:ascii="Times New Roman"/>
                <w:b/>
                <w:color w:val="FFFFFF"/>
                <w:spacing w:val="18"/>
                <w:sz w:val="15"/>
                <w:shd w:fill="9F2F33" w:color="auto" w:val="clear"/>
              </w:rPr>
              <w:t> </w:t>
            </w:r>
            <w:r>
              <w:rPr>
                <w:rFonts w:ascii="Times New Roman"/>
                <w:b/>
                <w:color w:val="FFFFFF"/>
                <w:sz w:val="15"/>
                <w:shd w:fill="9F2F33" w:color="auto" w:val="clear"/>
              </w:rPr>
              <w:t>concordatario</w:t>
              <w:tab/>
            </w:r>
          </w:p>
          <w:p>
            <w:pPr>
              <w:pStyle w:val="TableParagraph"/>
              <w:spacing w:before="29"/>
              <w:ind w:left="55"/>
              <w:jc w:val="left"/>
              <w:rPr>
                <w:rFonts w:ascii="Times New Roman"/>
                <w:sz w:val="15"/>
              </w:rPr>
            </w:pPr>
            <w:r>
              <w:rPr>
                <w:rFonts w:ascii="Times New Roman"/>
                <w:sz w:val="15"/>
              </w:rPr>
              <w:t>Incasso quota parte corrispettivo Offerta  Versalis</w:t>
            </w:r>
          </w:p>
        </w:tc>
        <w:tc>
          <w:tcPr>
            <w:tcW w:w="1067" w:type="dxa"/>
          </w:tcPr>
          <w:p>
            <w:pPr/>
          </w:p>
        </w:tc>
        <w:tc>
          <w:tcPr>
            <w:tcW w:w="1342" w:type="dxa"/>
          </w:tcPr>
          <w:p>
            <w:pPr/>
          </w:p>
        </w:tc>
        <w:tc>
          <w:tcPr>
            <w:tcW w:w="1354" w:type="dxa"/>
          </w:tcPr>
          <w:p>
            <w:pPr>
              <w:pStyle w:val="TableParagraph"/>
              <w:spacing w:before="0"/>
              <w:jc w:val="left"/>
              <w:rPr>
                <w:sz w:val="16"/>
              </w:rPr>
            </w:pPr>
          </w:p>
          <w:p>
            <w:pPr>
              <w:pStyle w:val="TableParagraph"/>
              <w:spacing w:before="10"/>
              <w:jc w:val="left"/>
              <w:rPr>
                <w:sz w:val="18"/>
              </w:rPr>
            </w:pPr>
          </w:p>
          <w:p>
            <w:pPr>
              <w:pStyle w:val="TableParagraph"/>
              <w:tabs>
                <w:tab w:pos="379" w:val="left" w:leader="none"/>
                <w:tab w:pos="1256" w:val="left" w:leader="none"/>
              </w:tabs>
              <w:spacing w:before="0"/>
              <w:ind w:right="10"/>
              <w:jc w:val="center"/>
              <w:rPr>
                <w:rFonts w:ascii="Times New Roman"/>
                <w:b/>
                <w:sz w:val="15"/>
              </w:rPr>
            </w:pPr>
            <w:r>
              <w:rPr>
                <w:rFonts w:ascii="Times New Roman"/>
                <w:b/>
                <w:color w:val="FFFFFF"/>
                <w:w w:val="101"/>
                <w:sz w:val="15"/>
                <w:shd w:fill="9F2F33" w:color="auto" w:val="clear"/>
              </w:rPr>
              <w:t> </w:t>
            </w:r>
            <w:r>
              <w:rPr>
                <w:rFonts w:ascii="Times New Roman"/>
                <w:b/>
                <w:color w:val="FFFFFF"/>
                <w:sz w:val="15"/>
                <w:shd w:fill="9F2F33" w:color="auto" w:val="clear"/>
              </w:rPr>
              <w:tab/>
              <w:t>Importi</w:t>
              <w:tab/>
            </w:r>
          </w:p>
          <w:p>
            <w:pPr>
              <w:pStyle w:val="TableParagraph"/>
              <w:spacing w:before="29"/>
              <w:ind w:left="38" w:right="10"/>
              <w:jc w:val="center"/>
              <w:rPr>
                <w:rFonts w:ascii="Times New Roman"/>
                <w:sz w:val="15"/>
              </w:rPr>
            </w:pPr>
            <w:r>
              <w:rPr>
                <w:rFonts w:ascii="Times New Roman"/>
                <w:sz w:val="15"/>
              </w:rPr>
              <w:t>28.785.813</w:t>
            </w:r>
          </w:p>
        </w:tc>
        <w:tc>
          <w:tcPr>
            <w:tcW w:w="1418" w:type="dxa"/>
          </w:tcPr>
          <w:p>
            <w:pPr>
              <w:pStyle w:val="TableParagraph"/>
              <w:spacing w:before="0"/>
              <w:jc w:val="left"/>
              <w:rPr>
                <w:sz w:val="16"/>
              </w:rPr>
            </w:pPr>
          </w:p>
          <w:p>
            <w:pPr>
              <w:pStyle w:val="TableParagraph"/>
              <w:spacing w:before="10"/>
              <w:jc w:val="left"/>
              <w:rPr>
                <w:sz w:val="18"/>
              </w:rPr>
            </w:pPr>
          </w:p>
          <w:p>
            <w:pPr>
              <w:pStyle w:val="TableParagraph"/>
              <w:tabs>
                <w:tab w:pos="320" w:val="left" w:leader="none"/>
                <w:tab w:pos="1333" w:val="left" w:leader="none"/>
              </w:tabs>
              <w:spacing w:before="0"/>
              <w:ind w:right="28"/>
              <w:rPr>
                <w:rFonts w:ascii="Times New Roman" w:hAnsi="Times New Roman"/>
                <w:b/>
                <w:sz w:val="15"/>
              </w:rPr>
            </w:pPr>
            <w:r>
              <w:rPr>
                <w:rFonts w:ascii="Times New Roman" w:hAnsi="Times New Roman"/>
                <w:color w:val="FFFFFF"/>
                <w:w w:val="101"/>
                <w:sz w:val="15"/>
                <w:shd w:fill="9F2F33" w:color="auto" w:val="clear"/>
              </w:rPr>
              <w:t> </w:t>
            </w:r>
            <w:r>
              <w:rPr>
                <w:rFonts w:ascii="Times New Roman" w:hAnsi="Times New Roman"/>
                <w:color w:val="FFFFFF"/>
                <w:sz w:val="15"/>
                <w:shd w:fill="9F2F33" w:color="auto" w:val="clear"/>
              </w:rPr>
              <w:tab/>
            </w:r>
            <w:r>
              <w:rPr>
                <w:rFonts w:ascii="Times New Roman" w:hAnsi="Times New Roman"/>
                <w:b/>
                <w:color w:val="FFFFFF"/>
                <w:sz w:val="15"/>
                <w:shd w:fill="9F2F33" w:color="auto" w:val="clear"/>
              </w:rPr>
              <w:t>Δ vs</w:t>
            </w:r>
            <w:r>
              <w:rPr>
                <w:rFonts w:ascii="Times New Roman" w:hAnsi="Times New Roman"/>
                <w:b/>
                <w:color w:val="FFFFFF"/>
                <w:spacing w:val="12"/>
                <w:sz w:val="15"/>
                <w:shd w:fill="9F2F33" w:color="auto" w:val="clear"/>
              </w:rPr>
              <w:t> </w:t>
            </w:r>
            <w:r>
              <w:rPr>
                <w:rFonts w:ascii="Times New Roman" w:hAnsi="Times New Roman"/>
                <w:b/>
                <w:color w:val="FFFFFF"/>
                <w:sz w:val="15"/>
                <w:shd w:fill="9F2F33" w:color="auto" w:val="clear"/>
              </w:rPr>
              <w:t>Paino</w:t>
              <w:tab/>
            </w:r>
          </w:p>
          <w:p>
            <w:pPr>
              <w:pStyle w:val="TableParagraph"/>
              <w:spacing w:before="38"/>
              <w:ind w:right="64"/>
              <w:rPr>
                <w:rFonts w:ascii="Times New Roman"/>
                <w:sz w:val="14"/>
              </w:rPr>
            </w:pPr>
            <w:r>
              <w:rPr>
                <w:rFonts w:ascii="Times New Roman"/>
                <w:w w:val="102"/>
                <w:sz w:val="14"/>
              </w:rPr>
              <w:t>-</w:t>
            </w:r>
          </w:p>
        </w:tc>
      </w:tr>
      <w:tr>
        <w:trPr>
          <w:trHeight w:val="189" w:hRule="exact"/>
        </w:trPr>
        <w:tc>
          <w:tcPr>
            <w:tcW w:w="3941" w:type="dxa"/>
          </w:tcPr>
          <w:p>
            <w:pPr>
              <w:pStyle w:val="TableParagraph"/>
              <w:spacing w:line="171" w:lineRule="exact" w:before="0"/>
              <w:ind w:left="55"/>
              <w:jc w:val="left"/>
              <w:rPr>
                <w:rFonts w:ascii="Times New Roman"/>
                <w:sz w:val="15"/>
              </w:rPr>
            </w:pPr>
            <w:r>
              <w:rPr>
                <w:rFonts w:ascii="Times New Roman"/>
                <w:sz w:val="15"/>
              </w:rPr>
              <w:t>Incasso riparto Beta</w:t>
            </w:r>
          </w:p>
        </w:tc>
        <w:tc>
          <w:tcPr>
            <w:tcW w:w="1067" w:type="dxa"/>
          </w:tcPr>
          <w:p>
            <w:pPr/>
          </w:p>
        </w:tc>
        <w:tc>
          <w:tcPr>
            <w:tcW w:w="1342" w:type="dxa"/>
          </w:tcPr>
          <w:p>
            <w:pPr/>
          </w:p>
        </w:tc>
        <w:tc>
          <w:tcPr>
            <w:tcW w:w="1354" w:type="dxa"/>
          </w:tcPr>
          <w:p>
            <w:pPr>
              <w:pStyle w:val="TableParagraph"/>
              <w:spacing w:line="171" w:lineRule="exact" w:before="0"/>
              <w:ind w:left="38" w:right="10"/>
              <w:jc w:val="center"/>
              <w:rPr>
                <w:rFonts w:ascii="Times New Roman"/>
                <w:sz w:val="15"/>
              </w:rPr>
            </w:pPr>
            <w:r>
              <w:rPr>
                <w:rFonts w:ascii="Times New Roman"/>
                <w:sz w:val="15"/>
              </w:rPr>
              <w:t>10.082.116</w:t>
            </w:r>
          </w:p>
        </w:tc>
        <w:tc>
          <w:tcPr>
            <w:tcW w:w="1418" w:type="dxa"/>
          </w:tcPr>
          <w:p>
            <w:pPr>
              <w:pStyle w:val="TableParagraph"/>
              <w:spacing w:before="8"/>
              <w:ind w:right="66"/>
              <w:rPr>
                <w:rFonts w:ascii="Times New Roman"/>
                <w:sz w:val="14"/>
              </w:rPr>
            </w:pPr>
            <w:r>
              <w:rPr>
                <w:rFonts w:ascii="Times New Roman"/>
                <w:w w:val="105"/>
                <w:sz w:val="14"/>
              </w:rPr>
              <w:t>(3.504.020)</w:t>
            </w:r>
          </w:p>
        </w:tc>
      </w:tr>
      <w:tr>
        <w:trPr>
          <w:trHeight w:val="216" w:hRule="exact"/>
        </w:trPr>
        <w:tc>
          <w:tcPr>
            <w:tcW w:w="3941" w:type="dxa"/>
          </w:tcPr>
          <w:p>
            <w:pPr>
              <w:pStyle w:val="TableParagraph"/>
              <w:spacing w:before="12"/>
              <w:ind w:left="55"/>
              <w:jc w:val="left"/>
              <w:rPr>
                <w:rFonts w:ascii="Times New Roman"/>
                <w:sz w:val="15"/>
              </w:rPr>
            </w:pPr>
            <w:r>
              <w:rPr>
                <w:rFonts w:ascii="Times New Roman"/>
                <w:sz w:val="15"/>
              </w:rPr>
              <w:t>Incasso riparto IBPE</w:t>
            </w:r>
          </w:p>
        </w:tc>
        <w:tc>
          <w:tcPr>
            <w:tcW w:w="1067" w:type="dxa"/>
          </w:tcPr>
          <w:p>
            <w:pPr/>
          </w:p>
        </w:tc>
        <w:tc>
          <w:tcPr>
            <w:tcW w:w="1342" w:type="dxa"/>
          </w:tcPr>
          <w:p>
            <w:pPr/>
          </w:p>
        </w:tc>
        <w:tc>
          <w:tcPr>
            <w:tcW w:w="1354" w:type="dxa"/>
          </w:tcPr>
          <w:p>
            <w:pPr>
              <w:pStyle w:val="TableParagraph"/>
              <w:spacing w:before="12"/>
              <w:ind w:left="47" w:right="10"/>
              <w:jc w:val="center"/>
              <w:rPr>
                <w:rFonts w:ascii="Times New Roman"/>
                <w:sz w:val="15"/>
              </w:rPr>
            </w:pPr>
            <w:r>
              <w:rPr>
                <w:rFonts w:ascii="Times New Roman"/>
                <w:sz w:val="15"/>
              </w:rPr>
              <w:t>4.016</w:t>
            </w:r>
          </w:p>
        </w:tc>
        <w:tc>
          <w:tcPr>
            <w:tcW w:w="1418" w:type="dxa"/>
          </w:tcPr>
          <w:p>
            <w:pPr>
              <w:pStyle w:val="TableParagraph"/>
              <w:spacing w:before="22"/>
              <w:ind w:right="64"/>
              <w:rPr>
                <w:rFonts w:ascii="Times New Roman"/>
                <w:sz w:val="14"/>
              </w:rPr>
            </w:pPr>
            <w:r>
              <w:rPr>
                <w:rFonts w:ascii="Times New Roman"/>
                <w:w w:val="102"/>
                <w:sz w:val="14"/>
              </w:rPr>
              <w:t>-</w:t>
            </w:r>
          </w:p>
        </w:tc>
      </w:tr>
      <w:tr>
        <w:trPr>
          <w:trHeight w:val="189" w:hRule="exact"/>
        </w:trPr>
        <w:tc>
          <w:tcPr>
            <w:tcW w:w="3941" w:type="dxa"/>
          </w:tcPr>
          <w:p>
            <w:pPr>
              <w:pStyle w:val="TableParagraph"/>
              <w:spacing w:line="172" w:lineRule="exact" w:before="0"/>
              <w:ind w:left="55"/>
              <w:jc w:val="left"/>
              <w:rPr>
                <w:rFonts w:ascii="Times New Roman"/>
                <w:sz w:val="15"/>
              </w:rPr>
            </w:pPr>
            <w:r>
              <w:rPr>
                <w:rFonts w:ascii="Times New Roman"/>
                <w:sz w:val="15"/>
              </w:rPr>
              <w:t>Cessione immobile Modugno</w:t>
            </w:r>
          </w:p>
        </w:tc>
        <w:tc>
          <w:tcPr>
            <w:tcW w:w="1067" w:type="dxa"/>
          </w:tcPr>
          <w:p>
            <w:pPr/>
          </w:p>
        </w:tc>
        <w:tc>
          <w:tcPr>
            <w:tcW w:w="1342" w:type="dxa"/>
          </w:tcPr>
          <w:p>
            <w:pPr/>
          </w:p>
        </w:tc>
        <w:tc>
          <w:tcPr>
            <w:tcW w:w="1354" w:type="dxa"/>
          </w:tcPr>
          <w:p>
            <w:pPr>
              <w:pStyle w:val="TableParagraph"/>
              <w:spacing w:line="172" w:lineRule="exact" w:before="0"/>
              <w:ind w:left="47" w:right="10"/>
              <w:jc w:val="center"/>
              <w:rPr>
                <w:rFonts w:ascii="Times New Roman"/>
                <w:sz w:val="15"/>
              </w:rPr>
            </w:pPr>
            <w:r>
              <w:rPr>
                <w:rFonts w:ascii="Times New Roman"/>
                <w:sz w:val="15"/>
              </w:rPr>
              <w:t>768.450</w:t>
            </w:r>
          </w:p>
        </w:tc>
        <w:tc>
          <w:tcPr>
            <w:tcW w:w="1418" w:type="dxa"/>
          </w:tcPr>
          <w:p>
            <w:pPr>
              <w:pStyle w:val="TableParagraph"/>
              <w:spacing w:before="8"/>
              <w:ind w:right="66"/>
              <w:rPr>
                <w:rFonts w:ascii="Times New Roman"/>
                <w:sz w:val="14"/>
              </w:rPr>
            </w:pPr>
            <w:r>
              <w:rPr>
                <w:rFonts w:ascii="Times New Roman"/>
                <w:w w:val="105"/>
                <w:sz w:val="14"/>
              </w:rPr>
              <w:t>(256.150)</w:t>
            </w:r>
          </w:p>
        </w:tc>
      </w:tr>
      <w:tr>
        <w:trPr>
          <w:trHeight w:val="202" w:hRule="exact"/>
        </w:trPr>
        <w:tc>
          <w:tcPr>
            <w:tcW w:w="3941" w:type="dxa"/>
          </w:tcPr>
          <w:p>
            <w:pPr>
              <w:pStyle w:val="TableParagraph"/>
              <w:spacing w:before="12"/>
              <w:ind w:left="55"/>
              <w:jc w:val="left"/>
              <w:rPr>
                <w:rFonts w:ascii="Times New Roman"/>
                <w:sz w:val="15"/>
              </w:rPr>
            </w:pPr>
            <w:r>
              <w:rPr>
                <w:rFonts w:ascii="Times New Roman"/>
                <w:sz w:val="15"/>
              </w:rPr>
              <w:t>Deposito cauzionale immobile Rivalta</w:t>
            </w:r>
          </w:p>
        </w:tc>
        <w:tc>
          <w:tcPr>
            <w:tcW w:w="1067" w:type="dxa"/>
          </w:tcPr>
          <w:p>
            <w:pPr/>
          </w:p>
        </w:tc>
        <w:tc>
          <w:tcPr>
            <w:tcW w:w="1342" w:type="dxa"/>
          </w:tcPr>
          <w:p>
            <w:pPr/>
          </w:p>
        </w:tc>
        <w:tc>
          <w:tcPr>
            <w:tcW w:w="1354" w:type="dxa"/>
          </w:tcPr>
          <w:p>
            <w:pPr>
              <w:pStyle w:val="TableParagraph"/>
              <w:spacing w:before="12"/>
              <w:ind w:left="39" w:right="10"/>
              <w:jc w:val="center"/>
              <w:rPr>
                <w:rFonts w:ascii="Times New Roman"/>
                <w:sz w:val="15"/>
              </w:rPr>
            </w:pPr>
            <w:r>
              <w:rPr>
                <w:rFonts w:ascii="Times New Roman"/>
                <w:sz w:val="15"/>
              </w:rPr>
              <w:t>33.250</w:t>
            </w:r>
          </w:p>
        </w:tc>
        <w:tc>
          <w:tcPr>
            <w:tcW w:w="1418" w:type="dxa"/>
          </w:tcPr>
          <w:p>
            <w:pPr>
              <w:pStyle w:val="TableParagraph"/>
              <w:spacing w:before="22"/>
              <w:ind w:right="64"/>
              <w:rPr>
                <w:rFonts w:ascii="Times New Roman"/>
                <w:sz w:val="14"/>
              </w:rPr>
            </w:pPr>
            <w:r>
              <w:rPr>
                <w:rFonts w:ascii="Times New Roman"/>
                <w:w w:val="102"/>
                <w:sz w:val="14"/>
              </w:rPr>
              <w:t>-</w:t>
            </w:r>
          </w:p>
        </w:tc>
      </w:tr>
      <w:tr>
        <w:trPr>
          <w:trHeight w:val="216" w:hRule="exact"/>
        </w:trPr>
        <w:tc>
          <w:tcPr>
            <w:tcW w:w="3941" w:type="dxa"/>
          </w:tcPr>
          <w:p>
            <w:pPr>
              <w:pStyle w:val="TableParagraph"/>
              <w:spacing w:before="12"/>
              <w:ind w:left="55"/>
              <w:jc w:val="left"/>
              <w:rPr>
                <w:rFonts w:ascii="Times New Roman"/>
                <w:sz w:val="15"/>
              </w:rPr>
            </w:pPr>
            <w:r>
              <w:rPr>
                <w:rFonts w:ascii="Times New Roman"/>
                <w:sz w:val="15"/>
              </w:rPr>
              <w:t>Altri depositi cauzionali</w:t>
            </w:r>
          </w:p>
        </w:tc>
        <w:tc>
          <w:tcPr>
            <w:tcW w:w="1067" w:type="dxa"/>
          </w:tcPr>
          <w:p>
            <w:pPr/>
          </w:p>
        </w:tc>
        <w:tc>
          <w:tcPr>
            <w:tcW w:w="1342" w:type="dxa"/>
          </w:tcPr>
          <w:p>
            <w:pPr/>
          </w:p>
        </w:tc>
        <w:tc>
          <w:tcPr>
            <w:tcW w:w="1354" w:type="dxa"/>
          </w:tcPr>
          <w:p>
            <w:pPr>
              <w:pStyle w:val="TableParagraph"/>
              <w:spacing w:before="12"/>
              <w:ind w:left="47" w:right="10"/>
              <w:jc w:val="center"/>
              <w:rPr>
                <w:rFonts w:ascii="Times New Roman"/>
                <w:sz w:val="15"/>
              </w:rPr>
            </w:pPr>
            <w:r>
              <w:rPr>
                <w:rFonts w:ascii="Times New Roman"/>
                <w:sz w:val="15"/>
              </w:rPr>
              <w:t>8.500</w:t>
            </w:r>
          </w:p>
        </w:tc>
        <w:tc>
          <w:tcPr>
            <w:tcW w:w="1418" w:type="dxa"/>
          </w:tcPr>
          <w:p>
            <w:pPr>
              <w:pStyle w:val="TableParagraph"/>
              <w:spacing w:before="21"/>
              <w:ind w:right="64"/>
              <w:rPr>
                <w:rFonts w:ascii="Times New Roman"/>
                <w:sz w:val="14"/>
              </w:rPr>
            </w:pPr>
            <w:r>
              <w:rPr>
                <w:rFonts w:ascii="Times New Roman"/>
                <w:w w:val="102"/>
                <w:sz w:val="14"/>
              </w:rPr>
              <w:t>-</w:t>
            </w:r>
          </w:p>
        </w:tc>
      </w:tr>
      <w:tr>
        <w:trPr>
          <w:trHeight w:val="189" w:hRule="exact"/>
        </w:trPr>
        <w:tc>
          <w:tcPr>
            <w:tcW w:w="3941" w:type="dxa"/>
          </w:tcPr>
          <w:p>
            <w:pPr>
              <w:pStyle w:val="TableParagraph"/>
              <w:spacing w:line="172" w:lineRule="exact" w:before="0"/>
              <w:ind w:left="55"/>
              <w:jc w:val="left"/>
              <w:rPr>
                <w:rFonts w:ascii="Times New Roman"/>
                <w:sz w:val="15"/>
              </w:rPr>
            </w:pPr>
            <w:r>
              <w:rPr>
                <w:rFonts w:ascii="Times New Roman"/>
                <w:sz w:val="15"/>
              </w:rPr>
              <w:t>Incasso crediti commerciali</w:t>
            </w:r>
          </w:p>
        </w:tc>
        <w:tc>
          <w:tcPr>
            <w:tcW w:w="1067" w:type="dxa"/>
          </w:tcPr>
          <w:p>
            <w:pPr/>
          </w:p>
        </w:tc>
        <w:tc>
          <w:tcPr>
            <w:tcW w:w="1342" w:type="dxa"/>
          </w:tcPr>
          <w:p>
            <w:pPr/>
          </w:p>
        </w:tc>
        <w:tc>
          <w:tcPr>
            <w:tcW w:w="1354" w:type="dxa"/>
          </w:tcPr>
          <w:p>
            <w:pPr>
              <w:pStyle w:val="TableParagraph"/>
              <w:spacing w:line="172" w:lineRule="exact" w:before="0"/>
              <w:ind w:left="47" w:right="10"/>
              <w:jc w:val="center"/>
              <w:rPr>
                <w:rFonts w:ascii="Times New Roman"/>
                <w:sz w:val="15"/>
              </w:rPr>
            </w:pPr>
            <w:r>
              <w:rPr>
                <w:rFonts w:ascii="Times New Roman"/>
                <w:sz w:val="15"/>
              </w:rPr>
              <w:t>4.035.789</w:t>
            </w:r>
          </w:p>
        </w:tc>
        <w:tc>
          <w:tcPr>
            <w:tcW w:w="1418" w:type="dxa"/>
          </w:tcPr>
          <w:p>
            <w:pPr>
              <w:pStyle w:val="TableParagraph"/>
              <w:spacing w:before="8"/>
              <w:ind w:right="66"/>
              <w:rPr>
                <w:rFonts w:ascii="Times New Roman"/>
                <w:sz w:val="14"/>
              </w:rPr>
            </w:pPr>
            <w:r>
              <w:rPr>
                <w:rFonts w:ascii="Times New Roman"/>
                <w:w w:val="105"/>
                <w:sz w:val="14"/>
              </w:rPr>
              <w:t>(1.419.000)</w:t>
            </w:r>
          </w:p>
        </w:tc>
      </w:tr>
      <w:tr>
        <w:trPr>
          <w:trHeight w:val="202" w:hRule="exact"/>
        </w:trPr>
        <w:tc>
          <w:tcPr>
            <w:tcW w:w="3941" w:type="dxa"/>
          </w:tcPr>
          <w:p>
            <w:pPr>
              <w:pStyle w:val="TableParagraph"/>
              <w:spacing w:before="12"/>
              <w:ind w:left="55"/>
              <w:jc w:val="left"/>
              <w:rPr>
                <w:rFonts w:ascii="Times New Roman"/>
                <w:sz w:val="15"/>
              </w:rPr>
            </w:pPr>
            <w:r>
              <w:rPr>
                <w:rFonts w:ascii="Times New Roman"/>
                <w:sz w:val="15"/>
              </w:rPr>
              <w:t>Crediti fiscali</w:t>
            </w:r>
          </w:p>
        </w:tc>
        <w:tc>
          <w:tcPr>
            <w:tcW w:w="1067" w:type="dxa"/>
          </w:tcPr>
          <w:p>
            <w:pPr/>
          </w:p>
        </w:tc>
        <w:tc>
          <w:tcPr>
            <w:tcW w:w="1342" w:type="dxa"/>
          </w:tcPr>
          <w:p>
            <w:pPr/>
          </w:p>
        </w:tc>
        <w:tc>
          <w:tcPr>
            <w:tcW w:w="1354" w:type="dxa"/>
          </w:tcPr>
          <w:p>
            <w:pPr>
              <w:pStyle w:val="TableParagraph"/>
              <w:spacing w:before="12"/>
              <w:ind w:left="47" w:right="10"/>
              <w:jc w:val="center"/>
              <w:rPr>
                <w:rFonts w:ascii="Times New Roman"/>
                <w:sz w:val="15"/>
              </w:rPr>
            </w:pPr>
            <w:r>
              <w:rPr>
                <w:rFonts w:ascii="Times New Roman"/>
                <w:sz w:val="15"/>
              </w:rPr>
              <w:t>136.903</w:t>
            </w:r>
          </w:p>
        </w:tc>
        <w:tc>
          <w:tcPr>
            <w:tcW w:w="1418" w:type="dxa"/>
          </w:tcPr>
          <w:p>
            <w:pPr>
              <w:pStyle w:val="TableParagraph"/>
              <w:spacing w:before="21"/>
              <w:ind w:right="64"/>
              <w:rPr>
                <w:rFonts w:ascii="Times New Roman"/>
                <w:sz w:val="14"/>
              </w:rPr>
            </w:pPr>
            <w:r>
              <w:rPr>
                <w:rFonts w:ascii="Times New Roman"/>
                <w:w w:val="102"/>
                <w:sz w:val="14"/>
              </w:rPr>
              <w:t>-</w:t>
            </w:r>
          </w:p>
        </w:tc>
      </w:tr>
      <w:tr>
        <w:trPr>
          <w:trHeight w:val="202" w:hRule="exact"/>
        </w:trPr>
        <w:tc>
          <w:tcPr>
            <w:tcW w:w="3941" w:type="dxa"/>
          </w:tcPr>
          <w:p>
            <w:pPr>
              <w:pStyle w:val="TableParagraph"/>
              <w:spacing w:before="12"/>
              <w:ind w:left="55"/>
              <w:jc w:val="left"/>
              <w:rPr>
                <w:rFonts w:ascii="Times New Roman" w:hAnsi="Times New Roman"/>
                <w:sz w:val="15"/>
              </w:rPr>
            </w:pPr>
            <w:r>
              <w:rPr>
                <w:rFonts w:ascii="Times New Roman" w:hAnsi="Times New Roman"/>
                <w:sz w:val="15"/>
              </w:rPr>
              <w:t>Disponibilità liquide e altro attivo da realizzare</w:t>
            </w:r>
          </w:p>
        </w:tc>
        <w:tc>
          <w:tcPr>
            <w:tcW w:w="1067" w:type="dxa"/>
          </w:tcPr>
          <w:p>
            <w:pPr/>
          </w:p>
        </w:tc>
        <w:tc>
          <w:tcPr>
            <w:tcW w:w="1342" w:type="dxa"/>
          </w:tcPr>
          <w:p>
            <w:pPr/>
          </w:p>
        </w:tc>
        <w:tc>
          <w:tcPr>
            <w:tcW w:w="1354" w:type="dxa"/>
          </w:tcPr>
          <w:p>
            <w:pPr>
              <w:pStyle w:val="TableParagraph"/>
              <w:spacing w:before="12"/>
              <w:ind w:left="47" w:right="10"/>
              <w:jc w:val="center"/>
              <w:rPr>
                <w:rFonts w:ascii="Times New Roman"/>
                <w:sz w:val="15"/>
              </w:rPr>
            </w:pPr>
            <w:r>
              <w:rPr>
                <w:rFonts w:ascii="Times New Roman"/>
                <w:sz w:val="15"/>
              </w:rPr>
              <w:t>1.228.933</w:t>
            </w:r>
          </w:p>
        </w:tc>
        <w:tc>
          <w:tcPr>
            <w:tcW w:w="1418" w:type="dxa"/>
          </w:tcPr>
          <w:p>
            <w:pPr>
              <w:pStyle w:val="TableParagraph"/>
              <w:spacing w:before="22"/>
              <w:ind w:right="64"/>
              <w:rPr>
                <w:rFonts w:ascii="Times New Roman"/>
                <w:sz w:val="14"/>
              </w:rPr>
            </w:pPr>
            <w:r>
              <w:rPr>
                <w:rFonts w:ascii="Times New Roman"/>
                <w:w w:val="102"/>
                <w:sz w:val="14"/>
              </w:rPr>
              <w:t>-</w:t>
            </w:r>
          </w:p>
        </w:tc>
      </w:tr>
      <w:tr>
        <w:trPr>
          <w:trHeight w:val="185" w:hRule="exact"/>
        </w:trPr>
        <w:tc>
          <w:tcPr>
            <w:tcW w:w="3941" w:type="dxa"/>
          </w:tcPr>
          <w:p>
            <w:pPr>
              <w:pStyle w:val="TableParagraph"/>
              <w:tabs>
                <w:tab w:pos="3632" w:val="left" w:leader="none"/>
              </w:tabs>
              <w:spacing w:before="12"/>
              <w:ind w:left="30"/>
              <w:jc w:val="left"/>
              <w:rPr>
                <w:rFonts w:ascii="Times New Roman"/>
                <w:b/>
                <w:sz w:val="15"/>
              </w:rPr>
            </w:pPr>
            <w:r>
              <w:rPr>
                <w:rFonts w:ascii="Times New Roman"/>
                <w:b/>
                <w:color w:val="FFFFFF"/>
                <w:spacing w:val="-13"/>
                <w:w w:val="101"/>
                <w:sz w:val="15"/>
                <w:shd w:fill="878A8D" w:color="auto" w:val="clear"/>
              </w:rPr>
              <w:t> </w:t>
            </w:r>
            <w:r>
              <w:rPr>
                <w:rFonts w:ascii="Times New Roman"/>
                <w:b/>
                <w:color w:val="FFFFFF"/>
                <w:sz w:val="15"/>
                <w:shd w:fill="878A8D" w:color="auto" w:val="clear"/>
              </w:rPr>
              <w:t>Totale Attivo da</w:t>
            </w:r>
            <w:r>
              <w:rPr>
                <w:rFonts w:ascii="Times New Roman"/>
                <w:b/>
                <w:color w:val="FFFFFF"/>
                <w:spacing w:val="17"/>
                <w:sz w:val="15"/>
                <w:shd w:fill="878A8D" w:color="auto" w:val="clear"/>
              </w:rPr>
              <w:t> </w:t>
            </w:r>
            <w:r>
              <w:rPr>
                <w:rFonts w:ascii="Times New Roman"/>
                <w:b/>
                <w:color w:val="FFFFFF"/>
                <w:sz w:val="15"/>
                <w:shd w:fill="878A8D" w:color="auto" w:val="clear"/>
              </w:rPr>
              <w:t>realizzare</w:t>
              <w:tab/>
            </w:r>
          </w:p>
        </w:tc>
        <w:tc>
          <w:tcPr>
            <w:tcW w:w="1067" w:type="dxa"/>
          </w:tcPr>
          <w:p>
            <w:pPr/>
          </w:p>
        </w:tc>
        <w:tc>
          <w:tcPr>
            <w:tcW w:w="1342" w:type="dxa"/>
          </w:tcPr>
          <w:p>
            <w:pPr/>
          </w:p>
        </w:tc>
        <w:tc>
          <w:tcPr>
            <w:tcW w:w="1354" w:type="dxa"/>
          </w:tcPr>
          <w:p>
            <w:pPr>
              <w:pStyle w:val="TableParagraph"/>
              <w:tabs>
                <w:tab w:pos="303" w:val="left" w:leader="none"/>
                <w:tab w:pos="1256" w:val="left" w:leader="none"/>
              </w:tabs>
              <w:spacing w:before="12"/>
              <w:ind w:right="10"/>
              <w:jc w:val="center"/>
              <w:rPr>
                <w:rFonts w:ascii="Times New Roman"/>
                <w:b/>
                <w:sz w:val="15"/>
              </w:rPr>
            </w:pPr>
            <w:r>
              <w:rPr>
                <w:rFonts w:ascii="Times New Roman"/>
                <w:b/>
                <w:color w:val="FFFFFF"/>
                <w:w w:val="101"/>
                <w:sz w:val="15"/>
                <w:shd w:fill="878A8D" w:color="auto" w:val="clear"/>
              </w:rPr>
              <w:t> </w:t>
            </w:r>
            <w:r>
              <w:rPr>
                <w:rFonts w:ascii="Times New Roman"/>
                <w:b/>
                <w:color w:val="FFFFFF"/>
                <w:sz w:val="15"/>
                <w:shd w:fill="878A8D" w:color="auto" w:val="clear"/>
              </w:rPr>
              <w:tab/>
              <w:t>45.583.769</w:t>
              <w:tab/>
            </w:r>
          </w:p>
        </w:tc>
        <w:tc>
          <w:tcPr>
            <w:tcW w:w="1418" w:type="dxa"/>
          </w:tcPr>
          <w:p>
            <w:pPr>
              <w:pStyle w:val="TableParagraph"/>
              <w:tabs>
                <w:tab w:pos="312" w:val="left" w:leader="none"/>
                <w:tab w:pos="1333" w:val="left" w:leader="none"/>
              </w:tabs>
              <w:spacing w:before="12"/>
              <w:ind w:right="28"/>
              <w:rPr>
                <w:rFonts w:ascii="Times New Roman"/>
                <w:b/>
                <w:sz w:val="15"/>
              </w:rPr>
            </w:pPr>
            <w:r>
              <w:rPr>
                <w:rFonts w:ascii="Times New Roman"/>
                <w:b/>
                <w:color w:val="FFFFFF"/>
                <w:w w:val="101"/>
                <w:sz w:val="15"/>
                <w:shd w:fill="878A8D" w:color="auto" w:val="clear"/>
              </w:rPr>
              <w:t> </w:t>
            </w:r>
            <w:r>
              <w:rPr>
                <w:rFonts w:ascii="Times New Roman"/>
                <w:b/>
                <w:color w:val="FFFFFF"/>
                <w:sz w:val="15"/>
                <w:shd w:fill="878A8D" w:color="auto" w:val="clear"/>
              </w:rPr>
              <w:tab/>
              <w:t>(4.679.170)</w:t>
              <w:tab/>
            </w:r>
          </w:p>
        </w:tc>
      </w:tr>
    </w:tbl>
    <w:p>
      <w:pPr>
        <w:pStyle w:val="BodyText"/>
        <w:rPr>
          <w:sz w:val="20"/>
        </w:rPr>
      </w:pPr>
    </w:p>
    <w:p>
      <w:pPr>
        <w:pStyle w:val="BodyText"/>
        <w:spacing w:before="9"/>
        <w:rPr>
          <w:sz w:val="16"/>
        </w:rPr>
      </w:pPr>
    </w:p>
    <w:tbl>
      <w:tblPr>
        <w:tblW w:w="0" w:type="auto"/>
        <w:jc w:val="left"/>
        <w:tblInd w:w="139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94"/>
        <w:gridCol w:w="1248"/>
        <w:gridCol w:w="1257"/>
        <w:gridCol w:w="1249"/>
        <w:gridCol w:w="1473"/>
      </w:tblGrid>
      <w:tr>
        <w:trPr>
          <w:trHeight w:val="211" w:hRule="exact"/>
        </w:trPr>
        <w:tc>
          <w:tcPr>
            <w:tcW w:w="3894" w:type="dxa"/>
          </w:tcPr>
          <w:p>
            <w:pPr>
              <w:pStyle w:val="TableParagraph"/>
              <w:tabs>
                <w:tab w:pos="3632" w:val="left" w:leader="none"/>
              </w:tabs>
              <w:spacing w:before="20"/>
              <w:ind w:left="30"/>
              <w:jc w:val="left"/>
              <w:rPr>
                <w:rFonts w:ascii="Times New Roman"/>
                <w:b/>
                <w:sz w:val="15"/>
              </w:rPr>
            </w:pPr>
            <w:r>
              <w:rPr>
                <w:rFonts w:ascii="Times New Roman"/>
                <w:b/>
                <w:color w:val="FFFFFF"/>
                <w:spacing w:val="-13"/>
                <w:w w:val="101"/>
                <w:sz w:val="15"/>
                <w:shd w:fill="9F2F33" w:color="auto" w:val="clear"/>
              </w:rPr>
              <w:t> </w:t>
            </w:r>
            <w:r>
              <w:rPr>
                <w:rFonts w:ascii="Times New Roman"/>
                <w:b/>
                <w:color w:val="FFFFFF"/>
                <w:sz w:val="15"/>
                <w:shd w:fill="9F2F33" w:color="auto" w:val="clear"/>
              </w:rPr>
              <w:t>Passivo</w:t>
            </w:r>
            <w:r>
              <w:rPr>
                <w:rFonts w:ascii="Times New Roman"/>
                <w:b/>
                <w:color w:val="FFFFFF"/>
                <w:spacing w:val="19"/>
                <w:sz w:val="15"/>
                <w:shd w:fill="9F2F33" w:color="auto" w:val="clear"/>
              </w:rPr>
              <w:t> </w:t>
            </w:r>
            <w:r>
              <w:rPr>
                <w:rFonts w:ascii="Times New Roman"/>
                <w:b/>
                <w:color w:val="FFFFFF"/>
                <w:sz w:val="15"/>
                <w:shd w:fill="9F2F33" w:color="auto" w:val="clear"/>
              </w:rPr>
              <w:t>concordatario</w:t>
              <w:tab/>
            </w:r>
          </w:p>
        </w:tc>
        <w:tc>
          <w:tcPr>
            <w:tcW w:w="1248" w:type="dxa"/>
            <w:shd w:val="clear" w:color="auto" w:fill="9F2F33"/>
          </w:tcPr>
          <w:p>
            <w:pPr>
              <w:pStyle w:val="TableParagraph"/>
              <w:spacing w:before="20"/>
              <w:ind w:left="354"/>
              <w:jc w:val="left"/>
              <w:rPr>
                <w:rFonts w:ascii="Times New Roman"/>
                <w:b/>
                <w:sz w:val="15"/>
              </w:rPr>
            </w:pPr>
            <w:r>
              <w:rPr>
                <w:rFonts w:ascii="Times New Roman"/>
                <w:b/>
                <w:color w:val="FFFFFF"/>
                <w:sz w:val="15"/>
              </w:rPr>
              <w:t>Importo</w:t>
            </w:r>
          </w:p>
        </w:tc>
        <w:tc>
          <w:tcPr>
            <w:tcW w:w="1257" w:type="dxa"/>
            <w:shd w:val="clear" w:color="auto" w:fill="9F2F33"/>
          </w:tcPr>
          <w:p>
            <w:pPr>
              <w:pStyle w:val="TableParagraph"/>
              <w:spacing w:before="20"/>
              <w:ind w:right="6"/>
              <w:jc w:val="center"/>
              <w:rPr>
                <w:rFonts w:ascii="Times New Roman"/>
                <w:b/>
                <w:sz w:val="15"/>
              </w:rPr>
            </w:pPr>
            <w:r>
              <w:rPr>
                <w:rFonts w:ascii="Times New Roman"/>
                <w:b/>
                <w:color w:val="FFFFFF"/>
                <w:sz w:val="15"/>
              </w:rPr>
              <w:t>Soddisfacimento</w:t>
            </w:r>
          </w:p>
        </w:tc>
        <w:tc>
          <w:tcPr>
            <w:tcW w:w="1249" w:type="dxa"/>
            <w:shd w:val="clear" w:color="auto" w:fill="9F2F33"/>
          </w:tcPr>
          <w:p>
            <w:pPr>
              <w:pStyle w:val="TableParagraph"/>
              <w:spacing w:before="20"/>
              <w:ind w:left="235" w:right="250"/>
              <w:jc w:val="center"/>
              <w:rPr>
                <w:rFonts w:ascii="Times New Roman"/>
                <w:b/>
                <w:sz w:val="15"/>
              </w:rPr>
            </w:pPr>
            <w:r>
              <w:rPr>
                <w:rFonts w:ascii="Times New Roman"/>
                <w:b/>
                <w:color w:val="FFFFFF"/>
                <w:sz w:val="15"/>
              </w:rPr>
              <w:t>Importo</w:t>
            </w:r>
          </w:p>
        </w:tc>
        <w:tc>
          <w:tcPr>
            <w:tcW w:w="1473" w:type="dxa"/>
          </w:tcPr>
          <w:p>
            <w:pPr>
              <w:pStyle w:val="TableParagraph"/>
              <w:tabs>
                <w:tab w:pos="320" w:val="left" w:leader="none"/>
                <w:tab w:pos="1333" w:val="left" w:leader="none"/>
              </w:tabs>
              <w:spacing w:before="20"/>
              <w:ind w:right="28"/>
              <w:rPr>
                <w:rFonts w:ascii="Times New Roman" w:hAnsi="Times New Roman"/>
                <w:b/>
                <w:sz w:val="15"/>
              </w:rPr>
            </w:pPr>
            <w:r>
              <w:rPr>
                <w:rFonts w:ascii="Times New Roman" w:hAnsi="Times New Roman"/>
                <w:color w:val="FFFFFF"/>
                <w:w w:val="101"/>
                <w:sz w:val="15"/>
                <w:shd w:fill="9F2F33" w:color="auto" w:val="clear"/>
              </w:rPr>
              <w:t> </w:t>
            </w:r>
            <w:r>
              <w:rPr>
                <w:rFonts w:ascii="Times New Roman" w:hAnsi="Times New Roman"/>
                <w:color w:val="FFFFFF"/>
                <w:sz w:val="15"/>
                <w:shd w:fill="9F2F33" w:color="auto" w:val="clear"/>
              </w:rPr>
              <w:tab/>
            </w:r>
            <w:r>
              <w:rPr>
                <w:rFonts w:ascii="Times New Roman" w:hAnsi="Times New Roman"/>
                <w:b/>
                <w:color w:val="FFFFFF"/>
                <w:sz w:val="15"/>
                <w:shd w:fill="9F2F33" w:color="auto" w:val="clear"/>
              </w:rPr>
              <w:t>Δ vs</w:t>
            </w:r>
            <w:r>
              <w:rPr>
                <w:rFonts w:ascii="Times New Roman" w:hAnsi="Times New Roman"/>
                <w:b/>
                <w:color w:val="FFFFFF"/>
                <w:spacing w:val="12"/>
                <w:sz w:val="15"/>
                <w:shd w:fill="9F2F33" w:color="auto" w:val="clear"/>
              </w:rPr>
              <w:t> </w:t>
            </w:r>
            <w:r>
              <w:rPr>
                <w:rFonts w:ascii="Times New Roman" w:hAnsi="Times New Roman"/>
                <w:b/>
                <w:color w:val="FFFFFF"/>
                <w:sz w:val="15"/>
                <w:shd w:fill="9F2F33" w:color="auto" w:val="clear"/>
              </w:rPr>
              <w:t>Paino</w:t>
              <w:tab/>
            </w:r>
          </w:p>
        </w:tc>
      </w:tr>
      <w:tr>
        <w:trPr>
          <w:trHeight w:val="202" w:hRule="exact"/>
        </w:trPr>
        <w:tc>
          <w:tcPr>
            <w:tcW w:w="3894" w:type="dxa"/>
          </w:tcPr>
          <w:p>
            <w:pPr>
              <w:pStyle w:val="TableParagraph"/>
              <w:spacing w:before="12"/>
              <w:ind w:left="55"/>
              <w:jc w:val="left"/>
              <w:rPr>
                <w:rFonts w:ascii="Times New Roman"/>
                <w:sz w:val="15"/>
              </w:rPr>
            </w:pPr>
            <w:r>
              <w:rPr>
                <w:rFonts w:ascii="Times New Roman"/>
                <w:sz w:val="15"/>
              </w:rPr>
              <w:t>Debiti in prededuzione maturati fino al  31.12.2024</w:t>
            </w:r>
          </w:p>
        </w:tc>
        <w:tc>
          <w:tcPr>
            <w:tcW w:w="1248" w:type="dxa"/>
          </w:tcPr>
          <w:p>
            <w:pPr>
              <w:pStyle w:val="TableParagraph"/>
              <w:spacing w:before="12"/>
              <w:ind w:left="345"/>
              <w:jc w:val="left"/>
              <w:rPr>
                <w:rFonts w:ascii="Times New Roman"/>
                <w:sz w:val="15"/>
              </w:rPr>
            </w:pPr>
            <w:r>
              <w:rPr>
                <w:rFonts w:ascii="Times New Roman"/>
                <w:sz w:val="15"/>
              </w:rPr>
              <w:t>2.637.431</w:t>
            </w:r>
          </w:p>
        </w:tc>
        <w:tc>
          <w:tcPr>
            <w:tcW w:w="1257" w:type="dxa"/>
          </w:tcPr>
          <w:p>
            <w:pPr>
              <w:pStyle w:val="TableParagraph"/>
              <w:spacing w:before="12"/>
              <w:jc w:val="center"/>
              <w:rPr>
                <w:rFonts w:ascii="Times New Roman"/>
                <w:sz w:val="15"/>
              </w:rPr>
            </w:pPr>
            <w:r>
              <w:rPr>
                <w:rFonts w:ascii="Times New Roman"/>
                <w:sz w:val="15"/>
              </w:rPr>
              <w:t>100,00%</w:t>
            </w:r>
          </w:p>
        </w:tc>
        <w:tc>
          <w:tcPr>
            <w:tcW w:w="1249" w:type="dxa"/>
          </w:tcPr>
          <w:p>
            <w:pPr>
              <w:pStyle w:val="TableParagraph"/>
              <w:spacing w:before="12"/>
              <w:ind w:left="282" w:right="241"/>
              <w:jc w:val="center"/>
              <w:rPr>
                <w:rFonts w:ascii="Times New Roman"/>
                <w:sz w:val="15"/>
              </w:rPr>
            </w:pPr>
            <w:r>
              <w:rPr>
                <w:rFonts w:ascii="Times New Roman"/>
                <w:sz w:val="15"/>
              </w:rPr>
              <w:t>2.637.431</w:t>
            </w:r>
          </w:p>
        </w:tc>
        <w:tc>
          <w:tcPr>
            <w:tcW w:w="1473" w:type="dxa"/>
          </w:tcPr>
          <w:p>
            <w:pPr>
              <w:pStyle w:val="TableParagraph"/>
              <w:spacing w:before="21"/>
              <w:ind w:right="67"/>
              <w:rPr>
                <w:rFonts w:ascii="Times New Roman"/>
                <w:sz w:val="14"/>
              </w:rPr>
            </w:pPr>
            <w:r>
              <w:rPr>
                <w:rFonts w:ascii="Times New Roman"/>
                <w:w w:val="105"/>
                <w:sz w:val="14"/>
              </w:rPr>
              <w:t>138.000</w:t>
            </w:r>
          </w:p>
        </w:tc>
      </w:tr>
      <w:tr>
        <w:trPr>
          <w:trHeight w:val="202" w:hRule="exact"/>
        </w:trPr>
        <w:tc>
          <w:tcPr>
            <w:tcW w:w="3894" w:type="dxa"/>
          </w:tcPr>
          <w:p>
            <w:pPr>
              <w:pStyle w:val="TableParagraph"/>
              <w:spacing w:before="12"/>
              <w:ind w:left="55"/>
              <w:jc w:val="left"/>
              <w:rPr>
                <w:rFonts w:ascii="Times New Roman"/>
                <w:sz w:val="15"/>
              </w:rPr>
            </w:pPr>
            <w:r>
              <w:rPr>
                <w:rFonts w:ascii="Times New Roman"/>
                <w:sz w:val="15"/>
              </w:rPr>
              <w:t>Costi della ristrutturazione</w:t>
            </w:r>
          </w:p>
        </w:tc>
        <w:tc>
          <w:tcPr>
            <w:tcW w:w="1248" w:type="dxa"/>
          </w:tcPr>
          <w:p>
            <w:pPr>
              <w:pStyle w:val="TableParagraph"/>
              <w:spacing w:before="12"/>
              <w:ind w:left="345"/>
              <w:jc w:val="left"/>
              <w:rPr>
                <w:rFonts w:ascii="Times New Roman"/>
                <w:sz w:val="15"/>
              </w:rPr>
            </w:pPr>
            <w:r>
              <w:rPr>
                <w:rFonts w:ascii="Times New Roman"/>
                <w:sz w:val="15"/>
              </w:rPr>
              <w:t>7.648.191</w:t>
            </w:r>
          </w:p>
        </w:tc>
        <w:tc>
          <w:tcPr>
            <w:tcW w:w="1257" w:type="dxa"/>
          </w:tcPr>
          <w:p>
            <w:pPr>
              <w:pStyle w:val="TableParagraph"/>
              <w:spacing w:before="12"/>
              <w:jc w:val="center"/>
              <w:rPr>
                <w:rFonts w:ascii="Times New Roman"/>
                <w:sz w:val="15"/>
              </w:rPr>
            </w:pPr>
            <w:r>
              <w:rPr>
                <w:rFonts w:ascii="Times New Roman"/>
                <w:sz w:val="15"/>
              </w:rPr>
              <w:t>100,00%</w:t>
            </w:r>
          </w:p>
        </w:tc>
        <w:tc>
          <w:tcPr>
            <w:tcW w:w="1249" w:type="dxa"/>
          </w:tcPr>
          <w:p>
            <w:pPr>
              <w:pStyle w:val="TableParagraph"/>
              <w:spacing w:before="12"/>
              <w:ind w:left="282" w:right="241"/>
              <w:jc w:val="center"/>
              <w:rPr>
                <w:rFonts w:ascii="Times New Roman"/>
                <w:sz w:val="15"/>
              </w:rPr>
            </w:pPr>
            <w:r>
              <w:rPr>
                <w:rFonts w:ascii="Times New Roman"/>
                <w:sz w:val="15"/>
              </w:rPr>
              <w:t>7.648.191</w:t>
            </w:r>
          </w:p>
        </w:tc>
        <w:tc>
          <w:tcPr>
            <w:tcW w:w="1473" w:type="dxa"/>
          </w:tcPr>
          <w:p>
            <w:pPr>
              <w:pStyle w:val="TableParagraph"/>
              <w:spacing w:before="21"/>
              <w:ind w:right="64"/>
              <w:rPr>
                <w:rFonts w:ascii="Times New Roman"/>
                <w:sz w:val="14"/>
              </w:rPr>
            </w:pPr>
            <w:r>
              <w:rPr>
                <w:rFonts w:ascii="Times New Roman"/>
                <w:w w:val="102"/>
                <w:sz w:val="14"/>
              </w:rPr>
              <w:t>-</w:t>
            </w:r>
          </w:p>
        </w:tc>
      </w:tr>
      <w:tr>
        <w:trPr>
          <w:trHeight w:val="202" w:hRule="exact"/>
        </w:trPr>
        <w:tc>
          <w:tcPr>
            <w:tcW w:w="3894" w:type="dxa"/>
          </w:tcPr>
          <w:p>
            <w:pPr>
              <w:pStyle w:val="TableParagraph"/>
              <w:spacing w:before="12"/>
              <w:ind w:left="55"/>
              <w:jc w:val="left"/>
              <w:rPr>
                <w:rFonts w:ascii="Times New Roman"/>
                <w:sz w:val="15"/>
              </w:rPr>
            </w:pPr>
            <w:r>
              <w:rPr>
                <w:rFonts w:ascii="Times New Roman"/>
                <w:sz w:val="15"/>
              </w:rPr>
              <w:t>Creditori Privilegiati</w:t>
            </w:r>
          </w:p>
        </w:tc>
        <w:tc>
          <w:tcPr>
            <w:tcW w:w="1248" w:type="dxa"/>
          </w:tcPr>
          <w:p>
            <w:pPr>
              <w:pStyle w:val="TableParagraph"/>
              <w:spacing w:before="12"/>
              <w:ind w:left="345"/>
              <w:jc w:val="left"/>
              <w:rPr>
                <w:rFonts w:ascii="Times New Roman"/>
                <w:sz w:val="15"/>
              </w:rPr>
            </w:pPr>
            <w:r>
              <w:rPr>
                <w:rFonts w:ascii="Times New Roman"/>
                <w:sz w:val="15"/>
              </w:rPr>
              <w:t>2.264.405</w:t>
            </w:r>
          </w:p>
        </w:tc>
        <w:tc>
          <w:tcPr>
            <w:tcW w:w="1257" w:type="dxa"/>
          </w:tcPr>
          <w:p>
            <w:pPr>
              <w:pStyle w:val="TableParagraph"/>
              <w:spacing w:before="12"/>
              <w:jc w:val="center"/>
              <w:rPr>
                <w:rFonts w:ascii="Times New Roman"/>
                <w:sz w:val="15"/>
              </w:rPr>
            </w:pPr>
            <w:r>
              <w:rPr>
                <w:rFonts w:ascii="Times New Roman"/>
                <w:sz w:val="15"/>
              </w:rPr>
              <w:t>100,00%</w:t>
            </w:r>
          </w:p>
        </w:tc>
        <w:tc>
          <w:tcPr>
            <w:tcW w:w="1249" w:type="dxa"/>
          </w:tcPr>
          <w:p>
            <w:pPr>
              <w:pStyle w:val="TableParagraph"/>
              <w:spacing w:before="12"/>
              <w:ind w:left="282" w:right="241"/>
              <w:jc w:val="center"/>
              <w:rPr>
                <w:rFonts w:ascii="Times New Roman"/>
                <w:sz w:val="15"/>
              </w:rPr>
            </w:pPr>
            <w:r>
              <w:rPr>
                <w:rFonts w:ascii="Times New Roman"/>
                <w:sz w:val="15"/>
              </w:rPr>
              <w:t>2.264.405</w:t>
            </w:r>
          </w:p>
        </w:tc>
        <w:tc>
          <w:tcPr>
            <w:tcW w:w="1473" w:type="dxa"/>
          </w:tcPr>
          <w:p>
            <w:pPr>
              <w:pStyle w:val="TableParagraph"/>
              <w:spacing w:before="22"/>
              <w:ind w:right="64"/>
              <w:rPr>
                <w:rFonts w:ascii="Times New Roman"/>
                <w:sz w:val="14"/>
              </w:rPr>
            </w:pPr>
            <w:r>
              <w:rPr>
                <w:rFonts w:ascii="Times New Roman"/>
                <w:w w:val="102"/>
                <w:sz w:val="14"/>
              </w:rPr>
              <w:t>-</w:t>
            </w:r>
          </w:p>
        </w:tc>
      </w:tr>
      <w:tr>
        <w:trPr>
          <w:trHeight w:val="202" w:hRule="exact"/>
        </w:trPr>
        <w:tc>
          <w:tcPr>
            <w:tcW w:w="3894" w:type="dxa"/>
          </w:tcPr>
          <w:p>
            <w:pPr>
              <w:pStyle w:val="TableParagraph"/>
              <w:spacing w:before="12"/>
              <w:ind w:left="55"/>
              <w:jc w:val="left"/>
              <w:rPr>
                <w:rFonts w:ascii="Times New Roman"/>
                <w:sz w:val="15"/>
              </w:rPr>
            </w:pPr>
            <w:r>
              <w:rPr>
                <w:rFonts w:ascii="Times New Roman"/>
                <w:sz w:val="15"/>
              </w:rPr>
              <w:t>Creditori Chirografari</w:t>
            </w:r>
          </w:p>
        </w:tc>
        <w:tc>
          <w:tcPr>
            <w:tcW w:w="1248" w:type="dxa"/>
          </w:tcPr>
          <w:p>
            <w:pPr>
              <w:pStyle w:val="TableParagraph"/>
              <w:spacing w:before="12"/>
              <w:ind w:left="269"/>
              <w:jc w:val="left"/>
              <w:rPr>
                <w:rFonts w:ascii="Times New Roman"/>
                <w:sz w:val="15"/>
              </w:rPr>
            </w:pPr>
            <w:r>
              <w:rPr>
                <w:rFonts w:ascii="Times New Roman"/>
                <w:sz w:val="15"/>
              </w:rPr>
              <w:t>146.893.331</w:t>
            </w:r>
          </w:p>
        </w:tc>
        <w:tc>
          <w:tcPr>
            <w:tcW w:w="1257" w:type="dxa"/>
          </w:tcPr>
          <w:p>
            <w:pPr>
              <w:pStyle w:val="TableParagraph"/>
              <w:tabs>
                <w:tab w:pos="388" w:val="left" w:leader="none"/>
                <w:tab w:pos="1257" w:val="left" w:leader="none"/>
              </w:tabs>
              <w:spacing w:before="12"/>
              <w:jc w:val="center"/>
              <w:rPr>
                <w:rFonts w:ascii="Times New Roman"/>
                <w:b/>
                <w:sz w:val="15"/>
              </w:rPr>
            </w:pPr>
            <w:r>
              <w:rPr>
                <w:rFonts w:ascii="Times New Roman"/>
                <w:b/>
                <w:w w:val="101"/>
                <w:sz w:val="15"/>
                <w:shd w:fill="F1F1F1" w:color="auto" w:val="clear"/>
              </w:rPr>
              <w:t> </w:t>
            </w:r>
            <w:r>
              <w:rPr>
                <w:rFonts w:ascii="Times New Roman"/>
                <w:b/>
                <w:sz w:val="15"/>
                <w:shd w:fill="F1F1F1" w:color="auto" w:val="clear"/>
              </w:rPr>
              <w:tab/>
              <w:t>20,00%</w:t>
              <w:tab/>
            </w:r>
          </w:p>
        </w:tc>
        <w:tc>
          <w:tcPr>
            <w:tcW w:w="1249" w:type="dxa"/>
          </w:tcPr>
          <w:p>
            <w:pPr>
              <w:pStyle w:val="TableParagraph"/>
              <w:spacing w:before="12"/>
              <w:ind w:left="282" w:right="250"/>
              <w:jc w:val="center"/>
              <w:rPr>
                <w:rFonts w:ascii="Times New Roman"/>
                <w:sz w:val="15"/>
              </w:rPr>
            </w:pPr>
            <w:r>
              <w:rPr>
                <w:rFonts w:ascii="Times New Roman"/>
                <w:sz w:val="15"/>
              </w:rPr>
              <w:t>29.378.666</w:t>
            </w:r>
          </w:p>
        </w:tc>
        <w:tc>
          <w:tcPr>
            <w:tcW w:w="1473" w:type="dxa"/>
          </w:tcPr>
          <w:p>
            <w:pPr>
              <w:pStyle w:val="TableParagraph"/>
              <w:spacing w:before="21"/>
              <w:ind w:right="64"/>
              <w:rPr>
                <w:rFonts w:ascii="Times New Roman"/>
                <w:sz w:val="14"/>
              </w:rPr>
            </w:pPr>
            <w:r>
              <w:rPr>
                <w:rFonts w:ascii="Times New Roman"/>
                <w:w w:val="102"/>
                <w:sz w:val="14"/>
              </w:rPr>
              <w:t>-</w:t>
            </w:r>
          </w:p>
        </w:tc>
      </w:tr>
      <w:tr>
        <w:trPr>
          <w:trHeight w:val="216" w:hRule="exact"/>
        </w:trPr>
        <w:tc>
          <w:tcPr>
            <w:tcW w:w="3894" w:type="dxa"/>
          </w:tcPr>
          <w:p>
            <w:pPr>
              <w:pStyle w:val="TableParagraph"/>
              <w:spacing w:before="12"/>
              <w:ind w:left="55"/>
              <w:jc w:val="left"/>
              <w:rPr>
                <w:rFonts w:ascii="Times New Roman"/>
                <w:sz w:val="15"/>
              </w:rPr>
            </w:pPr>
            <w:r>
              <w:rPr>
                <w:rFonts w:ascii="Times New Roman"/>
                <w:sz w:val="15"/>
              </w:rPr>
              <w:t>Creditori Chirografari Postergati</w:t>
            </w:r>
          </w:p>
        </w:tc>
        <w:tc>
          <w:tcPr>
            <w:tcW w:w="1248" w:type="dxa"/>
          </w:tcPr>
          <w:p>
            <w:pPr>
              <w:pStyle w:val="TableParagraph"/>
              <w:spacing w:before="12"/>
              <w:ind w:left="345"/>
              <w:jc w:val="left"/>
              <w:rPr>
                <w:rFonts w:ascii="Times New Roman"/>
                <w:sz w:val="15"/>
              </w:rPr>
            </w:pPr>
            <w:r>
              <w:rPr>
                <w:rFonts w:ascii="Times New Roman"/>
                <w:sz w:val="15"/>
              </w:rPr>
              <w:t>7.366.557</w:t>
            </w:r>
          </w:p>
        </w:tc>
        <w:tc>
          <w:tcPr>
            <w:tcW w:w="1257" w:type="dxa"/>
          </w:tcPr>
          <w:p>
            <w:pPr>
              <w:pStyle w:val="TableParagraph"/>
              <w:spacing w:before="12"/>
              <w:jc w:val="center"/>
              <w:rPr>
                <w:rFonts w:ascii="Times New Roman"/>
                <w:sz w:val="15"/>
              </w:rPr>
            </w:pPr>
            <w:r>
              <w:rPr>
                <w:rFonts w:ascii="Times New Roman"/>
                <w:sz w:val="15"/>
              </w:rPr>
              <w:t>0,00%</w:t>
            </w:r>
          </w:p>
        </w:tc>
        <w:tc>
          <w:tcPr>
            <w:tcW w:w="1249" w:type="dxa"/>
          </w:tcPr>
          <w:p>
            <w:pPr>
              <w:pStyle w:val="TableParagraph"/>
              <w:spacing w:before="12"/>
              <w:jc w:val="center"/>
              <w:rPr>
                <w:rFonts w:ascii="Times New Roman"/>
                <w:sz w:val="15"/>
              </w:rPr>
            </w:pPr>
            <w:r>
              <w:rPr>
                <w:rFonts w:ascii="Times New Roman"/>
                <w:w w:val="101"/>
                <w:sz w:val="15"/>
              </w:rPr>
              <w:t>-</w:t>
            </w:r>
          </w:p>
        </w:tc>
        <w:tc>
          <w:tcPr>
            <w:tcW w:w="1473" w:type="dxa"/>
          </w:tcPr>
          <w:p>
            <w:pPr>
              <w:pStyle w:val="TableParagraph"/>
              <w:spacing w:before="22"/>
              <w:ind w:right="64"/>
              <w:rPr>
                <w:rFonts w:ascii="Times New Roman"/>
                <w:sz w:val="14"/>
              </w:rPr>
            </w:pPr>
            <w:r>
              <w:rPr>
                <w:rFonts w:ascii="Times New Roman"/>
                <w:w w:val="102"/>
                <w:sz w:val="14"/>
              </w:rPr>
              <w:t>-</w:t>
            </w:r>
          </w:p>
        </w:tc>
      </w:tr>
      <w:tr>
        <w:trPr>
          <w:trHeight w:val="190" w:hRule="exact"/>
        </w:trPr>
        <w:tc>
          <w:tcPr>
            <w:tcW w:w="3894" w:type="dxa"/>
          </w:tcPr>
          <w:p>
            <w:pPr>
              <w:pStyle w:val="TableParagraph"/>
              <w:spacing w:line="172" w:lineRule="exact" w:before="0"/>
              <w:ind w:left="55"/>
              <w:jc w:val="left"/>
              <w:rPr>
                <w:rFonts w:ascii="Times New Roman"/>
                <w:sz w:val="15"/>
              </w:rPr>
            </w:pPr>
            <w:r>
              <w:rPr>
                <w:rFonts w:ascii="Times New Roman"/>
                <w:sz w:val="15"/>
              </w:rPr>
              <w:t>Creditore Chirografario Postergato volontario</w:t>
            </w:r>
          </w:p>
        </w:tc>
        <w:tc>
          <w:tcPr>
            <w:tcW w:w="1248" w:type="dxa"/>
          </w:tcPr>
          <w:p>
            <w:pPr>
              <w:pStyle w:val="TableParagraph"/>
              <w:spacing w:line="172" w:lineRule="exact" w:before="0"/>
              <w:ind w:left="303"/>
              <w:jc w:val="left"/>
              <w:rPr>
                <w:rFonts w:ascii="Times New Roman"/>
                <w:sz w:val="15"/>
              </w:rPr>
            </w:pPr>
            <w:r>
              <w:rPr>
                <w:rFonts w:ascii="Times New Roman"/>
                <w:sz w:val="15"/>
              </w:rPr>
              <w:t>20.000.000</w:t>
            </w:r>
          </w:p>
        </w:tc>
        <w:tc>
          <w:tcPr>
            <w:tcW w:w="1257" w:type="dxa"/>
            <w:shd w:val="clear" w:color="auto" w:fill="F1F1F1"/>
          </w:tcPr>
          <w:p>
            <w:pPr>
              <w:pStyle w:val="TableParagraph"/>
              <w:spacing w:line="172" w:lineRule="exact" w:before="0"/>
              <w:ind w:left="91" w:right="82"/>
              <w:jc w:val="center"/>
              <w:rPr>
                <w:rFonts w:ascii="Times New Roman"/>
                <w:b/>
                <w:sz w:val="15"/>
              </w:rPr>
            </w:pPr>
            <w:r>
              <w:rPr>
                <w:rFonts w:ascii="Times New Roman"/>
                <w:b/>
                <w:sz w:val="15"/>
              </w:rPr>
              <w:t>1,10%</w:t>
            </w:r>
          </w:p>
        </w:tc>
        <w:tc>
          <w:tcPr>
            <w:tcW w:w="1249" w:type="dxa"/>
          </w:tcPr>
          <w:p>
            <w:pPr>
              <w:pStyle w:val="TableParagraph"/>
              <w:spacing w:line="172" w:lineRule="exact" w:before="0"/>
              <w:ind w:left="282" w:right="241"/>
              <w:jc w:val="center"/>
              <w:rPr>
                <w:rFonts w:ascii="Times New Roman"/>
                <w:sz w:val="15"/>
              </w:rPr>
            </w:pPr>
            <w:r>
              <w:rPr>
                <w:rFonts w:ascii="Times New Roman"/>
                <w:sz w:val="15"/>
              </w:rPr>
              <w:t>219.301</w:t>
            </w:r>
          </w:p>
        </w:tc>
        <w:tc>
          <w:tcPr>
            <w:tcW w:w="1473" w:type="dxa"/>
          </w:tcPr>
          <w:p>
            <w:pPr>
              <w:pStyle w:val="TableParagraph"/>
              <w:spacing w:before="8"/>
              <w:ind w:right="66"/>
              <w:rPr>
                <w:rFonts w:ascii="Times New Roman"/>
                <w:sz w:val="14"/>
              </w:rPr>
            </w:pPr>
            <w:r>
              <w:rPr>
                <w:rFonts w:ascii="Times New Roman"/>
                <w:w w:val="105"/>
                <w:sz w:val="14"/>
              </w:rPr>
              <w:t>(3.364.906)</w:t>
            </w:r>
          </w:p>
        </w:tc>
      </w:tr>
      <w:tr>
        <w:trPr>
          <w:trHeight w:val="202" w:hRule="exact"/>
        </w:trPr>
        <w:tc>
          <w:tcPr>
            <w:tcW w:w="3894" w:type="dxa"/>
          </w:tcPr>
          <w:p>
            <w:pPr>
              <w:pStyle w:val="TableParagraph"/>
              <w:spacing w:before="12"/>
              <w:ind w:left="55"/>
              <w:jc w:val="left"/>
              <w:rPr>
                <w:rFonts w:ascii="Times New Roman"/>
                <w:sz w:val="15"/>
              </w:rPr>
            </w:pPr>
            <w:r>
              <w:rPr>
                <w:rFonts w:ascii="Times New Roman"/>
                <w:sz w:val="15"/>
              </w:rPr>
              <w:t>Fondi rischi in prededuzione</w:t>
            </w:r>
          </w:p>
        </w:tc>
        <w:tc>
          <w:tcPr>
            <w:tcW w:w="1248" w:type="dxa"/>
          </w:tcPr>
          <w:p>
            <w:pPr>
              <w:pStyle w:val="TableParagraph"/>
              <w:spacing w:before="12"/>
              <w:ind w:left="345"/>
              <w:jc w:val="left"/>
              <w:rPr>
                <w:rFonts w:ascii="Times New Roman"/>
                <w:sz w:val="15"/>
              </w:rPr>
            </w:pPr>
            <w:r>
              <w:rPr>
                <w:rFonts w:ascii="Times New Roman"/>
                <w:sz w:val="15"/>
              </w:rPr>
              <w:t>1.591.479</w:t>
            </w:r>
          </w:p>
        </w:tc>
        <w:tc>
          <w:tcPr>
            <w:tcW w:w="1257" w:type="dxa"/>
          </w:tcPr>
          <w:p>
            <w:pPr>
              <w:pStyle w:val="TableParagraph"/>
              <w:spacing w:before="12"/>
              <w:jc w:val="center"/>
              <w:rPr>
                <w:rFonts w:ascii="Times New Roman"/>
                <w:sz w:val="15"/>
              </w:rPr>
            </w:pPr>
            <w:r>
              <w:rPr>
                <w:rFonts w:ascii="Times New Roman"/>
                <w:sz w:val="15"/>
              </w:rPr>
              <w:t>100,00%</w:t>
            </w:r>
          </w:p>
        </w:tc>
        <w:tc>
          <w:tcPr>
            <w:tcW w:w="1249" w:type="dxa"/>
          </w:tcPr>
          <w:p>
            <w:pPr>
              <w:pStyle w:val="TableParagraph"/>
              <w:spacing w:before="12"/>
              <w:ind w:left="282" w:right="241"/>
              <w:jc w:val="center"/>
              <w:rPr>
                <w:rFonts w:ascii="Times New Roman"/>
                <w:sz w:val="15"/>
              </w:rPr>
            </w:pPr>
            <w:r>
              <w:rPr>
                <w:rFonts w:ascii="Times New Roman"/>
                <w:sz w:val="15"/>
              </w:rPr>
              <w:t>1.591.479</w:t>
            </w:r>
          </w:p>
        </w:tc>
        <w:tc>
          <w:tcPr>
            <w:tcW w:w="1473" w:type="dxa"/>
          </w:tcPr>
          <w:p>
            <w:pPr>
              <w:pStyle w:val="TableParagraph"/>
              <w:spacing w:before="21"/>
              <w:ind w:right="64"/>
              <w:rPr>
                <w:rFonts w:ascii="Times New Roman"/>
                <w:sz w:val="14"/>
              </w:rPr>
            </w:pPr>
            <w:r>
              <w:rPr>
                <w:rFonts w:ascii="Times New Roman"/>
                <w:w w:val="102"/>
                <w:sz w:val="14"/>
              </w:rPr>
              <w:t>-</w:t>
            </w:r>
          </w:p>
        </w:tc>
      </w:tr>
      <w:tr>
        <w:trPr>
          <w:trHeight w:val="195" w:hRule="exact"/>
        </w:trPr>
        <w:tc>
          <w:tcPr>
            <w:tcW w:w="3894" w:type="dxa"/>
          </w:tcPr>
          <w:p>
            <w:pPr>
              <w:pStyle w:val="TableParagraph"/>
              <w:spacing w:before="12"/>
              <w:ind w:left="55"/>
              <w:jc w:val="left"/>
              <w:rPr>
                <w:rFonts w:ascii="Times New Roman"/>
                <w:sz w:val="15"/>
              </w:rPr>
            </w:pPr>
            <w:r>
              <w:rPr>
                <w:rFonts w:ascii="Times New Roman"/>
                <w:sz w:val="15"/>
              </w:rPr>
              <w:t>Fondi rischi privilegiati</w:t>
            </w:r>
          </w:p>
        </w:tc>
        <w:tc>
          <w:tcPr>
            <w:tcW w:w="1248" w:type="dxa"/>
          </w:tcPr>
          <w:p>
            <w:pPr>
              <w:pStyle w:val="TableParagraph"/>
              <w:spacing w:before="12"/>
              <w:ind w:left="404"/>
              <w:jc w:val="left"/>
              <w:rPr>
                <w:rFonts w:ascii="Times New Roman"/>
                <w:sz w:val="15"/>
              </w:rPr>
            </w:pPr>
            <w:r>
              <w:rPr>
                <w:rFonts w:ascii="Times New Roman"/>
                <w:sz w:val="15"/>
              </w:rPr>
              <w:t>365.088</w:t>
            </w:r>
          </w:p>
        </w:tc>
        <w:tc>
          <w:tcPr>
            <w:tcW w:w="1257" w:type="dxa"/>
          </w:tcPr>
          <w:p>
            <w:pPr>
              <w:pStyle w:val="TableParagraph"/>
              <w:spacing w:before="12"/>
              <w:jc w:val="center"/>
              <w:rPr>
                <w:rFonts w:ascii="Times New Roman"/>
                <w:sz w:val="15"/>
              </w:rPr>
            </w:pPr>
            <w:r>
              <w:rPr>
                <w:rFonts w:ascii="Times New Roman"/>
                <w:sz w:val="15"/>
              </w:rPr>
              <w:t>100,00%</w:t>
            </w:r>
          </w:p>
        </w:tc>
        <w:tc>
          <w:tcPr>
            <w:tcW w:w="1249" w:type="dxa"/>
          </w:tcPr>
          <w:p>
            <w:pPr>
              <w:pStyle w:val="TableParagraph"/>
              <w:spacing w:before="12"/>
              <w:ind w:left="282" w:right="241"/>
              <w:jc w:val="center"/>
              <w:rPr>
                <w:rFonts w:ascii="Times New Roman"/>
                <w:sz w:val="15"/>
              </w:rPr>
            </w:pPr>
            <w:r>
              <w:rPr>
                <w:rFonts w:ascii="Times New Roman"/>
                <w:sz w:val="15"/>
              </w:rPr>
              <w:t>365.088</w:t>
            </w:r>
          </w:p>
        </w:tc>
        <w:tc>
          <w:tcPr>
            <w:tcW w:w="1473" w:type="dxa"/>
          </w:tcPr>
          <w:p>
            <w:pPr>
              <w:pStyle w:val="TableParagraph"/>
              <w:spacing w:before="21"/>
              <w:ind w:right="66"/>
              <w:rPr>
                <w:rFonts w:ascii="Times New Roman"/>
                <w:sz w:val="14"/>
              </w:rPr>
            </w:pPr>
            <w:r>
              <w:rPr>
                <w:rFonts w:ascii="Times New Roman"/>
                <w:w w:val="105"/>
                <w:sz w:val="14"/>
              </w:rPr>
              <w:t>(1.000.000)</w:t>
            </w:r>
          </w:p>
        </w:tc>
      </w:tr>
      <w:tr>
        <w:trPr>
          <w:trHeight w:val="211" w:hRule="exact"/>
        </w:trPr>
        <w:tc>
          <w:tcPr>
            <w:tcW w:w="3894" w:type="dxa"/>
          </w:tcPr>
          <w:p>
            <w:pPr>
              <w:pStyle w:val="TableParagraph"/>
              <w:spacing w:before="20"/>
              <w:ind w:left="55"/>
              <w:jc w:val="left"/>
              <w:rPr>
                <w:rFonts w:ascii="Times New Roman"/>
                <w:sz w:val="15"/>
              </w:rPr>
            </w:pPr>
            <w:r>
              <w:rPr>
                <w:rFonts w:ascii="Times New Roman"/>
                <w:sz w:val="15"/>
              </w:rPr>
              <w:t>Fondi rischi chirografari</w:t>
            </w:r>
          </w:p>
        </w:tc>
        <w:tc>
          <w:tcPr>
            <w:tcW w:w="1248" w:type="dxa"/>
          </w:tcPr>
          <w:p>
            <w:pPr>
              <w:pStyle w:val="TableParagraph"/>
              <w:spacing w:before="20"/>
              <w:ind w:left="345"/>
              <w:jc w:val="left"/>
              <w:rPr>
                <w:rFonts w:ascii="Times New Roman"/>
                <w:sz w:val="15"/>
              </w:rPr>
            </w:pPr>
            <w:r>
              <w:rPr>
                <w:rFonts w:ascii="Times New Roman"/>
                <w:sz w:val="15"/>
              </w:rPr>
              <w:t>7.396.037</w:t>
            </w:r>
          </w:p>
        </w:tc>
        <w:tc>
          <w:tcPr>
            <w:tcW w:w="1257" w:type="dxa"/>
            <w:shd w:val="clear" w:color="auto" w:fill="F1F1F1"/>
          </w:tcPr>
          <w:p>
            <w:pPr>
              <w:pStyle w:val="TableParagraph"/>
              <w:spacing w:before="20"/>
              <w:ind w:left="99" w:right="82"/>
              <w:jc w:val="center"/>
              <w:rPr>
                <w:rFonts w:ascii="Times New Roman"/>
                <w:b/>
                <w:sz w:val="15"/>
              </w:rPr>
            </w:pPr>
            <w:r>
              <w:rPr>
                <w:rFonts w:ascii="Times New Roman"/>
                <w:b/>
                <w:sz w:val="15"/>
              </w:rPr>
              <w:t>20,00%</w:t>
            </w:r>
          </w:p>
        </w:tc>
        <w:tc>
          <w:tcPr>
            <w:tcW w:w="1249" w:type="dxa"/>
          </w:tcPr>
          <w:p>
            <w:pPr>
              <w:pStyle w:val="TableParagraph"/>
              <w:spacing w:before="20"/>
              <w:ind w:left="282" w:right="241"/>
              <w:jc w:val="center"/>
              <w:rPr>
                <w:rFonts w:ascii="Times New Roman"/>
                <w:sz w:val="15"/>
              </w:rPr>
            </w:pPr>
            <w:r>
              <w:rPr>
                <w:rFonts w:ascii="Times New Roman"/>
                <w:sz w:val="15"/>
              </w:rPr>
              <w:t>1.479.207</w:t>
            </w:r>
          </w:p>
        </w:tc>
        <w:tc>
          <w:tcPr>
            <w:tcW w:w="1473" w:type="dxa"/>
          </w:tcPr>
          <w:p>
            <w:pPr>
              <w:pStyle w:val="TableParagraph"/>
              <w:spacing w:before="29"/>
              <w:ind w:right="66"/>
              <w:rPr>
                <w:rFonts w:ascii="Times New Roman"/>
                <w:sz w:val="14"/>
              </w:rPr>
            </w:pPr>
            <w:r>
              <w:rPr>
                <w:rFonts w:ascii="Times New Roman"/>
                <w:w w:val="105"/>
                <w:sz w:val="14"/>
              </w:rPr>
              <w:t>(452.264)</w:t>
            </w:r>
          </w:p>
        </w:tc>
      </w:tr>
      <w:tr>
        <w:trPr>
          <w:trHeight w:val="194" w:hRule="exact"/>
        </w:trPr>
        <w:tc>
          <w:tcPr>
            <w:tcW w:w="3894" w:type="dxa"/>
          </w:tcPr>
          <w:p>
            <w:pPr>
              <w:pStyle w:val="TableParagraph"/>
              <w:spacing w:before="11"/>
              <w:ind w:left="55"/>
              <w:jc w:val="left"/>
              <w:rPr>
                <w:rFonts w:ascii="Times New Roman"/>
                <w:sz w:val="15"/>
              </w:rPr>
            </w:pPr>
            <w:r>
              <w:rPr>
                <w:rFonts w:ascii="Times New Roman"/>
                <w:sz w:val="15"/>
              </w:rPr>
              <w:t>Fondi rischi chirografari Postergato</w:t>
            </w:r>
          </w:p>
        </w:tc>
        <w:tc>
          <w:tcPr>
            <w:tcW w:w="1248" w:type="dxa"/>
          </w:tcPr>
          <w:p>
            <w:pPr>
              <w:pStyle w:val="TableParagraph"/>
              <w:spacing w:before="11"/>
              <w:ind w:left="345"/>
              <w:jc w:val="left"/>
              <w:rPr>
                <w:rFonts w:ascii="Times New Roman"/>
                <w:sz w:val="15"/>
              </w:rPr>
            </w:pPr>
            <w:r>
              <w:rPr>
                <w:rFonts w:ascii="Times New Roman"/>
                <w:sz w:val="15"/>
              </w:rPr>
              <w:t>6.477.189</w:t>
            </w:r>
          </w:p>
        </w:tc>
        <w:tc>
          <w:tcPr>
            <w:tcW w:w="1257" w:type="dxa"/>
          </w:tcPr>
          <w:p>
            <w:pPr>
              <w:pStyle w:val="TableParagraph"/>
              <w:spacing w:before="11"/>
              <w:jc w:val="center"/>
              <w:rPr>
                <w:rFonts w:ascii="Times New Roman"/>
                <w:sz w:val="15"/>
              </w:rPr>
            </w:pPr>
            <w:r>
              <w:rPr>
                <w:rFonts w:ascii="Times New Roman"/>
                <w:sz w:val="15"/>
              </w:rPr>
              <w:t>0,00%</w:t>
            </w:r>
          </w:p>
        </w:tc>
        <w:tc>
          <w:tcPr>
            <w:tcW w:w="1249" w:type="dxa"/>
          </w:tcPr>
          <w:p>
            <w:pPr>
              <w:pStyle w:val="TableParagraph"/>
              <w:spacing w:before="11"/>
              <w:jc w:val="center"/>
              <w:rPr>
                <w:rFonts w:ascii="Times New Roman"/>
                <w:sz w:val="15"/>
              </w:rPr>
            </w:pPr>
            <w:r>
              <w:rPr>
                <w:rFonts w:ascii="Times New Roman"/>
                <w:w w:val="101"/>
                <w:sz w:val="15"/>
              </w:rPr>
              <w:t>-</w:t>
            </w:r>
          </w:p>
        </w:tc>
        <w:tc>
          <w:tcPr>
            <w:tcW w:w="1473" w:type="dxa"/>
          </w:tcPr>
          <w:p>
            <w:pPr>
              <w:pStyle w:val="TableParagraph"/>
              <w:spacing w:before="21"/>
              <w:ind w:right="64"/>
              <w:rPr>
                <w:rFonts w:ascii="Times New Roman"/>
                <w:sz w:val="14"/>
              </w:rPr>
            </w:pPr>
            <w:r>
              <w:rPr>
                <w:rFonts w:ascii="Times New Roman"/>
                <w:w w:val="102"/>
                <w:sz w:val="14"/>
              </w:rPr>
              <w:t>-</w:t>
            </w:r>
          </w:p>
        </w:tc>
      </w:tr>
      <w:tr>
        <w:trPr>
          <w:trHeight w:val="211" w:hRule="exact"/>
        </w:trPr>
        <w:tc>
          <w:tcPr>
            <w:tcW w:w="3894" w:type="dxa"/>
          </w:tcPr>
          <w:p>
            <w:pPr>
              <w:pStyle w:val="TableParagraph"/>
              <w:tabs>
                <w:tab w:pos="3632" w:val="left" w:leader="none"/>
              </w:tabs>
              <w:spacing w:before="20"/>
              <w:ind w:left="30"/>
              <w:jc w:val="left"/>
              <w:rPr>
                <w:rFonts w:ascii="Times New Roman"/>
                <w:b/>
                <w:sz w:val="15"/>
              </w:rPr>
            </w:pPr>
            <w:r>
              <w:rPr>
                <w:rFonts w:ascii="Times New Roman"/>
                <w:b/>
                <w:color w:val="FFFFFF"/>
                <w:spacing w:val="-13"/>
                <w:w w:val="101"/>
                <w:sz w:val="15"/>
                <w:shd w:fill="878A8D" w:color="auto" w:val="clear"/>
              </w:rPr>
              <w:t> </w:t>
            </w:r>
            <w:r>
              <w:rPr>
                <w:rFonts w:ascii="Times New Roman"/>
                <w:b/>
                <w:color w:val="FFFFFF"/>
                <w:sz w:val="15"/>
                <w:shd w:fill="878A8D" w:color="auto" w:val="clear"/>
              </w:rPr>
              <w:t>Totale Passivo da</w:t>
            </w:r>
            <w:r>
              <w:rPr>
                <w:rFonts w:ascii="Times New Roman"/>
                <w:b/>
                <w:color w:val="FFFFFF"/>
                <w:spacing w:val="31"/>
                <w:sz w:val="15"/>
                <w:shd w:fill="878A8D" w:color="auto" w:val="clear"/>
              </w:rPr>
              <w:t> </w:t>
            </w:r>
            <w:r>
              <w:rPr>
                <w:rFonts w:ascii="Times New Roman"/>
                <w:b/>
                <w:color w:val="FFFFFF"/>
                <w:sz w:val="15"/>
                <w:shd w:fill="878A8D" w:color="auto" w:val="clear"/>
              </w:rPr>
              <w:t>soddisfare</w:t>
              <w:tab/>
            </w:r>
          </w:p>
        </w:tc>
        <w:tc>
          <w:tcPr>
            <w:tcW w:w="1248" w:type="dxa"/>
            <w:shd w:val="clear" w:color="auto" w:fill="878A8D"/>
          </w:tcPr>
          <w:p>
            <w:pPr>
              <w:pStyle w:val="TableParagraph"/>
              <w:spacing w:before="20"/>
              <w:ind w:left="269"/>
              <w:jc w:val="left"/>
              <w:rPr>
                <w:rFonts w:ascii="Times New Roman"/>
                <w:b/>
                <w:sz w:val="15"/>
              </w:rPr>
            </w:pPr>
            <w:r>
              <w:rPr>
                <w:rFonts w:ascii="Times New Roman"/>
                <w:b/>
                <w:color w:val="FFFFFF"/>
                <w:sz w:val="15"/>
              </w:rPr>
              <w:t>202.639.709</w:t>
            </w:r>
          </w:p>
        </w:tc>
        <w:tc>
          <w:tcPr>
            <w:tcW w:w="1257" w:type="dxa"/>
            <w:shd w:val="clear" w:color="auto" w:fill="878A8D"/>
          </w:tcPr>
          <w:p>
            <w:pPr/>
          </w:p>
        </w:tc>
        <w:tc>
          <w:tcPr>
            <w:tcW w:w="1249" w:type="dxa"/>
            <w:shd w:val="clear" w:color="auto" w:fill="878A8D"/>
          </w:tcPr>
          <w:p>
            <w:pPr>
              <w:pStyle w:val="TableParagraph"/>
              <w:spacing w:before="20"/>
              <w:ind w:left="282" w:right="250"/>
              <w:jc w:val="center"/>
              <w:rPr>
                <w:rFonts w:ascii="Times New Roman"/>
                <w:b/>
                <w:sz w:val="15"/>
              </w:rPr>
            </w:pPr>
            <w:r>
              <w:rPr>
                <w:rFonts w:ascii="Times New Roman"/>
                <w:b/>
                <w:color w:val="FFFFFF"/>
                <w:sz w:val="15"/>
              </w:rPr>
              <w:t>45.583.769</w:t>
            </w:r>
          </w:p>
        </w:tc>
        <w:tc>
          <w:tcPr>
            <w:tcW w:w="1473" w:type="dxa"/>
          </w:tcPr>
          <w:p>
            <w:pPr>
              <w:pStyle w:val="TableParagraph"/>
              <w:tabs>
                <w:tab w:pos="312" w:val="left" w:leader="none"/>
                <w:tab w:pos="1333" w:val="left" w:leader="none"/>
              </w:tabs>
              <w:spacing w:before="20"/>
              <w:ind w:right="28"/>
              <w:rPr>
                <w:rFonts w:ascii="Times New Roman"/>
                <w:b/>
                <w:sz w:val="15"/>
              </w:rPr>
            </w:pPr>
            <w:r>
              <w:rPr>
                <w:rFonts w:ascii="Times New Roman"/>
                <w:b/>
                <w:color w:val="FFFFFF"/>
                <w:w w:val="101"/>
                <w:sz w:val="15"/>
                <w:shd w:fill="878A8D" w:color="auto" w:val="clear"/>
              </w:rPr>
              <w:t> </w:t>
            </w:r>
            <w:r>
              <w:rPr>
                <w:rFonts w:ascii="Times New Roman"/>
                <w:b/>
                <w:color w:val="FFFFFF"/>
                <w:sz w:val="15"/>
                <w:shd w:fill="878A8D" w:color="auto" w:val="clear"/>
              </w:rPr>
              <w:tab/>
              <w:t>(4.679.170)</w:t>
              <w:tab/>
            </w:r>
          </w:p>
        </w:tc>
      </w:tr>
    </w:tbl>
    <w:p>
      <w:pPr>
        <w:pStyle w:val="BodyText"/>
        <w:spacing w:before="3"/>
      </w:pPr>
    </w:p>
    <w:p>
      <w:pPr>
        <w:pStyle w:val="BodyText"/>
        <w:spacing w:line="480" w:lineRule="auto"/>
        <w:ind w:left="1418" w:right="1518"/>
      </w:pPr>
      <w:r>
        <w:rPr/>
        <w:t>Si riporta inoltre in appresso la traduzione temporale di tali prove di resistenza applicate al piano concordatario, inclusive dei fattori di mitigazione:</w:t>
      </w:r>
    </w:p>
    <w:p>
      <w:pPr>
        <w:spacing w:after="0" w:line="480" w:lineRule="auto"/>
        <w:sectPr>
          <w:pgSz w:w="11910" w:h="16840"/>
          <w:pgMar w:header="707" w:footer="1025" w:top="1740" w:bottom="1220" w:left="0" w:right="0"/>
        </w:sectPr>
      </w:pPr>
    </w:p>
    <w:p>
      <w:pPr>
        <w:pStyle w:val="BodyText"/>
        <w:rPr>
          <w:sz w:val="20"/>
        </w:rPr>
      </w:pPr>
      <w:r>
        <w:rPr/>
        <w:pict>
          <v:group style="position:absolute;margin-left:227.804901pt;margin-top:329.050446pt;width:1.9pt;height:1.85pt;mso-position-horizontal-relative:page;mso-position-vertical-relative:page;z-index:-844000" coordorigin="4556,6581" coordsize="38,37">
            <v:line style="position:absolute" from="4561,6584" to="4588,6584" stroked="true" strokeweight=".252398pt" strokecolor="#008000">
              <v:stroke dashstyle="solid"/>
            </v:line>
            <v:line style="position:absolute" from="4559,6584" to="4591,6584" stroked="true" strokeweight=".252402pt" strokecolor="#008000">
              <v:stroke dashstyle="solid"/>
            </v:line>
            <v:line style="position:absolute" from="4561,6589" to="4584,6589" stroked="true" strokeweight=".252398pt" strokecolor="#008000">
              <v:stroke dashstyle="solid"/>
            </v:line>
            <v:line style="position:absolute" from="4559,6589" to="4586,6589" stroked="true" strokeweight=".252402pt" strokecolor="#008000">
              <v:stroke dashstyle="solid"/>
            </v:line>
            <v:line style="position:absolute" from="4561,6594" to="4579,6594" stroked="true" strokeweight=".252398pt" strokecolor="#008000">
              <v:stroke dashstyle="solid"/>
            </v:line>
            <v:line style="position:absolute" from="4559,6594" to="4582,6594" stroked="true" strokeweight=".252402pt" strokecolor="#008000">
              <v:stroke dashstyle="solid"/>
            </v:line>
            <v:line style="position:absolute" from="4561,6599" to="4575,6599" stroked="true" strokeweight=".252398pt" strokecolor="#008000">
              <v:stroke dashstyle="solid"/>
            </v:line>
            <v:line style="position:absolute" from="4559,6599" to="4577,6599" stroked="true" strokeweight=".252402pt" strokecolor="#008000">
              <v:stroke dashstyle="solid"/>
            </v:line>
            <v:line style="position:absolute" from="4559,6604" to="4573,6604" stroked="true" strokeweight=".25239pt" strokecolor="#008000">
              <v:stroke dashstyle="solid"/>
            </v:line>
            <v:line style="position:absolute" from="4561,6609" to="4566,6609" stroked="true" strokeweight=".252398pt" strokecolor="#008000">
              <v:stroke dashstyle="solid"/>
            </v:line>
            <v:line style="position:absolute" from="4559,6609" to="4568,6609" stroked="true" strokeweight=".252402pt" strokecolor="#008000">
              <v:stroke dashstyle="solid"/>
            </v:line>
            <v:line style="position:absolute" from="4559,6614" to="4564,6614" stroked="true" strokeweight=".252402pt" strokecolor="#008000">
              <v:stroke dashstyle="solid"/>
            </v:line>
            <w10:wrap type="none"/>
          </v:group>
        </w:pict>
      </w:r>
      <w:r>
        <w:rPr/>
        <w:pict>
          <v:group style="position:absolute;margin-left:254.279755pt;margin-top:329.050446pt;width:1.9pt;height:1.85pt;mso-position-horizontal-relative:page;mso-position-vertical-relative:page;z-index:-843976" coordorigin="5086,6581" coordsize="38,37">
            <v:line style="position:absolute" from="5091,6584" to="5118,6584" stroked="true" strokeweight=".252398pt" strokecolor="#008000">
              <v:stroke dashstyle="solid"/>
            </v:line>
            <v:line style="position:absolute" from="5089,6584" to="5120,6584" stroked="true" strokeweight=".252402pt" strokecolor="#008000">
              <v:stroke dashstyle="solid"/>
            </v:line>
            <v:line style="position:absolute" from="5091,6589" to="5113,6589" stroked="true" strokeweight=".252398pt" strokecolor="#008000">
              <v:stroke dashstyle="solid"/>
            </v:line>
            <v:line style="position:absolute" from="5089,6589" to="5116,6589" stroked="true" strokeweight=".252402pt" strokecolor="#008000">
              <v:stroke dashstyle="solid"/>
            </v:line>
            <v:line style="position:absolute" from="5091,6594" to="5109,6594" stroked="true" strokeweight=".252398pt" strokecolor="#008000">
              <v:stroke dashstyle="solid"/>
            </v:line>
            <v:line style="position:absolute" from="5089,6594" to="5111,6594" stroked="true" strokeweight=".252402pt" strokecolor="#008000">
              <v:stroke dashstyle="solid"/>
            </v:line>
            <v:line style="position:absolute" from="5091,6599" to="5104,6599" stroked="true" strokeweight=".252398pt" strokecolor="#008000">
              <v:stroke dashstyle="solid"/>
            </v:line>
            <v:line style="position:absolute" from="5089,6599" to="5107,6599" stroked="true" strokeweight=".252402pt" strokecolor="#008000">
              <v:stroke dashstyle="solid"/>
            </v:line>
            <v:line style="position:absolute" from="5089,6604" to="5102,6604" stroked="true" strokeweight=".25239pt" strokecolor="#008000">
              <v:stroke dashstyle="solid"/>
            </v:line>
            <v:line style="position:absolute" from="5091,6609" to="5095,6609" stroked="true" strokeweight=".252398pt" strokecolor="#008000">
              <v:stroke dashstyle="solid"/>
            </v:line>
            <v:line style="position:absolute" from="5089,6609" to="5098,6609" stroked="true" strokeweight=".252402pt" strokecolor="#008000">
              <v:stroke dashstyle="solid"/>
            </v:line>
            <v:line style="position:absolute" from="5089,6614" to="5093,6614" stroked="true" strokeweight=".252402pt" strokecolor="#008000">
              <v:stroke dashstyle="solid"/>
            </v:line>
            <w10:wrap type="none"/>
          </v:group>
        </w:pict>
      </w:r>
      <w:r>
        <w:rPr/>
        <w:pict>
          <v:group style="position:absolute;margin-left:280.743286pt;margin-top:329.050446pt;width:1.9pt;height:1.85pt;mso-position-horizontal-relative:page;mso-position-vertical-relative:page;z-index:-843952" coordorigin="5615,6581" coordsize="38,37">
            <v:line style="position:absolute" from="5620,6584" to="5647,6584" stroked="true" strokeweight=".252398pt" strokecolor="#008000">
              <v:stroke dashstyle="solid"/>
            </v:line>
            <v:line style="position:absolute" from="5618,6584" to="5650,6584" stroked="true" strokeweight=".252402pt" strokecolor="#008000">
              <v:stroke dashstyle="solid"/>
            </v:line>
            <v:line style="position:absolute" from="5620,6589" to="5643,6589" stroked="true" strokeweight=".252398pt" strokecolor="#008000">
              <v:stroke dashstyle="solid"/>
            </v:line>
            <v:line style="position:absolute" from="5618,6589" to="5645,6589" stroked="true" strokeweight=".252402pt" strokecolor="#008000">
              <v:stroke dashstyle="solid"/>
            </v:line>
            <v:line style="position:absolute" from="5620,6594" to="5638,6594" stroked="true" strokeweight=".252398pt" strokecolor="#008000">
              <v:stroke dashstyle="solid"/>
            </v:line>
            <v:line style="position:absolute" from="5618,6594" to="5640,6594" stroked="true" strokeweight=".252402pt" strokecolor="#008000">
              <v:stroke dashstyle="solid"/>
            </v:line>
            <v:line style="position:absolute" from="5620,6599" to="5634,6599" stroked="true" strokeweight=".252398pt" strokecolor="#008000">
              <v:stroke dashstyle="solid"/>
            </v:line>
            <v:line style="position:absolute" from="5618,6599" to="5636,6599" stroked="true" strokeweight=".252402pt" strokecolor="#008000">
              <v:stroke dashstyle="solid"/>
            </v:line>
            <v:line style="position:absolute" from="5618,6604" to="5631,6604" stroked="true" strokeweight=".25239pt" strokecolor="#008000">
              <v:stroke dashstyle="solid"/>
            </v:line>
            <v:line style="position:absolute" from="5620,6609" to="5625,6609" stroked="true" strokeweight=".252398pt" strokecolor="#008000">
              <v:stroke dashstyle="solid"/>
            </v:line>
            <v:line style="position:absolute" from="5618,6609" to="5627,6609" stroked="true" strokeweight=".252402pt" strokecolor="#008000">
              <v:stroke dashstyle="solid"/>
            </v:line>
            <v:line style="position:absolute" from="5618,6614" to="5622,6614" stroked="true" strokeweight=".252402pt" strokecolor="#008000">
              <v:stroke dashstyle="solid"/>
            </v:line>
            <w10:wrap type="none"/>
          </v:group>
        </w:pict>
      </w:r>
      <w:r>
        <w:rPr/>
        <w:pict>
          <v:group style="position:absolute;margin-left:307.210602pt;margin-top:329.050446pt;width:1.9pt;height:1.85pt;mso-position-horizontal-relative:page;mso-position-vertical-relative:page;z-index:-843928" coordorigin="6144,6581" coordsize="38,37">
            <v:line style="position:absolute" from="6149,6584" to="6177,6584" stroked="true" strokeweight=".252398pt" strokecolor="#008000">
              <v:stroke dashstyle="solid"/>
            </v:line>
            <v:line style="position:absolute" from="6147,6584" to="6179,6584" stroked="true" strokeweight=".252402pt" strokecolor="#008000">
              <v:stroke dashstyle="solid"/>
            </v:line>
            <v:line style="position:absolute" from="6149,6589" to="6172,6589" stroked="true" strokeweight=".252398pt" strokecolor="#008000">
              <v:stroke dashstyle="solid"/>
            </v:line>
            <v:line style="position:absolute" from="6147,6589" to="6174,6589" stroked="true" strokeweight=".252402pt" strokecolor="#008000">
              <v:stroke dashstyle="solid"/>
            </v:line>
            <v:line style="position:absolute" from="6149,6594" to="6168,6594" stroked="true" strokeweight=".252398pt" strokecolor="#008000">
              <v:stroke dashstyle="solid"/>
            </v:line>
            <v:line style="position:absolute" from="6147,6594" to="6170,6594" stroked="true" strokeweight=".252402pt" strokecolor="#008000">
              <v:stroke dashstyle="solid"/>
            </v:line>
            <v:line style="position:absolute" from="6149,6599" to="6163,6599" stroked="true" strokeweight=".252398pt" strokecolor="#008000">
              <v:stroke dashstyle="solid"/>
            </v:line>
            <v:line style="position:absolute" from="6147,6599" to="6165,6599" stroked="true" strokeweight=".252402pt" strokecolor="#008000">
              <v:stroke dashstyle="solid"/>
            </v:line>
            <v:line style="position:absolute" from="6147,6604" to="6161,6604" stroked="true" strokeweight=".25239pt" strokecolor="#008000">
              <v:stroke dashstyle="solid"/>
            </v:line>
            <v:line style="position:absolute" from="6149,6609" to="6154,6609" stroked="true" strokeweight=".252398pt" strokecolor="#008000">
              <v:stroke dashstyle="solid"/>
            </v:line>
            <v:line style="position:absolute" from="6147,6609" to="6156,6609" stroked="true" strokeweight=".252402pt" strokecolor="#008000">
              <v:stroke dashstyle="solid"/>
            </v:line>
            <v:line style="position:absolute" from="6147,6614" to="6152,6614" stroked="true" strokeweight=".252402pt" strokecolor="#008000">
              <v:stroke dashstyle="solid"/>
            </v:line>
            <w10:wrap type="none"/>
          </v:group>
        </w:pict>
      </w:r>
      <w:r>
        <w:rPr/>
        <w:pict>
          <v:group style="position:absolute;margin-left:333.674133pt;margin-top:329.050446pt;width:1.9pt;height:1.85pt;mso-position-horizontal-relative:page;mso-position-vertical-relative:page;z-index:-843904" coordorigin="6673,6581" coordsize="38,37">
            <v:line style="position:absolute" from="6679,6584" to="6706,6584" stroked="true" strokeweight=".252398pt" strokecolor="#008000">
              <v:stroke dashstyle="solid"/>
            </v:line>
            <v:line style="position:absolute" from="6676,6584" to="6708,6584" stroked="true" strokeweight=".252402pt" strokecolor="#008000">
              <v:stroke dashstyle="solid"/>
            </v:line>
            <v:line style="position:absolute" from="6679,6589" to="6701,6589" stroked="true" strokeweight=".252398pt" strokecolor="#008000">
              <v:stroke dashstyle="solid"/>
            </v:line>
            <v:line style="position:absolute" from="6676,6589" to="6704,6589" stroked="true" strokeweight=".252402pt" strokecolor="#008000">
              <v:stroke dashstyle="solid"/>
            </v:line>
            <v:line style="position:absolute" from="6679,6594" to="6697,6594" stroked="true" strokeweight=".252398pt" strokecolor="#008000">
              <v:stroke dashstyle="solid"/>
            </v:line>
            <v:line style="position:absolute" from="6676,6594" to="6699,6594" stroked="true" strokeweight=".252402pt" strokecolor="#008000">
              <v:stroke dashstyle="solid"/>
            </v:line>
            <v:line style="position:absolute" from="6679,6599" to="6692,6599" stroked="true" strokeweight=".252398pt" strokecolor="#008000">
              <v:stroke dashstyle="solid"/>
            </v:line>
            <v:line style="position:absolute" from="6676,6599" to="6695,6599" stroked="true" strokeweight=".252402pt" strokecolor="#008000">
              <v:stroke dashstyle="solid"/>
            </v:line>
            <v:line style="position:absolute" from="6676,6604" to="6690,6604" stroked="true" strokeweight=".25239pt" strokecolor="#008000">
              <v:stroke dashstyle="solid"/>
            </v:line>
            <v:line style="position:absolute" from="6679,6609" to="6683,6609" stroked="true" strokeweight=".252398pt" strokecolor="#008000">
              <v:stroke dashstyle="solid"/>
            </v:line>
            <v:line style="position:absolute" from="6676,6609" to="6686,6609" stroked="true" strokeweight=".252402pt" strokecolor="#008000">
              <v:stroke dashstyle="solid"/>
            </v:line>
            <v:line style="position:absolute" from="6676,6614" to="6681,6614" stroked="true" strokeweight=".252402pt" strokecolor="#008000">
              <v:stroke dashstyle="solid"/>
            </v:line>
            <w10:wrap type="none"/>
          </v:group>
        </w:pict>
      </w:r>
      <w:r>
        <w:rPr/>
        <w:pict>
          <v:group style="position:absolute;margin-left:360.148987pt;margin-top:329.050446pt;width:1.9pt;height:1.85pt;mso-position-horizontal-relative:page;mso-position-vertical-relative:page;z-index:-843880" coordorigin="7203,6581" coordsize="38,37">
            <v:line style="position:absolute" from="7208,6584" to="7235,6584" stroked="true" strokeweight=".252398pt" strokecolor="#008000">
              <v:stroke dashstyle="solid"/>
            </v:line>
            <v:line style="position:absolute" from="7206,6584" to="7238,6584" stroked="true" strokeweight=".252402pt" strokecolor="#008000">
              <v:stroke dashstyle="solid"/>
            </v:line>
            <v:line style="position:absolute" from="7208,6589" to="7231,6589" stroked="true" strokeweight=".252398pt" strokecolor="#008000">
              <v:stroke dashstyle="solid"/>
            </v:line>
            <v:line style="position:absolute" from="7206,6589" to="7233,6589" stroked="true" strokeweight=".252402pt" strokecolor="#008000">
              <v:stroke dashstyle="solid"/>
            </v:line>
            <v:line style="position:absolute" from="7208,6594" to="7226,6594" stroked="true" strokeweight=".252398pt" strokecolor="#008000">
              <v:stroke dashstyle="solid"/>
            </v:line>
            <v:line style="position:absolute" from="7206,6594" to="7229,6594" stroked="true" strokeweight=".252402pt" strokecolor="#008000">
              <v:stroke dashstyle="solid"/>
            </v:line>
            <v:line style="position:absolute" from="7208,6599" to="7222,6599" stroked="true" strokeweight=".252398pt" strokecolor="#008000">
              <v:stroke dashstyle="solid"/>
            </v:line>
            <v:line style="position:absolute" from="7206,6599" to="7224,6599" stroked="true" strokeweight=".252402pt" strokecolor="#008000">
              <v:stroke dashstyle="solid"/>
            </v:line>
            <v:line style="position:absolute" from="7206,6604" to="7220,6604" stroked="true" strokeweight=".25239pt" strokecolor="#008000">
              <v:stroke dashstyle="solid"/>
            </v:line>
            <v:line style="position:absolute" from="7208,6609" to="7213,6609" stroked="true" strokeweight=".252398pt" strokecolor="#008000">
              <v:stroke dashstyle="solid"/>
            </v:line>
            <v:line style="position:absolute" from="7206,6609" to="7215,6609" stroked="true" strokeweight=".252402pt" strokecolor="#008000">
              <v:stroke dashstyle="solid"/>
            </v:line>
            <v:line style="position:absolute" from="7206,6614" to="7211,6614" stroked="true" strokeweight=".252402pt" strokecolor="#008000">
              <v:stroke dashstyle="solid"/>
            </v:line>
            <w10:wrap type="none"/>
          </v:group>
        </w:pict>
      </w:r>
      <w:r>
        <w:rPr/>
        <w:pict>
          <v:group style="position:absolute;margin-left:386.616302pt;margin-top:329.050446pt;width:1.9pt;height:1.85pt;mso-position-horizontal-relative:page;mso-position-vertical-relative:page;z-index:-843856" coordorigin="7732,6581" coordsize="38,37">
            <v:line style="position:absolute" from="7738,6584" to="7765,6584" stroked="true" strokeweight=".252398pt" strokecolor="#008000">
              <v:stroke dashstyle="solid"/>
            </v:line>
            <v:line style="position:absolute" from="7735,6584" to="7767,6584" stroked="true" strokeweight=".252402pt" strokecolor="#008000">
              <v:stroke dashstyle="solid"/>
            </v:line>
            <v:line style="position:absolute" from="7738,6589" to="7760,6589" stroked="true" strokeweight=".252398pt" strokecolor="#008000">
              <v:stroke dashstyle="solid"/>
            </v:line>
            <v:line style="position:absolute" from="7735,6589" to="7762,6589" stroked="true" strokeweight=".252402pt" strokecolor="#008000">
              <v:stroke dashstyle="solid"/>
            </v:line>
            <v:line style="position:absolute" from="7738,6594" to="7756,6594" stroked="true" strokeweight=".252398pt" strokecolor="#008000">
              <v:stroke dashstyle="solid"/>
            </v:line>
            <v:line style="position:absolute" from="7735,6594" to="7758,6594" stroked="true" strokeweight=".252402pt" strokecolor="#008000">
              <v:stroke dashstyle="solid"/>
            </v:line>
            <v:line style="position:absolute" from="7738,6599" to="7751,6599" stroked="true" strokeweight=".252398pt" strokecolor="#008000">
              <v:stroke dashstyle="solid"/>
            </v:line>
            <v:line style="position:absolute" from="7735,6599" to="7753,6599" stroked="true" strokeweight=".252402pt" strokecolor="#008000">
              <v:stroke dashstyle="solid"/>
            </v:line>
            <v:line style="position:absolute" from="7735,6604" to="7749,6604" stroked="true" strokeweight=".25239pt" strokecolor="#008000">
              <v:stroke dashstyle="solid"/>
            </v:line>
            <v:line style="position:absolute" from="7738,6609" to="7742,6609" stroked="true" strokeweight=".252398pt" strokecolor="#008000">
              <v:stroke dashstyle="solid"/>
            </v:line>
            <v:line style="position:absolute" from="7735,6609" to="7744,6609" stroked="true" strokeweight=".252402pt" strokecolor="#008000">
              <v:stroke dashstyle="solid"/>
            </v:line>
            <v:line style="position:absolute" from="7735,6614" to="7740,6614" stroked="true" strokeweight=".252402pt" strokecolor="#008000">
              <v:stroke dashstyle="solid"/>
            </v:line>
            <w10:wrap type="none"/>
          </v:group>
        </w:pict>
      </w:r>
      <w:r>
        <w:rPr/>
        <w:pict>
          <v:group style="position:absolute;margin-left:413.079834pt;margin-top:329.050446pt;width:1.9pt;height:1.85pt;mso-position-horizontal-relative:page;mso-position-vertical-relative:page;z-index:-843832" coordorigin="8262,6581" coordsize="38,37">
            <v:line style="position:absolute" from="8267,6584" to="8294,6584" stroked="true" strokeweight=".252398pt" strokecolor="#008000">
              <v:stroke dashstyle="solid"/>
            </v:line>
            <v:line style="position:absolute" from="8265,6584" to="8296,6584" stroked="true" strokeweight=".252402pt" strokecolor="#008000">
              <v:stroke dashstyle="solid"/>
            </v:line>
            <v:line style="position:absolute" from="8267,6589" to="8289,6589" stroked="true" strokeweight=".252398pt" strokecolor="#008000">
              <v:stroke dashstyle="solid"/>
            </v:line>
            <v:line style="position:absolute" from="8265,6589" to="8292,6589" stroked="true" strokeweight=".252402pt" strokecolor="#008000">
              <v:stroke dashstyle="solid"/>
            </v:line>
            <v:line style="position:absolute" from="8267,6594" to="8285,6594" stroked="true" strokeweight=".252398pt" strokecolor="#008000">
              <v:stroke dashstyle="solid"/>
            </v:line>
            <v:line style="position:absolute" from="8265,6594" to="8287,6594" stroked="true" strokeweight=".252402pt" strokecolor="#008000">
              <v:stroke dashstyle="solid"/>
            </v:line>
            <v:line style="position:absolute" from="8267,6599" to="8280,6599" stroked="true" strokeweight=".252398pt" strokecolor="#008000">
              <v:stroke dashstyle="solid"/>
            </v:line>
            <v:line style="position:absolute" from="8265,6599" to="8283,6599" stroked="true" strokeweight=".252402pt" strokecolor="#008000">
              <v:stroke dashstyle="solid"/>
            </v:line>
            <v:line style="position:absolute" from="8265,6604" to="8278,6604" stroked="true" strokeweight=".25239pt" strokecolor="#008000">
              <v:stroke dashstyle="solid"/>
            </v:line>
            <v:line style="position:absolute" from="8267,6609" to="8271,6609" stroked="true" strokeweight=".252398pt" strokecolor="#008000">
              <v:stroke dashstyle="solid"/>
            </v:line>
            <v:line style="position:absolute" from="8265,6609" to="8274,6609" stroked="true" strokeweight=".252402pt" strokecolor="#008000">
              <v:stroke dashstyle="solid"/>
            </v:line>
            <v:line style="position:absolute" from="8265,6614" to="8269,6614" stroked="true" strokeweight=".252402pt" strokecolor="#008000">
              <v:stroke dashstyle="solid"/>
            </v:line>
            <w10:wrap type="none"/>
          </v:group>
        </w:pict>
      </w:r>
      <w:r>
        <w:rPr/>
        <w:pict>
          <v:group style="position:absolute;margin-left:439.543396pt;margin-top:329.050446pt;width:1.9pt;height:1.85pt;mso-position-horizontal-relative:page;mso-position-vertical-relative:page;z-index:-843808" coordorigin="8791,6581" coordsize="38,37">
            <v:line style="position:absolute" from="8796,6584" to="8823,6584" stroked="true" strokeweight=".252398pt" strokecolor="#008000">
              <v:stroke dashstyle="solid"/>
            </v:line>
            <v:line style="position:absolute" from="8794,6584" to="8826,6584" stroked="true" strokeweight=".252402pt" strokecolor="#008000">
              <v:stroke dashstyle="solid"/>
            </v:line>
            <v:line style="position:absolute" from="8796,6589" to="8819,6589" stroked="true" strokeweight=".252398pt" strokecolor="#008000">
              <v:stroke dashstyle="solid"/>
            </v:line>
            <v:line style="position:absolute" from="8794,6589" to="8821,6589" stroked="true" strokeweight=".252402pt" strokecolor="#008000">
              <v:stroke dashstyle="solid"/>
            </v:line>
            <v:line style="position:absolute" from="8796,6594" to="8814,6594" stroked="true" strokeweight=".252398pt" strokecolor="#008000">
              <v:stroke dashstyle="solid"/>
            </v:line>
            <v:line style="position:absolute" from="8794,6594" to="8816,6594" stroked="true" strokeweight=".252402pt" strokecolor="#008000">
              <v:stroke dashstyle="solid"/>
            </v:line>
            <v:line style="position:absolute" from="8796,6599" to="8810,6599" stroked="true" strokeweight=".252398pt" strokecolor="#008000">
              <v:stroke dashstyle="solid"/>
            </v:line>
            <v:line style="position:absolute" from="8794,6599" to="8812,6599" stroked="true" strokeweight=".252402pt" strokecolor="#008000">
              <v:stroke dashstyle="solid"/>
            </v:line>
            <v:line style="position:absolute" from="8796,6604" to="8805,6604" stroked="true" strokeweight=".252398pt" strokecolor="#008000">
              <v:stroke dashstyle="solid"/>
            </v:line>
            <v:line style="position:absolute" from="8794,6604" to="8807,6604" stroked="true" strokeweight=".25239pt" strokecolor="#008000">
              <v:stroke dashstyle="solid"/>
            </v:line>
            <v:line style="position:absolute" from="8796,6609" to="8801,6609" stroked="true" strokeweight=".252398pt" strokecolor="#008000">
              <v:stroke dashstyle="solid"/>
            </v:line>
            <v:line style="position:absolute" from="8794,6609" to="8803,6609" stroked="true" strokeweight=".252402pt" strokecolor="#008000">
              <v:stroke dashstyle="solid"/>
            </v:line>
            <v:line style="position:absolute" from="8794,6614" to="8798,6614" stroked="true" strokeweight=".252402pt" strokecolor="#008000">
              <v:stroke dashstyle="solid"/>
            </v:line>
            <w10:wrap type="none"/>
          </v:group>
        </w:pict>
      </w:r>
      <w:r>
        <w:rPr/>
        <w:pict>
          <v:group style="position:absolute;margin-left:466.022003pt;margin-top:329.050446pt;width:1.9pt;height:1.6pt;mso-position-horizontal-relative:page;mso-position-vertical-relative:page;z-index:-843784" coordorigin="9320,6581" coordsize="38,32">
            <v:line style="position:absolute" from="9326,6584" to="9353,6584" stroked="true" strokeweight=".252398pt" strokecolor="#008000">
              <v:stroke dashstyle="solid"/>
            </v:line>
            <v:line style="position:absolute" from="9323,6584" to="9355,6584" stroked="true" strokeweight=".252402pt" strokecolor="#008000">
              <v:stroke dashstyle="solid"/>
            </v:line>
            <v:line style="position:absolute" from="9326,6589" to="9348,6589" stroked="true" strokeweight=".252398pt" strokecolor="#008000">
              <v:stroke dashstyle="solid"/>
            </v:line>
            <v:line style="position:absolute" from="9323,6589" to="9351,6589" stroked="true" strokeweight=".252402pt" strokecolor="#008000">
              <v:stroke dashstyle="solid"/>
            </v:line>
            <v:line style="position:absolute" from="9323,6594" to="9346,6594" stroked="true" strokeweight=".252402pt" strokecolor="#008000">
              <v:stroke dashstyle="solid"/>
            </v:line>
            <v:line style="position:absolute" from="9323,6599" to="9342,6599" stroked="true" strokeweight=".252402pt" strokecolor="#008000">
              <v:stroke dashstyle="solid"/>
            </v:line>
            <v:line style="position:absolute" from="9323,6604" to="9337,6604" stroked="true" strokeweight=".25239pt" strokecolor="#008000">
              <v:stroke dashstyle="solid"/>
            </v:line>
            <v:line style="position:absolute" from="9326,6609" to="9330,6609" stroked="true" strokeweight=".252398pt" strokecolor="#008000">
              <v:stroke dashstyle="solid"/>
            </v:line>
            <w10:wrap type="none"/>
          </v:group>
        </w:pict>
      </w:r>
      <w:r>
        <w:rPr/>
        <w:pict>
          <v:group style="position:absolute;margin-left:492.485535pt;margin-top:329.050446pt;width:1.9pt;height:1.85pt;mso-position-horizontal-relative:page;mso-position-vertical-relative:page;z-index:-843760" coordorigin="9850,6581" coordsize="38,37">
            <v:line style="position:absolute" from="9855,6584" to="9882,6584" stroked="true" strokeweight=".252398pt" strokecolor="#008000">
              <v:stroke dashstyle="solid"/>
            </v:line>
            <v:line style="position:absolute" from="9853,6584" to="9884,6584" stroked="true" strokeweight=".252402pt" strokecolor="#008000">
              <v:stroke dashstyle="solid"/>
            </v:line>
            <v:line style="position:absolute" from="9855,6589" to="9878,6589" stroked="true" strokeweight=".252398pt" strokecolor="#008000">
              <v:stroke dashstyle="solid"/>
            </v:line>
            <v:line style="position:absolute" from="9853,6589" to="9880,6589" stroked="true" strokeweight=".252402pt" strokecolor="#008000">
              <v:stroke dashstyle="solid"/>
            </v:line>
            <v:line style="position:absolute" from="9855,6594" to="9873,6594" stroked="true" strokeweight=".252398pt" strokecolor="#008000">
              <v:stroke dashstyle="solid"/>
            </v:line>
            <v:line style="position:absolute" from="9853,6594" to="9875,6594" stroked="true" strokeweight=".252402pt" strokecolor="#008000">
              <v:stroke dashstyle="solid"/>
            </v:line>
            <v:line style="position:absolute" from="9855,6599" to="9869,6599" stroked="true" strokeweight=".252398pt" strokecolor="#008000">
              <v:stroke dashstyle="solid"/>
            </v:line>
            <v:line style="position:absolute" from="9853,6599" to="9871,6599" stroked="true" strokeweight=".252402pt" strokecolor="#008000">
              <v:stroke dashstyle="solid"/>
            </v:line>
            <v:line style="position:absolute" from="9853,6604" to="9866,6604" stroked="true" strokeweight=".25239pt" strokecolor="#008000">
              <v:stroke dashstyle="solid"/>
            </v:line>
            <v:line style="position:absolute" from="9855,6609" to="9859,6609" stroked="true" strokeweight=".252398pt" strokecolor="#008000">
              <v:stroke dashstyle="solid"/>
            </v:line>
            <v:line style="position:absolute" from="9853,6609" to="9862,6609" stroked="true" strokeweight=".252402pt" strokecolor="#008000">
              <v:stroke dashstyle="solid"/>
            </v:line>
            <v:line style="position:absolute" from="9853,6614" to="9857,6614" stroked="true" strokeweight=".252402pt" strokecolor="#008000">
              <v:stroke dashstyle="solid"/>
            </v:line>
            <w10:wrap type="none"/>
          </v:group>
        </w:pict>
      </w:r>
      <w:r>
        <w:rPr/>
        <w:pict>
          <v:group style="position:absolute;margin-left:523.697632pt;margin-top:329.050446pt;width:1.9pt;height:1.35pt;mso-position-horizontal-relative:page;mso-position-vertical-relative:page;z-index:-843736" coordorigin="10474,6581" coordsize="38,27">
            <v:line style="position:absolute" from="10479,6584" to="10506,6584" stroked="true" strokeweight=".252398pt" strokecolor="#008000">
              <v:stroke dashstyle="solid"/>
            </v:line>
            <v:line style="position:absolute" from="10477,6584" to="10509,6584" stroked="true" strokeweight=".252402pt" strokecolor="#008000">
              <v:stroke dashstyle="solid"/>
            </v:line>
            <v:line style="position:absolute" from="10479,6589" to="10502,6589" stroked="true" strokeweight=".252398pt" strokecolor="#008000">
              <v:stroke dashstyle="solid"/>
            </v:line>
            <v:line style="position:absolute" from="10477,6589" to="10504,6589" stroked="true" strokeweight=".252402pt" strokecolor="#008000">
              <v:stroke dashstyle="solid"/>
            </v:line>
            <v:line style="position:absolute" from="10477,6594" to="10500,6594" stroked="true" strokeweight=".252402pt" strokecolor="#008000">
              <v:stroke dashstyle="solid"/>
            </v:line>
            <v:line style="position:absolute" from="10477,6599" to="10495,6599" stroked="true" strokeweight=".252402pt" strokecolor="#008000">
              <v:stroke dashstyle="solid"/>
            </v:line>
            <v:line style="position:absolute" from="10477,6604" to="10491,6604" stroked="true" strokeweight=".25239pt" strokecolor="#008000">
              <v:stroke dashstyle="solid"/>
            </v:line>
            <w10:wrap type="none"/>
          </v:group>
        </w:pict>
      </w:r>
      <w:r>
        <w:rPr/>
        <w:pict>
          <v:group style="position:absolute;margin-left:227.804901pt;margin-top:377.287964pt;width:1.9pt;height:1.85pt;mso-position-horizontal-relative:page;mso-position-vertical-relative:page;z-index:-843712" coordorigin="4556,7546" coordsize="38,37">
            <v:line style="position:absolute" from="4561,7549" to="4588,7549" stroked="true" strokeweight=".252398pt" strokecolor="#008000">
              <v:stroke dashstyle="solid"/>
            </v:line>
            <v:line style="position:absolute" from="4559,7549" to="4591,7549" stroked="true" strokeweight=".25239pt" strokecolor="#008000">
              <v:stroke dashstyle="solid"/>
            </v:line>
            <v:line style="position:absolute" from="4561,7554" to="4584,7554" stroked="true" strokeweight=".252398pt" strokecolor="#008000">
              <v:stroke dashstyle="solid"/>
            </v:line>
            <v:line style="position:absolute" from="4559,7554" to="4586,7554" stroked="true" strokeweight=".252415pt" strokecolor="#008000">
              <v:stroke dashstyle="solid"/>
            </v:line>
            <v:line style="position:absolute" from="4561,7559" to="4579,7559" stroked="true" strokeweight=".252398pt" strokecolor="#008000">
              <v:stroke dashstyle="solid"/>
            </v:line>
            <v:line style="position:absolute" from="4559,7559" to="4582,7559" stroked="true" strokeweight=".25239pt" strokecolor="#008000">
              <v:stroke dashstyle="solid"/>
            </v:line>
            <v:line style="position:absolute" from="4561,7564" to="4575,7564" stroked="true" strokeweight=".252398pt" strokecolor="#008000">
              <v:stroke dashstyle="solid"/>
            </v:line>
            <v:line style="position:absolute" from="4559,7564" to="4577,7564" stroked="true" strokeweight=".252415pt" strokecolor="#008000">
              <v:stroke dashstyle="solid"/>
            </v:line>
            <v:line style="position:absolute" from="4559,7569" to="4573,7569" stroked="true" strokeweight=".25239pt" strokecolor="#008000">
              <v:stroke dashstyle="solid"/>
            </v:line>
            <v:line style="position:absolute" from="4561,7574" to="4566,7574" stroked="true" strokeweight=".252398pt" strokecolor="#008000">
              <v:stroke dashstyle="solid"/>
            </v:line>
            <v:line style="position:absolute" from="4559,7574" to="4568,7574" stroked="true" strokeweight=".25239pt" strokecolor="#008000">
              <v:stroke dashstyle="solid"/>
            </v:line>
            <v:line style="position:absolute" from="4559,7579" to="4564,7579" stroked="true" strokeweight=".252415pt" strokecolor="#008000">
              <v:stroke dashstyle="solid"/>
            </v:line>
            <w10:wrap type="none"/>
          </v:group>
        </w:pict>
      </w:r>
      <w:r>
        <w:rPr/>
        <w:pict>
          <v:group style="position:absolute;margin-left:254.279755pt;margin-top:377.287964pt;width:1.9pt;height:1.85pt;mso-position-horizontal-relative:page;mso-position-vertical-relative:page;z-index:-843688" coordorigin="5086,7546" coordsize="38,37">
            <v:line style="position:absolute" from="5091,7549" to="5118,7549" stroked="true" strokeweight=".252398pt" strokecolor="#008000">
              <v:stroke dashstyle="solid"/>
            </v:line>
            <v:line style="position:absolute" from="5089,7549" to="5120,7549" stroked="true" strokeweight=".25239pt" strokecolor="#008000">
              <v:stroke dashstyle="solid"/>
            </v:line>
            <v:line style="position:absolute" from="5091,7554" to="5113,7554" stroked="true" strokeweight=".252398pt" strokecolor="#008000">
              <v:stroke dashstyle="solid"/>
            </v:line>
            <v:line style="position:absolute" from="5089,7554" to="5116,7554" stroked="true" strokeweight=".252415pt" strokecolor="#008000">
              <v:stroke dashstyle="solid"/>
            </v:line>
            <v:line style="position:absolute" from="5091,7559" to="5109,7559" stroked="true" strokeweight=".252398pt" strokecolor="#008000">
              <v:stroke dashstyle="solid"/>
            </v:line>
            <v:line style="position:absolute" from="5089,7559" to="5111,7559" stroked="true" strokeweight=".25239pt" strokecolor="#008000">
              <v:stroke dashstyle="solid"/>
            </v:line>
            <v:line style="position:absolute" from="5091,7564" to="5104,7564" stroked="true" strokeweight=".252398pt" strokecolor="#008000">
              <v:stroke dashstyle="solid"/>
            </v:line>
            <v:line style="position:absolute" from="5089,7564" to="5107,7564" stroked="true" strokeweight=".252415pt" strokecolor="#008000">
              <v:stroke dashstyle="solid"/>
            </v:line>
            <v:line style="position:absolute" from="5089,7569" to="5102,7569" stroked="true" strokeweight=".25239pt" strokecolor="#008000">
              <v:stroke dashstyle="solid"/>
            </v:line>
            <v:line style="position:absolute" from="5091,7574" to="5095,7574" stroked="true" strokeweight=".252398pt" strokecolor="#008000">
              <v:stroke dashstyle="solid"/>
            </v:line>
            <v:line style="position:absolute" from="5089,7574" to="5098,7574" stroked="true" strokeweight=".25239pt" strokecolor="#008000">
              <v:stroke dashstyle="solid"/>
            </v:line>
            <v:line style="position:absolute" from="5089,7579" to="5093,7579" stroked="true" strokeweight=".252415pt" strokecolor="#008000">
              <v:stroke dashstyle="solid"/>
            </v:line>
            <w10:wrap type="none"/>
          </v:group>
        </w:pict>
      </w:r>
      <w:r>
        <w:rPr/>
        <w:pict>
          <v:group style="position:absolute;margin-left:280.743286pt;margin-top:377.287964pt;width:1.9pt;height:1.85pt;mso-position-horizontal-relative:page;mso-position-vertical-relative:page;z-index:-843664" coordorigin="5615,7546" coordsize="38,37">
            <v:line style="position:absolute" from="5620,7549" to="5647,7549" stroked="true" strokeweight=".252398pt" strokecolor="#008000">
              <v:stroke dashstyle="solid"/>
            </v:line>
            <v:line style="position:absolute" from="5618,7549" to="5650,7549" stroked="true" strokeweight=".25239pt" strokecolor="#008000">
              <v:stroke dashstyle="solid"/>
            </v:line>
            <v:line style="position:absolute" from="5620,7554" to="5643,7554" stroked="true" strokeweight=".252398pt" strokecolor="#008000">
              <v:stroke dashstyle="solid"/>
            </v:line>
            <v:line style="position:absolute" from="5618,7554" to="5645,7554" stroked="true" strokeweight=".252415pt" strokecolor="#008000">
              <v:stroke dashstyle="solid"/>
            </v:line>
            <v:line style="position:absolute" from="5620,7559" to="5638,7559" stroked="true" strokeweight=".252398pt" strokecolor="#008000">
              <v:stroke dashstyle="solid"/>
            </v:line>
            <v:line style="position:absolute" from="5618,7559" to="5640,7559" stroked="true" strokeweight=".25239pt" strokecolor="#008000">
              <v:stroke dashstyle="solid"/>
            </v:line>
            <v:line style="position:absolute" from="5620,7564" to="5634,7564" stroked="true" strokeweight=".252398pt" strokecolor="#008000">
              <v:stroke dashstyle="solid"/>
            </v:line>
            <v:line style="position:absolute" from="5618,7564" to="5636,7564" stroked="true" strokeweight=".252415pt" strokecolor="#008000">
              <v:stroke dashstyle="solid"/>
            </v:line>
            <v:line style="position:absolute" from="5618,7569" to="5631,7569" stroked="true" strokeweight=".25239pt" strokecolor="#008000">
              <v:stroke dashstyle="solid"/>
            </v:line>
            <v:line style="position:absolute" from="5620,7574" to="5625,7574" stroked="true" strokeweight=".252398pt" strokecolor="#008000">
              <v:stroke dashstyle="solid"/>
            </v:line>
            <v:line style="position:absolute" from="5618,7574" to="5627,7574" stroked="true" strokeweight=".25239pt" strokecolor="#008000">
              <v:stroke dashstyle="solid"/>
            </v:line>
            <v:line style="position:absolute" from="5618,7579" to="5622,7579" stroked="true" strokeweight=".252415pt" strokecolor="#008000">
              <v:stroke dashstyle="solid"/>
            </v:line>
            <w10:wrap type="none"/>
          </v:group>
        </w:pict>
      </w:r>
      <w:r>
        <w:rPr/>
        <w:pict>
          <v:group style="position:absolute;margin-left:307.210602pt;margin-top:377.287964pt;width:1.9pt;height:1.85pt;mso-position-horizontal-relative:page;mso-position-vertical-relative:page;z-index:-843640" coordorigin="6144,7546" coordsize="38,37">
            <v:line style="position:absolute" from="6149,7549" to="6177,7549" stroked="true" strokeweight=".252398pt" strokecolor="#008000">
              <v:stroke dashstyle="solid"/>
            </v:line>
            <v:line style="position:absolute" from="6147,7549" to="6179,7549" stroked="true" strokeweight=".25239pt" strokecolor="#008000">
              <v:stroke dashstyle="solid"/>
            </v:line>
            <v:line style="position:absolute" from="6149,7554" to="6172,7554" stroked="true" strokeweight=".252398pt" strokecolor="#008000">
              <v:stroke dashstyle="solid"/>
            </v:line>
            <v:line style="position:absolute" from="6147,7554" to="6174,7554" stroked="true" strokeweight=".252415pt" strokecolor="#008000">
              <v:stroke dashstyle="solid"/>
            </v:line>
            <v:line style="position:absolute" from="6149,7559" to="6168,7559" stroked="true" strokeweight=".252398pt" strokecolor="#008000">
              <v:stroke dashstyle="solid"/>
            </v:line>
            <v:line style="position:absolute" from="6147,7559" to="6170,7559" stroked="true" strokeweight=".25239pt" strokecolor="#008000">
              <v:stroke dashstyle="solid"/>
            </v:line>
            <v:line style="position:absolute" from="6149,7564" to="6163,7564" stroked="true" strokeweight=".252398pt" strokecolor="#008000">
              <v:stroke dashstyle="solid"/>
            </v:line>
            <v:line style="position:absolute" from="6147,7564" to="6165,7564" stroked="true" strokeweight=".252415pt" strokecolor="#008000">
              <v:stroke dashstyle="solid"/>
            </v:line>
            <v:line style="position:absolute" from="6147,7569" to="6161,7569" stroked="true" strokeweight=".25239pt" strokecolor="#008000">
              <v:stroke dashstyle="solid"/>
            </v:line>
            <v:line style="position:absolute" from="6149,7574" to="6154,7574" stroked="true" strokeweight=".252398pt" strokecolor="#008000">
              <v:stroke dashstyle="solid"/>
            </v:line>
            <v:line style="position:absolute" from="6147,7574" to="6156,7574" stroked="true" strokeweight=".25239pt" strokecolor="#008000">
              <v:stroke dashstyle="solid"/>
            </v:line>
            <v:line style="position:absolute" from="6147,7579" to="6152,7579" stroked="true" strokeweight=".252415pt" strokecolor="#008000">
              <v:stroke dashstyle="solid"/>
            </v:line>
            <w10:wrap type="none"/>
          </v:group>
        </w:pict>
      </w:r>
      <w:r>
        <w:rPr/>
        <w:pict>
          <v:group style="position:absolute;margin-left:333.674133pt;margin-top:377.287964pt;width:1.9pt;height:1.85pt;mso-position-horizontal-relative:page;mso-position-vertical-relative:page;z-index:-843616" coordorigin="6673,7546" coordsize="38,37">
            <v:line style="position:absolute" from="6679,7549" to="6706,7549" stroked="true" strokeweight=".252398pt" strokecolor="#008000">
              <v:stroke dashstyle="solid"/>
            </v:line>
            <v:line style="position:absolute" from="6676,7549" to="6708,7549" stroked="true" strokeweight=".25239pt" strokecolor="#008000">
              <v:stroke dashstyle="solid"/>
            </v:line>
            <v:line style="position:absolute" from="6679,7554" to="6701,7554" stroked="true" strokeweight=".252398pt" strokecolor="#008000">
              <v:stroke dashstyle="solid"/>
            </v:line>
            <v:line style="position:absolute" from="6676,7554" to="6704,7554" stroked="true" strokeweight=".252415pt" strokecolor="#008000">
              <v:stroke dashstyle="solid"/>
            </v:line>
            <v:line style="position:absolute" from="6679,7559" to="6697,7559" stroked="true" strokeweight=".252398pt" strokecolor="#008000">
              <v:stroke dashstyle="solid"/>
            </v:line>
            <v:line style="position:absolute" from="6676,7559" to="6699,7559" stroked="true" strokeweight=".25239pt" strokecolor="#008000">
              <v:stroke dashstyle="solid"/>
            </v:line>
            <v:line style="position:absolute" from="6679,7564" to="6692,7564" stroked="true" strokeweight=".252398pt" strokecolor="#008000">
              <v:stroke dashstyle="solid"/>
            </v:line>
            <v:line style="position:absolute" from="6676,7564" to="6695,7564" stroked="true" strokeweight=".252415pt" strokecolor="#008000">
              <v:stroke dashstyle="solid"/>
            </v:line>
            <v:line style="position:absolute" from="6676,7569" to="6690,7569" stroked="true" strokeweight=".25239pt" strokecolor="#008000">
              <v:stroke dashstyle="solid"/>
            </v:line>
            <v:line style="position:absolute" from="6679,7574" to="6683,7574" stroked="true" strokeweight=".252398pt" strokecolor="#008000">
              <v:stroke dashstyle="solid"/>
            </v:line>
            <v:line style="position:absolute" from="6676,7574" to="6686,7574" stroked="true" strokeweight=".25239pt" strokecolor="#008000">
              <v:stroke dashstyle="solid"/>
            </v:line>
            <v:line style="position:absolute" from="6676,7579" to="6681,7579" stroked="true" strokeweight=".252415pt" strokecolor="#008000">
              <v:stroke dashstyle="solid"/>
            </v:line>
            <w10:wrap type="none"/>
          </v:group>
        </w:pict>
      </w:r>
      <w:r>
        <w:rPr/>
        <w:pict>
          <v:group style="position:absolute;margin-left:360.148987pt;margin-top:377.287964pt;width:1.9pt;height:1.85pt;mso-position-horizontal-relative:page;mso-position-vertical-relative:page;z-index:-843592" coordorigin="7203,7546" coordsize="38,37">
            <v:line style="position:absolute" from="7208,7549" to="7235,7549" stroked="true" strokeweight=".252398pt" strokecolor="#008000">
              <v:stroke dashstyle="solid"/>
            </v:line>
            <v:line style="position:absolute" from="7206,7549" to="7238,7549" stroked="true" strokeweight=".25239pt" strokecolor="#008000">
              <v:stroke dashstyle="solid"/>
            </v:line>
            <v:line style="position:absolute" from="7208,7554" to="7231,7554" stroked="true" strokeweight=".252398pt" strokecolor="#008000">
              <v:stroke dashstyle="solid"/>
            </v:line>
            <v:line style="position:absolute" from="7206,7554" to="7233,7554" stroked="true" strokeweight=".252415pt" strokecolor="#008000">
              <v:stroke dashstyle="solid"/>
            </v:line>
            <v:line style="position:absolute" from="7208,7559" to="7226,7559" stroked="true" strokeweight=".252398pt" strokecolor="#008000">
              <v:stroke dashstyle="solid"/>
            </v:line>
            <v:line style="position:absolute" from="7206,7559" to="7229,7559" stroked="true" strokeweight=".25239pt" strokecolor="#008000">
              <v:stroke dashstyle="solid"/>
            </v:line>
            <v:line style="position:absolute" from="7208,7564" to="7222,7564" stroked="true" strokeweight=".252398pt" strokecolor="#008000">
              <v:stroke dashstyle="solid"/>
            </v:line>
            <v:line style="position:absolute" from="7206,7564" to="7224,7564" stroked="true" strokeweight=".252415pt" strokecolor="#008000">
              <v:stroke dashstyle="solid"/>
            </v:line>
            <v:line style="position:absolute" from="7206,7569" to="7220,7569" stroked="true" strokeweight=".25239pt" strokecolor="#008000">
              <v:stroke dashstyle="solid"/>
            </v:line>
            <v:line style="position:absolute" from="7208,7574" to="7213,7574" stroked="true" strokeweight=".252398pt" strokecolor="#008000">
              <v:stroke dashstyle="solid"/>
            </v:line>
            <v:line style="position:absolute" from="7206,7574" to="7215,7574" stroked="true" strokeweight=".25239pt" strokecolor="#008000">
              <v:stroke dashstyle="solid"/>
            </v:line>
            <v:line style="position:absolute" from="7206,7579" to="7211,7579" stroked="true" strokeweight=".252415pt" strokecolor="#008000">
              <v:stroke dashstyle="solid"/>
            </v:line>
            <w10:wrap type="none"/>
          </v:group>
        </w:pict>
      </w:r>
      <w:r>
        <w:rPr/>
        <w:pict>
          <v:group style="position:absolute;margin-left:386.616302pt;margin-top:377.287964pt;width:1.9pt;height:1.85pt;mso-position-horizontal-relative:page;mso-position-vertical-relative:page;z-index:-843568" coordorigin="7732,7546" coordsize="38,37">
            <v:line style="position:absolute" from="7738,7549" to="7765,7549" stroked="true" strokeweight=".252398pt" strokecolor="#008000">
              <v:stroke dashstyle="solid"/>
            </v:line>
            <v:line style="position:absolute" from="7735,7549" to="7767,7549" stroked="true" strokeweight=".25239pt" strokecolor="#008000">
              <v:stroke dashstyle="solid"/>
            </v:line>
            <v:line style="position:absolute" from="7738,7554" to="7760,7554" stroked="true" strokeweight=".252398pt" strokecolor="#008000">
              <v:stroke dashstyle="solid"/>
            </v:line>
            <v:line style="position:absolute" from="7735,7554" to="7762,7554" stroked="true" strokeweight=".252415pt" strokecolor="#008000">
              <v:stroke dashstyle="solid"/>
            </v:line>
            <v:line style="position:absolute" from="7738,7559" to="7756,7559" stroked="true" strokeweight=".252398pt" strokecolor="#008000">
              <v:stroke dashstyle="solid"/>
            </v:line>
            <v:line style="position:absolute" from="7735,7559" to="7758,7559" stroked="true" strokeweight=".25239pt" strokecolor="#008000">
              <v:stroke dashstyle="solid"/>
            </v:line>
            <v:line style="position:absolute" from="7738,7564" to="7751,7564" stroked="true" strokeweight=".252398pt" strokecolor="#008000">
              <v:stroke dashstyle="solid"/>
            </v:line>
            <v:line style="position:absolute" from="7735,7564" to="7753,7564" stroked="true" strokeweight=".252415pt" strokecolor="#008000">
              <v:stroke dashstyle="solid"/>
            </v:line>
            <v:line style="position:absolute" from="7735,7569" to="7749,7569" stroked="true" strokeweight=".25239pt" strokecolor="#008000">
              <v:stroke dashstyle="solid"/>
            </v:line>
            <v:line style="position:absolute" from="7738,7574" to="7742,7574" stroked="true" strokeweight=".252398pt" strokecolor="#008000">
              <v:stroke dashstyle="solid"/>
            </v:line>
            <v:line style="position:absolute" from="7735,7574" to="7744,7574" stroked="true" strokeweight=".25239pt" strokecolor="#008000">
              <v:stroke dashstyle="solid"/>
            </v:line>
            <v:line style="position:absolute" from="7735,7579" to="7740,7579" stroked="true" strokeweight=".252415pt" strokecolor="#008000">
              <v:stroke dashstyle="solid"/>
            </v:line>
            <w10:wrap type="none"/>
          </v:group>
        </w:pict>
      </w:r>
      <w:r>
        <w:rPr/>
        <w:pict>
          <v:group style="position:absolute;margin-left:413.079834pt;margin-top:377.287964pt;width:1.9pt;height:1.85pt;mso-position-horizontal-relative:page;mso-position-vertical-relative:page;z-index:-843544" coordorigin="8262,7546" coordsize="38,37">
            <v:line style="position:absolute" from="8267,7549" to="8294,7549" stroked="true" strokeweight=".252398pt" strokecolor="#008000">
              <v:stroke dashstyle="solid"/>
            </v:line>
            <v:line style="position:absolute" from="8265,7549" to="8296,7549" stroked="true" strokeweight=".25239pt" strokecolor="#008000">
              <v:stroke dashstyle="solid"/>
            </v:line>
            <v:line style="position:absolute" from="8267,7554" to="8289,7554" stroked="true" strokeweight=".252398pt" strokecolor="#008000">
              <v:stroke dashstyle="solid"/>
            </v:line>
            <v:line style="position:absolute" from="8265,7554" to="8292,7554" stroked="true" strokeweight=".252415pt" strokecolor="#008000">
              <v:stroke dashstyle="solid"/>
            </v:line>
            <v:line style="position:absolute" from="8267,7559" to="8285,7559" stroked="true" strokeweight=".252398pt" strokecolor="#008000">
              <v:stroke dashstyle="solid"/>
            </v:line>
            <v:line style="position:absolute" from="8265,7559" to="8287,7559" stroked="true" strokeweight=".25239pt" strokecolor="#008000">
              <v:stroke dashstyle="solid"/>
            </v:line>
            <v:line style="position:absolute" from="8267,7564" to="8280,7564" stroked="true" strokeweight=".252398pt" strokecolor="#008000">
              <v:stroke dashstyle="solid"/>
            </v:line>
            <v:line style="position:absolute" from="8265,7564" to="8283,7564" stroked="true" strokeweight=".252415pt" strokecolor="#008000">
              <v:stroke dashstyle="solid"/>
            </v:line>
            <v:line style="position:absolute" from="8265,7569" to="8278,7569" stroked="true" strokeweight=".25239pt" strokecolor="#008000">
              <v:stroke dashstyle="solid"/>
            </v:line>
            <v:line style="position:absolute" from="8267,7574" to="8271,7574" stroked="true" strokeweight=".252398pt" strokecolor="#008000">
              <v:stroke dashstyle="solid"/>
            </v:line>
            <v:line style="position:absolute" from="8265,7574" to="8274,7574" stroked="true" strokeweight=".25239pt" strokecolor="#008000">
              <v:stroke dashstyle="solid"/>
            </v:line>
            <v:line style="position:absolute" from="8265,7579" to="8269,7579" stroked="true" strokeweight=".252415pt" strokecolor="#008000">
              <v:stroke dashstyle="solid"/>
            </v:line>
            <w10:wrap type="none"/>
          </v:group>
        </w:pict>
      </w:r>
      <w:r>
        <w:rPr/>
        <w:pict>
          <v:group style="position:absolute;margin-left:439.543396pt;margin-top:377.287964pt;width:1.9pt;height:1.85pt;mso-position-horizontal-relative:page;mso-position-vertical-relative:page;z-index:-843520" coordorigin="8791,7546" coordsize="38,37">
            <v:line style="position:absolute" from="8796,7549" to="8823,7549" stroked="true" strokeweight=".252398pt" strokecolor="#008000">
              <v:stroke dashstyle="solid"/>
            </v:line>
            <v:line style="position:absolute" from="8794,7549" to="8826,7549" stroked="true" strokeweight=".25239pt" strokecolor="#008000">
              <v:stroke dashstyle="solid"/>
            </v:line>
            <v:line style="position:absolute" from="8796,7554" to="8819,7554" stroked="true" strokeweight=".252398pt" strokecolor="#008000">
              <v:stroke dashstyle="solid"/>
            </v:line>
            <v:line style="position:absolute" from="8794,7554" to="8821,7554" stroked="true" strokeweight=".252415pt" strokecolor="#008000">
              <v:stroke dashstyle="solid"/>
            </v:line>
            <v:line style="position:absolute" from="8796,7559" to="8814,7559" stroked="true" strokeweight=".252398pt" strokecolor="#008000">
              <v:stroke dashstyle="solid"/>
            </v:line>
            <v:line style="position:absolute" from="8794,7559" to="8816,7559" stroked="true" strokeweight=".25239pt" strokecolor="#008000">
              <v:stroke dashstyle="solid"/>
            </v:line>
            <v:line style="position:absolute" from="8796,7564" to="8810,7564" stroked="true" strokeweight=".252398pt" strokecolor="#008000">
              <v:stroke dashstyle="solid"/>
            </v:line>
            <v:line style="position:absolute" from="8794,7564" to="8812,7564" stroked="true" strokeweight=".252415pt" strokecolor="#008000">
              <v:stroke dashstyle="solid"/>
            </v:line>
            <v:line style="position:absolute" from="8796,7569" to="8805,7569" stroked="true" strokeweight=".252398pt" strokecolor="#008000">
              <v:stroke dashstyle="solid"/>
            </v:line>
            <v:line style="position:absolute" from="8794,7569" to="8807,7569" stroked="true" strokeweight=".25239pt" strokecolor="#008000">
              <v:stroke dashstyle="solid"/>
            </v:line>
            <v:line style="position:absolute" from="8796,7574" to="8801,7574" stroked="true" strokeweight=".252398pt" strokecolor="#008000">
              <v:stroke dashstyle="solid"/>
            </v:line>
            <v:line style="position:absolute" from="8794,7574" to="8803,7574" stroked="true" strokeweight=".25239pt" strokecolor="#008000">
              <v:stroke dashstyle="solid"/>
            </v:line>
            <v:line style="position:absolute" from="8794,7579" to="8798,7579" stroked="true" strokeweight=".252415pt" strokecolor="#008000">
              <v:stroke dashstyle="solid"/>
            </v:line>
            <w10:wrap type="none"/>
          </v:group>
        </w:pict>
      </w:r>
      <w:r>
        <w:rPr/>
        <w:pict>
          <v:group style="position:absolute;margin-left:466.022003pt;margin-top:377.287964pt;width:1.9pt;height:1.6pt;mso-position-horizontal-relative:page;mso-position-vertical-relative:page;z-index:-843496" coordorigin="9320,7546" coordsize="38,32">
            <v:line style="position:absolute" from="9326,7549" to="9353,7549" stroked="true" strokeweight=".252398pt" strokecolor="#008000">
              <v:stroke dashstyle="solid"/>
            </v:line>
            <v:line style="position:absolute" from="9323,7549" to="9355,7549" stroked="true" strokeweight=".25239pt" strokecolor="#008000">
              <v:stroke dashstyle="solid"/>
            </v:line>
            <v:line style="position:absolute" from="9326,7554" to="9348,7554" stroked="true" strokeweight=".252398pt" strokecolor="#008000">
              <v:stroke dashstyle="solid"/>
            </v:line>
            <v:line style="position:absolute" from="9323,7554" to="9351,7554" stroked="true" strokeweight=".252415pt" strokecolor="#008000">
              <v:stroke dashstyle="solid"/>
            </v:line>
            <v:line style="position:absolute" from="9323,7559" to="9346,7559" stroked="true" strokeweight=".25239pt" strokecolor="#008000">
              <v:stroke dashstyle="solid"/>
            </v:line>
            <v:line style="position:absolute" from="9323,7564" to="9342,7564" stroked="true" strokeweight=".252415pt" strokecolor="#008000">
              <v:stroke dashstyle="solid"/>
            </v:line>
            <v:line style="position:absolute" from="9323,7569" to="9337,7569" stroked="true" strokeweight=".25239pt" strokecolor="#008000">
              <v:stroke dashstyle="solid"/>
            </v:line>
            <v:line style="position:absolute" from="9326,7574" to="9330,7574" stroked="true" strokeweight=".252398pt" strokecolor="#008000">
              <v:stroke dashstyle="solid"/>
            </v:line>
            <w10:wrap type="none"/>
          </v:group>
        </w:pict>
      </w:r>
      <w:r>
        <w:rPr/>
        <w:pict>
          <v:group style="position:absolute;margin-left:492.485535pt;margin-top:377.287964pt;width:1.9pt;height:1.85pt;mso-position-horizontal-relative:page;mso-position-vertical-relative:page;z-index:-843472" coordorigin="9850,7546" coordsize="38,37">
            <v:line style="position:absolute" from="9855,7549" to="9882,7549" stroked="true" strokeweight=".252398pt" strokecolor="#008000">
              <v:stroke dashstyle="solid"/>
            </v:line>
            <v:line style="position:absolute" from="9853,7549" to="9884,7549" stroked="true" strokeweight=".25239pt" strokecolor="#008000">
              <v:stroke dashstyle="solid"/>
            </v:line>
            <v:line style="position:absolute" from="9855,7554" to="9878,7554" stroked="true" strokeweight=".252398pt" strokecolor="#008000">
              <v:stroke dashstyle="solid"/>
            </v:line>
            <v:line style="position:absolute" from="9853,7554" to="9880,7554" stroked="true" strokeweight=".252415pt" strokecolor="#008000">
              <v:stroke dashstyle="solid"/>
            </v:line>
            <v:line style="position:absolute" from="9855,7559" to="9873,7559" stroked="true" strokeweight=".252398pt" strokecolor="#008000">
              <v:stroke dashstyle="solid"/>
            </v:line>
            <v:line style="position:absolute" from="9853,7559" to="9875,7559" stroked="true" strokeweight=".25239pt" strokecolor="#008000">
              <v:stroke dashstyle="solid"/>
            </v:line>
            <v:line style="position:absolute" from="9855,7564" to="9869,7564" stroked="true" strokeweight=".252398pt" strokecolor="#008000">
              <v:stroke dashstyle="solid"/>
            </v:line>
            <v:line style="position:absolute" from="9853,7564" to="9871,7564" stroked="true" strokeweight=".252415pt" strokecolor="#008000">
              <v:stroke dashstyle="solid"/>
            </v:line>
            <v:line style="position:absolute" from="9853,7569" to="9866,7569" stroked="true" strokeweight=".25239pt" strokecolor="#008000">
              <v:stroke dashstyle="solid"/>
            </v:line>
            <v:line style="position:absolute" from="9855,7574" to="9859,7574" stroked="true" strokeweight=".252398pt" strokecolor="#008000">
              <v:stroke dashstyle="solid"/>
            </v:line>
            <v:line style="position:absolute" from="9853,7574" to="9862,7574" stroked="true" strokeweight=".25239pt" strokecolor="#008000">
              <v:stroke dashstyle="solid"/>
            </v:line>
            <v:line style="position:absolute" from="9853,7579" to="9857,7579" stroked="true" strokeweight=".252415pt" strokecolor="#008000">
              <v:stroke dashstyle="solid"/>
            </v:line>
            <w10:wrap type="none"/>
          </v:group>
        </w:pict>
      </w:r>
      <w:r>
        <w:rPr/>
        <w:pict>
          <v:group style="position:absolute;margin-left:523.697632pt;margin-top:377.287964pt;width:1.9pt;height:1.35pt;mso-position-horizontal-relative:page;mso-position-vertical-relative:page;z-index:-843448" coordorigin="10474,7546" coordsize="38,27">
            <v:line style="position:absolute" from="10479,7549" to="10506,7549" stroked="true" strokeweight=".252398pt" strokecolor="#008000">
              <v:stroke dashstyle="solid"/>
            </v:line>
            <v:line style="position:absolute" from="10477,7549" to="10509,7549" stroked="true" strokeweight=".25239pt" strokecolor="#008000">
              <v:stroke dashstyle="solid"/>
            </v:line>
            <v:line style="position:absolute" from="10479,7554" to="10502,7554" stroked="true" strokeweight=".252398pt" strokecolor="#008000">
              <v:stroke dashstyle="solid"/>
            </v:line>
            <v:line style="position:absolute" from="10477,7554" to="10504,7554" stroked="true" strokeweight=".252415pt" strokecolor="#008000">
              <v:stroke dashstyle="solid"/>
            </v:line>
            <v:line style="position:absolute" from="10477,7559" to="10500,7559" stroked="true" strokeweight=".25239pt" strokecolor="#008000">
              <v:stroke dashstyle="solid"/>
            </v:line>
            <v:line style="position:absolute" from="10477,7564" to="10495,7564" stroked="true" strokeweight=".252415pt" strokecolor="#008000">
              <v:stroke dashstyle="solid"/>
            </v:line>
            <v:line style="position:absolute" from="10477,7569" to="10491,7569" stroked="true" strokeweight=".25239pt" strokecolor="#008000">
              <v:stroke dashstyle="solid"/>
            </v:line>
            <w10:wrap type="none"/>
          </v:group>
        </w:pict>
      </w:r>
      <w:r>
        <w:rPr/>
        <w:pict>
          <v:group style="position:absolute;margin-left:492.485535pt;margin-top:389.163269pt;width:1.9pt;height:1.35pt;mso-position-horizontal-relative:page;mso-position-vertical-relative:page;z-index:-843424" coordorigin="9850,7783" coordsize="38,27">
            <v:line style="position:absolute" from="9855,7786" to="9882,7786" stroked="true" strokeweight=".252398pt" strokecolor="#008000">
              <v:stroke dashstyle="solid"/>
            </v:line>
            <v:line style="position:absolute" from="9853,7786" to="9884,7786" stroked="true" strokeweight=".252415pt" strokecolor="#008000">
              <v:stroke dashstyle="solid"/>
            </v:line>
            <v:line style="position:absolute" from="9855,7791" to="9878,7791" stroked="true" strokeweight=".252398pt" strokecolor="#008000">
              <v:stroke dashstyle="solid"/>
            </v:line>
            <v:line style="position:absolute" from="9853,7791" to="9880,7791" stroked="true" strokeweight=".25239pt" strokecolor="#008000">
              <v:stroke dashstyle="solid"/>
            </v:line>
            <v:line style="position:absolute" from="9853,7796" to="9875,7796" stroked="true" strokeweight=".252415pt" strokecolor="#008000">
              <v:stroke dashstyle="solid"/>
            </v:line>
            <v:line style="position:absolute" from="9853,7801" to="9871,7801" stroked="true" strokeweight=".25239pt" strokecolor="#008000">
              <v:stroke dashstyle="solid"/>
            </v:line>
            <v:line style="position:absolute" from="9853,7806" to="9866,7806" stroked="true" strokeweight=".25239pt" strokecolor="#008000">
              <v:stroke dashstyle="solid"/>
            </v:line>
            <w10:wrap type="none"/>
          </v:group>
        </w:pict>
      </w:r>
    </w:p>
    <w:p>
      <w:pPr>
        <w:pStyle w:val="BodyText"/>
        <w:rPr>
          <w:sz w:val="20"/>
        </w:rPr>
      </w:pPr>
    </w:p>
    <w:p>
      <w:pPr>
        <w:pStyle w:val="BodyText"/>
        <w:rPr>
          <w:sz w:val="20"/>
        </w:rPr>
      </w:pPr>
    </w:p>
    <w:p>
      <w:pPr>
        <w:pStyle w:val="BodyText"/>
        <w:rPr>
          <w:sz w:val="20"/>
        </w:rPr>
      </w:pPr>
    </w:p>
    <w:p>
      <w:pPr>
        <w:pStyle w:val="BodyText"/>
        <w:spacing w:before="6"/>
        <w:rPr>
          <w:sz w:val="16"/>
        </w:rPr>
      </w:pPr>
    </w:p>
    <w:p>
      <w:pPr>
        <w:pStyle w:val="BodyText"/>
        <w:ind w:left="1423"/>
        <w:rPr>
          <w:sz w:val="20"/>
        </w:rPr>
      </w:pPr>
      <w:r>
        <w:rPr>
          <w:sz w:val="20"/>
        </w:rPr>
        <w:pict>
          <v:group style="width:515.35pt;height:11.65pt;mso-position-horizontal-relative:char;mso-position-vertical-relative:line" coordorigin="0,0" coordsize="10307,233">
            <v:rect style="position:absolute;left:0;top:0;width:2583;height:232" filled="true" fillcolor="#9f2f33" stroked="false">
              <v:fill type="solid"/>
            </v:rect>
            <v:rect style="position:absolute;left:2602;top:0;width:7076;height:232" filled="true" fillcolor="#9f2f33" stroked="false">
              <v:fill type="solid"/>
            </v:rect>
            <v:rect style="position:absolute;left:9696;top:0;width:611;height:232" filled="true" fillcolor="#9f2f33" stroked="false">
              <v:fill type="solid"/>
            </v:rect>
            <v:shape style="position:absolute;left:1203;top:66;width:183;height:101" type="#_x0000_t202" filled="false" stroked="false">
              <v:textbox inset="0,0,0,0">
                <w:txbxContent>
                  <w:p>
                    <w:pPr>
                      <w:spacing w:line="100" w:lineRule="exact" w:before="0"/>
                      <w:ind w:left="0" w:right="0" w:firstLine="0"/>
                      <w:jc w:val="left"/>
                      <w:rPr>
                        <w:rFonts w:ascii="Times New Roman"/>
                        <w:i/>
                        <w:sz w:val="9"/>
                      </w:rPr>
                    </w:pPr>
                    <w:r>
                      <w:rPr>
                        <w:rFonts w:ascii="Times New Roman"/>
                        <w:i/>
                        <w:color w:val="FFFFFF"/>
                        <w:w w:val="95"/>
                        <w:sz w:val="9"/>
                      </w:rPr>
                      <w:t>Euro</w:t>
                    </w:r>
                  </w:p>
                </w:txbxContent>
              </v:textbox>
              <w10:wrap type="none"/>
            </v:shape>
            <v:shape style="position:absolute;left:2755;top:66;width:247;height:101" type="#_x0000_t202" filled="false" stroked="false">
              <v:textbox inset="0,0,0,0">
                <w:txbxContent>
                  <w:p>
                    <w:pPr>
                      <w:spacing w:line="100" w:lineRule="exact" w:before="0"/>
                      <w:ind w:left="0" w:right="0" w:firstLine="0"/>
                      <w:jc w:val="left"/>
                      <w:rPr>
                        <w:rFonts w:ascii="Times New Roman"/>
                        <w:b/>
                        <w:sz w:val="9"/>
                      </w:rPr>
                    </w:pPr>
                    <w:r>
                      <w:rPr>
                        <w:rFonts w:ascii="Times New Roman"/>
                        <w:b/>
                        <w:color w:val="FFFFFF"/>
                        <w:w w:val="90"/>
                        <w:sz w:val="9"/>
                      </w:rPr>
                      <w:t>apr-18</w:t>
                    </w:r>
                  </w:p>
                </w:txbxContent>
              </v:textbox>
              <w10:wrap type="none"/>
            </v:shape>
            <v:shape style="position:absolute;left:3194;top:10;width:4144;height:217" type="#_x0000_t202" filled="false" stroked="false">
              <v:textbox inset="0,0,0,0">
                <w:txbxContent>
                  <w:p>
                    <w:pPr>
                      <w:spacing w:line="100" w:lineRule="exact" w:before="0"/>
                      <w:ind w:left="0" w:right="18" w:firstLine="0"/>
                      <w:jc w:val="center"/>
                      <w:rPr>
                        <w:rFonts w:ascii="Times New Roman"/>
                        <w:b/>
                        <w:sz w:val="9"/>
                      </w:rPr>
                    </w:pPr>
                    <w:r>
                      <w:rPr>
                        <w:rFonts w:ascii="Times New Roman"/>
                        <w:b/>
                        <w:color w:val="FFFFFF"/>
                        <w:sz w:val="9"/>
                      </w:rPr>
                      <w:t>II quadrim.  III quadrim.   I quadrim.   II quadrim.  III quadrim.   I quadrim.   II quadrim.    III quadrim.</w:t>
                    </w:r>
                  </w:p>
                  <w:p>
                    <w:pPr>
                      <w:tabs>
                        <w:tab w:pos="529" w:val="left" w:leader="none"/>
                        <w:tab w:pos="1058" w:val="left" w:leader="none"/>
                        <w:tab w:pos="1588" w:val="left" w:leader="none"/>
                        <w:tab w:pos="2117" w:val="left" w:leader="none"/>
                        <w:tab w:pos="2646" w:val="left" w:leader="none"/>
                        <w:tab w:pos="3175" w:val="left" w:leader="none"/>
                        <w:tab w:pos="3705" w:val="left" w:leader="none"/>
                      </w:tabs>
                      <w:spacing w:before="13"/>
                      <w:ind w:left="0" w:right="29" w:firstLine="0"/>
                      <w:jc w:val="center"/>
                      <w:rPr>
                        <w:rFonts w:ascii="Times New Roman"/>
                        <w:b/>
                        <w:sz w:val="9"/>
                      </w:rPr>
                    </w:pPr>
                    <w:r>
                      <w:rPr>
                        <w:rFonts w:ascii="Times New Roman"/>
                        <w:b/>
                        <w:color w:val="FFFFFF"/>
                        <w:sz w:val="9"/>
                      </w:rPr>
                      <w:t>2018</w:t>
                      <w:tab/>
                      <w:t>2018</w:t>
                      <w:tab/>
                      <w:t>2019</w:t>
                      <w:tab/>
                      <w:t>2019</w:t>
                      <w:tab/>
                      <w:t>2019</w:t>
                      <w:tab/>
                      <w:t>2020</w:t>
                      <w:tab/>
                      <w:t>2020</w:t>
                      <w:tab/>
                      <w:t>2020</w:t>
                    </w:r>
                  </w:p>
                </w:txbxContent>
              </v:textbox>
              <w10:wrap type="none"/>
            </v:shape>
            <v:shape style="position:absolute;left:7551;top:66;width:183;height:101" type="#_x0000_t202" filled="false" stroked="false">
              <v:textbox inset="0,0,0,0">
                <w:txbxContent>
                  <w:p>
                    <w:pPr>
                      <w:spacing w:line="100" w:lineRule="exact" w:before="0"/>
                      <w:ind w:left="0" w:right="0" w:firstLine="0"/>
                      <w:jc w:val="left"/>
                      <w:rPr>
                        <w:rFonts w:ascii="Times New Roman"/>
                        <w:b/>
                        <w:sz w:val="9"/>
                      </w:rPr>
                    </w:pPr>
                    <w:r>
                      <w:rPr>
                        <w:rFonts w:ascii="Times New Roman"/>
                        <w:b/>
                        <w:color w:val="FFFFFF"/>
                        <w:w w:val="95"/>
                        <w:sz w:val="9"/>
                      </w:rPr>
                      <w:t>2021</w:t>
                    </w:r>
                  </w:p>
                </w:txbxContent>
              </v:textbox>
              <w10:wrap type="none"/>
            </v:shape>
            <v:shape style="position:absolute;left:8081;top:66;width:183;height:101" type="#_x0000_t202" filled="false" stroked="false">
              <v:textbox inset="0,0,0,0">
                <w:txbxContent>
                  <w:p>
                    <w:pPr>
                      <w:spacing w:line="100" w:lineRule="exact" w:before="0"/>
                      <w:ind w:left="0" w:right="0" w:firstLine="0"/>
                      <w:jc w:val="left"/>
                      <w:rPr>
                        <w:rFonts w:ascii="Times New Roman"/>
                        <w:b/>
                        <w:sz w:val="9"/>
                      </w:rPr>
                    </w:pPr>
                    <w:r>
                      <w:rPr>
                        <w:rFonts w:ascii="Times New Roman"/>
                        <w:b/>
                        <w:color w:val="FFFFFF"/>
                        <w:w w:val="95"/>
                        <w:sz w:val="9"/>
                      </w:rPr>
                      <w:t>2022</w:t>
                    </w:r>
                  </w:p>
                </w:txbxContent>
              </v:textbox>
              <w10:wrap type="none"/>
            </v:shape>
            <v:shape style="position:absolute;left:8655;top:66;width:183;height:101" type="#_x0000_t202" filled="false" stroked="false">
              <v:textbox inset="0,0,0,0">
                <w:txbxContent>
                  <w:p>
                    <w:pPr>
                      <w:spacing w:line="100" w:lineRule="exact" w:before="0"/>
                      <w:ind w:left="0" w:right="0" w:firstLine="0"/>
                      <w:jc w:val="left"/>
                      <w:rPr>
                        <w:rFonts w:ascii="Times New Roman"/>
                        <w:b/>
                        <w:sz w:val="9"/>
                      </w:rPr>
                    </w:pPr>
                    <w:r>
                      <w:rPr>
                        <w:rFonts w:ascii="Times New Roman"/>
                        <w:b/>
                        <w:color w:val="FFFFFF"/>
                        <w:w w:val="95"/>
                        <w:sz w:val="9"/>
                      </w:rPr>
                      <w:t>2023</w:t>
                    </w:r>
                  </w:p>
                </w:txbxContent>
              </v:textbox>
              <w10:wrap type="none"/>
            </v:shape>
            <v:shape style="position:absolute;left:9280;top:66;width:183;height:101" type="#_x0000_t202" filled="false" stroked="false">
              <v:textbox inset="0,0,0,0">
                <w:txbxContent>
                  <w:p>
                    <w:pPr>
                      <w:spacing w:line="100" w:lineRule="exact" w:before="0"/>
                      <w:ind w:left="0" w:right="0" w:firstLine="0"/>
                      <w:jc w:val="left"/>
                      <w:rPr>
                        <w:rFonts w:ascii="Times New Roman"/>
                        <w:b/>
                        <w:sz w:val="9"/>
                      </w:rPr>
                    </w:pPr>
                    <w:r>
                      <w:rPr>
                        <w:rFonts w:ascii="Times New Roman"/>
                        <w:b/>
                        <w:color w:val="FFFFFF"/>
                        <w:w w:val="95"/>
                        <w:sz w:val="9"/>
                      </w:rPr>
                      <w:t>2024</w:t>
                    </w:r>
                  </w:p>
                </w:txbxContent>
              </v:textbox>
              <w10:wrap type="none"/>
            </v:shape>
            <v:shape style="position:absolute;left:9687;top:0;width:620;height:233" type="#_x0000_t202" filled="false" stroked="false">
              <v:textbox inset="0,0,0,0">
                <w:txbxContent>
                  <w:p>
                    <w:pPr>
                      <w:spacing w:before="62"/>
                      <w:ind w:left="135" w:right="0" w:firstLine="0"/>
                      <w:jc w:val="left"/>
                      <w:rPr>
                        <w:rFonts w:ascii="Times New Roman"/>
                        <w:b/>
                        <w:sz w:val="9"/>
                      </w:rPr>
                    </w:pPr>
                    <w:r>
                      <w:rPr>
                        <w:rFonts w:ascii="Times New Roman"/>
                        <w:b/>
                        <w:color w:val="FFFFFF"/>
                        <w:sz w:val="9"/>
                      </w:rPr>
                      <w:t>Cumulato</w:t>
                    </w:r>
                  </w:p>
                </w:txbxContent>
              </v:textbox>
              <w10:wrap type="none"/>
            </v:shape>
          </v:group>
        </w:pict>
      </w:r>
      <w:r>
        <w:rPr>
          <w:sz w:val="20"/>
        </w:rPr>
      </w:r>
    </w:p>
    <w:p>
      <w:pPr>
        <w:pStyle w:val="BodyText"/>
        <w:spacing w:before="10"/>
        <w:rPr>
          <w:sz w:val="6"/>
        </w:rPr>
      </w:pPr>
    </w:p>
    <w:p>
      <w:pPr>
        <w:pStyle w:val="BodyText"/>
        <w:spacing w:line="121" w:lineRule="exact"/>
        <w:ind w:left="1423"/>
        <w:rPr>
          <w:sz w:val="12"/>
        </w:rPr>
      </w:pPr>
      <w:r>
        <w:rPr>
          <w:position w:val="-1"/>
          <w:sz w:val="12"/>
        </w:rPr>
        <w:pict>
          <v:shape style="width:129.2pt;height:6.1pt;mso-position-horizontal-relative:char;mso-position-vertical-relative:line" type="#_x0000_t202" filled="true" fillcolor="#f1f1f1" stroked="false">
            <w10:anchorlock/>
            <v:textbox inset="0,0,0,0">
              <w:txbxContent>
                <w:p>
                  <w:pPr>
                    <w:spacing w:before="21"/>
                    <w:ind w:left="13" w:right="0" w:firstLine="0"/>
                    <w:jc w:val="left"/>
                    <w:rPr>
                      <w:rFonts w:ascii="Times New Roman"/>
                      <w:b/>
                      <w:sz w:val="8"/>
                    </w:rPr>
                  </w:pPr>
                  <w:r>
                    <w:rPr>
                      <w:rFonts w:ascii="Times New Roman"/>
                      <w:b/>
                      <w:color w:val="C00000"/>
                      <w:sz w:val="8"/>
                      <w:u w:val="single" w:color="C00000"/>
                    </w:rPr>
                    <w:t>SENSITIVITY</w:t>
                  </w:r>
                </w:p>
              </w:txbxContent>
            </v:textbox>
            <v:fill type="solid"/>
          </v:shape>
        </w:pict>
      </w:r>
      <w:r>
        <w:rPr>
          <w:position w:val="-1"/>
          <w:sz w:val="12"/>
        </w:rPr>
      </w:r>
    </w:p>
    <w:p>
      <w:pPr>
        <w:pStyle w:val="BodyText"/>
        <w:spacing w:before="3"/>
        <w:rPr>
          <w:sz w:val="11"/>
        </w:rPr>
      </w:pPr>
    </w:p>
    <w:tbl>
      <w:tblPr>
        <w:tblW w:w="0" w:type="auto"/>
        <w:jc w:val="left"/>
        <w:tblInd w:w="1423"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135"/>
        <w:gridCol w:w="529"/>
        <w:gridCol w:w="529"/>
        <w:gridCol w:w="529"/>
        <w:gridCol w:w="529"/>
        <w:gridCol w:w="529"/>
        <w:gridCol w:w="529"/>
        <w:gridCol w:w="529"/>
        <w:gridCol w:w="529"/>
        <w:gridCol w:w="530"/>
        <w:gridCol w:w="529"/>
        <w:gridCol w:w="624"/>
        <w:gridCol w:w="625"/>
        <w:gridCol w:w="629"/>
      </w:tblGrid>
      <w:tr>
        <w:trPr>
          <w:trHeight w:val="167" w:hRule="exact"/>
        </w:trPr>
        <w:tc>
          <w:tcPr>
            <w:tcW w:w="3135" w:type="dxa"/>
          </w:tcPr>
          <w:p>
            <w:pPr>
              <w:pStyle w:val="TableParagraph"/>
              <w:tabs>
                <w:tab w:pos="3044" w:val="right" w:leader="none"/>
              </w:tabs>
              <w:spacing w:line="100" w:lineRule="exact" w:before="0"/>
              <w:ind w:left="13"/>
              <w:jc w:val="left"/>
              <w:rPr>
                <w:rFonts w:ascii="Times New Roman"/>
                <w:sz w:val="9"/>
              </w:rPr>
            </w:pPr>
            <w:r>
              <w:rPr>
                <w:rFonts w:ascii="Times New Roman"/>
                <w:b/>
                <w:sz w:val="9"/>
              </w:rPr>
              <w:t>Saldo Iniziale al</w:t>
            </w:r>
            <w:r>
              <w:rPr>
                <w:rFonts w:ascii="Times New Roman"/>
                <w:b/>
                <w:spacing w:val="-2"/>
                <w:sz w:val="9"/>
              </w:rPr>
              <w:t> </w:t>
            </w:r>
            <w:r>
              <w:rPr>
                <w:rFonts w:ascii="Times New Roman"/>
                <w:b/>
                <w:sz w:val="9"/>
              </w:rPr>
              <w:t>01.04.18</w:t>
            </w:r>
            <w:r>
              <w:rPr>
                <w:rFonts w:ascii="Times New Roman"/>
                <w:sz w:val="9"/>
              </w:rPr>
              <w:tab/>
              <w:t>1.228.933</w:t>
            </w: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30" w:type="dxa"/>
          </w:tcPr>
          <w:p>
            <w:pPr/>
          </w:p>
        </w:tc>
        <w:tc>
          <w:tcPr>
            <w:tcW w:w="529" w:type="dxa"/>
          </w:tcPr>
          <w:p>
            <w:pPr/>
          </w:p>
        </w:tc>
        <w:tc>
          <w:tcPr>
            <w:tcW w:w="624" w:type="dxa"/>
          </w:tcPr>
          <w:p>
            <w:pPr/>
          </w:p>
        </w:tc>
        <w:tc>
          <w:tcPr>
            <w:tcW w:w="625" w:type="dxa"/>
          </w:tcPr>
          <w:p>
            <w:pPr/>
          </w:p>
        </w:tc>
        <w:tc>
          <w:tcPr>
            <w:tcW w:w="629" w:type="dxa"/>
          </w:tcPr>
          <w:p>
            <w:pPr>
              <w:pStyle w:val="TableParagraph"/>
              <w:spacing w:line="100" w:lineRule="exact" w:before="0"/>
              <w:ind w:right="124"/>
              <w:rPr>
                <w:rFonts w:ascii="Times New Roman"/>
                <w:b/>
                <w:sz w:val="9"/>
              </w:rPr>
            </w:pPr>
            <w:r>
              <w:rPr>
                <w:rFonts w:ascii="Times New Roman"/>
                <w:b/>
                <w:w w:val="90"/>
                <w:sz w:val="9"/>
              </w:rPr>
              <w:t>1.228.933</w:t>
            </w:r>
          </w:p>
        </w:tc>
      </w:tr>
      <w:tr>
        <w:trPr>
          <w:trHeight w:val="174" w:hRule="exact"/>
        </w:trPr>
        <w:tc>
          <w:tcPr>
            <w:tcW w:w="3135" w:type="dxa"/>
          </w:tcPr>
          <w:p>
            <w:pPr>
              <w:pStyle w:val="TableParagraph"/>
              <w:spacing w:before="63"/>
              <w:ind w:left="13"/>
              <w:jc w:val="left"/>
              <w:rPr>
                <w:rFonts w:ascii="Times New Roman"/>
                <w:b/>
                <w:sz w:val="9"/>
              </w:rPr>
            </w:pPr>
            <w:r>
              <w:rPr>
                <w:rFonts w:ascii="Times New Roman"/>
                <w:b/>
                <w:sz w:val="9"/>
                <w:u w:val="single"/>
              </w:rPr>
              <w:t>Entrat</w:t>
            </w:r>
            <w:r>
              <w:rPr>
                <w:rFonts w:ascii="Times New Roman"/>
                <w:b/>
                <w:sz w:val="9"/>
              </w:rPr>
              <w:t>e</w:t>
            </w: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30" w:type="dxa"/>
          </w:tcPr>
          <w:p>
            <w:pPr/>
          </w:p>
        </w:tc>
        <w:tc>
          <w:tcPr>
            <w:tcW w:w="529" w:type="dxa"/>
          </w:tcPr>
          <w:p>
            <w:pPr/>
          </w:p>
        </w:tc>
        <w:tc>
          <w:tcPr>
            <w:tcW w:w="624" w:type="dxa"/>
          </w:tcPr>
          <w:p>
            <w:pPr/>
          </w:p>
        </w:tc>
        <w:tc>
          <w:tcPr>
            <w:tcW w:w="625" w:type="dxa"/>
          </w:tcPr>
          <w:p>
            <w:pPr/>
          </w:p>
        </w:tc>
        <w:tc>
          <w:tcPr>
            <w:tcW w:w="629" w:type="dxa"/>
          </w:tcPr>
          <w:p>
            <w:pP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10"/>
                <w:w w:val="95"/>
                <w:sz w:val="9"/>
              </w:rPr>
              <w:t> </w:t>
            </w:r>
            <w:r>
              <w:rPr>
                <w:rFonts w:ascii="Times New Roman"/>
                <w:w w:val="95"/>
                <w:sz w:val="9"/>
              </w:rPr>
              <w:t>Incasso</w:t>
            </w:r>
            <w:r>
              <w:rPr>
                <w:rFonts w:ascii="Times New Roman"/>
                <w:spacing w:val="-10"/>
                <w:w w:val="95"/>
                <w:sz w:val="9"/>
              </w:rPr>
              <w:t> </w:t>
            </w:r>
            <w:r>
              <w:rPr>
                <w:rFonts w:ascii="Times New Roman"/>
                <w:w w:val="95"/>
                <w:sz w:val="9"/>
              </w:rPr>
              <w:t>cessione</w:t>
            </w:r>
            <w:r>
              <w:rPr>
                <w:rFonts w:ascii="Times New Roman"/>
                <w:spacing w:val="-10"/>
                <w:w w:val="95"/>
                <w:sz w:val="9"/>
              </w:rPr>
              <w:t> </w:t>
            </w:r>
            <w:r>
              <w:rPr>
                <w:rFonts w:ascii="Times New Roman"/>
                <w:w w:val="95"/>
                <w:sz w:val="9"/>
              </w:rPr>
              <w:t>Ramo</w:t>
            </w:r>
            <w:r>
              <w:rPr>
                <w:rFonts w:ascii="Times New Roman"/>
                <w:spacing w:val="-10"/>
                <w:w w:val="95"/>
                <w:sz w:val="9"/>
              </w:rPr>
              <w:t> </w:t>
            </w:r>
            <w:r>
              <w:rPr>
                <w:rFonts w:ascii="Times New Roman"/>
                <w:w w:val="95"/>
                <w:sz w:val="9"/>
              </w:rPr>
              <w:t>Biochemtex</w:t>
              <w:tab/>
            </w:r>
            <w:r>
              <w:rPr>
                <w:rFonts w:ascii="Times New Roman"/>
                <w:sz w:val="9"/>
              </w:rPr>
              <w:t>-</w:t>
            </w:r>
          </w:p>
        </w:tc>
        <w:tc>
          <w:tcPr>
            <w:tcW w:w="529" w:type="dxa"/>
          </w:tcPr>
          <w:p>
            <w:pPr>
              <w:pStyle w:val="TableParagraph"/>
              <w:spacing w:before="4"/>
              <w:ind w:right="66"/>
              <w:rPr>
                <w:rFonts w:ascii="Times New Roman"/>
                <w:sz w:val="9"/>
              </w:rPr>
            </w:pPr>
            <w:r>
              <w:rPr>
                <w:rFonts w:ascii="Times New Roman"/>
                <w:w w:val="90"/>
                <w:sz w:val="9"/>
              </w:rPr>
              <w:t>28.785.813</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06"/>
              <w:rPr>
                <w:rFonts w:ascii="Times New Roman"/>
                <w:b/>
                <w:sz w:val="9"/>
              </w:rPr>
            </w:pPr>
            <w:r>
              <w:rPr>
                <w:rFonts w:ascii="Times New Roman"/>
                <w:b/>
                <w:w w:val="90"/>
                <w:sz w:val="9"/>
              </w:rPr>
              <w:t>28.785.813</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color w:val="FF0000"/>
                <w:sz w:val="9"/>
              </w:rPr>
              <w:t>-</w:t>
            </w:r>
            <w:r>
              <w:rPr>
                <w:rFonts w:ascii="Times New Roman"/>
                <w:color w:val="FF0000"/>
                <w:spacing w:val="-14"/>
                <w:sz w:val="9"/>
              </w:rPr>
              <w:t> </w:t>
            </w:r>
            <w:r>
              <w:rPr>
                <w:rFonts w:ascii="Times New Roman"/>
                <w:color w:val="FF0000"/>
                <w:sz w:val="9"/>
              </w:rPr>
              <w:t>Incasso</w:t>
            </w:r>
            <w:r>
              <w:rPr>
                <w:rFonts w:ascii="Times New Roman"/>
                <w:color w:val="FF0000"/>
                <w:spacing w:val="-14"/>
                <w:sz w:val="9"/>
              </w:rPr>
              <w:t> </w:t>
            </w:r>
            <w:r>
              <w:rPr>
                <w:rFonts w:ascii="Times New Roman"/>
                <w:color w:val="FF0000"/>
                <w:sz w:val="9"/>
              </w:rPr>
              <w:t>riparto</w:t>
            </w:r>
            <w:r>
              <w:rPr>
                <w:rFonts w:ascii="Times New Roman"/>
                <w:color w:val="FF0000"/>
                <w:spacing w:val="-14"/>
                <w:sz w:val="9"/>
              </w:rPr>
              <w:t> </w:t>
            </w:r>
            <w:r>
              <w:rPr>
                <w:rFonts w:ascii="Times New Roman"/>
                <w:color w:val="FF0000"/>
                <w:sz w:val="9"/>
              </w:rPr>
              <w:t>Beta</w:t>
              <w:tab/>
            </w:r>
            <w:r>
              <w:rPr>
                <w:rFonts w:ascii="Times New Roman"/>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left="22"/>
              <w:jc w:val="center"/>
              <w:rPr>
                <w:rFonts w:ascii="Times New Roman"/>
                <w:sz w:val="9"/>
              </w:rPr>
            </w:pPr>
            <w:r>
              <w:rPr>
                <w:rFonts w:ascii="Times New Roman"/>
                <w:color w:val="FF0000"/>
                <w:sz w:val="9"/>
              </w:rPr>
              <w:t>10.082.116</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06"/>
              <w:rPr>
                <w:rFonts w:ascii="Times New Roman"/>
                <w:b/>
                <w:sz w:val="9"/>
              </w:rPr>
            </w:pPr>
            <w:r>
              <w:rPr>
                <w:rFonts w:ascii="Times New Roman"/>
                <w:b/>
                <w:w w:val="90"/>
                <w:sz w:val="9"/>
              </w:rPr>
              <w:t>10.082.116</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sz w:val="9"/>
              </w:rPr>
              <w:t>-</w:t>
            </w:r>
            <w:r>
              <w:rPr>
                <w:rFonts w:ascii="Times New Roman"/>
                <w:spacing w:val="-14"/>
                <w:sz w:val="9"/>
              </w:rPr>
              <w:t> </w:t>
            </w:r>
            <w:r>
              <w:rPr>
                <w:rFonts w:ascii="Times New Roman"/>
                <w:sz w:val="9"/>
              </w:rPr>
              <w:t>Incasso</w:t>
            </w:r>
            <w:r>
              <w:rPr>
                <w:rFonts w:ascii="Times New Roman"/>
                <w:spacing w:val="-14"/>
                <w:sz w:val="9"/>
              </w:rPr>
              <w:t> </w:t>
            </w:r>
            <w:r>
              <w:rPr>
                <w:rFonts w:ascii="Times New Roman"/>
                <w:sz w:val="9"/>
              </w:rPr>
              <w:t>riparto</w:t>
            </w:r>
            <w:r>
              <w:rPr>
                <w:rFonts w:ascii="Times New Roman"/>
                <w:spacing w:val="-14"/>
                <w:sz w:val="9"/>
              </w:rPr>
              <w:t> </w:t>
            </w:r>
            <w:r>
              <w:rPr>
                <w:rFonts w:ascii="Times New Roman"/>
                <w:sz w:val="9"/>
              </w:rPr>
              <w:t>IBPE</w:t>
              <w:tab/>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left="22" w:right="5"/>
              <w:jc w:val="center"/>
              <w:rPr>
                <w:rFonts w:ascii="Times New Roman"/>
                <w:sz w:val="9"/>
              </w:rPr>
            </w:pPr>
            <w:r>
              <w:rPr>
                <w:rFonts w:ascii="Times New Roman"/>
                <w:sz w:val="9"/>
              </w:rPr>
              <w:t>4.016</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left="244"/>
              <w:jc w:val="left"/>
              <w:rPr>
                <w:rFonts w:ascii="Times New Roman"/>
                <w:b/>
                <w:sz w:val="9"/>
              </w:rPr>
            </w:pPr>
            <w:r>
              <w:rPr>
                <w:rFonts w:ascii="Times New Roman"/>
                <w:b/>
                <w:sz w:val="9"/>
              </w:rPr>
              <w:t>4.016</w:t>
            </w:r>
          </w:p>
        </w:tc>
      </w:tr>
      <w:tr>
        <w:trPr>
          <w:trHeight w:val="116" w:hRule="exact"/>
        </w:trPr>
        <w:tc>
          <w:tcPr>
            <w:tcW w:w="3135" w:type="dxa"/>
          </w:tcPr>
          <w:p>
            <w:pPr>
              <w:pStyle w:val="TableParagraph"/>
              <w:tabs>
                <w:tab w:pos="2854" w:val="left" w:leader="none"/>
              </w:tabs>
              <w:spacing w:before="5"/>
              <w:ind w:left="13"/>
              <w:jc w:val="left"/>
              <w:rPr>
                <w:rFonts w:ascii="Times New Roman"/>
                <w:sz w:val="9"/>
              </w:rPr>
            </w:pPr>
            <w:r>
              <w:rPr>
                <w:rFonts w:ascii="Times New Roman"/>
                <w:color w:val="FF0000"/>
                <w:w w:val="95"/>
                <w:sz w:val="9"/>
              </w:rPr>
              <w:t>-</w:t>
            </w:r>
            <w:r>
              <w:rPr>
                <w:rFonts w:ascii="Times New Roman"/>
                <w:color w:val="FF0000"/>
                <w:spacing w:val="-13"/>
                <w:w w:val="95"/>
                <w:sz w:val="9"/>
              </w:rPr>
              <w:t> </w:t>
            </w:r>
            <w:r>
              <w:rPr>
                <w:rFonts w:ascii="Times New Roman"/>
                <w:color w:val="FF0000"/>
                <w:w w:val="95"/>
                <w:sz w:val="9"/>
              </w:rPr>
              <w:t>Incasso</w:t>
            </w:r>
            <w:r>
              <w:rPr>
                <w:rFonts w:ascii="Times New Roman"/>
                <w:color w:val="FF0000"/>
                <w:spacing w:val="-13"/>
                <w:w w:val="95"/>
                <w:sz w:val="9"/>
              </w:rPr>
              <w:t> </w:t>
            </w:r>
            <w:r>
              <w:rPr>
                <w:rFonts w:ascii="Times New Roman"/>
                <w:color w:val="FF0000"/>
                <w:w w:val="95"/>
                <w:sz w:val="9"/>
              </w:rPr>
              <w:t>cessione</w:t>
            </w:r>
            <w:r>
              <w:rPr>
                <w:rFonts w:ascii="Times New Roman"/>
                <w:color w:val="FF0000"/>
                <w:spacing w:val="-13"/>
                <w:w w:val="95"/>
                <w:sz w:val="9"/>
              </w:rPr>
              <w:t> </w:t>
            </w:r>
            <w:r>
              <w:rPr>
                <w:rFonts w:ascii="Times New Roman"/>
                <w:color w:val="FF0000"/>
                <w:w w:val="95"/>
                <w:sz w:val="9"/>
              </w:rPr>
              <w:t>immobile</w:t>
            </w:r>
            <w:r>
              <w:rPr>
                <w:rFonts w:ascii="Times New Roman"/>
                <w:color w:val="FF0000"/>
                <w:spacing w:val="-13"/>
                <w:w w:val="95"/>
                <w:sz w:val="9"/>
              </w:rPr>
              <w:t> </w:t>
            </w:r>
            <w:r>
              <w:rPr>
                <w:rFonts w:ascii="Times New Roman"/>
                <w:color w:val="FF0000"/>
                <w:w w:val="95"/>
                <w:sz w:val="9"/>
              </w:rPr>
              <w:t>Modugno</w:t>
              <w:tab/>
            </w:r>
            <w:r>
              <w:rPr>
                <w:rFonts w:ascii="Times New Roman"/>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30"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624" w:type="dxa"/>
          </w:tcPr>
          <w:p>
            <w:pPr>
              <w:pStyle w:val="TableParagraph"/>
              <w:spacing w:before="5"/>
              <w:jc w:val="center"/>
              <w:rPr>
                <w:rFonts w:ascii="Times New Roman"/>
                <w:sz w:val="9"/>
              </w:rPr>
            </w:pPr>
            <w:r>
              <w:rPr>
                <w:rFonts w:ascii="Times New Roman"/>
                <w:w w:val="90"/>
                <w:sz w:val="9"/>
              </w:rPr>
              <w:t>-</w:t>
            </w:r>
          </w:p>
        </w:tc>
        <w:tc>
          <w:tcPr>
            <w:tcW w:w="625" w:type="dxa"/>
          </w:tcPr>
          <w:p>
            <w:pPr>
              <w:pStyle w:val="TableParagraph"/>
              <w:spacing w:before="5"/>
              <w:ind w:left="115" w:right="93"/>
              <w:jc w:val="center"/>
              <w:rPr>
                <w:rFonts w:ascii="Times New Roman"/>
                <w:sz w:val="9"/>
              </w:rPr>
            </w:pPr>
            <w:r>
              <w:rPr>
                <w:rFonts w:ascii="Times New Roman"/>
                <w:color w:val="FF0000"/>
                <w:sz w:val="9"/>
              </w:rPr>
              <w:t>768.450</w:t>
            </w:r>
          </w:p>
        </w:tc>
        <w:tc>
          <w:tcPr>
            <w:tcW w:w="629" w:type="dxa"/>
          </w:tcPr>
          <w:p>
            <w:pPr>
              <w:pStyle w:val="TableParagraph"/>
              <w:spacing w:before="5"/>
              <w:ind w:right="156"/>
              <w:rPr>
                <w:rFonts w:ascii="Times New Roman"/>
                <w:b/>
                <w:sz w:val="9"/>
              </w:rPr>
            </w:pPr>
            <w:r>
              <w:rPr>
                <w:rFonts w:ascii="Times New Roman"/>
                <w:b/>
                <w:w w:val="90"/>
                <w:sz w:val="9"/>
              </w:rPr>
              <w:t>768.450</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0"/>
                <w:sz w:val="9"/>
              </w:rPr>
              <w:t>- Incasso deposito cauzionale</w:t>
            </w:r>
            <w:r>
              <w:rPr>
                <w:rFonts w:ascii="Times New Roman"/>
                <w:spacing w:val="-9"/>
                <w:w w:val="90"/>
                <w:sz w:val="9"/>
              </w:rPr>
              <w:t> </w:t>
            </w:r>
            <w:r>
              <w:rPr>
                <w:rFonts w:ascii="Times New Roman"/>
                <w:w w:val="90"/>
                <w:sz w:val="9"/>
              </w:rPr>
              <w:t>immobile</w:t>
            </w:r>
            <w:r>
              <w:rPr>
                <w:rFonts w:ascii="Times New Roman"/>
                <w:spacing w:val="-3"/>
                <w:w w:val="90"/>
                <w:sz w:val="9"/>
              </w:rPr>
              <w:t> </w:t>
            </w:r>
            <w:r>
              <w:rPr>
                <w:rFonts w:ascii="Times New Roman"/>
                <w:w w:val="90"/>
                <w:sz w:val="9"/>
              </w:rPr>
              <w:t>Rivalta</w:t>
              <w:tab/>
            </w:r>
            <w:r>
              <w:rPr>
                <w:rFonts w:ascii="Times New Roman"/>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left="53" w:right="31"/>
              <w:jc w:val="center"/>
              <w:rPr>
                <w:rFonts w:ascii="Times New Roman"/>
                <w:sz w:val="9"/>
              </w:rPr>
            </w:pPr>
            <w:r>
              <w:rPr>
                <w:rFonts w:ascii="Times New Roman"/>
                <w:sz w:val="9"/>
              </w:rPr>
              <w:t>33.250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left="221"/>
              <w:jc w:val="left"/>
              <w:rPr>
                <w:rFonts w:ascii="Times New Roman"/>
                <w:b/>
                <w:sz w:val="9"/>
              </w:rPr>
            </w:pPr>
            <w:r>
              <w:rPr>
                <w:rFonts w:ascii="Times New Roman"/>
                <w:b/>
                <w:sz w:val="9"/>
              </w:rPr>
              <w:t>33.250</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11"/>
                <w:w w:val="95"/>
                <w:sz w:val="9"/>
              </w:rPr>
              <w:t> </w:t>
            </w:r>
            <w:r>
              <w:rPr>
                <w:rFonts w:ascii="Times New Roman"/>
                <w:w w:val="95"/>
                <w:sz w:val="9"/>
              </w:rPr>
              <w:t>Incasso</w:t>
            </w:r>
            <w:r>
              <w:rPr>
                <w:rFonts w:ascii="Times New Roman"/>
                <w:spacing w:val="-11"/>
                <w:w w:val="95"/>
                <w:sz w:val="9"/>
              </w:rPr>
              <w:t> </w:t>
            </w:r>
            <w:r>
              <w:rPr>
                <w:rFonts w:ascii="Times New Roman"/>
                <w:w w:val="95"/>
                <w:sz w:val="9"/>
              </w:rPr>
              <w:t>altri</w:t>
            </w:r>
            <w:r>
              <w:rPr>
                <w:rFonts w:ascii="Times New Roman"/>
                <w:spacing w:val="-14"/>
                <w:w w:val="95"/>
                <w:sz w:val="9"/>
              </w:rPr>
              <w:t> </w:t>
            </w:r>
            <w:r>
              <w:rPr>
                <w:rFonts w:ascii="Times New Roman"/>
                <w:w w:val="95"/>
                <w:sz w:val="9"/>
              </w:rPr>
              <w:t>depositi</w:t>
            </w:r>
            <w:r>
              <w:rPr>
                <w:rFonts w:ascii="Times New Roman"/>
                <w:spacing w:val="-14"/>
                <w:w w:val="95"/>
                <w:sz w:val="9"/>
              </w:rPr>
              <w:t> </w:t>
            </w:r>
            <w:r>
              <w:rPr>
                <w:rFonts w:ascii="Times New Roman"/>
                <w:w w:val="95"/>
                <w:sz w:val="9"/>
              </w:rPr>
              <w:t>cauzionali</w:t>
              <w:tab/>
            </w:r>
            <w:r>
              <w:rPr>
                <w:rFonts w:ascii="Times New Roman"/>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left="48" w:right="31"/>
              <w:jc w:val="center"/>
              <w:rPr>
                <w:rFonts w:ascii="Times New Roman"/>
                <w:sz w:val="9"/>
              </w:rPr>
            </w:pPr>
            <w:r>
              <w:rPr>
                <w:rFonts w:ascii="Times New Roman"/>
                <w:sz w:val="9"/>
              </w:rPr>
              <w:t>8.500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left="244"/>
              <w:jc w:val="left"/>
              <w:rPr>
                <w:rFonts w:ascii="Times New Roman"/>
                <w:b/>
                <w:sz w:val="9"/>
              </w:rPr>
            </w:pPr>
            <w:r>
              <w:rPr>
                <w:rFonts w:ascii="Times New Roman"/>
                <w:b/>
                <w:sz w:val="9"/>
              </w:rPr>
              <w:t>8.500</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0"/>
                <w:sz w:val="9"/>
              </w:rPr>
              <w:t>- Incasso crediti</w:t>
            </w:r>
            <w:r>
              <w:rPr>
                <w:rFonts w:ascii="Times New Roman"/>
                <w:spacing w:val="-7"/>
                <w:w w:val="90"/>
                <w:sz w:val="9"/>
              </w:rPr>
              <w:t> </w:t>
            </w:r>
            <w:r>
              <w:rPr>
                <w:rFonts w:ascii="Times New Roman"/>
                <w:w w:val="90"/>
                <w:sz w:val="9"/>
              </w:rPr>
              <w:t>commerciali</w:t>
            </w:r>
            <w:r>
              <w:rPr>
                <w:rFonts w:ascii="Times New Roman"/>
                <w:spacing w:val="-6"/>
                <w:w w:val="90"/>
                <w:sz w:val="9"/>
              </w:rPr>
              <w:t> </w:t>
            </w:r>
            <w:r>
              <w:rPr>
                <w:rFonts w:ascii="Times New Roman"/>
                <w:w w:val="90"/>
                <w:sz w:val="9"/>
              </w:rPr>
              <w:t>Energochemica</w:t>
              <w:tab/>
            </w:r>
            <w:r>
              <w:rPr>
                <w:rFonts w:ascii="Times New Roman"/>
                <w:sz w:val="9"/>
              </w:rPr>
              <w:t>-</w:t>
            </w:r>
          </w:p>
        </w:tc>
        <w:tc>
          <w:tcPr>
            <w:tcW w:w="529" w:type="dxa"/>
          </w:tcPr>
          <w:p>
            <w:pPr>
              <w:pStyle w:val="TableParagraph"/>
              <w:spacing w:before="4"/>
              <w:ind w:right="120"/>
              <w:rPr>
                <w:rFonts w:ascii="Times New Roman"/>
                <w:sz w:val="9"/>
              </w:rPr>
            </w:pPr>
            <w:r>
              <w:rPr>
                <w:rFonts w:ascii="Times New Roman"/>
                <w:w w:val="90"/>
                <w:sz w:val="9"/>
              </w:rPr>
              <w:t>128.392</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left="48" w:right="31"/>
              <w:jc w:val="center"/>
              <w:rPr>
                <w:rFonts w:ascii="Times New Roman"/>
                <w:sz w:val="9"/>
              </w:rPr>
            </w:pPr>
            <w:r>
              <w:rPr>
                <w:rFonts w:ascii="Times New Roman"/>
                <w:color w:val="FF0000"/>
                <w:sz w:val="9"/>
              </w:rPr>
              <w:t>2.879.837</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24"/>
              <w:rPr>
                <w:rFonts w:ascii="Times New Roman"/>
                <w:b/>
                <w:sz w:val="9"/>
              </w:rPr>
            </w:pPr>
            <w:r>
              <w:rPr>
                <w:rFonts w:ascii="Times New Roman"/>
                <w:b/>
                <w:w w:val="90"/>
                <w:sz w:val="9"/>
              </w:rPr>
              <w:t>3.008.229</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9"/>
                <w:w w:val="95"/>
                <w:sz w:val="9"/>
              </w:rPr>
              <w:t> </w:t>
            </w:r>
            <w:r>
              <w:rPr>
                <w:rFonts w:ascii="Times New Roman"/>
                <w:w w:val="95"/>
                <w:sz w:val="9"/>
              </w:rPr>
              <w:t>Incasso</w:t>
            </w:r>
            <w:r>
              <w:rPr>
                <w:rFonts w:ascii="Times New Roman"/>
                <w:spacing w:val="-9"/>
                <w:w w:val="95"/>
                <w:sz w:val="9"/>
              </w:rPr>
              <w:t> </w:t>
            </w:r>
            <w:r>
              <w:rPr>
                <w:rFonts w:ascii="Times New Roman"/>
                <w:w w:val="95"/>
                <w:sz w:val="9"/>
              </w:rPr>
              <w:t>credito</w:t>
            </w:r>
            <w:r>
              <w:rPr>
                <w:rFonts w:ascii="Times New Roman"/>
                <w:spacing w:val="-9"/>
                <w:w w:val="95"/>
                <w:sz w:val="9"/>
              </w:rPr>
              <w:t> </w:t>
            </w:r>
            <w:r>
              <w:rPr>
                <w:rFonts w:ascii="Times New Roman"/>
                <w:w w:val="95"/>
                <w:sz w:val="9"/>
              </w:rPr>
              <w:t>Plastipack</w:t>
              <w:tab/>
            </w:r>
            <w:r>
              <w:rPr>
                <w:rFonts w:ascii="Times New Roman"/>
                <w:sz w:val="9"/>
              </w:rPr>
              <w:t>-</w:t>
            </w:r>
          </w:p>
        </w:tc>
        <w:tc>
          <w:tcPr>
            <w:tcW w:w="529" w:type="dxa"/>
          </w:tcPr>
          <w:p>
            <w:pPr>
              <w:pStyle w:val="TableParagraph"/>
              <w:spacing w:before="4"/>
              <w:ind w:right="138"/>
              <w:rPr>
                <w:rFonts w:ascii="Times New Roman"/>
                <w:sz w:val="9"/>
              </w:rPr>
            </w:pPr>
            <w:r>
              <w:rPr>
                <w:rFonts w:ascii="Times New Roman"/>
                <w:w w:val="90"/>
                <w:sz w:val="9"/>
              </w:rPr>
              <w:t>58.560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left="221"/>
              <w:jc w:val="left"/>
              <w:rPr>
                <w:rFonts w:ascii="Times New Roman"/>
                <w:b/>
                <w:sz w:val="9"/>
              </w:rPr>
            </w:pPr>
            <w:r>
              <w:rPr>
                <w:rFonts w:ascii="Times New Roman"/>
                <w:b/>
                <w:sz w:val="9"/>
              </w:rPr>
              <w:t>58.560</w:t>
            </w:r>
          </w:p>
        </w:tc>
      </w:tr>
      <w:tr>
        <w:trPr>
          <w:trHeight w:val="116" w:hRule="exact"/>
        </w:trPr>
        <w:tc>
          <w:tcPr>
            <w:tcW w:w="3135" w:type="dxa"/>
          </w:tcPr>
          <w:p>
            <w:pPr>
              <w:pStyle w:val="TableParagraph"/>
              <w:tabs>
                <w:tab w:pos="2854" w:val="left" w:leader="none"/>
              </w:tabs>
              <w:spacing w:before="5"/>
              <w:ind w:left="13"/>
              <w:jc w:val="left"/>
              <w:rPr>
                <w:rFonts w:ascii="Times New Roman"/>
                <w:sz w:val="9"/>
              </w:rPr>
            </w:pPr>
            <w:r>
              <w:rPr>
                <w:rFonts w:ascii="Times New Roman"/>
                <w:w w:val="95"/>
                <w:sz w:val="9"/>
              </w:rPr>
              <w:t>-</w:t>
            </w:r>
            <w:r>
              <w:rPr>
                <w:rFonts w:ascii="Times New Roman"/>
                <w:spacing w:val="-8"/>
                <w:w w:val="95"/>
                <w:sz w:val="9"/>
              </w:rPr>
              <w:t> </w:t>
            </w:r>
            <w:r>
              <w:rPr>
                <w:rFonts w:ascii="Times New Roman"/>
                <w:w w:val="95"/>
                <w:sz w:val="9"/>
              </w:rPr>
              <w:t>Incasso</w:t>
            </w:r>
            <w:r>
              <w:rPr>
                <w:rFonts w:ascii="Times New Roman"/>
                <w:spacing w:val="-8"/>
                <w:w w:val="95"/>
                <w:sz w:val="9"/>
              </w:rPr>
              <w:t> </w:t>
            </w:r>
            <w:r>
              <w:rPr>
                <w:rFonts w:ascii="Times New Roman"/>
                <w:w w:val="95"/>
                <w:sz w:val="9"/>
              </w:rPr>
              <w:t>crediti</w:t>
            </w:r>
            <w:r>
              <w:rPr>
                <w:rFonts w:ascii="Times New Roman"/>
                <w:spacing w:val="-11"/>
                <w:w w:val="95"/>
                <w:sz w:val="9"/>
              </w:rPr>
              <w:t> </w:t>
            </w:r>
            <w:r>
              <w:rPr>
                <w:rFonts w:ascii="Times New Roman"/>
                <w:w w:val="95"/>
                <w:sz w:val="9"/>
              </w:rPr>
              <w:t>commerciali</w:t>
            </w:r>
            <w:r>
              <w:rPr>
                <w:rFonts w:ascii="Times New Roman"/>
                <w:spacing w:val="-11"/>
                <w:w w:val="95"/>
                <w:sz w:val="9"/>
              </w:rPr>
              <w:t> </w:t>
            </w:r>
            <w:r>
              <w:rPr>
                <w:rFonts w:ascii="Times New Roman"/>
                <w:w w:val="95"/>
                <w:sz w:val="9"/>
              </w:rPr>
              <w:t>C5</w:t>
            </w:r>
            <w:r>
              <w:rPr>
                <w:rFonts w:ascii="Times New Roman"/>
                <w:spacing w:val="-9"/>
                <w:w w:val="95"/>
                <w:sz w:val="9"/>
              </w:rPr>
              <w:t> </w:t>
            </w:r>
            <w:r>
              <w:rPr>
                <w:rFonts w:ascii="Times New Roman"/>
                <w:w w:val="95"/>
                <w:sz w:val="9"/>
              </w:rPr>
              <w:t>-</w:t>
            </w:r>
            <w:r>
              <w:rPr>
                <w:rFonts w:ascii="Times New Roman"/>
                <w:spacing w:val="-8"/>
                <w:w w:val="95"/>
                <w:sz w:val="9"/>
              </w:rPr>
              <w:t> </w:t>
            </w:r>
            <w:r>
              <w:rPr>
                <w:rFonts w:ascii="Times New Roman"/>
                <w:w w:val="95"/>
                <w:sz w:val="9"/>
              </w:rPr>
              <w:t>6</w:t>
            </w:r>
            <w:r>
              <w:rPr>
                <w:rFonts w:ascii="Times New Roman"/>
                <w:spacing w:val="-8"/>
                <w:w w:val="95"/>
                <w:sz w:val="9"/>
              </w:rPr>
              <w:t> </w:t>
            </w:r>
            <w:r>
              <w:rPr>
                <w:rFonts w:ascii="Times New Roman"/>
                <w:w w:val="95"/>
                <w:sz w:val="9"/>
              </w:rPr>
              <w:t>Italy</w:t>
            </w:r>
            <w:r>
              <w:rPr>
                <w:rFonts w:ascii="Times New Roman"/>
                <w:spacing w:val="-8"/>
                <w:w w:val="95"/>
                <w:sz w:val="9"/>
              </w:rPr>
              <w:t> </w:t>
            </w:r>
            <w:r>
              <w:rPr>
                <w:rFonts w:ascii="Times New Roman"/>
                <w:w w:val="95"/>
                <w:sz w:val="9"/>
              </w:rPr>
              <w:t>Srl</w:t>
              <w:tab/>
            </w:r>
            <w:r>
              <w:rPr>
                <w:rFonts w:ascii="Times New Roman"/>
                <w:sz w:val="9"/>
              </w:rPr>
              <w:t>-</w:t>
            </w:r>
          </w:p>
        </w:tc>
        <w:tc>
          <w:tcPr>
            <w:tcW w:w="529" w:type="dxa"/>
          </w:tcPr>
          <w:p>
            <w:pPr>
              <w:pStyle w:val="TableParagraph"/>
              <w:spacing w:before="5"/>
              <w:ind w:right="120"/>
              <w:rPr>
                <w:rFonts w:ascii="Times New Roman"/>
                <w:sz w:val="9"/>
              </w:rPr>
            </w:pPr>
            <w:r>
              <w:rPr>
                <w:rFonts w:ascii="Times New Roman"/>
                <w:w w:val="90"/>
                <w:sz w:val="9"/>
              </w:rPr>
              <w:t>200.000</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30"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624" w:type="dxa"/>
          </w:tcPr>
          <w:p>
            <w:pPr>
              <w:pStyle w:val="TableParagraph"/>
              <w:spacing w:before="5"/>
              <w:jc w:val="center"/>
              <w:rPr>
                <w:rFonts w:ascii="Times New Roman"/>
                <w:sz w:val="9"/>
              </w:rPr>
            </w:pPr>
            <w:r>
              <w:rPr>
                <w:rFonts w:ascii="Times New Roman"/>
                <w:w w:val="90"/>
                <w:sz w:val="9"/>
              </w:rPr>
              <w:t>-</w:t>
            </w:r>
          </w:p>
        </w:tc>
        <w:tc>
          <w:tcPr>
            <w:tcW w:w="625" w:type="dxa"/>
          </w:tcPr>
          <w:p>
            <w:pPr>
              <w:pStyle w:val="TableParagraph"/>
              <w:spacing w:before="5"/>
              <w:jc w:val="center"/>
              <w:rPr>
                <w:rFonts w:ascii="Times New Roman"/>
                <w:sz w:val="9"/>
              </w:rPr>
            </w:pPr>
            <w:r>
              <w:rPr>
                <w:rFonts w:ascii="Times New Roman"/>
                <w:w w:val="90"/>
                <w:sz w:val="9"/>
              </w:rPr>
              <w:t>-</w:t>
            </w:r>
          </w:p>
        </w:tc>
        <w:tc>
          <w:tcPr>
            <w:tcW w:w="629" w:type="dxa"/>
          </w:tcPr>
          <w:p>
            <w:pPr>
              <w:pStyle w:val="TableParagraph"/>
              <w:spacing w:before="5"/>
              <w:ind w:right="156"/>
              <w:rPr>
                <w:rFonts w:ascii="Times New Roman"/>
                <w:b/>
                <w:sz w:val="9"/>
              </w:rPr>
            </w:pPr>
            <w:r>
              <w:rPr>
                <w:rFonts w:ascii="Times New Roman"/>
                <w:b/>
                <w:w w:val="90"/>
                <w:sz w:val="9"/>
              </w:rPr>
              <w:t>200.000</w:t>
            </w:r>
          </w:p>
        </w:tc>
      </w:tr>
      <w:tr>
        <w:trPr>
          <w:trHeight w:val="116" w:hRule="exact"/>
        </w:trPr>
        <w:tc>
          <w:tcPr>
            <w:tcW w:w="3135" w:type="dxa"/>
          </w:tcPr>
          <w:p>
            <w:pPr>
              <w:pStyle w:val="TableParagraph"/>
              <w:tabs>
                <w:tab w:pos="2994" w:val="right" w:leader="none"/>
              </w:tabs>
              <w:spacing w:before="4"/>
              <w:ind w:left="13"/>
              <w:jc w:val="left"/>
              <w:rPr>
                <w:rFonts w:ascii="Times New Roman"/>
                <w:sz w:val="9"/>
              </w:rPr>
            </w:pPr>
            <w:r>
              <w:rPr>
                <w:rFonts w:ascii="Times New Roman"/>
                <w:sz w:val="9"/>
              </w:rPr>
              <w:t>-</w:t>
            </w:r>
            <w:r>
              <w:rPr>
                <w:rFonts w:ascii="Times New Roman"/>
                <w:spacing w:val="-3"/>
                <w:sz w:val="9"/>
              </w:rPr>
              <w:t> </w:t>
            </w:r>
            <w:r>
              <w:rPr>
                <w:rFonts w:ascii="Times New Roman"/>
                <w:sz w:val="9"/>
              </w:rPr>
              <w:t>Incasso</w:t>
            </w:r>
            <w:r>
              <w:rPr>
                <w:rFonts w:ascii="Times New Roman"/>
                <w:spacing w:val="-3"/>
                <w:sz w:val="9"/>
              </w:rPr>
              <w:t> </w:t>
            </w:r>
            <w:r>
              <w:rPr>
                <w:rFonts w:ascii="Times New Roman"/>
                <w:sz w:val="9"/>
              </w:rPr>
              <w:t>crediti</w:t>
            </w:r>
            <w:r>
              <w:rPr>
                <w:rFonts w:ascii="Times New Roman"/>
                <w:spacing w:val="-7"/>
                <w:sz w:val="9"/>
              </w:rPr>
              <w:t> </w:t>
            </w:r>
            <w:r>
              <w:rPr>
                <w:rFonts w:ascii="Times New Roman"/>
                <w:sz w:val="9"/>
              </w:rPr>
              <w:t>commerciali</w:t>
            </w:r>
            <w:r>
              <w:rPr>
                <w:rFonts w:ascii="Times New Roman"/>
                <w:spacing w:val="-7"/>
                <w:sz w:val="9"/>
              </w:rPr>
              <w:t> </w:t>
            </w:r>
            <w:r>
              <w:rPr>
                <w:rFonts w:ascii="Times New Roman"/>
                <w:sz w:val="9"/>
              </w:rPr>
              <w:t>MG</w:t>
            </w:r>
            <w:r>
              <w:rPr>
                <w:rFonts w:ascii="Times New Roman"/>
                <w:spacing w:val="-3"/>
                <w:sz w:val="9"/>
              </w:rPr>
              <w:t> </w:t>
            </w:r>
            <w:r>
              <w:rPr>
                <w:rFonts w:ascii="Times New Roman"/>
                <w:sz w:val="9"/>
              </w:rPr>
              <w:t>Resin</w:t>
              <w:tab/>
              <w:t>12.691</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left="221"/>
              <w:jc w:val="left"/>
              <w:rPr>
                <w:rFonts w:ascii="Times New Roman"/>
                <w:b/>
                <w:sz w:val="9"/>
              </w:rPr>
            </w:pPr>
            <w:r>
              <w:rPr>
                <w:rFonts w:ascii="Times New Roman"/>
                <w:b/>
                <w:sz w:val="9"/>
              </w:rPr>
              <w:t>12.691</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10"/>
                <w:w w:val="95"/>
                <w:sz w:val="9"/>
              </w:rPr>
              <w:t> </w:t>
            </w:r>
            <w:r>
              <w:rPr>
                <w:rFonts w:ascii="Times New Roman"/>
                <w:w w:val="95"/>
                <w:sz w:val="9"/>
              </w:rPr>
              <w:t>Incasso</w:t>
            </w:r>
            <w:r>
              <w:rPr>
                <w:rFonts w:ascii="Times New Roman"/>
                <w:spacing w:val="-10"/>
                <w:w w:val="95"/>
                <w:sz w:val="9"/>
              </w:rPr>
              <w:t> </w:t>
            </w:r>
            <w:r>
              <w:rPr>
                <w:rFonts w:ascii="Times New Roman"/>
                <w:w w:val="95"/>
                <w:sz w:val="9"/>
              </w:rPr>
              <w:t>nuova</w:t>
            </w:r>
            <w:r>
              <w:rPr>
                <w:rFonts w:ascii="Times New Roman"/>
                <w:spacing w:val="-10"/>
                <w:w w:val="95"/>
                <w:sz w:val="9"/>
              </w:rPr>
              <w:t> </w:t>
            </w:r>
            <w:r>
              <w:rPr>
                <w:rFonts w:ascii="Times New Roman"/>
                <w:w w:val="95"/>
                <w:sz w:val="9"/>
              </w:rPr>
              <w:t>commessa</w:t>
            </w:r>
            <w:r>
              <w:rPr>
                <w:rFonts w:ascii="Times New Roman"/>
                <w:spacing w:val="-10"/>
                <w:w w:val="95"/>
                <w:sz w:val="9"/>
              </w:rPr>
              <w:t> </w:t>
            </w:r>
            <w:r>
              <w:rPr>
                <w:rFonts w:ascii="Times New Roman"/>
                <w:w w:val="95"/>
                <w:sz w:val="9"/>
              </w:rPr>
              <w:t>Plastipack</w:t>
              <w:tab/>
            </w:r>
            <w:r>
              <w:rPr>
                <w:rFonts w:ascii="Times New Roman"/>
                <w:sz w:val="9"/>
              </w:rPr>
              <w:t>-</w:t>
            </w:r>
          </w:p>
        </w:tc>
        <w:tc>
          <w:tcPr>
            <w:tcW w:w="529" w:type="dxa"/>
          </w:tcPr>
          <w:p>
            <w:pPr>
              <w:pStyle w:val="TableParagraph"/>
              <w:spacing w:before="4"/>
              <w:ind w:right="120"/>
              <w:rPr>
                <w:rFonts w:ascii="Times New Roman"/>
                <w:sz w:val="9"/>
              </w:rPr>
            </w:pPr>
            <w:r>
              <w:rPr>
                <w:rFonts w:ascii="Times New Roman"/>
                <w:w w:val="90"/>
                <w:sz w:val="9"/>
              </w:rPr>
              <w:t>414.800</w:t>
            </w:r>
          </w:p>
        </w:tc>
        <w:tc>
          <w:tcPr>
            <w:tcW w:w="529" w:type="dxa"/>
          </w:tcPr>
          <w:p>
            <w:pPr>
              <w:pStyle w:val="TableParagraph"/>
              <w:spacing w:before="4"/>
              <w:ind w:left="53" w:right="31"/>
              <w:jc w:val="center"/>
              <w:rPr>
                <w:rFonts w:ascii="Times New Roman"/>
                <w:sz w:val="9"/>
              </w:rPr>
            </w:pPr>
            <w:r>
              <w:rPr>
                <w:rFonts w:ascii="Times New Roman"/>
                <w:sz w:val="9"/>
              </w:rPr>
              <w:t>85.400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56"/>
              <w:rPr>
                <w:rFonts w:ascii="Times New Roman"/>
                <w:b/>
                <w:sz w:val="9"/>
              </w:rPr>
            </w:pPr>
            <w:r>
              <w:rPr>
                <w:rFonts w:ascii="Times New Roman"/>
                <w:b/>
                <w:w w:val="90"/>
                <w:sz w:val="9"/>
              </w:rPr>
              <w:t>500.200</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color w:val="FF0000"/>
                <w:sz w:val="9"/>
              </w:rPr>
              <w:t>-</w:t>
            </w:r>
            <w:r>
              <w:rPr>
                <w:rFonts w:ascii="Times New Roman"/>
                <w:color w:val="FF0000"/>
                <w:spacing w:val="-14"/>
                <w:sz w:val="9"/>
              </w:rPr>
              <w:t> </w:t>
            </w:r>
            <w:r>
              <w:rPr>
                <w:rFonts w:ascii="Times New Roman"/>
                <w:color w:val="FF0000"/>
                <w:sz w:val="9"/>
              </w:rPr>
              <w:t>Incasso</w:t>
            </w:r>
            <w:r>
              <w:rPr>
                <w:rFonts w:ascii="Times New Roman"/>
                <w:color w:val="FF0000"/>
                <w:spacing w:val="-14"/>
                <w:sz w:val="9"/>
              </w:rPr>
              <w:t> </w:t>
            </w:r>
            <w:r>
              <w:rPr>
                <w:rFonts w:ascii="Times New Roman"/>
                <w:color w:val="FF0000"/>
                <w:sz w:val="9"/>
              </w:rPr>
              <w:t>Biosco</w:t>
              <w:tab/>
            </w:r>
            <w:r>
              <w:rPr>
                <w:rFonts w:ascii="Times New Roman"/>
                <w:sz w:val="9"/>
              </w:rPr>
              <w:t>-</w:t>
            </w:r>
          </w:p>
        </w:tc>
        <w:tc>
          <w:tcPr>
            <w:tcW w:w="529" w:type="dxa"/>
          </w:tcPr>
          <w:p>
            <w:pPr>
              <w:pStyle w:val="TableParagraph"/>
              <w:spacing w:before="4"/>
              <w:ind w:right="2"/>
              <w:jc w:val="center"/>
              <w:rPr>
                <w:rFonts w:ascii="Times New Roman"/>
                <w:sz w:val="9"/>
              </w:rPr>
            </w:pPr>
            <w:r>
              <w:rPr>
                <w:rFonts w:ascii="Times New Roman"/>
                <w:color w:val="FF0000"/>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left="22"/>
              <w:jc w:val="center"/>
              <w:rPr>
                <w:rFonts w:ascii="Times New Roman"/>
                <w:b/>
                <w:sz w:val="9"/>
              </w:rPr>
            </w:pPr>
            <w:r>
              <w:rPr>
                <w:rFonts w:ascii="Times New Roman"/>
                <w:b/>
                <w:w w:val="90"/>
                <w:sz w:val="9"/>
              </w:rPr>
              <w:t>-</w:t>
            </w:r>
          </w:p>
        </w:tc>
      </w:tr>
      <w:tr>
        <w:trPr>
          <w:trHeight w:val="116" w:hRule="exact"/>
        </w:trPr>
        <w:tc>
          <w:tcPr>
            <w:tcW w:w="3135" w:type="dxa"/>
          </w:tcPr>
          <w:p>
            <w:pPr>
              <w:pStyle w:val="TableParagraph"/>
              <w:tabs>
                <w:tab w:pos="2994" w:val="right" w:leader="none"/>
              </w:tabs>
              <w:spacing w:before="4"/>
              <w:ind w:left="13"/>
              <w:jc w:val="left"/>
              <w:rPr>
                <w:rFonts w:ascii="Times New Roman"/>
                <w:sz w:val="9"/>
              </w:rPr>
            </w:pPr>
            <w:r>
              <w:rPr>
                <w:rFonts w:ascii="Times New Roman"/>
                <w:sz w:val="9"/>
              </w:rPr>
              <w:t>-</w:t>
            </w:r>
            <w:r>
              <w:rPr>
                <w:rFonts w:ascii="Times New Roman"/>
                <w:spacing w:val="-1"/>
                <w:sz w:val="9"/>
              </w:rPr>
              <w:t> </w:t>
            </w:r>
            <w:r>
              <w:rPr>
                <w:rFonts w:ascii="Times New Roman"/>
                <w:sz w:val="9"/>
              </w:rPr>
              <w:t>Altre</w:t>
            </w:r>
            <w:r>
              <w:rPr>
                <w:rFonts w:ascii="Times New Roman"/>
                <w:spacing w:val="-1"/>
                <w:sz w:val="9"/>
              </w:rPr>
              <w:t> </w:t>
            </w:r>
            <w:r>
              <w:rPr>
                <w:rFonts w:ascii="Times New Roman"/>
                <w:sz w:val="9"/>
              </w:rPr>
              <w:t>entrate</w:t>
              <w:tab/>
              <w:t>68.009</w:t>
            </w:r>
          </w:p>
        </w:tc>
        <w:tc>
          <w:tcPr>
            <w:tcW w:w="529" w:type="dxa"/>
          </w:tcPr>
          <w:p>
            <w:pPr>
              <w:pStyle w:val="TableParagraph"/>
              <w:spacing w:before="4"/>
              <w:ind w:right="120"/>
              <w:rPr>
                <w:rFonts w:ascii="Times New Roman"/>
                <w:sz w:val="9"/>
              </w:rPr>
            </w:pPr>
            <w:r>
              <w:rPr>
                <w:rFonts w:ascii="Times New Roman"/>
                <w:w w:val="90"/>
                <w:sz w:val="9"/>
              </w:rPr>
              <w:t>188.100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56"/>
              <w:rPr>
                <w:rFonts w:ascii="Times New Roman"/>
                <w:b/>
                <w:sz w:val="9"/>
              </w:rPr>
            </w:pPr>
            <w:r>
              <w:rPr>
                <w:rFonts w:ascii="Times New Roman"/>
                <w:b/>
                <w:w w:val="90"/>
                <w:sz w:val="9"/>
              </w:rPr>
              <w:t>256.109</w:t>
            </w:r>
          </w:p>
        </w:tc>
      </w:tr>
      <w:tr>
        <w:trPr>
          <w:trHeight w:val="116" w:hRule="exact"/>
        </w:trPr>
        <w:tc>
          <w:tcPr>
            <w:tcW w:w="3135" w:type="dxa"/>
          </w:tcPr>
          <w:p>
            <w:pPr>
              <w:pStyle w:val="TableParagraph"/>
              <w:tabs>
                <w:tab w:pos="2854" w:val="left" w:leader="none"/>
              </w:tabs>
              <w:spacing w:before="5"/>
              <w:ind w:left="13"/>
              <w:jc w:val="left"/>
              <w:rPr>
                <w:rFonts w:ascii="Times New Roman"/>
                <w:sz w:val="9"/>
              </w:rPr>
            </w:pPr>
            <w:r>
              <w:rPr>
                <w:rFonts w:ascii="Times New Roman"/>
                <w:w w:val="95"/>
                <w:sz w:val="9"/>
              </w:rPr>
              <w:t>-</w:t>
            </w:r>
            <w:r>
              <w:rPr>
                <w:rFonts w:ascii="Times New Roman"/>
                <w:spacing w:val="-9"/>
                <w:w w:val="95"/>
                <w:sz w:val="9"/>
              </w:rPr>
              <w:t> </w:t>
            </w:r>
            <w:r>
              <w:rPr>
                <w:rFonts w:ascii="Times New Roman"/>
                <w:w w:val="95"/>
                <w:sz w:val="9"/>
              </w:rPr>
              <w:t>Crediti</w:t>
            </w:r>
            <w:r>
              <w:rPr>
                <w:rFonts w:ascii="Times New Roman"/>
                <w:spacing w:val="-12"/>
                <w:w w:val="95"/>
                <w:sz w:val="9"/>
              </w:rPr>
              <w:t> </w:t>
            </w:r>
            <w:r>
              <w:rPr>
                <w:rFonts w:ascii="Times New Roman"/>
                <w:w w:val="95"/>
                <w:sz w:val="9"/>
              </w:rPr>
              <w:t>fiscali</w:t>
              <w:tab/>
            </w:r>
            <w:r>
              <w:rPr>
                <w:rFonts w:ascii="Times New Roman"/>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left="48" w:right="31"/>
              <w:jc w:val="center"/>
              <w:rPr>
                <w:rFonts w:ascii="Times New Roman"/>
                <w:sz w:val="9"/>
              </w:rPr>
            </w:pPr>
            <w:r>
              <w:rPr>
                <w:rFonts w:ascii="Times New Roman"/>
                <w:sz w:val="9"/>
              </w:rPr>
              <w:t>136.903</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30"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624" w:type="dxa"/>
          </w:tcPr>
          <w:p>
            <w:pPr>
              <w:pStyle w:val="TableParagraph"/>
              <w:spacing w:before="5"/>
              <w:jc w:val="center"/>
              <w:rPr>
                <w:rFonts w:ascii="Times New Roman"/>
                <w:sz w:val="9"/>
              </w:rPr>
            </w:pPr>
            <w:r>
              <w:rPr>
                <w:rFonts w:ascii="Times New Roman"/>
                <w:w w:val="90"/>
                <w:sz w:val="9"/>
              </w:rPr>
              <w:t>-</w:t>
            </w:r>
          </w:p>
        </w:tc>
        <w:tc>
          <w:tcPr>
            <w:tcW w:w="625" w:type="dxa"/>
          </w:tcPr>
          <w:p>
            <w:pPr>
              <w:pStyle w:val="TableParagraph"/>
              <w:spacing w:before="5"/>
              <w:jc w:val="center"/>
              <w:rPr>
                <w:rFonts w:ascii="Times New Roman"/>
                <w:sz w:val="9"/>
              </w:rPr>
            </w:pPr>
            <w:r>
              <w:rPr>
                <w:rFonts w:ascii="Times New Roman"/>
                <w:w w:val="90"/>
                <w:sz w:val="9"/>
              </w:rPr>
              <w:t>-</w:t>
            </w:r>
          </w:p>
        </w:tc>
        <w:tc>
          <w:tcPr>
            <w:tcW w:w="629" w:type="dxa"/>
          </w:tcPr>
          <w:p>
            <w:pPr>
              <w:pStyle w:val="TableParagraph"/>
              <w:spacing w:before="5"/>
              <w:ind w:right="156"/>
              <w:rPr>
                <w:rFonts w:ascii="Times New Roman"/>
                <w:b/>
                <w:sz w:val="9"/>
              </w:rPr>
            </w:pPr>
            <w:r>
              <w:rPr>
                <w:rFonts w:ascii="Times New Roman"/>
                <w:b/>
                <w:w w:val="90"/>
                <w:sz w:val="9"/>
              </w:rPr>
              <w:t>136.903</w:t>
            </w:r>
          </w:p>
        </w:tc>
      </w:tr>
      <w:tr>
        <w:trPr>
          <w:trHeight w:val="111" w:hRule="exact"/>
        </w:trPr>
        <w:tc>
          <w:tcPr>
            <w:tcW w:w="3135" w:type="dxa"/>
            <w:tcBorders>
              <w:bottom w:val="single" w:sz="2" w:space="0" w:color="000000"/>
            </w:tcBorders>
          </w:tcPr>
          <w:p>
            <w:pPr>
              <w:pStyle w:val="TableParagraph"/>
              <w:tabs>
                <w:tab w:pos="2746" w:val="left" w:leader="none"/>
              </w:tabs>
              <w:spacing w:before="4"/>
              <w:ind w:left="13"/>
              <w:jc w:val="left"/>
              <w:rPr>
                <w:rFonts w:ascii="Times New Roman"/>
                <w:sz w:val="9"/>
              </w:rPr>
            </w:pPr>
            <w:r>
              <w:rPr>
                <w:rFonts w:ascii="Times New Roman"/>
                <w:color w:val="FF0000"/>
                <w:w w:val="95"/>
                <w:sz w:val="9"/>
              </w:rPr>
              <w:t>-</w:t>
            </w:r>
            <w:r>
              <w:rPr>
                <w:rFonts w:ascii="Times New Roman"/>
                <w:color w:val="FF0000"/>
                <w:spacing w:val="-10"/>
                <w:w w:val="95"/>
                <w:sz w:val="9"/>
              </w:rPr>
              <w:t> </w:t>
            </w:r>
            <w:r>
              <w:rPr>
                <w:rFonts w:ascii="Times New Roman"/>
                <w:color w:val="FF0000"/>
                <w:w w:val="95"/>
                <w:sz w:val="9"/>
              </w:rPr>
              <w:t>Impegno</w:t>
            </w:r>
            <w:r>
              <w:rPr>
                <w:rFonts w:ascii="Times New Roman"/>
                <w:color w:val="FF0000"/>
                <w:spacing w:val="-10"/>
                <w:w w:val="95"/>
                <w:sz w:val="9"/>
              </w:rPr>
              <w:t> </w:t>
            </w:r>
            <w:r>
              <w:rPr>
                <w:rFonts w:ascii="Times New Roman"/>
                <w:color w:val="FF0000"/>
                <w:w w:val="95"/>
                <w:sz w:val="9"/>
              </w:rPr>
              <w:t>Ghisolfi</w:t>
              <w:tab/>
            </w:r>
            <w:r>
              <w:rPr>
                <w:rFonts w:ascii="Times New Roman"/>
                <w:color w:val="FF0000"/>
                <w:sz w:val="9"/>
              </w:rPr>
              <w:t>500.000</w:t>
            </w:r>
          </w:p>
        </w:tc>
        <w:tc>
          <w:tcPr>
            <w:tcW w:w="529" w:type="dxa"/>
            <w:tcBorders>
              <w:bottom w:val="single" w:sz="2" w:space="0" w:color="000000"/>
            </w:tcBorders>
          </w:tcPr>
          <w:p>
            <w:pPr/>
          </w:p>
        </w:tc>
        <w:tc>
          <w:tcPr>
            <w:tcW w:w="529" w:type="dxa"/>
            <w:tcBorders>
              <w:bottom w:val="single" w:sz="2" w:space="0" w:color="000000"/>
            </w:tcBorders>
          </w:tcPr>
          <w:p>
            <w:pPr/>
          </w:p>
        </w:tc>
        <w:tc>
          <w:tcPr>
            <w:tcW w:w="529" w:type="dxa"/>
            <w:tcBorders>
              <w:bottom w:val="single" w:sz="2" w:space="0" w:color="000000"/>
            </w:tcBorders>
          </w:tcPr>
          <w:p>
            <w:pPr/>
          </w:p>
        </w:tc>
        <w:tc>
          <w:tcPr>
            <w:tcW w:w="529" w:type="dxa"/>
            <w:tcBorders>
              <w:bottom w:val="single" w:sz="2" w:space="0" w:color="000000"/>
            </w:tcBorders>
          </w:tcPr>
          <w:p>
            <w:pPr/>
          </w:p>
        </w:tc>
        <w:tc>
          <w:tcPr>
            <w:tcW w:w="529" w:type="dxa"/>
            <w:tcBorders>
              <w:bottom w:val="single" w:sz="2" w:space="0" w:color="000000"/>
            </w:tcBorders>
          </w:tcPr>
          <w:p>
            <w:pPr/>
          </w:p>
        </w:tc>
        <w:tc>
          <w:tcPr>
            <w:tcW w:w="529" w:type="dxa"/>
            <w:tcBorders>
              <w:bottom w:val="single" w:sz="2" w:space="0" w:color="000000"/>
            </w:tcBorders>
          </w:tcPr>
          <w:p>
            <w:pPr/>
          </w:p>
        </w:tc>
        <w:tc>
          <w:tcPr>
            <w:tcW w:w="529" w:type="dxa"/>
            <w:tcBorders>
              <w:bottom w:val="single" w:sz="2" w:space="0" w:color="000000"/>
            </w:tcBorders>
          </w:tcPr>
          <w:p>
            <w:pPr/>
          </w:p>
        </w:tc>
        <w:tc>
          <w:tcPr>
            <w:tcW w:w="529" w:type="dxa"/>
            <w:tcBorders>
              <w:bottom w:val="single" w:sz="2" w:space="0" w:color="000000"/>
            </w:tcBorders>
          </w:tcPr>
          <w:p>
            <w:pPr/>
          </w:p>
        </w:tc>
        <w:tc>
          <w:tcPr>
            <w:tcW w:w="530" w:type="dxa"/>
            <w:tcBorders>
              <w:bottom w:val="single" w:sz="2" w:space="0" w:color="000000"/>
            </w:tcBorders>
          </w:tcPr>
          <w:p>
            <w:pPr/>
          </w:p>
        </w:tc>
        <w:tc>
          <w:tcPr>
            <w:tcW w:w="529" w:type="dxa"/>
            <w:tcBorders>
              <w:bottom w:val="single" w:sz="2" w:space="0" w:color="000000"/>
            </w:tcBorders>
          </w:tcPr>
          <w:p>
            <w:pPr/>
          </w:p>
        </w:tc>
        <w:tc>
          <w:tcPr>
            <w:tcW w:w="624" w:type="dxa"/>
            <w:tcBorders>
              <w:bottom w:val="single" w:sz="2" w:space="0" w:color="000000"/>
            </w:tcBorders>
          </w:tcPr>
          <w:p>
            <w:pPr/>
          </w:p>
        </w:tc>
        <w:tc>
          <w:tcPr>
            <w:tcW w:w="625" w:type="dxa"/>
            <w:tcBorders>
              <w:bottom w:val="single" w:sz="2" w:space="0" w:color="000000"/>
            </w:tcBorders>
          </w:tcPr>
          <w:p>
            <w:pPr/>
          </w:p>
        </w:tc>
        <w:tc>
          <w:tcPr>
            <w:tcW w:w="629" w:type="dxa"/>
            <w:tcBorders>
              <w:bottom w:val="single" w:sz="2" w:space="0" w:color="000000"/>
            </w:tcBorders>
          </w:tcPr>
          <w:p>
            <w:pPr>
              <w:pStyle w:val="TableParagraph"/>
              <w:spacing w:before="4"/>
              <w:ind w:right="156"/>
              <w:rPr>
                <w:rFonts w:ascii="Times New Roman"/>
                <w:b/>
                <w:sz w:val="9"/>
              </w:rPr>
            </w:pPr>
            <w:r>
              <w:rPr>
                <w:rFonts w:ascii="Times New Roman"/>
                <w:b/>
                <w:w w:val="90"/>
                <w:sz w:val="9"/>
              </w:rPr>
              <w:t>500.000</w:t>
            </w:r>
          </w:p>
        </w:tc>
      </w:tr>
      <w:tr>
        <w:trPr>
          <w:trHeight w:val="121" w:hRule="exact"/>
        </w:trPr>
        <w:tc>
          <w:tcPr>
            <w:tcW w:w="3135" w:type="dxa"/>
            <w:tcBorders>
              <w:top w:val="single" w:sz="2" w:space="0" w:color="000000"/>
            </w:tcBorders>
          </w:tcPr>
          <w:p>
            <w:pPr>
              <w:pStyle w:val="TableParagraph"/>
              <w:tabs>
                <w:tab w:pos="3012" w:val="right" w:leader="none"/>
              </w:tabs>
              <w:spacing w:before="7"/>
              <w:ind w:left="13"/>
              <w:jc w:val="left"/>
              <w:rPr>
                <w:rFonts w:ascii="Times New Roman"/>
                <w:b/>
                <w:sz w:val="9"/>
              </w:rPr>
            </w:pPr>
            <w:r>
              <w:rPr>
                <w:rFonts w:ascii="Times New Roman"/>
                <w:b/>
                <w:sz w:val="9"/>
              </w:rPr>
              <w:t>Totale</w:t>
            </w:r>
            <w:r>
              <w:rPr>
                <w:rFonts w:ascii="Times New Roman"/>
                <w:b/>
                <w:spacing w:val="-1"/>
                <w:sz w:val="9"/>
              </w:rPr>
              <w:t> </w:t>
            </w:r>
            <w:r>
              <w:rPr>
                <w:rFonts w:ascii="Times New Roman"/>
                <w:b/>
                <w:sz w:val="9"/>
              </w:rPr>
              <w:t>Entrate</w:t>
              <w:tab/>
              <w:t>580.700</w:t>
            </w:r>
          </w:p>
        </w:tc>
        <w:tc>
          <w:tcPr>
            <w:tcW w:w="529" w:type="dxa"/>
            <w:tcBorders>
              <w:top w:val="single" w:sz="2" w:space="0" w:color="000000"/>
            </w:tcBorders>
          </w:tcPr>
          <w:p>
            <w:pPr>
              <w:pStyle w:val="TableParagraph"/>
              <w:spacing w:before="7"/>
              <w:ind w:right="66"/>
              <w:rPr>
                <w:rFonts w:ascii="Times New Roman"/>
                <w:b/>
                <w:sz w:val="9"/>
              </w:rPr>
            </w:pPr>
            <w:r>
              <w:rPr>
                <w:rFonts w:ascii="Times New Roman"/>
                <w:b/>
                <w:w w:val="90"/>
                <w:sz w:val="9"/>
              </w:rPr>
              <w:t>29.775.665</w:t>
            </w:r>
          </w:p>
        </w:tc>
        <w:tc>
          <w:tcPr>
            <w:tcW w:w="529" w:type="dxa"/>
            <w:tcBorders>
              <w:top w:val="single" w:sz="2" w:space="0" w:color="000000"/>
            </w:tcBorders>
          </w:tcPr>
          <w:p>
            <w:pPr>
              <w:pStyle w:val="TableParagraph"/>
              <w:spacing w:before="7"/>
              <w:ind w:left="48" w:right="31"/>
              <w:jc w:val="center"/>
              <w:rPr>
                <w:rFonts w:ascii="Times New Roman"/>
                <w:b/>
                <w:sz w:val="9"/>
              </w:rPr>
            </w:pPr>
            <w:r>
              <w:rPr>
                <w:rFonts w:ascii="Times New Roman"/>
                <w:b/>
                <w:sz w:val="9"/>
              </w:rPr>
              <w:t>264.053</w:t>
            </w:r>
          </w:p>
        </w:tc>
        <w:tc>
          <w:tcPr>
            <w:tcW w:w="529" w:type="dxa"/>
            <w:tcBorders>
              <w:top w:val="single" w:sz="2" w:space="0" w:color="000000"/>
            </w:tcBorders>
          </w:tcPr>
          <w:p>
            <w:pPr>
              <w:pStyle w:val="TableParagraph"/>
              <w:spacing w:before="7"/>
              <w:ind w:left="22"/>
              <w:jc w:val="center"/>
              <w:rPr>
                <w:rFonts w:ascii="Times New Roman"/>
                <w:b/>
                <w:sz w:val="9"/>
              </w:rPr>
            </w:pPr>
            <w:r>
              <w:rPr>
                <w:rFonts w:ascii="Times New Roman"/>
                <w:b/>
                <w:sz w:val="9"/>
              </w:rPr>
              <w:t>10.086.132</w:t>
            </w:r>
          </w:p>
        </w:tc>
        <w:tc>
          <w:tcPr>
            <w:tcW w:w="529"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529"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529"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529"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529" w:type="dxa"/>
            <w:tcBorders>
              <w:top w:val="single" w:sz="2" w:space="0" w:color="000000"/>
            </w:tcBorders>
          </w:tcPr>
          <w:p>
            <w:pPr>
              <w:pStyle w:val="TableParagraph"/>
              <w:spacing w:before="7"/>
              <w:ind w:left="48" w:right="31"/>
              <w:jc w:val="center"/>
              <w:rPr>
                <w:rFonts w:ascii="Times New Roman"/>
                <w:b/>
                <w:sz w:val="9"/>
              </w:rPr>
            </w:pPr>
            <w:r>
              <w:rPr>
                <w:rFonts w:ascii="Times New Roman"/>
                <w:b/>
                <w:sz w:val="9"/>
              </w:rPr>
              <w:t>2.879.837</w:t>
            </w:r>
          </w:p>
        </w:tc>
        <w:tc>
          <w:tcPr>
            <w:tcW w:w="530"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529"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624" w:type="dxa"/>
            <w:tcBorders>
              <w:top w:val="single" w:sz="2" w:space="0" w:color="000000"/>
            </w:tcBorders>
          </w:tcPr>
          <w:p>
            <w:pPr>
              <w:pStyle w:val="TableParagraph"/>
              <w:spacing w:before="7"/>
              <w:jc w:val="center"/>
              <w:rPr>
                <w:rFonts w:ascii="Times New Roman"/>
                <w:b/>
                <w:sz w:val="9"/>
              </w:rPr>
            </w:pPr>
            <w:r>
              <w:rPr>
                <w:rFonts w:ascii="Times New Roman"/>
                <w:b/>
                <w:w w:val="90"/>
                <w:sz w:val="9"/>
              </w:rPr>
              <w:t>-</w:t>
            </w:r>
          </w:p>
        </w:tc>
        <w:tc>
          <w:tcPr>
            <w:tcW w:w="625" w:type="dxa"/>
            <w:tcBorders>
              <w:top w:val="single" w:sz="2" w:space="0" w:color="000000"/>
            </w:tcBorders>
          </w:tcPr>
          <w:p>
            <w:pPr>
              <w:pStyle w:val="TableParagraph"/>
              <w:spacing w:before="7"/>
              <w:ind w:left="115" w:right="93"/>
              <w:jc w:val="center"/>
              <w:rPr>
                <w:rFonts w:ascii="Times New Roman"/>
                <w:b/>
                <w:sz w:val="9"/>
              </w:rPr>
            </w:pPr>
            <w:r>
              <w:rPr>
                <w:rFonts w:ascii="Times New Roman"/>
                <w:b/>
                <w:sz w:val="9"/>
              </w:rPr>
              <w:t>768.450</w:t>
            </w:r>
          </w:p>
        </w:tc>
        <w:tc>
          <w:tcPr>
            <w:tcW w:w="629" w:type="dxa"/>
            <w:tcBorders>
              <w:top w:val="single" w:sz="2" w:space="0" w:color="000000"/>
            </w:tcBorders>
          </w:tcPr>
          <w:p>
            <w:pPr>
              <w:pStyle w:val="TableParagraph"/>
              <w:spacing w:before="7"/>
              <w:ind w:right="106"/>
              <w:rPr>
                <w:rFonts w:ascii="Times New Roman"/>
                <w:b/>
                <w:sz w:val="9"/>
              </w:rPr>
            </w:pPr>
            <w:r>
              <w:rPr>
                <w:rFonts w:ascii="Times New Roman"/>
                <w:b/>
                <w:w w:val="90"/>
                <w:sz w:val="9"/>
              </w:rPr>
              <w:t>45.583.769</w:t>
            </w:r>
          </w:p>
        </w:tc>
      </w:tr>
      <w:tr>
        <w:trPr>
          <w:trHeight w:val="116" w:hRule="exact"/>
        </w:trPr>
        <w:tc>
          <w:tcPr>
            <w:tcW w:w="3135"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30" w:type="dxa"/>
          </w:tcPr>
          <w:p>
            <w:pPr/>
          </w:p>
        </w:tc>
        <w:tc>
          <w:tcPr>
            <w:tcW w:w="529" w:type="dxa"/>
          </w:tcPr>
          <w:p>
            <w:pPr/>
          </w:p>
        </w:tc>
        <w:tc>
          <w:tcPr>
            <w:tcW w:w="624" w:type="dxa"/>
          </w:tcPr>
          <w:p>
            <w:pPr/>
          </w:p>
        </w:tc>
        <w:tc>
          <w:tcPr>
            <w:tcW w:w="625" w:type="dxa"/>
          </w:tcPr>
          <w:p>
            <w:pPr/>
          </w:p>
        </w:tc>
        <w:tc>
          <w:tcPr>
            <w:tcW w:w="629" w:type="dxa"/>
          </w:tcPr>
          <w:p>
            <w:pPr>
              <w:pStyle w:val="TableParagraph"/>
              <w:spacing w:before="4"/>
              <w:ind w:left="22"/>
              <w:jc w:val="center"/>
              <w:rPr>
                <w:rFonts w:ascii="Times New Roman"/>
                <w:sz w:val="9"/>
              </w:rPr>
            </w:pPr>
            <w:r>
              <w:rPr>
                <w:rFonts w:ascii="Times New Roman"/>
                <w:color w:val="9F2F33"/>
                <w:w w:val="90"/>
                <w:sz w:val="9"/>
              </w:rPr>
              <w:t>-</w:t>
            </w:r>
          </w:p>
        </w:tc>
      </w:tr>
      <w:tr>
        <w:trPr>
          <w:trHeight w:val="116" w:hRule="exact"/>
        </w:trPr>
        <w:tc>
          <w:tcPr>
            <w:tcW w:w="3135" w:type="dxa"/>
          </w:tcPr>
          <w:p>
            <w:pPr>
              <w:pStyle w:val="TableParagraph"/>
              <w:spacing w:before="4"/>
              <w:ind w:left="13"/>
              <w:jc w:val="left"/>
              <w:rPr>
                <w:rFonts w:ascii="Times New Roman"/>
                <w:b/>
                <w:sz w:val="9"/>
              </w:rPr>
            </w:pPr>
            <w:r>
              <w:rPr>
                <w:rFonts w:ascii="Times New Roman"/>
                <w:b/>
                <w:sz w:val="9"/>
                <w:u w:val="single"/>
              </w:rPr>
              <w:t>Uscite </w:t>
            </w: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30" w:type="dxa"/>
          </w:tcPr>
          <w:p>
            <w:pPr/>
          </w:p>
        </w:tc>
        <w:tc>
          <w:tcPr>
            <w:tcW w:w="529" w:type="dxa"/>
          </w:tcPr>
          <w:p>
            <w:pPr/>
          </w:p>
        </w:tc>
        <w:tc>
          <w:tcPr>
            <w:tcW w:w="624" w:type="dxa"/>
          </w:tcPr>
          <w:p>
            <w:pPr/>
          </w:p>
        </w:tc>
        <w:tc>
          <w:tcPr>
            <w:tcW w:w="625" w:type="dxa"/>
          </w:tcPr>
          <w:p>
            <w:pPr/>
          </w:p>
        </w:tc>
        <w:tc>
          <w:tcPr>
            <w:tcW w:w="629" w:type="dxa"/>
          </w:tcPr>
          <w:p>
            <w:pP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12"/>
                <w:w w:val="95"/>
                <w:sz w:val="9"/>
              </w:rPr>
              <w:t> </w:t>
            </w:r>
            <w:r>
              <w:rPr>
                <w:rFonts w:ascii="Times New Roman"/>
                <w:w w:val="95"/>
                <w:sz w:val="9"/>
              </w:rPr>
              <w:t>Costi</w:t>
            </w:r>
            <w:r>
              <w:rPr>
                <w:rFonts w:ascii="Times New Roman"/>
                <w:spacing w:val="-14"/>
                <w:w w:val="95"/>
                <w:sz w:val="9"/>
              </w:rPr>
              <w:t> </w:t>
            </w:r>
            <w:r>
              <w:rPr>
                <w:rFonts w:ascii="Times New Roman"/>
                <w:w w:val="95"/>
                <w:sz w:val="9"/>
              </w:rPr>
              <w:t>della</w:t>
            </w:r>
            <w:r>
              <w:rPr>
                <w:rFonts w:ascii="Times New Roman"/>
                <w:spacing w:val="-12"/>
                <w:w w:val="95"/>
                <w:sz w:val="9"/>
              </w:rPr>
              <w:t> </w:t>
            </w:r>
            <w:r>
              <w:rPr>
                <w:rFonts w:ascii="Times New Roman"/>
                <w:w w:val="95"/>
                <w:sz w:val="9"/>
              </w:rPr>
              <w:t>gestione</w:t>
            </w:r>
            <w:r>
              <w:rPr>
                <w:rFonts w:ascii="Times New Roman"/>
                <w:spacing w:val="-12"/>
                <w:w w:val="95"/>
                <w:sz w:val="9"/>
              </w:rPr>
              <w:t> </w:t>
            </w:r>
            <w:r>
              <w:rPr>
                <w:rFonts w:ascii="Times New Roman"/>
                <w:w w:val="95"/>
                <w:sz w:val="9"/>
              </w:rPr>
              <w:t>ordinaria</w:t>
              <w:tab/>
            </w:r>
            <w:r>
              <w:rPr>
                <w:rFonts w:ascii="Times New Roman"/>
                <w:sz w:val="9"/>
              </w:rPr>
              <w:t>-</w:t>
            </w:r>
          </w:p>
        </w:tc>
        <w:tc>
          <w:tcPr>
            <w:tcW w:w="529" w:type="dxa"/>
          </w:tcPr>
          <w:p>
            <w:pPr>
              <w:pStyle w:val="TableParagraph"/>
              <w:spacing w:before="4"/>
              <w:ind w:right="143"/>
              <w:rPr>
                <w:rFonts w:ascii="Times New Roman"/>
                <w:sz w:val="9"/>
              </w:rPr>
            </w:pPr>
            <w:r>
              <w:rPr>
                <w:rFonts w:ascii="Times New Roman"/>
                <w:w w:val="90"/>
                <w:sz w:val="9"/>
              </w:rPr>
              <w:t>(1.000)</w:t>
            </w:r>
          </w:p>
        </w:tc>
        <w:tc>
          <w:tcPr>
            <w:tcW w:w="529" w:type="dxa"/>
          </w:tcPr>
          <w:p>
            <w:pPr>
              <w:pStyle w:val="TableParagraph"/>
              <w:spacing w:before="4"/>
              <w:ind w:left="31" w:right="31"/>
              <w:jc w:val="center"/>
              <w:rPr>
                <w:rFonts w:ascii="Times New Roman"/>
                <w:sz w:val="9"/>
              </w:rPr>
            </w:pPr>
            <w:r>
              <w:rPr>
                <w:rFonts w:ascii="Times New Roman"/>
                <w:sz w:val="9"/>
              </w:rPr>
              <w:t>(157.299)</w:t>
            </w:r>
          </w:p>
        </w:tc>
        <w:tc>
          <w:tcPr>
            <w:tcW w:w="529" w:type="dxa"/>
          </w:tcPr>
          <w:p>
            <w:pPr>
              <w:pStyle w:val="TableParagraph"/>
              <w:spacing w:before="4"/>
              <w:ind w:left="22" w:right="24"/>
              <w:jc w:val="center"/>
              <w:rPr>
                <w:rFonts w:ascii="Times New Roman"/>
                <w:sz w:val="9"/>
              </w:rPr>
            </w:pPr>
            <w:r>
              <w:rPr>
                <w:rFonts w:ascii="Times New Roman"/>
                <w:sz w:val="9"/>
              </w:rPr>
              <w:t>(31.000)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left="122"/>
              <w:jc w:val="left"/>
              <w:rPr>
                <w:rFonts w:ascii="Times New Roman"/>
                <w:sz w:val="9"/>
              </w:rPr>
            </w:pPr>
            <w:r>
              <w:rPr>
                <w:rFonts w:ascii="Times New Roman"/>
                <w:sz w:val="9"/>
              </w:rPr>
              <w:t>(12.688)</w:t>
            </w:r>
          </w:p>
        </w:tc>
        <w:tc>
          <w:tcPr>
            <w:tcW w:w="529" w:type="dxa"/>
          </w:tcPr>
          <w:p>
            <w:pPr>
              <w:pStyle w:val="TableParagraph"/>
              <w:spacing w:before="4"/>
              <w:ind w:left="22" w:right="24"/>
              <w:jc w:val="center"/>
              <w:rPr>
                <w:rFonts w:ascii="Times New Roman"/>
                <w:sz w:val="9"/>
              </w:rPr>
            </w:pPr>
            <w:r>
              <w:rPr>
                <w:rFonts w:ascii="Times New Roman"/>
                <w:sz w:val="9"/>
              </w:rPr>
              <w:t>(31.000)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left="29" w:right="31"/>
              <w:jc w:val="center"/>
              <w:rPr>
                <w:rFonts w:ascii="Times New Roman"/>
                <w:sz w:val="9"/>
              </w:rPr>
            </w:pPr>
            <w:r>
              <w:rPr>
                <w:rFonts w:ascii="Times New Roman"/>
                <w:sz w:val="9"/>
              </w:rPr>
              <w:t>(12.688)</w:t>
            </w:r>
          </w:p>
        </w:tc>
        <w:tc>
          <w:tcPr>
            <w:tcW w:w="530" w:type="dxa"/>
          </w:tcPr>
          <w:p>
            <w:pPr>
              <w:pStyle w:val="TableParagraph"/>
              <w:spacing w:before="4"/>
              <w:ind w:left="32" w:right="34"/>
              <w:jc w:val="center"/>
              <w:rPr>
                <w:rFonts w:ascii="Times New Roman"/>
                <w:sz w:val="9"/>
              </w:rPr>
            </w:pPr>
            <w:r>
              <w:rPr>
                <w:rFonts w:ascii="Times New Roman"/>
                <w:sz w:val="9"/>
              </w:rPr>
              <w:t>(43.688)</w:t>
            </w:r>
          </w:p>
        </w:tc>
        <w:tc>
          <w:tcPr>
            <w:tcW w:w="529" w:type="dxa"/>
          </w:tcPr>
          <w:p>
            <w:pPr>
              <w:pStyle w:val="TableParagraph"/>
              <w:spacing w:before="4"/>
              <w:ind w:left="29" w:right="31"/>
              <w:jc w:val="center"/>
              <w:rPr>
                <w:rFonts w:ascii="Times New Roman"/>
                <w:sz w:val="9"/>
              </w:rPr>
            </w:pPr>
            <w:r>
              <w:rPr>
                <w:rFonts w:ascii="Times New Roman"/>
                <w:sz w:val="9"/>
              </w:rPr>
              <w:t>(43.688)</w:t>
            </w:r>
          </w:p>
        </w:tc>
        <w:tc>
          <w:tcPr>
            <w:tcW w:w="624" w:type="dxa"/>
          </w:tcPr>
          <w:p>
            <w:pPr>
              <w:pStyle w:val="TableParagraph"/>
              <w:spacing w:before="4"/>
              <w:ind w:left="110" w:right="110"/>
              <w:jc w:val="center"/>
              <w:rPr>
                <w:rFonts w:ascii="Times New Roman"/>
                <w:sz w:val="9"/>
              </w:rPr>
            </w:pPr>
            <w:r>
              <w:rPr>
                <w:rFonts w:ascii="Times New Roman"/>
                <w:sz w:val="9"/>
              </w:rPr>
              <w:t>(43.688)</w:t>
            </w:r>
          </w:p>
        </w:tc>
        <w:tc>
          <w:tcPr>
            <w:tcW w:w="625" w:type="dxa"/>
          </w:tcPr>
          <w:p>
            <w:pPr>
              <w:pStyle w:val="TableParagraph"/>
              <w:spacing w:before="4"/>
              <w:ind w:left="115" w:right="115"/>
              <w:jc w:val="center"/>
              <w:rPr>
                <w:rFonts w:ascii="Times New Roman"/>
                <w:sz w:val="9"/>
              </w:rPr>
            </w:pPr>
            <w:r>
              <w:rPr>
                <w:rFonts w:ascii="Times New Roman"/>
                <w:sz w:val="9"/>
              </w:rPr>
              <w:t>(43.688)</w:t>
            </w:r>
          </w:p>
        </w:tc>
        <w:tc>
          <w:tcPr>
            <w:tcW w:w="629" w:type="dxa"/>
          </w:tcPr>
          <w:p>
            <w:pPr>
              <w:pStyle w:val="TableParagraph"/>
              <w:spacing w:before="4"/>
              <w:ind w:right="142"/>
              <w:rPr>
                <w:rFonts w:ascii="Times New Roman"/>
                <w:b/>
                <w:sz w:val="9"/>
              </w:rPr>
            </w:pPr>
            <w:r>
              <w:rPr>
                <w:rFonts w:ascii="Times New Roman"/>
                <w:b/>
                <w:w w:val="90"/>
                <w:sz w:val="9"/>
              </w:rPr>
              <w:t>(420.427)</w:t>
            </w:r>
          </w:p>
        </w:tc>
      </w:tr>
      <w:tr>
        <w:trPr>
          <w:trHeight w:val="119" w:hRule="exact"/>
        </w:trPr>
        <w:tc>
          <w:tcPr>
            <w:tcW w:w="3135" w:type="dxa"/>
          </w:tcPr>
          <w:p>
            <w:pPr>
              <w:pStyle w:val="TableParagraph"/>
              <w:tabs>
                <w:tab w:pos="2850" w:val="left" w:leader="none"/>
              </w:tabs>
              <w:spacing w:before="0"/>
              <w:ind w:left="230"/>
              <w:jc w:val="left"/>
              <w:rPr>
                <w:rFonts w:ascii="Times New Roman"/>
                <w:i/>
                <w:sz w:val="9"/>
              </w:rPr>
            </w:pPr>
            <w:r>
              <w:rPr>
                <w:rFonts w:ascii="Times New Roman"/>
                <w:i/>
                <w:w w:val="95"/>
                <w:sz w:val="9"/>
              </w:rPr>
              <w:t>Liquidatore</w:t>
            </w:r>
            <w:r>
              <w:rPr>
                <w:rFonts w:ascii="Times New Roman"/>
                <w:i/>
                <w:spacing w:val="-5"/>
                <w:w w:val="95"/>
                <w:sz w:val="9"/>
              </w:rPr>
              <w:t> </w:t>
            </w:r>
            <w:r>
              <w:rPr>
                <w:rFonts w:ascii="Times New Roman"/>
                <w:i/>
                <w:w w:val="95"/>
                <w:sz w:val="9"/>
              </w:rPr>
              <w:t>sociale</w:t>
              <w:tab/>
            </w:r>
            <w:r>
              <w:rPr>
                <w:rFonts w:ascii="Times New Roman"/>
                <w:i/>
                <w:position w:val="1"/>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left="13" w:right="24"/>
              <w:jc w:val="center"/>
              <w:rPr>
                <w:rFonts w:ascii="Times New Roman"/>
                <w:i/>
                <w:sz w:val="9"/>
              </w:rPr>
            </w:pPr>
            <w:r>
              <w:rPr>
                <w:rFonts w:ascii="Times New Roman"/>
                <w:i/>
                <w:sz w:val="9"/>
              </w:rPr>
              <w:t>(30.000)</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left="13" w:right="24"/>
              <w:jc w:val="center"/>
              <w:rPr>
                <w:rFonts w:ascii="Times New Roman"/>
                <w:i/>
                <w:sz w:val="9"/>
              </w:rPr>
            </w:pPr>
            <w:r>
              <w:rPr>
                <w:rFonts w:ascii="Times New Roman"/>
                <w:i/>
                <w:sz w:val="9"/>
              </w:rPr>
              <w:t>(30.000)</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30" w:type="dxa"/>
          </w:tcPr>
          <w:p>
            <w:pPr>
              <w:pStyle w:val="TableParagraph"/>
              <w:spacing w:before="5"/>
              <w:ind w:left="23" w:right="34"/>
              <w:jc w:val="center"/>
              <w:rPr>
                <w:rFonts w:ascii="Times New Roman"/>
                <w:i/>
                <w:sz w:val="9"/>
              </w:rPr>
            </w:pPr>
            <w:r>
              <w:rPr>
                <w:rFonts w:ascii="Times New Roman"/>
                <w:i/>
                <w:sz w:val="9"/>
              </w:rPr>
              <w:t>(30.000)</w:t>
            </w:r>
          </w:p>
        </w:tc>
        <w:tc>
          <w:tcPr>
            <w:tcW w:w="529" w:type="dxa"/>
          </w:tcPr>
          <w:p>
            <w:pPr>
              <w:pStyle w:val="TableParagraph"/>
              <w:spacing w:before="5"/>
              <w:ind w:left="20" w:right="31"/>
              <w:jc w:val="center"/>
              <w:rPr>
                <w:rFonts w:ascii="Times New Roman"/>
                <w:i/>
                <w:sz w:val="9"/>
              </w:rPr>
            </w:pPr>
            <w:r>
              <w:rPr>
                <w:rFonts w:ascii="Times New Roman"/>
                <w:i/>
                <w:sz w:val="9"/>
              </w:rPr>
              <w:t>(30.000)</w:t>
            </w:r>
          </w:p>
        </w:tc>
        <w:tc>
          <w:tcPr>
            <w:tcW w:w="624" w:type="dxa"/>
          </w:tcPr>
          <w:p>
            <w:pPr>
              <w:pStyle w:val="TableParagraph"/>
              <w:spacing w:before="5"/>
              <w:ind w:left="100" w:right="116"/>
              <w:jc w:val="center"/>
              <w:rPr>
                <w:rFonts w:ascii="Times New Roman"/>
                <w:i/>
                <w:sz w:val="9"/>
              </w:rPr>
            </w:pPr>
            <w:r>
              <w:rPr>
                <w:rFonts w:ascii="Times New Roman"/>
                <w:i/>
                <w:sz w:val="9"/>
              </w:rPr>
              <w:t>(30.000)</w:t>
            </w:r>
          </w:p>
        </w:tc>
        <w:tc>
          <w:tcPr>
            <w:tcW w:w="625" w:type="dxa"/>
          </w:tcPr>
          <w:p>
            <w:pPr>
              <w:pStyle w:val="TableParagraph"/>
              <w:spacing w:before="5"/>
              <w:ind w:left="101" w:right="117"/>
              <w:jc w:val="center"/>
              <w:rPr>
                <w:rFonts w:ascii="Times New Roman"/>
                <w:i/>
                <w:sz w:val="9"/>
              </w:rPr>
            </w:pPr>
            <w:r>
              <w:rPr>
                <w:rFonts w:ascii="Times New Roman"/>
                <w:i/>
                <w:sz w:val="9"/>
              </w:rPr>
              <w:t>(30.000)</w:t>
            </w:r>
          </w:p>
        </w:tc>
        <w:tc>
          <w:tcPr>
            <w:tcW w:w="629" w:type="dxa"/>
          </w:tcPr>
          <w:p>
            <w:pPr>
              <w:pStyle w:val="TableParagraph"/>
              <w:spacing w:before="5"/>
              <w:ind w:right="147"/>
              <w:rPr>
                <w:rFonts w:ascii="Times New Roman"/>
                <w:b/>
                <w:i/>
                <w:sz w:val="9"/>
              </w:rPr>
            </w:pPr>
            <w:r>
              <w:rPr>
                <w:rFonts w:ascii="Times New Roman"/>
                <w:b/>
                <w:i/>
                <w:w w:val="90"/>
                <w:sz w:val="9"/>
              </w:rPr>
              <w:t>(180.000)</w:t>
            </w:r>
          </w:p>
        </w:tc>
      </w:tr>
      <w:tr>
        <w:trPr>
          <w:trHeight w:val="121" w:hRule="exact"/>
        </w:trPr>
        <w:tc>
          <w:tcPr>
            <w:tcW w:w="3135" w:type="dxa"/>
          </w:tcPr>
          <w:p>
            <w:pPr>
              <w:pStyle w:val="TableParagraph"/>
              <w:tabs>
                <w:tab w:pos="2850" w:val="left" w:leader="none"/>
              </w:tabs>
              <w:spacing w:before="2"/>
              <w:ind w:left="230"/>
              <w:jc w:val="left"/>
              <w:rPr>
                <w:rFonts w:ascii="Times New Roman"/>
                <w:i/>
                <w:sz w:val="9"/>
              </w:rPr>
            </w:pPr>
            <w:r>
              <w:rPr>
                <w:rFonts w:ascii="Times New Roman"/>
                <w:i/>
                <w:w w:val="95"/>
                <w:sz w:val="9"/>
              </w:rPr>
              <w:t>Collegio</w:t>
            </w:r>
            <w:r>
              <w:rPr>
                <w:rFonts w:ascii="Times New Roman"/>
                <w:i/>
                <w:spacing w:val="-6"/>
                <w:w w:val="95"/>
                <w:sz w:val="9"/>
              </w:rPr>
              <w:t> </w:t>
            </w:r>
            <w:r>
              <w:rPr>
                <w:rFonts w:ascii="Times New Roman"/>
                <w:i/>
                <w:w w:val="95"/>
                <w:sz w:val="9"/>
              </w:rPr>
              <w:t>Sindacale</w:t>
              <w:tab/>
            </w:r>
            <w:r>
              <w:rPr>
                <w:rFonts w:ascii="Times New Roman"/>
                <w:i/>
                <w:position w:val="1"/>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15" w:right="31"/>
              <w:jc w:val="center"/>
              <w:rPr>
                <w:rFonts w:ascii="Times New Roman"/>
                <w:i/>
                <w:sz w:val="9"/>
              </w:rPr>
            </w:pPr>
            <w:r>
              <w:rPr>
                <w:rFonts w:ascii="Times New Roman"/>
                <w:i/>
                <w:sz w:val="9"/>
              </w:rPr>
              <w:t>(122.651)</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right="147"/>
              <w:rPr>
                <w:rFonts w:ascii="Times New Roman"/>
                <w:b/>
                <w:i/>
                <w:sz w:val="9"/>
              </w:rPr>
            </w:pPr>
            <w:r>
              <w:rPr>
                <w:rFonts w:ascii="Times New Roman"/>
                <w:b/>
                <w:i/>
                <w:w w:val="90"/>
                <w:sz w:val="9"/>
              </w:rPr>
              <w:t>(122.651)</w:t>
            </w:r>
          </w:p>
        </w:tc>
      </w:tr>
      <w:tr>
        <w:trPr>
          <w:trHeight w:val="121" w:hRule="exact"/>
        </w:trPr>
        <w:tc>
          <w:tcPr>
            <w:tcW w:w="3135" w:type="dxa"/>
          </w:tcPr>
          <w:p>
            <w:pPr>
              <w:pStyle w:val="TableParagraph"/>
              <w:tabs>
                <w:tab w:pos="2850" w:val="left" w:leader="none"/>
              </w:tabs>
              <w:spacing w:before="2"/>
              <w:ind w:left="230"/>
              <w:jc w:val="left"/>
              <w:rPr>
                <w:rFonts w:ascii="Times New Roman" w:hAnsi="Times New Roman"/>
                <w:i/>
                <w:sz w:val="9"/>
              </w:rPr>
            </w:pPr>
            <w:r>
              <w:rPr>
                <w:rFonts w:ascii="Times New Roman" w:hAnsi="Times New Roman"/>
                <w:i/>
                <w:sz w:val="9"/>
              </w:rPr>
              <w:t>Società</w:t>
            </w:r>
            <w:r>
              <w:rPr>
                <w:rFonts w:ascii="Times New Roman" w:hAnsi="Times New Roman"/>
                <w:i/>
                <w:spacing w:val="-11"/>
                <w:sz w:val="9"/>
              </w:rPr>
              <w:t> </w:t>
            </w:r>
            <w:r>
              <w:rPr>
                <w:rFonts w:ascii="Times New Roman" w:hAnsi="Times New Roman"/>
                <w:i/>
                <w:sz w:val="9"/>
              </w:rPr>
              <w:t>di</w:t>
            </w:r>
            <w:r>
              <w:rPr>
                <w:rFonts w:ascii="Times New Roman" w:hAnsi="Times New Roman"/>
                <w:i/>
                <w:spacing w:val="-9"/>
                <w:sz w:val="9"/>
              </w:rPr>
              <w:t> </w:t>
            </w:r>
            <w:r>
              <w:rPr>
                <w:rFonts w:ascii="Times New Roman" w:hAnsi="Times New Roman"/>
                <w:i/>
                <w:sz w:val="9"/>
              </w:rPr>
              <w:t>revisione</w:t>
              <w:tab/>
            </w:r>
            <w:r>
              <w:rPr>
                <w:rFonts w:ascii="Times New Roman" w:hAnsi="Times New Roman"/>
                <w:i/>
                <w:position w:val="1"/>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20" w:right="31"/>
              <w:jc w:val="center"/>
              <w:rPr>
                <w:rFonts w:ascii="Times New Roman"/>
                <w:i/>
                <w:sz w:val="9"/>
              </w:rPr>
            </w:pPr>
            <w:r>
              <w:rPr>
                <w:rFonts w:ascii="Times New Roman"/>
                <w:i/>
                <w:sz w:val="9"/>
              </w:rPr>
              <w:t>(21.960)</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left="176"/>
              <w:jc w:val="left"/>
              <w:rPr>
                <w:rFonts w:ascii="Times New Roman"/>
                <w:b/>
                <w:i/>
                <w:sz w:val="9"/>
              </w:rPr>
            </w:pPr>
            <w:r>
              <w:rPr>
                <w:rFonts w:ascii="Times New Roman"/>
                <w:b/>
                <w:i/>
                <w:sz w:val="9"/>
              </w:rPr>
              <w:t>(21.960)</w:t>
            </w:r>
          </w:p>
        </w:tc>
      </w:tr>
      <w:tr>
        <w:trPr>
          <w:trHeight w:val="121" w:hRule="exact"/>
        </w:trPr>
        <w:tc>
          <w:tcPr>
            <w:tcW w:w="3135" w:type="dxa"/>
          </w:tcPr>
          <w:p>
            <w:pPr>
              <w:pStyle w:val="TableParagraph"/>
              <w:tabs>
                <w:tab w:pos="2850" w:val="left" w:leader="none"/>
              </w:tabs>
              <w:spacing w:before="2"/>
              <w:ind w:left="230"/>
              <w:jc w:val="left"/>
              <w:rPr>
                <w:rFonts w:ascii="Times New Roman" w:hAnsi="Times New Roman"/>
                <w:i/>
                <w:sz w:val="9"/>
              </w:rPr>
            </w:pPr>
            <w:r>
              <w:rPr>
                <w:rFonts w:ascii="Times New Roman" w:hAnsi="Times New Roman"/>
                <w:i/>
                <w:w w:val="95"/>
                <w:sz w:val="9"/>
              </w:rPr>
              <w:t>Costi</w:t>
            </w:r>
            <w:r>
              <w:rPr>
                <w:rFonts w:ascii="Times New Roman" w:hAnsi="Times New Roman"/>
                <w:i/>
                <w:spacing w:val="-4"/>
                <w:w w:val="95"/>
                <w:sz w:val="9"/>
              </w:rPr>
              <w:t> </w:t>
            </w:r>
            <w:r>
              <w:rPr>
                <w:rFonts w:ascii="Times New Roman" w:hAnsi="Times New Roman"/>
                <w:i/>
                <w:w w:val="95"/>
                <w:sz w:val="9"/>
              </w:rPr>
              <w:t>tenuta</w:t>
            </w:r>
            <w:r>
              <w:rPr>
                <w:rFonts w:ascii="Times New Roman" w:hAnsi="Times New Roman"/>
                <w:i/>
                <w:spacing w:val="-7"/>
                <w:w w:val="95"/>
                <w:sz w:val="9"/>
              </w:rPr>
              <w:t> </w:t>
            </w:r>
            <w:r>
              <w:rPr>
                <w:rFonts w:ascii="Times New Roman" w:hAnsi="Times New Roman"/>
                <w:i/>
                <w:w w:val="95"/>
                <w:sz w:val="9"/>
              </w:rPr>
              <w:t>contabilità</w:t>
            </w:r>
            <w:r>
              <w:rPr>
                <w:rFonts w:ascii="Times New Roman" w:hAnsi="Times New Roman"/>
                <w:i/>
                <w:spacing w:val="-6"/>
                <w:w w:val="95"/>
                <w:sz w:val="9"/>
              </w:rPr>
              <w:t> </w:t>
            </w:r>
            <w:r>
              <w:rPr>
                <w:rFonts w:ascii="Times New Roman" w:hAnsi="Times New Roman"/>
                <w:i/>
                <w:w w:val="95"/>
                <w:sz w:val="9"/>
              </w:rPr>
              <w:t>ed</w:t>
            </w:r>
            <w:r>
              <w:rPr>
                <w:rFonts w:ascii="Times New Roman" w:hAnsi="Times New Roman"/>
                <w:i/>
                <w:spacing w:val="-6"/>
                <w:w w:val="95"/>
                <w:sz w:val="9"/>
              </w:rPr>
              <w:t> </w:t>
            </w:r>
            <w:r>
              <w:rPr>
                <w:rFonts w:ascii="Times New Roman" w:hAnsi="Times New Roman"/>
                <w:i/>
                <w:w w:val="95"/>
                <w:sz w:val="9"/>
              </w:rPr>
              <w:t>adempimenti</w:t>
            </w:r>
            <w:r>
              <w:rPr>
                <w:rFonts w:ascii="Times New Roman" w:hAnsi="Times New Roman"/>
                <w:i/>
                <w:spacing w:val="-4"/>
                <w:w w:val="95"/>
                <w:sz w:val="9"/>
              </w:rPr>
              <w:t> </w:t>
            </w:r>
            <w:r>
              <w:rPr>
                <w:rFonts w:ascii="Times New Roman" w:hAnsi="Times New Roman"/>
                <w:i/>
                <w:w w:val="95"/>
                <w:sz w:val="9"/>
              </w:rPr>
              <w:t>fiscali</w:t>
              <w:tab/>
            </w:r>
            <w:r>
              <w:rPr>
                <w:rFonts w:ascii="Times New Roman" w:hAnsi="Times New Roman"/>
                <w:i/>
                <w:position w:val="1"/>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20" w:right="31"/>
              <w:jc w:val="center"/>
              <w:rPr>
                <w:rFonts w:ascii="Times New Roman"/>
                <w:i/>
                <w:sz w:val="9"/>
              </w:rPr>
            </w:pPr>
            <w:r>
              <w:rPr>
                <w:rFonts w:ascii="Times New Roman"/>
                <w:i/>
                <w:sz w:val="9"/>
              </w:rPr>
              <w:t>(12.688)</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117"/>
              <w:jc w:val="left"/>
              <w:rPr>
                <w:rFonts w:ascii="Times New Roman"/>
                <w:i/>
                <w:sz w:val="9"/>
              </w:rPr>
            </w:pPr>
            <w:r>
              <w:rPr>
                <w:rFonts w:ascii="Times New Roman"/>
                <w:i/>
                <w:sz w:val="9"/>
              </w:rPr>
              <w:t>(12.688)</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20" w:right="31"/>
              <w:jc w:val="center"/>
              <w:rPr>
                <w:rFonts w:ascii="Times New Roman"/>
                <w:i/>
                <w:sz w:val="9"/>
              </w:rPr>
            </w:pPr>
            <w:r>
              <w:rPr>
                <w:rFonts w:ascii="Times New Roman"/>
                <w:i/>
                <w:sz w:val="9"/>
              </w:rPr>
              <w:t>(12.688)</w:t>
            </w:r>
          </w:p>
        </w:tc>
        <w:tc>
          <w:tcPr>
            <w:tcW w:w="530" w:type="dxa"/>
          </w:tcPr>
          <w:p>
            <w:pPr>
              <w:pStyle w:val="TableParagraph"/>
              <w:spacing w:before="7"/>
              <w:ind w:left="23" w:right="34"/>
              <w:jc w:val="center"/>
              <w:rPr>
                <w:rFonts w:ascii="Times New Roman"/>
                <w:i/>
                <w:sz w:val="9"/>
              </w:rPr>
            </w:pPr>
            <w:r>
              <w:rPr>
                <w:rFonts w:ascii="Times New Roman"/>
                <w:i/>
                <w:sz w:val="9"/>
              </w:rPr>
              <w:t>(12.688)</w:t>
            </w:r>
          </w:p>
        </w:tc>
        <w:tc>
          <w:tcPr>
            <w:tcW w:w="529" w:type="dxa"/>
          </w:tcPr>
          <w:p>
            <w:pPr>
              <w:pStyle w:val="TableParagraph"/>
              <w:spacing w:before="7"/>
              <w:ind w:left="20" w:right="31"/>
              <w:jc w:val="center"/>
              <w:rPr>
                <w:rFonts w:ascii="Times New Roman"/>
                <w:i/>
                <w:sz w:val="9"/>
              </w:rPr>
            </w:pPr>
            <w:r>
              <w:rPr>
                <w:rFonts w:ascii="Times New Roman"/>
                <w:i/>
                <w:sz w:val="9"/>
              </w:rPr>
              <w:t>(12.688)</w:t>
            </w:r>
          </w:p>
        </w:tc>
        <w:tc>
          <w:tcPr>
            <w:tcW w:w="624" w:type="dxa"/>
          </w:tcPr>
          <w:p>
            <w:pPr>
              <w:pStyle w:val="TableParagraph"/>
              <w:spacing w:before="7"/>
              <w:ind w:left="100" w:right="116"/>
              <w:jc w:val="center"/>
              <w:rPr>
                <w:rFonts w:ascii="Times New Roman"/>
                <w:i/>
                <w:sz w:val="9"/>
              </w:rPr>
            </w:pPr>
            <w:r>
              <w:rPr>
                <w:rFonts w:ascii="Times New Roman"/>
                <w:i/>
                <w:sz w:val="9"/>
              </w:rPr>
              <w:t>(12.688)</w:t>
            </w:r>
          </w:p>
        </w:tc>
        <w:tc>
          <w:tcPr>
            <w:tcW w:w="625" w:type="dxa"/>
          </w:tcPr>
          <w:p>
            <w:pPr>
              <w:pStyle w:val="TableParagraph"/>
              <w:spacing w:before="7"/>
              <w:ind w:left="101" w:right="117"/>
              <w:jc w:val="center"/>
              <w:rPr>
                <w:rFonts w:ascii="Times New Roman"/>
                <w:i/>
                <w:sz w:val="9"/>
              </w:rPr>
            </w:pPr>
            <w:r>
              <w:rPr>
                <w:rFonts w:ascii="Times New Roman"/>
                <w:i/>
                <w:sz w:val="9"/>
              </w:rPr>
              <w:t>(12.688)</w:t>
            </w:r>
          </w:p>
        </w:tc>
        <w:tc>
          <w:tcPr>
            <w:tcW w:w="629" w:type="dxa"/>
          </w:tcPr>
          <w:p>
            <w:pPr>
              <w:pStyle w:val="TableParagraph"/>
              <w:spacing w:before="7"/>
              <w:ind w:left="176"/>
              <w:jc w:val="left"/>
              <w:rPr>
                <w:rFonts w:ascii="Times New Roman"/>
                <w:b/>
                <w:i/>
                <w:sz w:val="9"/>
              </w:rPr>
            </w:pPr>
            <w:r>
              <w:rPr>
                <w:rFonts w:ascii="Times New Roman"/>
                <w:b/>
                <w:i/>
                <w:sz w:val="9"/>
              </w:rPr>
              <w:t>(88.816)</w:t>
            </w:r>
          </w:p>
        </w:tc>
      </w:tr>
      <w:tr>
        <w:trPr>
          <w:trHeight w:val="132" w:hRule="exact"/>
        </w:trPr>
        <w:tc>
          <w:tcPr>
            <w:tcW w:w="3135" w:type="dxa"/>
          </w:tcPr>
          <w:p>
            <w:pPr>
              <w:pStyle w:val="TableParagraph"/>
              <w:tabs>
                <w:tab w:pos="2850" w:val="left" w:leader="none"/>
              </w:tabs>
              <w:spacing w:before="2"/>
              <w:ind w:left="230"/>
              <w:jc w:val="left"/>
              <w:rPr>
                <w:rFonts w:ascii="Times New Roman" w:hAnsi="Times New Roman"/>
                <w:i/>
                <w:sz w:val="9"/>
              </w:rPr>
            </w:pPr>
            <w:r>
              <w:rPr>
                <w:rFonts w:ascii="Times New Roman" w:hAnsi="Times New Roman"/>
                <w:i/>
                <w:sz w:val="9"/>
              </w:rPr>
              <w:t>Altri</w:t>
            </w:r>
            <w:r>
              <w:rPr>
                <w:rFonts w:ascii="Times New Roman" w:hAnsi="Times New Roman"/>
                <w:i/>
                <w:spacing w:val="-13"/>
                <w:sz w:val="9"/>
              </w:rPr>
              <w:t> </w:t>
            </w:r>
            <w:r>
              <w:rPr>
                <w:rFonts w:ascii="Times New Roman" w:hAnsi="Times New Roman"/>
                <w:i/>
                <w:sz w:val="9"/>
              </w:rPr>
              <w:t>costi</w:t>
            </w:r>
            <w:r>
              <w:rPr>
                <w:rFonts w:ascii="Times New Roman" w:hAnsi="Times New Roman"/>
                <w:i/>
                <w:spacing w:val="-13"/>
                <w:sz w:val="9"/>
              </w:rPr>
              <w:t> </w:t>
            </w:r>
            <w:r>
              <w:rPr>
                <w:rFonts w:ascii="Times New Roman" w:hAnsi="Times New Roman"/>
                <w:i/>
                <w:sz w:val="9"/>
              </w:rPr>
              <w:t>società</w:t>
            </w:r>
            <w:r>
              <w:rPr>
                <w:rFonts w:ascii="Times New Roman" w:hAnsi="Times New Roman"/>
                <w:i/>
                <w:spacing w:val="-15"/>
                <w:sz w:val="9"/>
              </w:rPr>
              <w:t> </w:t>
            </w:r>
            <w:r>
              <w:rPr>
                <w:rFonts w:ascii="Times New Roman" w:hAnsi="Times New Roman"/>
                <w:i/>
                <w:sz w:val="9"/>
              </w:rPr>
              <w:t>(vidimazione</w:t>
            </w:r>
            <w:r>
              <w:rPr>
                <w:rFonts w:ascii="Times New Roman" w:hAnsi="Times New Roman"/>
                <w:i/>
                <w:spacing w:val="-15"/>
                <w:sz w:val="9"/>
              </w:rPr>
              <w:t> </w:t>
            </w:r>
            <w:r>
              <w:rPr>
                <w:rFonts w:ascii="Times New Roman" w:hAnsi="Times New Roman"/>
                <w:i/>
                <w:sz w:val="9"/>
              </w:rPr>
              <w:t>libri,</w:t>
            </w:r>
            <w:r>
              <w:rPr>
                <w:rFonts w:ascii="Times New Roman" w:hAnsi="Times New Roman"/>
                <w:i/>
                <w:spacing w:val="-14"/>
                <w:sz w:val="9"/>
              </w:rPr>
              <w:t> </w:t>
            </w:r>
            <w:r>
              <w:rPr>
                <w:rFonts w:ascii="Times New Roman" w:hAnsi="Times New Roman"/>
                <w:i/>
                <w:sz w:val="9"/>
              </w:rPr>
              <w:t>diritti</w:t>
            </w:r>
            <w:r>
              <w:rPr>
                <w:rFonts w:ascii="Times New Roman" w:hAnsi="Times New Roman"/>
                <w:i/>
                <w:spacing w:val="-13"/>
                <w:sz w:val="9"/>
              </w:rPr>
              <w:t> </w:t>
            </w:r>
            <w:r>
              <w:rPr>
                <w:rFonts w:ascii="Times New Roman" w:hAnsi="Times New Roman"/>
                <w:i/>
                <w:sz w:val="9"/>
              </w:rPr>
              <w:t>camerali,</w:t>
            </w:r>
            <w:r>
              <w:rPr>
                <w:rFonts w:ascii="Times New Roman" w:hAnsi="Times New Roman"/>
                <w:i/>
                <w:spacing w:val="-14"/>
                <w:sz w:val="9"/>
              </w:rPr>
              <w:t> </w:t>
            </w:r>
            <w:r>
              <w:rPr>
                <w:rFonts w:ascii="Times New Roman" w:hAnsi="Times New Roman"/>
                <w:i/>
                <w:sz w:val="9"/>
              </w:rPr>
              <w:t>etc.)</w:t>
              <w:tab/>
            </w:r>
            <w:r>
              <w:rPr>
                <w:rFonts w:ascii="Times New Roman" w:hAnsi="Times New Roman"/>
                <w:i/>
                <w:position w:val="1"/>
                <w:sz w:val="9"/>
              </w:rPr>
              <w:t>-</w:t>
            </w:r>
          </w:p>
        </w:tc>
        <w:tc>
          <w:tcPr>
            <w:tcW w:w="529" w:type="dxa"/>
          </w:tcPr>
          <w:p>
            <w:pPr>
              <w:pStyle w:val="TableParagraph"/>
              <w:spacing w:before="7"/>
              <w:ind w:right="152"/>
              <w:rPr>
                <w:rFonts w:ascii="Times New Roman"/>
                <w:i/>
                <w:sz w:val="9"/>
              </w:rPr>
            </w:pPr>
            <w:r>
              <w:rPr>
                <w:rFonts w:ascii="Times New Roman"/>
                <w:i/>
                <w:w w:val="90"/>
                <w:sz w:val="9"/>
              </w:rPr>
              <w:t>(1.000)</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8" w:right="24"/>
              <w:jc w:val="center"/>
              <w:rPr>
                <w:rFonts w:ascii="Times New Roman"/>
                <w:i/>
                <w:sz w:val="9"/>
              </w:rPr>
            </w:pPr>
            <w:r>
              <w:rPr>
                <w:rFonts w:ascii="Times New Roman"/>
                <w:i/>
                <w:sz w:val="9"/>
              </w:rPr>
              <w:t>(1.000)</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8" w:right="24"/>
              <w:jc w:val="center"/>
              <w:rPr>
                <w:rFonts w:ascii="Times New Roman"/>
                <w:i/>
                <w:sz w:val="9"/>
              </w:rPr>
            </w:pPr>
            <w:r>
              <w:rPr>
                <w:rFonts w:ascii="Times New Roman"/>
                <w:i/>
                <w:sz w:val="9"/>
              </w:rPr>
              <w:t>(1.000)</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left="18" w:right="34"/>
              <w:jc w:val="center"/>
              <w:rPr>
                <w:rFonts w:ascii="Times New Roman"/>
                <w:i/>
                <w:sz w:val="9"/>
              </w:rPr>
            </w:pPr>
            <w:r>
              <w:rPr>
                <w:rFonts w:ascii="Times New Roman"/>
                <w:i/>
                <w:sz w:val="9"/>
              </w:rPr>
              <w:t>(1.000)</w:t>
            </w:r>
          </w:p>
        </w:tc>
        <w:tc>
          <w:tcPr>
            <w:tcW w:w="529" w:type="dxa"/>
          </w:tcPr>
          <w:p>
            <w:pPr>
              <w:pStyle w:val="TableParagraph"/>
              <w:spacing w:before="7"/>
              <w:ind w:left="15" w:right="31"/>
              <w:jc w:val="center"/>
              <w:rPr>
                <w:rFonts w:ascii="Times New Roman"/>
                <w:i/>
                <w:sz w:val="9"/>
              </w:rPr>
            </w:pPr>
            <w:r>
              <w:rPr>
                <w:rFonts w:ascii="Times New Roman"/>
                <w:i/>
                <w:sz w:val="9"/>
              </w:rPr>
              <w:t>(1.000)</w:t>
            </w:r>
          </w:p>
        </w:tc>
        <w:tc>
          <w:tcPr>
            <w:tcW w:w="624" w:type="dxa"/>
          </w:tcPr>
          <w:p>
            <w:pPr>
              <w:pStyle w:val="TableParagraph"/>
              <w:spacing w:before="7"/>
              <w:ind w:left="105" w:right="116"/>
              <w:jc w:val="center"/>
              <w:rPr>
                <w:rFonts w:ascii="Times New Roman"/>
                <w:i/>
                <w:sz w:val="9"/>
              </w:rPr>
            </w:pPr>
            <w:r>
              <w:rPr>
                <w:rFonts w:ascii="Times New Roman"/>
                <w:i/>
                <w:sz w:val="9"/>
              </w:rPr>
              <w:t>(1.000)</w:t>
            </w:r>
          </w:p>
        </w:tc>
        <w:tc>
          <w:tcPr>
            <w:tcW w:w="625" w:type="dxa"/>
          </w:tcPr>
          <w:p>
            <w:pPr>
              <w:pStyle w:val="TableParagraph"/>
              <w:spacing w:before="7"/>
              <w:ind w:left="106" w:right="117"/>
              <w:jc w:val="center"/>
              <w:rPr>
                <w:rFonts w:ascii="Times New Roman"/>
                <w:i/>
                <w:sz w:val="9"/>
              </w:rPr>
            </w:pPr>
            <w:r>
              <w:rPr>
                <w:rFonts w:ascii="Times New Roman"/>
                <w:i/>
                <w:sz w:val="9"/>
              </w:rPr>
              <w:t>(1.000)</w:t>
            </w:r>
          </w:p>
        </w:tc>
        <w:tc>
          <w:tcPr>
            <w:tcW w:w="629" w:type="dxa"/>
          </w:tcPr>
          <w:p>
            <w:pPr>
              <w:pStyle w:val="TableParagraph"/>
              <w:spacing w:before="7"/>
              <w:ind w:left="198"/>
              <w:jc w:val="left"/>
              <w:rPr>
                <w:rFonts w:ascii="Times New Roman"/>
                <w:b/>
                <w:i/>
                <w:sz w:val="9"/>
              </w:rPr>
            </w:pPr>
            <w:r>
              <w:rPr>
                <w:rFonts w:ascii="Times New Roman"/>
                <w:b/>
                <w:i/>
                <w:sz w:val="9"/>
              </w:rPr>
              <w:t>(7.000)</w:t>
            </w:r>
          </w:p>
        </w:tc>
      </w:tr>
      <w:tr>
        <w:trPr>
          <w:trHeight w:val="108" w:hRule="exact"/>
        </w:trPr>
        <w:tc>
          <w:tcPr>
            <w:tcW w:w="3135" w:type="dxa"/>
          </w:tcPr>
          <w:p>
            <w:pPr>
              <w:pStyle w:val="TableParagraph"/>
              <w:tabs>
                <w:tab w:pos="2728" w:val="left" w:leader="none"/>
              </w:tabs>
              <w:spacing w:line="103" w:lineRule="exact" w:before="0"/>
              <w:ind w:left="13"/>
              <w:jc w:val="left"/>
              <w:rPr>
                <w:rFonts w:ascii="Times New Roman"/>
                <w:sz w:val="9"/>
              </w:rPr>
            </w:pPr>
            <w:r>
              <w:rPr>
                <w:rFonts w:ascii="Times New Roman"/>
                <w:w w:val="95"/>
                <w:sz w:val="9"/>
              </w:rPr>
              <w:t>-</w:t>
            </w:r>
            <w:r>
              <w:rPr>
                <w:rFonts w:ascii="Times New Roman"/>
                <w:spacing w:val="-9"/>
                <w:w w:val="95"/>
                <w:sz w:val="9"/>
              </w:rPr>
              <w:t> </w:t>
            </w:r>
            <w:r>
              <w:rPr>
                <w:rFonts w:ascii="Times New Roman"/>
                <w:w w:val="95"/>
                <w:sz w:val="9"/>
              </w:rPr>
              <w:t>Costi</w:t>
            </w:r>
            <w:r>
              <w:rPr>
                <w:rFonts w:ascii="Times New Roman"/>
                <w:spacing w:val="-12"/>
                <w:w w:val="95"/>
                <w:sz w:val="9"/>
              </w:rPr>
              <w:t> </w:t>
            </w:r>
            <w:r>
              <w:rPr>
                <w:rFonts w:ascii="Times New Roman"/>
                <w:w w:val="95"/>
                <w:sz w:val="9"/>
              </w:rPr>
              <w:t>di</w:t>
            </w:r>
            <w:r>
              <w:rPr>
                <w:rFonts w:ascii="Times New Roman"/>
                <w:spacing w:val="-12"/>
                <w:w w:val="95"/>
                <w:sz w:val="9"/>
              </w:rPr>
              <w:t> </w:t>
            </w:r>
            <w:r>
              <w:rPr>
                <w:rFonts w:ascii="Times New Roman"/>
                <w:w w:val="95"/>
                <w:sz w:val="9"/>
              </w:rPr>
              <w:t>ristrutturazione</w:t>
              <w:tab/>
            </w:r>
            <w:r>
              <w:rPr>
                <w:rFonts w:ascii="Times New Roman"/>
                <w:sz w:val="9"/>
              </w:rPr>
              <w:t>(60.000)</w:t>
            </w:r>
          </w:p>
        </w:tc>
        <w:tc>
          <w:tcPr>
            <w:tcW w:w="529" w:type="dxa"/>
          </w:tcPr>
          <w:p>
            <w:pPr>
              <w:pStyle w:val="TableParagraph"/>
              <w:spacing w:line="88" w:lineRule="exact" w:before="0"/>
              <w:ind w:right="70"/>
              <w:rPr>
                <w:rFonts w:ascii="Times New Roman"/>
                <w:sz w:val="9"/>
              </w:rPr>
            </w:pPr>
            <w:r>
              <w:rPr>
                <w:rFonts w:ascii="Times New Roman"/>
                <w:w w:val="90"/>
                <w:sz w:val="9"/>
              </w:rPr>
              <w:t>(3.357.562)</w:t>
            </w:r>
          </w:p>
        </w:tc>
        <w:tc>
          <w:tcPr>
            <w:tcW w:w="529" w:type="dxa"/>
          </w:tcPr>
          <w:p>
            <w:pPr>
              <w:pStyle w:val="TableParagraph"/>
              <w:spacing w:line="88" w:lineRule="exact" w:before="0"/>
              <w:ind w:left="31" w:right="31"/>
              <w:jc w:val="center"/>
              <w:rPr>
                <w:rFonts w:ascii="Times New Roman"/>
                <w:sz w:val="9"/>
              </w:rPr>
            </w:pPr>
            <w:r>
              <w:rPr>
                <w:rFonts w:ascii="Times New Roman"/>
                <w:sz w:val="9"/>
              </w:rPr>
              <w:t>(108.276)</w:t>
            </w:r>
          </w:p>
        </w:tc>
        <w:tc>
          <w:tcPr>
            <w:tcW w:w="529" w:type="dxa"/>
          </w:tcPr>
          <w:p>
            <w:pPr>
              <w:pStyle w:val="TableParagraph"/>
              <w:spacing w:line="88" w:lineRule="exact" w:before="0"/>
              <w:ind w:left="22" w:right="22"/>
              <w:jc w:val="center"/>
              <w:rPr>
                <w:rFonts w:ascii="Times New Roman"/>
                <w:sz w:val="9"/>
              </w:rPr>
            </w:pPr>
            <w:r>
              <w:rPr>
                <w:rFonts w:ascii="Times New Roman"/>
                <w:sz w:val="9"/>
              </w:rPr>
              <w:t>(1.515.660)</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30" w:type="dxa"/>
          </w:tcPr>
          <w:p>
            <w:pPr>
              <w:pStyle w:val="TableParagraph"/>
              <w:spacing w:line="95"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624" w:type="dxa"/>
          </w:tcPr>
          <w:p>
            <w:pPr>
              <w:pStyle w:val="TableParagraph"/>
              <w:spacing w:line="88" w:lineRule="exact" w:before="0"/>
              <w:jc w:val="center"/>
              <w:rPr>
                <w:rFonts w:ascii="Times New Roman"/>
                <w:sz w:val="9"/>
              </w:rPr>
            </w:pPr>
            <w:r>
              <w:rPr>
                <w:rFonts w:ascii="Times New Roman"/>
                <w:w w:val="90"/>
                <w:sz w:val="9"/>
              </w:rPr>
              <w:t>-</w:t>
            </w:r>
          </w:p>
        </w:tc>
        <w:tc>
          <w:tcPr>
            <w:tcW w:w="625" w:type="dxa"/>
          </w:tcPr>
          <w:p>
            <w:pPr>
              <w:pStyle w:val="TableParagraph"/>
              <w:spacing w:line="93" w:lineRule="exact" w:before="0"/>
              <w:jc w:val="center"/>
              <w:rPr>
                <w:rFonts w:ascii="Times New Roman"/>
                <w:sz w:val="9"/>
              </w:rPr>
            </w:pPr>
            <w:r>
              <w:rPr>
                <w:rFonts w:ascii="Times New Roman"/>
                <w:w w:val="90"/>
                <w:sz w:val="9"/>
              </w:rPr>
              <w:t>-</w:t>
            </w:r>
          </w:p>
        </w:tc>
        <w:tc>
          <w:tcPr>
            <w:tcW w:w="629" w:type="dxa"/>
          </w:tcPr>
          <w:p>
            <w:pPr>
              <w:pStyle w:val="TableParagraph"/>
              <w:spacing w:line="100" w:lineRule="exact" w:before="0"/>
              <w:ind w:right="111"/>
              <w:rPr>
                <w:rFonts w:ascii="Times New Roman"/>
                <w:b/>
                <w:sz w:val="9"/>
              </w:rPr>
            </w:pPr>
            <w:r>
              <w:rPr>
                <w:rFonts w:ascii="Times New Roman"/>
                <w:b/>
                <w:w w:val="90"/>
                <w:sz w:val="9"/>
              </w:rPr>
              <w:t>(5.041.498)</w:t>
            </w:r>
          </w:p>
        </w:tc>
      </w:tr>
      <w:tr>
        <w:trPr>
          <w:trHeight w:val="119" w:hRule="exact"/>
        </w:trPr>
        <w:tc>
          <w:tcPr>
            <w:tcW w:w="3135" w:type="dxa"/>
          </w:tcPr>
          <w:p>
            <w:pPr>
              <w:pStyle w:val="TableParagraph"/>
              <w:tabs>
                <w:tab w:pos="2850" w:val="left" w:leader="none"/>
              </w:tabs>
              <w:spacing w:line="113" w:lineRule="exact" w:before="0"/>
              <w:ind w:left="230"/>
              <w:jc w:val="left"/>
              <w:rPr>
                <w:rFonts w:ascii="Times New Roman"/>
                <w:i/>
                <w:sz w:val="9"/>
              </w:rPr>
            </w:pPr>
            <w:r>
              <w:rPr>
                <w:rFonts w:ascii="Times New Roman"/>
                <w:i/>
                <w:w w:val="95"/>
                <w:sz w:val="9"/>
              </w:rPr>
              <w:t>Gianni, Origoni, Grippo, Cappelli</w:t>
            </w:r>
            <w:r>
              <w:rPr>
                <w:rFonts w:ascii="Times New Roman"/>
                <w:i/>
                <w:spacing w:val="-14"/>
                <w:w w:val="95"/>
                <w:sz w:val="9"/>
              </w:rPr>
              <w:t> </w:t>
            </w:r>
            <w:r>
              <w:rPr>
                <w:rFonts w:ascii="Times New Roman"/>
                <w:i/>
                <w:w w:val="95"/>
                <w:sz w:val="9"/>
              </w:rPr>
              <w:t>&amp;</w:t>
            </w:r>
            <w:r>
              <w:rPr>
                <w:rFonts w:ascii="Times New Roman"/>
                <w:i/>
                <w:spacing w:val="-3"/>
                <w:w w:val="95"/>
                <w:sz w:val="9"/>
              </w:rPr>
              <w:t> </w:t>
            </w:r>
            <w:r>
              <w:rPr>
                <w:rFonts w:ascii="Times New Roman"/>
                <w:i/>
                <w:w w:val="95"/>
                <w:sz w:val="9"/>
              </w:rPr>
              <w:t>Partners</w:t>
              <w:tab/>
            </w:r>
            <w:r>
              <w:rPr>
                <w:rFonts w:ascii="Times New Roman"/>
                <w:i/>
                <w:position w:val="1"/>
                <w:sz w:val="9"/>
              </w:rPr>
              <w:t>-</w:t>
            </w:r>
          </w:p>
        </w:tc>
        <w:tc>
          <w:tcPr>
            <w:tcW w:w="529" w:type="dxa"/>
          </w:tcPr>
          <w:p>
            <w:pPr>
              <w:pStyle w:val="TableParagraph"/>
              <w:spacing w:before="4"/>
              <w:ind w:right="111"/>
              <w:rPr>
                <w:rFonts w:ascii="Times New Roman"/>
                <w:i/>
                <w:sz w:val="9"/>
              </w:rPr>
            </w:pPr>
            <w:r>
              <w:rPr>
                <w:rFonts w:ascii="Times New Roman"/>
                <w:i/>
                <w:w w:val="90"/>
                <w:sz w:val="9"/>
              </w:rPr>
              <w:t>(175.272)</w:t>
            </w:r>
          </w:p>
        </w:tc>
        <w:tc>
          <w:tcPr>
            <w:tcW w:w="529" w:type="dxa"/>
          </w:tcPr>
          <w:p>
            <w:pPr>
              <w:pStyle w:val="TableParagraph"/>
              <w:spacing w:before="4"/>
              <w:ind w:left="20" w:right="31"/>
              <w:jc w:val="center"/>
              <w:rPr>
                <w:rFonts w:ascii="Times New Roman"/>
                <w:i/>
                <w:sz w:val="9"/>
              </w:rPr>
            </w:pPr>
            <w:r>
              <w:rPr>
                <w:rFonts w:ascii="Times New Roman"/>
                <w:i/>
                <w:sz w:val="9"/>
              </w:rPr>
              <w:t>(97.571)</w:t>
            </w:r>
          </w:p>
        </w:tc>
        <w:tc>
          <w:tcPr>
            <w:tcW w:w="529" w:type="dxa"/>
          </w:tcPr>
          <w:p>
            <w:pPr>
              <w:pStyle w:val="TableParagraph"/>
              <w:spacing w:before="4"/>
              <w:ind w:left="13" w:right="24"/>
              <w:jc w:val="center"/>
              <w:rPr>
                <w:rFonts w:ascii="Times New Roman"/>
                <w:i/>
                <w:sz w:val="9"/>
              </w:rPr>
            </w:pPr>
            <w:r>
              <w:rPr>
                <w:rFonts w:ascii="Times New Roman"/>
                <w:i/>
                <w:sz w:val="9"/>
              </w:rPr>
              <w:t>(50.752)</w:t>
            </w:r>
          </w:p>
        </w:tc>
        <w:tc>
          <w:tcPr>
            <w:tcW w:w="529" w:type="dxa"/>
          </w:tcPr>
          <w:p>
            <w:pPr>
              <w:pStyle w:val="TableParagraph"/>
              <w:spacing w:before="4"/>
              <w:ind w:right="11"/>
              <w:jc w:val="center"/>
              <w:rPr>
                <w:rFonts w:ascii="Times New Roman"/>
                <w:i/>
                <w:sz w:val="9"/>
              </w:rPr>
            </w:pPr>
            <w:r>
              <w:rPr>
                <w:rFonts w:ascii="Times New Roman"/>
                <w:i/>
                <w:w w:val="90"/>
                <w:sz w:val="9"/>
              </w:rPr>
              <w:t>-</w:t>
            </w:r>
          </w:p>
        </w:tc>
        <w:tc>
          <w:tcPr>
            <w:tcW w:w="529" w:type="dxa"/>
          </w:tcPr>
          <w:p>
            <w:pPr>
              <w:pStyle w:val="TableParagraph"/>
              <w:spacing w:before="4"/>
              <w:ind w:right="11"/>
              <w:jc w:val="center"/>
              <w:rPr>
                <w:rFonts w:ascii="Times New Roman"/>
                <w:i/>
                <w:sz w:val="9"/>
              </w:rPr>
            </w:pPr>
            <w:r>
              <w:rPr>
                <w:rFonts w:ascii="Times New Roman"/>
                <w:i/>
                <w:w w:val="90"/>
                <w:sz w:val="9"/>
              </w:rPr>
              <w:t>-</w:t>
            </w:r>
          </w:p>
        </w:tc>
        <w:tc>
          <w:tcPr>
            <w:tcW w:w="529" w:type="dxa"/>
          </w:tcPr>
          <w:p>
            <w:pPr>
              <w:pStyle w:val="TableParagraph"/>
              <w:spacing w:before="4"/>
              <w:ind w:right="11"/>
              <w:jc w:val="center"/>
              <w:rPr>
                <w:rFonts w:ascii="Times New Roman"/>
                <w:i/>
                <w:sz w:val="9"/>
              </w:rPr>
            </w:pPr>
            <w:r>
              <w:rPr>
                <w:rFonts w:ascii="Times New Roman"/>
                <w:i/>
                <w:w w:val="90"/>
                <w:sz w:val="9"/>
              </w:rPr>
              <w:t>-</w:t>
            </w:r>
          </w:p>
        </w:tc>
        <w:tc>
          <w:tcPr>
            <w:tcW w:w="529" w:type="dxa"/>
          </w:tcPr>
          <w:p>
            <w:pPr>
              <w:pStyle w:val="TableParagraph"/>
              <w:spacing w:before="4"/>
              <w:ind w:right="11"/>
              <w:jc w:val="center"/>
              <w:rPr>
                <w:rFonts w:ascii="Times New Roman"/>
                <w:i/>
                <w:sz w:val="9"/>
              </w:rPr>
            </w:pPr>
            <w:r>
              <w:rPr>
                <w:rFonts w:ascii="Times New Roman"/>
                <w:i/>
                <w:w w:val="90"/>
                <w:sz w:val="9"/>
              </w:rPr>
              <w:t>-</w:t>
            </w:r>
          </w:p>
        </w:tc>
        <w:tc>
          <w:tcPr>
            <w:tcW w:w="529" w:type="dxa"/>
          </w:tcPr>
          <w:p>
            <w:pPr>
              <w:pStyle w:val="TableParagraph"/>
              <w:spacing w:before="4"/>
              <w:ind w:right="11"/>
              <w:jc w:val="center"/>
              <w:rPr>
                <w:rFonts w:ascii="Times New Roman"/>
                <w:i/>
                <w:sz w:val="9"/>
              </w:rPr>
            </w:pPr>
            <w:r>
              <w:rPr>
                <w:rFonts w:ascii="Times New Roman"/>
                <w:i/>
                <w:w w:val="90"/>
                <w:sz w:val="9"/>
              </w:rPr>
              <w:t>-</w:t>
            </w:r>
          </w:p>
        </w:tc>
        <w:tc>
          <w:tcPr>
            <w:tcW w:w="530" w:type="dxa"/>
          </w:tcPr>
          <w:p>
            <w:pPr>
              <w:pStyle w:val="TableParagraph"/>
              <w:spacing w:before="4"/>
              <w:ind w:right="11"/>
              <w:jc w:val="center"/>
              <w:rPr>
                <w:rFonts w:ascii="Times New Roman"/>
                <w:i/>
                <w:sz w:val="9"/>
              </w:rPr>
            </w:pPr>
            <w:r>
              <w:rPr>
                <w:rFonts w:ascii="Times New Roman"/>
                <w:i/>
                <w:w w:val="90"/>
                <w:sz w:val="9"/>
              </w:rPr>
              <w:t>-</w:t>
            </w:r>
          </w:p>
        </w:tc>
        <w:tc>
          <w:tcPr>
            <w:tcW w:w="529" w:type="dxa"/>
          </w:tcPr>
          <w:p>
            <w:pPr>
              <w:pStyle w:val="TableParagraph"/>
              <w:spacing w:before="4"/>
              <w:ind w:right="11"/>
              <w:jc w:val="center"/>
              <w:rPr>
                <w:rFonts w:ascii="Times New Roman"/>
                <w:i/>
                <w:sz w:val="9"/>
              </w:rPr>
            </w:pPr>
            <w:r>
              <w:rPr>
                <w:rFonts w:ascii="Times New Roman"/>
                <w:i/>
                <w:w w:val="90"/>
                <w:sz w:val="9"/>
              </w:rPr>
              <w:t>-</w:t>
            </w:r>
          </w:p>
        </w:tc>
        <w:tc>
          <w:tcPr>
            <w:tcW w:w="624" w:type="dxa"/>
          </w:tcPr>
          <w:p>
            <w:pPr>
              <w:pStyle w:val="TableParagraph"/>
              <w:spacing w:before="4"/>
              <w:ind w:right="15"/>
              <w:jc w:val="center"/>
              <w:rPr>
                <w:rFonts w:ascii="Times New Roman"/>
                <w:i/>
                <w:sz w:val="9"/>
              </w:rPr>
            </w:pPr>
            <w:r>
              <w:rPr>
                <w:rFonts w:ascii="Times New Roman"/>
                <w:i/>
                <w:w w:val="90"/>
                <w:sz w:val="9"/>
              </w:rPr>
              <w:t>-</w:t>
            </w:r>
          </w:p>
        </w:tc>
        <w:tc>
          <w:tcPr>
            <w:tcW w:w="625" w:type="dxa"/>
          </w:tcPr>
          <w:p>
            <w:pPr>
              <w:pStyle w:val="TableParagraph"/>
              <w:spacing w:before="4"/>
              <w:ind w:right="16"/>
              <w:jc w:val="center"/>
              <w:rPr>
                <w:rFonts w:ascii="Times New Roman"/>
                <w:i/>
                <w:sz w:val="9"/>
              </w:rPr>
            </w:pPr>
            <w:r>
              <w:rPr>
                <w:rFonts w:ascii="Times New Roman"/>
                <w:i/>
                <w:w w:val="90"/>
                <w:sz w:val="9"/>
              </w:rPr>
              <w:t>-</w:t>
            </w:r>
          </w:p>
        </w:tc>
        <w:tc>
          <w:tcPr>
            <w:tcW w:w="629" w:type="dxa"/>
          </w:tcPr>
          <w:p>
            <w:pPr>
              <w:pStyle w:val="TableParagraph"/>
              <w:spacing w:before="4"/>
              <w:ind w:right="147"/>
              <w:rPr>
                <w:rFonts w:ascii="Times New Roman"/>
                <w:b/>
                <w:i/>
                <w:sz w:val="9"/>
              </w:rPr>
            </w:pPr>
            <w:r>
              <w:rPr>
                <w:rFonts w:ascii="Times New Roman"/>
                <w:b/>
                <w:i/>
                <w:w w:val="90"/>
                <w:sz w:val="9"/>
              </w:rPr>
              <w:t>(323.595)</w:t>
            </w:r>
          </w:p>
        </w:tc>
      </w:tr>
      <w:tr>
        <w:trPr>
          <w:trHeight w:val="121" w:hRule="exact"/>
        </w:trPr>
        <w:tc>
          <w:tcPr>
            <w:tcW w:w="3135" w:type="dxa"/>
          </w:tcPr>
          <w:p>
            <w:pPr>
              <w:pStyle w:val="TableParagraph"/>
              <w:tabs>
                <w:tab w:pos="2850" w:val="left" w:leader="none"/>
              </w:tabs>
              <w:spacing w:before="2"/>
              <w:ind w:left="230"/>
              <w:jc w:val="left"/>
              <w:rPr>
                <w:rFonts w:ascii="Times New Roman"/>
                <w:i/>
                <w:sz w:val="9"/>
              </w:rPr>
            </w:pPr>
            <w:r>
              <w:rPr>
                <w:rFonts w:ascii="Times New Roman"/>
                <w:i/>
                <w:w w:val="95"/>
                <w:sz w:val="9"/>
              </w:rPr>
              <w:t>Mediobanca</w:t>
            </w:r>
            <w:r>
              <w:rPr>
                <w:rFonts w:ascii="Times New Roman"/>
                <w:i/>
                <w:spacing w:val="-6"/>
                <w:w w:val="95"/>
                <w:sz w:val="9"/>
              </w:rPr>
              <w:t> </w:t>
            </w:r>
            <w:r>
              <w:rPr>
                <w:rFonts w:ascii="Times New Roman"/>
                <w:i/>
                <w:w w:val="95"/>
                <w:sz w:val="9"/>
              </w:rPr>
              <w:t>S.p.A.</w:t>
              <w:tab/>
            </w:r>
            <w:r>
              <w:rPr>
                <w:rFonts w:ascii="Times New Roman"/>
                <w:i/>
                <w:position w:val="1"/>
                <w:sz w:val="9"/>
              </w:rPr>
              <w:t>-</w:t>
            </w:r>
          </w:p>
        </w:tc>
        <w:tc>
          <w:tcPr>
            <w:tcW w:w="529" w:type="dxa"/>
          </w:tcPr>
          <w:p>
            <w:pPr>
              <w:pStyle w:val="TableParagraph"/>
              <w:spacing w:before="7"/>
              <w:ind w:right="79"/>
              <w:rPr>
                <w:rFonts w:ascii="Times New Roman"/>
                <w:i/>
                <w:sz w:val="9"/>
              </w:rPr>
            </w:pPr>
            <w:r>
              <w:rPr>
                <w:rFonts w:ascii="Times New Roman"/>
                <w:i/>
                <w:w w:val="90"/>
                <w:sz w:val="9"/>
              </w:rPr>
              <w:t>(2.568.100)</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8" w:right="24"/>
              <w:jc w:val="center"/>
              <w:rPr>
                <w:rFonts w:ascii="Times New Roman"/>
                <w:i/>
                <w:sz w:val="9"/>
              </w:rPr>
            </w:pPr>
            <w:r>
              <w:rPr>
                <w:rFonts w:ascii="Times New Roman"/>
                <w:i/>
                <w:sz w:val="9"/>
              </w:rPr>
              <w:t>(1.348.100)</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right="115"/>
              <w:rPr>
                <w:rFonts w:ascii="Times New Roman"/>
                <w:b/>
                <w:i/>
                <w:sz w:val="9"/>
              </w:rPr>
            </w:pPr>
            <w:r>
              <w:rPr>
                <w:rFonts w:ascii="Times New Roman"/>
                <w:b/>
                <w:i/>
                <w:w w:val="90"/>
                <w:sz w:val="9"/>
              </w:rPr>
              <w:t>(3.916.200)</w:t>
            </w:r>
          </w:p>
        </w:tc>
      </w:tr>
      <w:tr>
        <w:trPr>
          <w:trHeight w:val="121" w:hRule="exact"/>
        </w:trPr>
        <w:tc>
          <w:tcPr>
            <w:tcW w:w="3135" w:type="dxa"/>
          </w:tcPr>
          <w:p>
            <w:pPr>
              <w:pStyle w:val="TableParagraph"/>
              <w:tabs>
                <w:tab w:pos="2850" w:val="left" w:leader="none"/>
              </w:tabs>
              <w:spacing w:before="2"/>
              <w:ind w:left="230"/>
              <w:jc w:val="left"/>
              <w:rPr>
                <w:rFonts w:ascii="Times New Roman"/>
                <w:i/>
                <w:sz w:val="9"/>
              </w:rPr>
            </w:pPr>
            <w:r>
              <w:rPr>
                <w:rFonts w:ascii="Times New Roman"/>
                <w:i/>
                <w:sz w:val="9"/>
              </w:rPr>
              <w:t>Chiaruttini</w:t>
            </w:r>
            <w:r>
              <w:rPr>
                <w:rFonts w:ascii="Times New Roman"/>
                <w:i/>
                <w:spacing w:val="-9"/>
                <w:sz w:val="9"/>
              </w:rPr>
              <w:t> </w:t>
            </w:r>
            <w:r>
              <w:rPr>
                <w:rFonts w:ascii="Times New Roman"/>
                <w:i/>
                <w:sz w:val="9"/>
              </w:rPr>
              <w:t>e</w:t>
            </w:r>
            <w:r>
              <w:rPr>
                <w:rFonts w:ascii="Times New Roman"/>
                <w:i/>
                <w:spacing w:val="-11"/>
                <w:sz w:val="9"/>
              </w:rPr>
              <w:t> </w:t>
            </w:r>
            <w:r>
              <w:rPr>
                <w:rFonts w:ascii="Times New Roman"/>
                <w:i/>
                <w:sz w:val="9"/>
              </w:rPr>
              <w:t>Associati</w:t>
            </w:r>
            <w:r>
              <w:rPr>
                <w:rFonts w:ascii="Times New Roman"/>
                <w:i/>
                <w:spacing w:val="-9"/>
                <w:sz w:val="9"/>
              </w:rPr>
              <w:t> </w:t>
            </w:r>
            <w:r>
              <w:rPr>
                <w:rFonts w:ascii="Times New Roman"/>
                <w:i/>
                <w:sz w:val="9"/>
              </w:rPr>
              <w:t>(fase</w:t>
            </w:r>
            <w:r>
              <w:rPr>
                <w:rFonts w:ascii="Times New Roman"/>
                <w:i/>
                <w:spacing w:val="-11"/>
                <w:sz w:val="9"/>
              </w:rPr>
              <w:t> </w:t>
            </w:r>
            <w:r>
              <w:rPr>
                <w:rFonts w:ascii="Times New Roman"/>
                <w:i/>
                <w:sz w:val="9"/>
              </w:rPr>
              <w:t>1</w:t>
            </w:r>
            <w:r>
              <w:rPr>
                <w:rFonts w:ascii="Times New Roman"/>
                <w:i/>
                <w:spacing w:val="-11"/>
                <w:sz w:val="9"/>
              </w:rPr>
              <w:t> </w:t>
            </w:r>
            <w:r>
              <w:rPr>
                <w:rFonts w:ascii="Times New Roman"/>
                <w:i/>
                <w:sz w:val="9"/>
              </w:rPr>
              <w:t>e</w:t>
            </w:r>
            <w:r>
              <w:rPr>
                <w:rFonts w:ascii="Times New Roman"/>
                <w:i/>
                <w:spacing w:val="-11"/>
                <w:sz w:val="9"/>
              </w:rPr>
              <w:t> </w:t>
            </w:r>
            <w:r>
              <w:rPr>
                <w:rFonts w:ascii="Times New Roman"/>
                <w:i/>
                <w:sz w:val="9"/>
              </w:rPr>
              <w:t>2)</w:t>
              <w:tab/>
            </w:r>
            <w:r>
              <w:rPr>
                <w:rFonts w:ascii="Times New Roman"/>
                <w:i/>
                <w:position w:val="1"/>
                <w:sz w:val="9"/>
              </w:rPr>
              <w:t>-</w:t>
            </w:r>
          </w:p>
        </w:tc>
        <w:tc>
          <w:tcPr>
            <w:tcW w:w="529" w:type="dxa"/>
          </w:tcPr>
          <w:p>
            <w:pPr>
              <w:pStyle w:val="TableParagraph"/>
              <w:spacing w:before="7"/>
              <w:ind w:right="129"/>
              <w:rPr>
                <w:rFonts w:ascii="Times New Roman"/>
                <w:i/>
                <w:sz w:val="9"/>
              </w:rPr>
            </w:pPr>
            <w:r>
              <w:rPr>
                <w:rFonts w:ascii="Times New Roman"/>
                <w:i/>
                <w:w w:val="90"/>
                <w:sz w:val="9"/>
              </w:rPr>
              <w:t>(24.583)</w:t>
            </w:r>
          </w:p>
        </w:tc>
        <w:tc>
          <w:tcPr>
            <w:tcW w:w="529" w:type="dxa"/>
          </w:tcPr>
          <w:p>
            <w:pPr>
              <w:pStyle w:val="TableParagraph"/>
              <w:spacing w:before="7"/>
              <w:ind w:left="20" w:right="31"/>
              <w:jc w:val="center"/>
              <w:rPr>
                <w:rFonts w:ascii="Times New Roman"/>
                <w:i/>
                <w:sz w:val="9"/>
              </w:rPr>
            </w:pPr>
            <w:r>
              <w:rPr>
                <w:rFonts w:ascii="Times New Roman"/>
                <w:i/>
                <w:sz w:val="9"/>
              </w:rPr>
              <w:t>(10.706)</w:t>
            </w:r>
          </w:p>
        </w:tc>
        <w:tc>
          <w:tcPr>
            <w:tcW w:w="529" w:type="dxa"/>
          </w:tcPr>
          <w:p>
            <w:pPr>
              <w:pStyle w:val="TableParagraph"/>
              <w:spacing w:before="7"/>
              <w:ind w:left="13" w:right="24"/>
              <w:jc w:val="center"/>
              <w:rPr>
                <w:rFonts w:ascii="Times New Roman"/>
                <w:i/>
                <w:sz w:val="9"/>
              </w:rPr>
            </w:pPr>
            <w:r>
              <w:rPr>
                <w:rFonts w:ascii="Times New Roman"/>
                <w:i/>
                <w:sz w:val="9"/>
              </w:rPr>
              <w:t>(28.547)</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left="176"/>
              <w:jc w:val="left"/>
              <w:rPr>
                <w:rFonts w:ascii="Times New Roman"/>
                <w:b/>
                <w:i/>
                <w:sz w:val="9"/>
              </w:rPr>
            </w:pPr>
            <w:r>
              <w:rPr>
                <w:rFonts w:ascii="Times New Roman"/>
                <w:b/>
                <w:i/>
                <w:sz w:val="9"/>
              </w:rPr>
              <w:t>(63.835)</w:t>
            </w:r>
          </w:p>
        </w:tc>
      </w:tr>
      <w:tr>
        <w:trPr>
          <w:trHeight w:val="121" w:hRule="exact"/>
        </w:trPr>
        <w:tc>
          <w:tcPr>
            <w:tcW w:w="3135" w:type="dxa"/>
          </w:tcPr>
          <w:p>
            <w:pPr>
              <w:pStyle w:val="TableParagraph"/>
              <w:tabs>
                <w:tab w:pos="2850" w:val="left" w:leader="none"/>
              </w:tabs>
              <w:spacing w:before="2"/>
              <w:ind w:left="230"/>
              <w:jc w:val="left"/>
              <w:rPr>
                <w:rFonts w:ascii="Times New Roman"/>
                <w:i/>
                <w:sz w:val="9"/>
              </w:rPr>
            </w:pPr>
            <w:r>
              <w:rPr>
                <w:rFonts w:ascii="Times New Roman"/>
                <w:i/>
                <w:w w:val="95"/>
                <w:sz w:val="9"/>
              </w:rPr>
              <w:t>Chiaruttini</w:t>
            </w:r>
            <w:r>
              <w:rPr>
                <w:rFonts w:ascii="Times New Roman"/>
                <w:i/>
                <w:spacing w:val="-4"/>
                <w:w w:val="95"/>
                <w:sz w:val="9"/>
              </w:rPr>
              <w:t> </w:t>
            </w:r>
            <w:r>
              <w:rPr>
                <w:rFonts w:ascii="Times New Roman"/>
                <w:i/>
                <w:w w:val="95"/>
                <w:sz w:val="9"/>
              </w:rPr>
              <w:t>e</w:t>
            </w:r>
            <w:r>
              <w:rPr>
                <w:rFonts w:ascii="Times New Roman"/>
                <w:i/>
                <w:spacing w:val="-6"/>
                <w:w w:val="95"/>
                <w:sz w:val="9"/>
              </w:rPr>
              <w:t> </w:t>
            </w:r>
            <w:r>
              <w:rPr>
                <w:rFonts w:ascii="Times New Roman"/>
                <w:i/>
                <w:w w:val="95"/>
                <w:sz w:val="9"/>
              </w:rPr>
              <w:t>Associati</w:t>
            </w:r>
            <w:r>
              <w:rPr>
                <w:rFonts w:ascii="Times New Roman"/>
                <w:i/>
                <w:spacing w:val="-4"/>
                <w:w w:val="95"/>
                <w:sz w:val="9"/>
              </w:rPr>
              <w:t> </w:t>
            </w:r>
            <w:r>
              <w:rPr>
                <w:rFonts w:ascii="Times New Roman"/>
                <w:i/>
                <w:w w:val="95"/>
                <w:sz w:val="9"/>
              </w:rPr>
              <w:t>(assistenza</w:t>
            </w:r>
            <w:r>
              <w:rPr>
                <w:rFonts w:ascii="Times New Roman"/>
                <w:i/>
                <w:spacing w:val="-6"/>
                <w:w w:val="95"/>
                <w:sz w:val="9"/>
              </w:rPr>
              <w:t> </w:t>
            </w:r>
            <w:r>
              <w:rPr>
                <w:rFonts w:ascii="Times New Roman"/>
                <w:i/>
                <w:w w:val="95"/>
                <w:sz w:val="9"/>
              </w:rPr>
              <w:t>sino</w:t>
            </w:r>
            <w:r>
              <w:rPr>
                <w:rFonts w:ascii="Times New Roman"/>
                <w:i/>
                <w:spacing w:val="-6"/>
                <w:w w:val="95"/>
                <w:sz w:val="9"/>
              </w:rPr>
              <w:t> </w:t>
            </w:r>
            <w:r>
              <w:rPr>
                <w:rFonts w:ascii="Times New Roman"/>
                <w:i/>
                <w:w w:val="95"/>
                <w:sz w:val="9"/>
              </w:rPr>
              <w:t>alla</w:t>
            </w:r>
            <w:r>
              <w:rPr>
                <w:rFonts w:ascii="Times New Roman"/>
                <w:i/>
                <w:spacing w:val="-6"/>
                <w:w w:val="95"/>
                <w:sz w:val="9"/>
              </w:rPr>
              <w:t> </w:t>
            </w:r>
            <w:r>
              <w:rPr>
                <w:rFonts w:ascii="Times New Roman"/>
                <w:i/>
                <w:w w:val="95"/>
                <w:sz w:val="9"/>
              </w:rPr>
              <w:t>cessione</w:t>
            </w:r>
            <w:r>
              <w:rPr>
                <w:rFonts w:ascii="Times New Roman"/>
                <w:i/>
                <w:spacing w:val="-6"/>
                <w:w w:val="95"/>
                <w:sz w:val="9"/>
              </w:rPr>
              <w:t> </w:t>
            </w:r>
            <w:r>
              <w:rPr>
                <w:rFonts w:ascii="Times New Roman"/>
                <w:i/>
                <w:w w:val="95"/>
                <w:sz w:val="9"/>
              </w:rPr>
              <w:t>del</w:t>
            </w:r>
            <w:r>
              <w:rPr>
                <w:rFonts w:ascii="Times New Roman"/>
                <w:i/>
                <w:spacing w:val="-6"/>
                <w:w w:val="95"/>
                <w:sz w:val="9"/>
              </w:rPr>
              <w:t> </w:t>
            </w:r>
            <w:r>
              <w:rPr>
                <w:rFonts w:ascii="Times New Roman"/>
                <w:i/>
                <w:w w:val="95"/>
                <w:sz w:val="9"/>
              </w:rPr>
              <w:t>Ramo)</w:t>
              <w:tab/>
            </w:r>
            <w:r>
              <w:rPr>
                <w:rFonts w:ascii="Times New Roman"/>
                <w:i/>
                <w:position w:val="1"/>
                <w:sz w:val="9"/>
              </w:rPr>
              <w:t>-</w:t>
            </w:r>
          </w:p>
        </w:tc>
        <w:tc>
          <w:tcPr>
            <w:tcW w:w="529" w:type="dxa"/>
          </w:tcPr>
          <w:p>
            <w:pPr>
              <w:pStyle w:val="TableParagraph"/>
              <w:spacing w:before="7"/>
              <w:ind w:right="111"/>
              <w:rPr>
                <w:rFonts w:ascii="Times New Roman"/>
                <w:i/>
                <w:sz w:val="9"/>
              </w:rPr>
            </w:pPr>
            <w:r>
              <w:rPr>
                <w:rFonts w:ascii="Times New Roman"/>
                <w:i/>
                <w:w w:val="90"/>
                <w:sz w:val="9"/>
              </w:rPr>
              <w:t>(128.466)</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right="147"/>
              <w:rPr>
                <w:rFonts w:ascii="Times New Roman"/>
                <w:b/>
                <w:i/>
                <w:sz w:val="9"/>
              </w:rPr>
            </w:pPr>
            <w:r>
              <w:rPr>
                <w:rFonts w:ascii="Times New Roman"/>
                <w:b/>
                <w:i/>
                <w:w w:val="90"/>
                <w:sz w:val="9"/>
              </w:rPr>
              <w:t>(128.466)</w:t>
            </w:r>
          </w:p>
        </w:tc>
      </w:tr>
      <w:tr>
        <w:trPr>
          <w:trHeight w:val="121" w:hRule="exact"/>
        </w:trPr>
        <w:tc>
          <w:tcPr>
            <w:tcW w:w="3135" w:type="dxa"/>
          </w:tcPr>
          <w:p>
            <w:pPr>
              <w:pStyle w:val="TableParagraph"/>
              <w:tabs>
                <w:tab w:pos="2492" w:val="left" w:leader="none"/>
              </w:tabs>
              <w:spacing w:before="2"/>
              <w:ind w:right="129"/>
              <w:rPr>
                <w:rFonts w:ascii="Times New Roman"/>
                <w:i/>
                <w:sz w:val="9"/>
              </w:rPr>
            </w:pPr>
            <w:r>
              <w:rPr>
                <w:rFonts w:ascii="Times New Roman"/>
                <w:i/>
                <w:sz w:val="9"/>
              </w:rPr>
              <w:t>Dott.ri</w:t>
            </w:r>
            <w:r>
              <w:rPr>
                <w:rFonts w:ascii="Times New Roman"/>
                <w:i/>
                <w:spacing w:val="-11"/>
                <w:sz w:val="9"/>
              </w:rPr>
              <w:t> </w:t>
            </w:r>
            <w:r>
              <w:rPr>
                <w:rFonts w:ascii="Times New Roman"/>
                <w:i/>
                <w:sz w:val="9"/>
              </w:rPr>
              <w:t>A.</w:t>
            </w:r>
            <w:r>
              <w:rPr>
                <w:rFonts w:ascii="Times New Roman"/>
                <w:i/>
                <w:spacing w:val="-12"/>
                <w:sz w:val="9"/>
              </w:rPr>
              <w:t> </w:t>
            </w:r>
            <w:r>
              <w:rPr>
                <w:rFonts w:ascii="Times New Roman"/>
                <w:i/>
                <w:sz w:val="9"/>
              </w:rPr>
              <w:t>Solidoro</w:t>
            </w:r>
            <w:r>
              <w:rPr>
                <w:rFonts w:ascii="Times New Roman"/>
                <w:i/>
                <w:spacing w:val="-13"/>
                <w:sz w:val="9"/>
              </w:rPr>
              <w:t> </w:t>
            </w:r>
            <w:r>
              <w:rPr>
                <w:rFonts w:ascii="Times New Roman"/>
                <w:i/>
                <w:sz w:val="9"/>
              </w:rPr>
              <w:t>e</w:t>
            </w:r>
            <w:r>
              <w:rPr>
                <w:rFonts w:ascii="Times New Roman"/>
                <w:i/>
                <w:spacing w:val="-13"/>
                <w:sz w:val="9"/>
              </w:rPr>
              <w:t> </w:t>
            </w:r>
            <w:r>
              <w:rPr>
                <w:rFonts w:ascii="Times New Roman"/>
                <w:i/>
                <w:sz w:val="9"/>
              </w:rPr>
              <w:t>C.</w:t>
            </w:r>
            <w:r>
              <w:rPr>
                <w:rFonts w:ascii="Times New Roman"/>
                <w:i/>
                <w:spacing w:val="-12"/>
                <w:sz w:val="9"/>
              </w:rPr>
              <w:t> </w:t>
            </w:r>
            <w:r>
              <w:rPr>
                <w:rFonts w:ascii="Times New Roman"/>
                <w:i/>
                <w:sz w:val="9"/>
              </w:rPr>
              <w:t>Pagliughi</w:t>
              <w:tab/>
            </w:r>
            <w:r>
              <w:rPr>
                <w:rFonts w:ascii="Times New Roman"/>
                <w:i/>
                <w:w w:val="90"/>
                <w:position w:val="1"/>
                <w:sz w:val="9"/>
              </w:rPr>
              <w:t>(20.000)</w:t>
            </w:r>
          </w:p>
        </w:tc>
        <w:tc>
          <w:tcPr>
            <w:tcW w:w="529" w:type="dxa"/>
          </w:tcPr>
          <w:p>
            <w:pPr>
              <w:pStyle w:val="TableParagraph"/>
              <w:spacing w:before="7"/>
              <w:ind w:right="111"/>
              <w:rPr>
                <w:rFonts w:ascii="Times New Roman"/>
                <w:i/>
                <w:sz w:val="9"/>
              </w:rPr>
            </w:pPr>
            <w:r>
              <w:rPr>
                <w:rFonts w:ascii="Times New Roman"/>
                <w:i/>
                <w:w w:val="90"/>
                <w:sz w:val="9"/>
              </w:rPr>
              <w:t>(139.536)</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left="13" w:right="24"/>
              <w:jc w:val="center"/>
              <w:rPr>
                <w:rFonts w:ascii="Times New Roman"/>
                <w:i/>
                <w:sz w:val="9"/>
              </w:rPr>
            </w:pPr>
            <w:r>
              <w:rPr>
                <w:rFonts w:ascii="Times New Roman"/>
                <w:i/>
                <w:sz w:val="9"/>
              </w:rPr>
              <w:t>(88.261)</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right="147"/>
              <w:rPr>
                <w:rFonts w:ascii="Times New Roman"/>
                <w:b/>
                <w:i/>
                <w:sz w:val="9"/>
              </w:rPr>
            </w:pPr>
            <w:r>
              <w:rPr>
                <w:rFonts w:ascii="Times New Roman"/>
                <w:b/>
                <w:i/>
                <w:w w:val="90"/>
                <w:sz w:val="9"/>
              </w:rPr>
              <w:t>(247.797)</w:t>
            </w:r>
          </w:p>
        </w:tc>
      </w:tr>
      <w:tr>
        <w:trPr>
          <w:trHeight w:val="121" w:hRule="exact"/>
        </w:trPr>
        <w:tc>
          <w:tcPr>
            <w:tcW w:w="3135" w:type="dxa"/>
          </w:tcPr>
          <w:p>
            <w:pPr>
              <w:pStyle w:val="TableParagraph"/>
              <w:tabs>
                <w:tab w:pos="2850" w:val="left" w:leader="none"/>
              </w:tabs>
              <w:spacing w:before="2"/>
              <w:ind w:left="230"/>
              <w:jc w:val="left"/>
              <w:rPr>
                <w:rFonts w:ascii="Times New Roman"/>
                <w:i/>
                <w:sz w:val="9"/>
              </w:rPr>
            </w:pPr>
            <w:r>
              <w:rPr>
                <w:rFonts w:ascii="Times New Roman"/>
                <w:i/>
                <w:w w:val="95"/>
                <w:sz w:val="9"/>
              </w:rPr>
              <w:t>Deloitte Financial</w:t>
            </w:r>
            <w:r>
              <w:rPr>
                <w:rFonts w:ascii="Times New Roman"/>
                <w:i/>
                <w:spacing w:val="-11"/>
                <w:w w:val="95"/>
                <w:sz w:val="9"/>
              </w:rPr>
              <w:t> </w:t>
            </w:r>
            <w:r>
              <w:rPr>
                <w:rFonts w:ascii="Times New Roman"/>
                <w:i/>
                <w:w w:val="95"/>
                <w:sz w:val="9"/>
              </w:rPr>
              <w:t>Advisory</w:t>
            </w:r>
            <w:r>
              <w:rPr>
                <w:rFonts w:ascii="Times New Roman"/>
                <w:i/>
                <w:spacing w:val="-6"/>
                <w:w w:val="95"/>
                <w:sz w:val="9"/>
              </w:rPr>
              <w:t> </w:t>
            </w:r>
            <w:r>
              <w:rPr>
                <w:rFonts w:ascii="Times New Roman"/>
                <w:i/>
                <w:w w:val="95"/>
                <w:sz w:val="9"/>
              </w:rPr>
              <w:t>S.r.l.</w:t>
              <w:tab/>
            </w:r>
            <w:r>
              <w:rPr>
                <w:rFonts w:ascii="Times New Roman"/>
                <w:i/>
                <w:position w:val="1"/>
                <w:sz w:val="9"/>
              </w:rPr>
              <w:t>-</w:t>
            </w:r>
          </w:p>
        </w:tc>
        <w:tc>
          <w:tcPr>
            <w:tcW w:w="529" w:type="dxa"/>
          </w:tcPr>
          <w:p>
            <w:pPr>
              <w:pStyle w:val="TableParagraph"/>
              <w:spacing w:before="7"/>
              <w:ind w:right="111"/>
              <w:rPr>
                <w:rFonts w:ascii="Times New Roman"/>
                <w:i/>
                <w:sz w:val="9"/>
              </w:rPr>
            </w:pPr>
            <w:r>
              <w:rPr>
                <w:rFonts w:ascii="Times New Roman"/>
                <w:i/>
                <w:w w:val="90"/>
                <w:sz w:val="9"/>
              </w:rPr>
              <w:t>(244.000)</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right="147"/>
              <w:rPr>
                <w:rFonts w:ascii="Times New Roman"/>
                <w:b/>
                <w:i/>
                <w:sz w:val="9"/>
              </w:rPr>
            </w:pPr>
            <w:r>
              <w:rPr>
                <w:rFonts w:ascii="Times New Roman"/>
                <w:b/>
                <w:i/>
                <w:w w:val="90"/>
                <w:sz w:val="9"/>
              </w:rPr>
              <w:t>(244.000)</w:t>
            </w:r>
          </w:p>
        </w:tc>
      </w:tr>
      <w:tr>
        <w:trPr>
          <w:trHeight w:val="131" w:hRule="exact"/>
        </w:trPr>
        <w:tc>
          <w:tcPr>
            <w:tcW w:w="3135" w:type="dxa"/>
          </w:tcPr>
          <w:p>
            <w:pPr>
              <w:pStyle w:val="TableParagraph"/>
              <w:tabs>
                <w:tab w:pos="2492" w:val="left" w:leader="none"/>
              </w:tabs>
              <w:spacing w:before="2"/>
              <w:ind w:right="129"/>
              <w:rPr>
                <w:rFonts w:ascii="Times New Roman"/>
                <w:i/>
                <w:sz w:val="9"/>
              </w:rPr>
            </w:pPr>
            <w:r>
              <w:rPr>
                <w:rFonts w:ascii="Times New Roman"/>
                <w:i/>
                <w:sz w:val="9"/>
              </w:rPr>
              <w:t>Dr.</w:t>
            </w:r>
            <w:r>
              <w:rPr>
                <w:rFonts w:ascii="Times New Roman"/>
                <w:i/>
                <w:spacing w:val="-12"/>
                <w:sz w:val="9"/>
              </w:rPr>
              <w:t> </w:t>
            </w:r>
            <w:r>
              <w:rPr>
                <w:rFonts w:ascii="Times New Roman"/>
                <w:i/>
                <w:sz w:val="9"/>
              </w:rPr>
              <w:t>M.</w:t>
            </w:r>
            <w:r>
              <w:rPr>
                <w:rFonts w:ascii="Times New Roman"/>
                <w:i/>
                <w:spacing w:val="-12"/>
                <w:sz w:val="9"/>
              </w:rPr>
              <w:t> </w:t>
            </w:r>
            <w:r>
              <w:rPr>
                <w:rFonts w:ascii="Times New Roman"/>
                <w:i/>
                <w:sz w:val="9"/>
              </w:rPr>
              <w:t>Cattaneo</w:t>
            </w:r>
            <w:r>
              <w:rPr>
                <w:rFonts w:ascii="Times New Roman"/>
                <w:i/>
                <w:spacing w:val="-13"/>
                <w:sz w:val="9"/>
              </w:rPr>
              <w:t> </w:t>
            </w:r>
            <w:r>
              <w:rPr>
                <w:rFonts w:ascii="Times New Roman"/>
                <w:i/>
                <w:sz w:val="9"/>
              </w:rPr>
              <w:t>-</w:t>
            </w:r>
            <w:r>
              <w:rPr>
                <w:rFonts w:ascii="Times New Roman"/>
                <w:i/>
                <w:spacing w:val="-13"/>
                <w:sz w:val="9"/>
              </w:rPr>
              <w:t> </w:t>
            </w:r>
            <w:r>
              <w:rPr>
                <w:rFonts w:ascii="Times New Roman"/>
                <w:i/>
                <w:sz w:val="9"/>
              </w:rPr>
              <w:t>Ing.</w:t>
            </w:r>
            <w:r>
              <w:rPr>
                <w:rFonts w:ascii="Times New Roman"/>
                <w:i/>
                <w:spacing w:val="-12"/>
                <w:sz w:val="9"/>
              </w:rPr>
              <w:t> </w:t>
            </w:r>
            <w:r>
              <w:rPr>
                <w:rFonts w:ascii="Times New Roman"/>
                <w:i/>
                <w:sz w:val="9"/>
              </w:rPr>
              <w:t>G.Braccio</w:t>
              <w:tab/>
            </w:r>
            <w:r>
              <w:rPr>
                <w:rFonts w:ascii="Times New Roman"/>
                <w:i/>
                <w:w w:val="90"/>
                <w:position w:val="1"/>
                <w:sz w:val="9"/>
              </w:rPr>
              <w:t>(40.000)</w:t>
            </w:r>
          </w:p>
        </w:tc>
        <w:tc>
          <w:tcPr>
            <w:tcW w:w="529" w:type="dxa"/>
          </w:tcPr>
          <w:p>
            <w:pPr>
              <w:pStyle w:val="TableParagraph"/>
              <w:spacing w:before="7"/>
              <w:ind w:right="129"/>
              <w:rPr>
                <w:rFonts w:ascii="Times New Roman"/>
                <w:i/>
                <w:sz w:val="9"/>
              </w:rPr>
            </w:pPr>
            <w:r>
              <w:rPr>
                <w:rFonts w:ascii="Times New Roman"/>
                <w:i/>
                <w:w w:val="90"/>
                <w:sz w:val="9"/>
              </w:rPr>
              <w:t>(77.605)</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530" w:type="dxa"/>
          </w:tcPr>
          <w:p>
            <w:pPr>
              <w:pStyle w:val="TableParagraph"/>
              <w:spacing w:before="7"/>
              <w:ind w:right="11"/>
              <w:jc w:val="center"/>
              <w:rPr>
                <w:rFonts w:ascii="Times New Roman"/>
                <w:i/>
                <w:sz w:val="9"/>
              </w:rPr>
            </w:pPr>
            <w:r>
              <w:rPr>
                <w:rFonts w:ascii="Times New Roman"/>
                <w:i/>
                <w:w w:val="90"/>
                <w:sz w:val="9"/>
              </w:rPr>
              <w:t>-</w:t>
            </w:r>
          </w:p>
        </w:tc>
        <w:tc>
          <w:tcPr>
            <w:tcW w:w="529" w:type="dxa"/>
          </w:tcPr>
          <w:p>
            <w:pPr>
              <w:pStyle w:val="TableParagraph"/>
              <w:spacing w:before="7"/>
              <w:ind w:right="11"/>
              <w:jc w:val="center"/>
              <w:rPr>
                <w:rFonts w:ascii="Times New Roman"/>
                <w:i/>
                <w:sz w:val="9"/>
              </w:rPr>
            </w:pPr>
            <w:r>
              <w:rPr>
                <w:rFonts w:ascii="Times New Roman"/>
                <w:i/>
                <w:w w:val="90"/>
                <w:sz w:val="9"/>
              </w:rPr>
              <w:t>-</w:t>
            </w:r>
          </w:p>
        </w:tc>
        <w:tc>
          <w:tcPr>
            <w:tcW w:w="624" w:type="dxa"/>
          </w:tcPr>
          <w:p>
            <w:pPr>
              <w:pStyle w:val="TableParagraph"/>
              <w:spacing w:before="7"/>
              <w:ind w:right="15"/>
              <w:jc w:val="center"/>
              <w:rPr>
                <w:rFonts w:ascii="Times New Roman"/>
                <w:i/>
                <w:sz w:val="9"/>
              </w:rPr>
            </w:pPr>
            <w:r>
              <w:rPr>
                <w:rFonts w:ascii="Times New Roman"/>
                <w:i/>
                <w:w w:val="90"/>
                <w:sz w:val="9"/>
              </w:rPr>
              <w:t>-</w:t>
            </w:r>
          </w:p>
        </w:tc>
        <w:tc>
          <w:tcPr>
            <w:tcW w:w="625" w:type="dxa"/>
          </w:tcPr>
          <w:p>
            <w:pPr>
              <w:pStyle w:val="TableParagraph"/>
              <w:spacing w:before="7"/>
              <w:ind w:right="16"/>
              <w:jc w:val="center"/>
              <w:rPr>
                <w:rFonts w:ascii="Times New Roman"/>
                <w:i/>
                <w:sz w:val="9"/>
              </w:rPr>
            </w:pPr>
            <w:r>
              <w:rPr>
                <w:rFonts w:ascii="Times New Roman"/>
                <w:i/>
                <w:w w:val="90"/>
                <w:sz w:val="9"/>
              </w:rPr>
              <w:t>-</w:t>
            </w:r>
          </w:p>
        </w:tc>
        <w:tc>
          <w:tcPr>
            <w:tcW w:w="629" w:type="dxa"/>
          </w:tcPr>
          <w:p>
            <w:pPr>
              <w:pStyle w:val="TableParagraph"/>
              <w:spacing w:before="7"/>
              <w:ind w:right="147"/>
              <w:rPr>
                <w:rFonts w:ascii="Times New Roman"/>
                <w:b/>
                <w:i/>
                <w:sz w:val="9"/>
              </w:rPr>
            </w:pPr>
            <w:r>
              <w:rPr>
                <w:rFonts w:ascii="Times New Roman"/>
                <w:b/>
                <w:i/>
                <w:w w:val="90"/>
                <w:sz w:val="9"/>
              </w:rPr>
              <w:t>(117.605)</w:t>
            </w:r>
          </w:p>
        </w:tc>
      </w:tr>
      <w:tr>
        <w:trPr>
          <w:trHeight w:val="108" w:hRule="exact"/>
        </w:trPr>
        <w:tc>
          <w:tcPr>
            <w:tcW w:w="3135" w:type="dxa"/>
          </w:tcPr>
          <w:p>
            <w:pPr>
              <w:pStyle w:val="TableParagraph"/>
              <w:tabs>
                <w:tab w:pos="2854" w:val="left" w:leader="none"/>
              </w:tabs>
              <w:spacing w:line="103" w:lineRule="exact" w:before="0"/>
              <w:ind w:left="13"/>
              <w:jc w:val="left"/>
              <w:rPr>
                <w:rFonts w:ascii="Times New Roman"/>
                <w:sz w:val="9"/>
              </w:rPr>
            </w:pPr>
            <w:r>
              <w:rPr>
                <w:rFonts w:ascii="Times New Roman"/>
                <w:sz w:val="9"/>
              </w:rPr>
              <w:t>-</w:t>
            </w:r>
            <w:r>
              <w:rPr>
                <w:rFonts w:ascii="Times New Roman"/>
                <w:spacing w:val="-14"/>
                <w:sz w:val="9"/>
              </w:rPr>
              <w:t> </w:t>
            </w:r>
            <w:r>
              <w:rPr>
                <w:rFonts w:ascii="Times New Roman"/>
                <w:sz w:val="9"/>
              </w:rPr>
              <w:t>Spese</w:t>
            </w:r>
            <w:r>
              <w:rPr>
                <w:rFonts w:ascii="Times New Roman"/>
                <w:spacing w:val="-14"/>
                <w:sz w:val="9"/>
              </w:rPr>
              <w:t> </w:t>
            </w:r>
            <w:r>
              <w:rPr>
                <w:rFonts w:ascii="Times New Roman"/>
                <w:sz w:val="9"/>
              </w:rPr>
              <w:t>di</w:t>
            </w:r>
            <w:r>
              <w:rPr>
                <w:rFonts w:ascii="Times New Roman"/>
                <w:spacing w:val="-16"/>
                <w:sz w:val="9"/>
              </w:rPr>
              <w:t> </w:t>
            </w:r>
            <w:r>
              <w:rPr>
                <w:rFonts w:ascii="Times New Roman"/>
                <w:sz w:val="9"/>
              </w:rPr>
              <w:t>procedura</w:t>
              <w:tab/>
              <w:t>-</w:t>
            </w:r>
          </w:p>
        </w:tc>
        <w:tc>
          <w:tcPr>
            <w:tcW w:w="529" w:type="dxa"/>
          </w:tcPr>
          <w:p>
            <w:pPr>
              <w:pStyle w:val="TableParagraph"/>
              <w:spacing w:line="88" w:lineRule="exact" w:before="0"/>
              <w:ind w:right="102"/>
              <w:rPr>
                <w:rFonts w:ascii="Times New Roman"/>
                <w:sz w:val="9"/>
              </w:rPr>
            </w:pPr>
            <w:r>
              <w:rPr>
                <w:rFonts w:ascii="Times New Roman"/>
                <w:w w:val="90"/>
                <w:sz w:val="9"/>
              </w:rPr>
              <w:t>(521.339)</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left="22" w:right="22"/>
              <w:jc w:val="center"/>
              <w:rPr>
                <w:rFonts w:ascii="Times New Roman"/>
                <w:sz w:val="9"/>
              </w:rPr>
            </w:pPr>
            <w:r>
              <w:rPr>
                <w:rFonts w:ascii="Times New Roman"/>
                <w:sz w:val="9"/>
              </w:rPr>
              <w:t>(880.265)</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left="104"/>
              <w:jc w:val="left"/>
              <w:rPr>
                <w:rFonts w:ascii="Times New Roman"/>
                <w:sz w:val="9"/>
              </w:rPr>
            </w:pPr>
            <w:r>
              <w:rPr>
                <w:rFonts w:ascii="Times New Roman"/>
                <w:sz w:val="9"/>
              </w:rPr>
              <w:t>(423.082)</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left="31" w:right="31"/>
              <w:jc w:val="center"/>
              <w:rPr>
                <w:rFonts w:ascii="Times New Roman"/>
                <w:sz w:val="9"/>
              </w:rPr>
            </w:pPr>
            <w:r>
              <w:rPr>
                <w:rFonts w:ascii="Times New Roman"/>
                <w:sz w:val="9"/>
              </w:rPr>
              <w:t>(358.926)</w:t>
            </w:r>
          </w:p>
        </w:tc>
        <w:tc>
          <w:tcPr>
            <w:tcW w:w="530" w:type="dxa"/>
          </w:tcPr>
          <w:p>
            <w:pPr>
              <w:pStyle w:val="TableParagraph"/>
              <w:spacing w:line="95"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left="31" w:right="31"/>
              <w:jc w:val="center"/>
              <w:rPr>
                <w:rFonts w:ascii="Times New Roman"/>
                <w:sz w:val="9"/>
              </w:rPr>
            </w:pPr>
            <w:r>
              <w:rPr>
                <w:rFonts w:ascii="Times New Roman"/>
                <w:sz w:val="9"/>
              </w:rPr>
              <w:t>(211.541)</w:t>
            </w:r>
          </w:p>
        </w:tc>
        <w:tc>
          <w:tcPr>
            <w:tcW w:w="624" w:type="dxa"/>
          </w:tcPr>
          <w:p>
            <w:pPr>
              <w:pStyle w:val="TableParagraph"/>
              <w:spacing w:line="88" w:lineRule="exact" w:before="0"/>
              <w:ind w:left="110" w:right="112"/>
              <w:jc w:val="center"/>
              <w:rPr>
                <w:rFonts w:ascii="Times New Roman"/>
                <w:sz w:val="9"/>
              </w:rPr>
            </w:pPr>
            <w:r>
              <w:rPr>
                <w:rFonts w:ascii="Times New Roman"/>
                <w:sz w:val="9"/>
              </w:rPr>
              <w:t>(211.541)</w:t>
            </w:r>
          </w:p>
        </w:tc>
        <w:tc>
          <w:tcPr>
            <w:tcW w:w="625" w:type="dxa"/>
          </w:tcPr>
          <w:p>
            <w:pPr>
              <w:pStyle w:val="TableParagraph"/>
              <w:spacing w:line="93" w:lineRule="exact" w:before="0"/>
              <w:jc w:val="center"/>
              <w:rPr>
                <w:rFonts w:ascii="Times New Roman"/>
                <w:sz w:val="9"/>
              </w:rPr>
            </w:pPr>
            <w:r>
              <w:rPr>
                <w:rFonts w:ascii="Times New Roman"/>
                <w:w w:val="90"/>
                <w:sz w:val="9"/>
              </w:rPr>
              <w:t>-</w:t>
            </w:r>
          </w:p>
        </w:tc>
        <w:tc>
          <w:tcPr>
            <w:tcW w:w="629" w:type="dxa"/>
          </w:tcPr>
          <w:p>
            <w:pPr>
              <w:pStyle w:val="TableParagraph"/>
              <w:spacing w:line="100" w:lineRule="exact" w:before="0"/>
              <w:ind w:right="111"/>
              <w:rPr>
                <w:rFonts w:ascii="Times New Roman"/>
                <w:b/>
                <w:sz w:val="9"/>
              </w:rPr>
            </w:pPr>
            <w:r>
              <w:rPr>
                <w:rFonts w:ascii="Times New Roman"/>
                <w:b/>
                <w:w w:val="90"/>
                <w:sz w:val="9"/>
              </w:rPr>
              <w:t>(2.606.694)</w:t>
            </w:r>
          </w:p>
        </w:tc>
      </w:tr>
      <w:tr>
        <w:trPr>
          <w:trHeight w:val="129" w:hRule="exact"/>
        </w:trPr>
        <w:tc>
          <w:tcPr>
            <w:tcW w:w="3135" w:type="dxa"/>
          </w:tcPr>
          <w:p>
            <w:pPr>
              <w:pStyle w:val="TableParagraph"/>
              <w:tabs>
                <w:tab w:pos="2850" w:val="left" w:leader="none"/>
              </w:tabs>
              <w:spacing w:before="0"/>
              <w:ind w:left="230"/>
              <w:jc w:val="left"/>
              <w:rPr>
                <w:rFonts w:ascii="Times New Roman"/>
                <w:i/>
                <w:sz w:val="9"/>
              </w:rPr>
            </w:pPr>
            <w:r>
              <w:rPr>
                <w:rFonts w:ascii="Times New Roman"/>
                <w:i/>
                <w:w w:val="95"/>
                <w:sz w:val="9"/>
              </w:rPr>
              <w:t>Commissari</w:t>
            </w:r>
            <w:r>
              <w:rPr>
                <w:rFonts w:ascii="Times New Roman"/>
                <w:i/>
                <w:spacing w:val="-2"/>
                <w:w w:val="95"/>
                <w:sz w:val="9"/>
              </w:rPr>
              <w:t> </w:t>
            </w:r>
            <w:r>
              <w:rPr>
                <w:rFonts w:ascii="Times New Roman"/>
                <w:i/>
                <w:w w:val="95"/>
                <w:sz w:val="9"/>
              </w:rPr>
              <w:t>Giudiziali</w:t>
              <w:tab/>
            </w:r>
            <w:r>
              <w:rPr>
                <w:rFonts w:ascii="Times New Roman"/>
                <w:i/>
                <w:position w:val="1"/>
                <w:sz w:val="9"/>
              </w:rPr>
              <w:t>-</w:t>
            </w:r>
          </w:p>
        </w:tc>
        <w:tc>
          <w:tcPr>
            <w:tcW w:w="529" w:type="dxa"/>
          </w:tcPr>
          <w:p>
            <w:pPr>
              <w:pStyle w:val="TableParagraph"/>
              <w:spacing w:before="5"/>
              <w:ind w:right="111"/>
              <w:rPr>
                <w:rFonts w:ascii="Times New Roman"/>
                <w:i/>
                <w:sz w:val="9"/>
              </w:rPr>
            </w:pPr>
            <w:r>
              <w:rPr>
                <w:rFonts w:ascii="Times New Roman"/>
                <w:i/>
                <w:w w:val="90"/>
                <w:sz w:val="9"/>
              </w:rPr>
              <w:t>(521.339)</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left="8" w:right="24"/>
              <w:jc w:val="center"/>
              <w:rPr>
                <w:rFonts w:ascii="Times New Roman"/>
                <w:i/>
                <w:sz w:val="9"/>
              </w:rPr>
            </w:pPr>
            <w:r>
              <w:rPr>
                <w:rFonts w:ascii="Times New Roman"/>
                <w:i/>
                <w:sz w:val="9"/>
              </w:rPr>
              <w:t>(880.265)</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left="15" w:right="31"/>
              <w:jc w:val="center"/>
              <w:rPr>
                <w:rFonts w:ascii="Times New Roman"/>
                <w:i/>
                <w:sz w:val="9"/>
              </w:rPr>
            </w:pPr>
            <w:r>
              <w:rPr>
                <w:rFonts w:ascii="Times New Roman"/>
                <w:i/>
                <w:sz w:val="9"/>
              </w:rPr>
              <w:t>(358.926)</w:t>
            </w:r>
          </w:p>
        </w:tc>
        <w:tc>
          <w:tcPr>
            <w:tcW w:w="530" w:type="dxa"/>
          </w:tcPr>
          <w:p>
            <w:pPr>
              <w:pStyle w:val="TableParagraph"/>
              <w:spacing w:before="5"/>
              <w:ind w:right="11"/>
              <w:jc w:val="center"/>
              <w:rPr>
                <w:rFonts w:ascii="Times New Roman"/>
                <w:i/>
                <w:sz w:val="9"/>
              </w:rPr>
            </w:pPr>
            <w:r>
              <w:rPr>
                <w:rFonts w:ascii="Times New Roman"/>
                <w:i/>
                <w:w w:val="90"/>
                <w:sz w:val="9"/>
              </w:rPr>
              <w:t>-</w:t>
            </w:r>
          </w:p>
        </w:tc>
        <w:tc>
          <w:tcPr>
            <w:tcW w:w="529" w:type="dxa"/>
          </w:tcPr>
          <w:p>
            <w:pPr>
              <w:pStyle w:val="TableParagraph"/>
              <w:spacing w:before="5"/>
              <w:ind w:right="11"/>
              <w:jc w:val="center"/>
              <w:rPr>
                <w:rFonts w:ascii="Times New Roman"/>
                <w:i/>
                <w:sz w:val="9"/>
              </w:rPr>
            </w:pPr>
            <w:r>
              <w:rPr>
                <w:rFonts w:ascii="Times New Roman"/>
                <w:i/>
                <w:w w:val="90"/>
                <w:sz w:val="9"/>
              </w:rPr>
              <w:t>-</w:t>
            </w:r>
          </w:p>
        </w:tc>
        <w:tc>
          <w:tcPr>
            <w:tcW w:w="624" w:type="dxa"/>
          </w:tcPr>
          <w:p>
            <w:pPr>
              <w:pStyle w:val="TableParagraph"/>
              <w:spacing w:before="5"/>
              <w:ind w:right="15"/>
              <w:jc w:val="center"/>
              <w:rPr>
                <w:rFonts w:ascii="Times New Roman"/>
                <w:i/>
                <w:sz w:val="9"/>
              </w:rPr>
            </w:pPr>
            <w:r>
              <w:rPr>
                <w:rFonts w:ascii="Times New Roman"/>
                <w:i/>
                <w:w w:val="90"/>
                <w:sz w:val="9"/>
              </w:rPr>
              <w:t>-</w:t>
            </w:r>
          </w:p>
        </w:tc>
        <w:tc>
          <w:tcPr>
            <w:tcW w:w="625" w:type="dxa"/>
          </w:tcPr>
          <w:p>
            <w:pPr>
              <w:pStyle w:val="TableParagraph"/>
              <w:spacing w:before="5"/>
              <w:ind w:right="16"/>
              <w:jc w:val="center"/>
              <w:rPr>
                <w:rFonts w:ascii="Times New Roman"/>
                <w:i/>
                <w:sz w:val="9"/>
              </w:rPr>
            </w:pPr>
            <w:r>
              <w:rPr>
                <w:rFonts w:ascii="Times New Roman"/>
                <w:i/>
                <w:w w:val="90"/>
                <w:sz w:val="9"/>
              </w:rPr>
              <w:t>-</w:t>
            </w:r>
          </w:p>
        </w:tc>
        <w:tc>
          <w:tcPr>
            <w:tcW w:w="629" w:type="dxa"/>
          </w:tcPr>
          <w:p>
            <w:pPr>
              <w:pStyle w:val="TableParagraph"/>
              <w:spacing w:before="5"/>
              <w:ind w:right="115"/>
              <w:rPr>
                <w:rFonts w:ascii="Times New Roman"/>
                <w:b/>
                <w:i/>
                <w:sz w:val="9"/>
              </w:rPr>
            </w:pPr>
            <w:r>
              <w:rPr>
                <w:rFonts w:ascii="Times New Roman"/>
                <w:b/>
                <w:i/>
                <w:w w:val="90"/>
                <w:sz w:val="9"/>
              </w:rPr>
              <w:t>(1.760.530)</w:t>
            </w:r>
          </w:p>
        </w:tc>
      </w:tr>
      <w:tr>
        <w:trPr>
          <w:trHeight w:val="111" w:hRule="exact"/>
        </w:trPr>
        <w:tc>
          <w:tcPr>
            <w:tcW w:w="3135" w:type="dxa"/>
          </w:tcPr>
          <w:p>
            <w:pPr>
              <w:pStyle w:val="TableParagraph"/>
              <w:tabs>
                <w:tab w:pos="2850" w:val="left" w:leader="none"/>
              </w:tabs>
              <w:spacing w:line="105" w:lineRule="exact" w:before="0"/>
              <w:ind w:left="230"/>
              <w:jc w:val="left"/>
              <w:rPr>
                <w:rFonts w:ascii="Times New Roman"/>
                <w:i/>
                <w:sz w:val="9"/>
              </w:rPr>
            </w:pPr>
            <w:r>
              <w:rPr>
                <w:rFonts w:ascii="Times New Roman"/>
                <w:i/>
                <w:w w:val="95"/>
                <w:sz w:val="9"/>
              </w:rPr>
              <w:t>Liquidatore</w:t>
            </w:r>
            <w:r>
              <w:rPr>
                <w:rFonts w:ascii="Times New Roman"/>
                <w:i/>
                <w:spacing w:val="-4"/>
                <w:w w:val="95"/>
                <w:sz w:val="9"/>
              </w:rPr>
              <w:t> </w:t>
            </w:r>
            <w:r>
              <w:rPr>
                <w:rFonts w:ascii="Times New Roman"/>
                <w:i/>
                <w:w w:val="95"/>
                <w:sz w:val="9"/>
              </w:rPr>
              <w:t>Giudiziale</w:t>
              <w:tab/>
            </w:r>
            <w:r>
              <w:rPr>
                <w:rFonts w:ascii="Times New Roman"/>
                <w:i/>
                <w:position w:val="1"/>
                <w:sz w:val="9"/>
              </w:rPr>
              <w:t>-</w:t>
            </w:r>
          </w:p>
        </w:tc>
        <w:tc>
          <w:tcPr>
            <w:tcW w:w="529" w:type="dxa"/>
          </w:tcPr>
          <w:p>
            <w:pPr>
              <w:pStyle w:val="TableParagraph"/>
              <w:spacing w:line="100" w:lineRule="exact" w:before="0"/>
              <w:ind w:right="11"/>
              <w:jc w:val="center"/>
              <w:rPr>
                <w:rFonts w:ascii="Times New Roman"/>
                <w:i/>
                <w:sz w:val="9"/>
              </w:rPr>
            </w:pPr>
            <w:r>
              <w:rPr>
                <w:rFonts w:ascii="Times New Roman"/>
                <w:i/>
                <w:w w:val="90"/>
                <w:sz w:val="9"/>
              </w:rPr>
              <w:t>-</w:t>
            </w:r>
          </w:p>
        </w:tc>
        <w:tc>
          <w:tcPr>
            <w:tcW w:w="529" w:type="dxa"/>
          </w:tcPr>
          <w:p>
            <w:pPr>
              <w:pStyle w:val="TableParagraph"/>
              <w:spacing w:line="100" w:lineRule="exact" w:before="0"/>
              <w:ind w:right="11"/>
              <w:jc w:val="center"/>
              <w:rPr>
                <w:rFonts w:ascii="Times New Roman"/>
                <w:i/>
                <w:sz w:val="9"/>
              </w:rPr>
            </w:pPr>
            <w:r>
              <w:rPr>
                <w:rFonts w:ascii="Times New Roman"/>
                <w:i/>
                <w:w w:val="90"/>
                <w:sz w:val="9"/>
              </w:rPr>
              <w:t>-</w:t>
            </w:r>
          </w:p>
        </w:tc>
        <w:tc>
          <w:tcPr>
            <w:tcW w:w="529" w:type="dxa"/>
          </w:tcPr>
          <w:p>
            <w:pPr>
              <w:pStyle w:val="TableParagraph"/>
              <w:spacing w:line="100" w:lineRule="exact" w:before="0"/>
              <w:ind w:right="11"/>
              <w:jc w:val="center"/>
              <w:rPr>
                <w:rFonts w:ascii="Times New Roman"/>
                <w:i/>
                <w:sz w:val="9"/>
              </w:rPr>
            </w:pPr>
            <w:r>
              <w:rPr>
                <w:rFonts w:ascii="Times New Roman"/>
                <w:i/>
                <w:w w:val="90"/>
                <w:sz w:val="9"/>
              </w:rPr>
              <w:t>-</w:t>
            </w:r>
          </w:p>
        </w:tc>
        <w:tc>
          <w:tcPr>
            <w:tcW w:w="529" w:type="dxa"/>
          </w:tcPr>
          <w:p>
            <w:pPr>
              <w:pStyle w:val="TableParagraph"/>
              <w:spacing w:line="100" w:lineRule="exact" w:before="0"/>
              <w:ind w:right="11"/>
              <w:jc w:val="center"/>
              <w:rPr>
                <w:rFonts w:ascii="Times New Roman"/>
                <w:i/>
                <w:sz w:val="9"/>
              </w:rPr>
            </w:pPr>
            <w:r>
              <w:rPr>
                <w:rFonts w:ascii="Times New Roman"/>
                <w:i/>
                <w:w w:val="90"/>
                <w:sz w:val="9"/>
              </w:rPr>
              <w:t>-</w:t>
            </w:r>
          </w:p>
        </w:tc>
        <w:tc>
          <w:tcPr>
            <w:tcW w:w="529" w:type="dxa"/>
          </w:tcPr>
          <w:p>
            <w:pPr>
              <w:pStyle w:val="TableParagraph"/>
              <w:spacing w:line="100" w:lineRule="exact" w:before="0"/>
              <w:ind w:left="95"/>
              <w:jc w:val="left"/>
              <w:rPr>
                <w:rFonts w:ascii="Times New Roman"/>
                <w:i/>
                <w:sz w:val="9"/>
              </w:rPr>
            </w:pPr>
            <w:r>
              <w:rPr>
                <w:rFonts w:ascii="Times New Roman"/>
                <w:i/>
                <w:sz w:val="9"/>
              </w:rPr>
              <w:t>(423.082)</w:t>
            </w:r>
          </w:p>
        </w:tc>
        <w:tc>
          <w:tcPr>
            <w:tcW w:w="529" w:type="dxa"/>
          </w:tcPr>
          <w:p>
            <w:pPr>
              <w:pStyle w:val="TableParagraph"/>
              <w:spacing w:line="100" w:lineRule="exact" w:before="0"/>
              <w:ind w:right="11"/>
              <w:jc w:val="center"/>
              <w:rPr>
                <w:rFonts w:ascii="Times New Roman"/>
                <w:i/>
                <w:sz w:val="9"/>
              </w:rPr>
            </w:pPr>
            <w:r>
              <w:rPr>
                <w:rFonts w:ascii="Times New Roman"/>
                <w:i/>
                <w:w w:val="90"/>
                <w:sz w:val="9"/>
              </w:rPr>
              <w:t>-</w:t>
            </w:r>
          </w:p>
        </w:tc>
        <w:tc>
          <w:tcPr>
            <w:tcW w:w="529" w:type="dxa"/>
          </w:tcPr>
          <w:p>
            <w:pPr>
              <w:pStyle w:val="TableParagraph"/>
              <w:spacing w:line="100" w:lineRule="exact" w:before="0"/>
              <w:ind w:right="11"/>
              <w:jc w:val="center"/>
              <w:rPr>
                <w:rFonts w:ascii="Times New Roman"/>
                <w:i/>
                <w:sz w:val="9"/>
              </w:rPr>
            </w:pPr>
            <w:r>
              <w:rPr>
                <w:rFonts w:ascii="Times New Roman"/>
                <w:i/>
                <w:w w:val="90"/>
                <w:sz w:val="9"/>
              </w:rPr>
              <w:t>-</w:t>
            </w:r>
          </w:p>
        </w:tc>
        <w:tc>
          <w:tcPr>
            <w:tcW w:w="529" w:type="dxa"/>
          </w:tcPr>
          <w:p>
            <w:pPr>
              <w:pStyle w:val="TableParagraph"/>
              <w:spacing w:line="100" w:lineRule="exact" w:before="0"/>
              <w:ind w:right="11"/>
              <w:jc w:val="center"/>
              <w:rPr>
                <w:rFonts w:ascii="Times New Roman"/>
                <w:i/>
                <w:sz w:val="9"/>
              </w:rPr>
            </w:pPr>
            <w:r>
              <w:rPr>
                <w:rFonts w:ascii="Times New Roman"/>
                <w:i/>
                <w:w w:val="90"/>
                <w:sz w:val="9"/>
              </w:rPr>
              <w:t>-</w:t>
            </w:r>
          </w:p>
        </w:tc>
        <w:tc>
          <w:tcPr>
            <w:tcW w:w="530" w:type="dxa"/>
          </w:tcPr>
          <w:p>
            <w:pPr>
              <w:pStyle w:val="TableParagraph"/>
              <w:spacing w:line="103" w:lineRule="exact" w:before="0"/>
              <w:ind w:right="11"/>
              <w:jc w:val="center"/>
              <w:rPr>
                <w:rFonts w:ascii="Times New Roman"/>
                <w:i/>
                <w:sz w:val="9"/>
              </w:rPr>
            </w:pPr>
            <w:r>
              <w:rPr>
                <w:rFonts w:ascii="Times New Roman"/>
                <w:i/>
                <w:w w:val="90"/>
                <w:sz w:val="9"/>
              </w:rPr>
              <w:t>-</w:t>
            </w:r>
          </w:p>
        </w:tc>
        <w:tc>
          <w:tcPr>
            <w:tcW w:w="529" w:type="dxa"/>
          </w:tcPr>
          <w:p>
            <w:pPr>
              <w:pStyle w:val="TableParagraph"/>
              <w:spacing w:line="103" w:lineRule="exact" w:before="0"/>
              <w:ind w:left="15" w:right="31"/>
              <w:jc w:val="center"/>
              <w:rPr>
                <w:rFonts w:ascii="Times New Roman"/>
                <w:i/>
                <w:sz w:val="9"/>
              </w:rPr>
            </w:pPr>
            <w:r>
              <w:rPr>
                <w:rFonts w:ascii="Times New Roman"/>
                <w:i/>
                <w:color w:val="FF0000"/>
                <w:sz w:val="9"/>
              </w:rPr>
              <w:t>(211.541)</w:t>
            </w:r>
          </w:p>
        </w:tc>
        <w:tc>
          <w:tcPr>
            <w:tcW w:w="624" w:type="dxa"/>
          </w:tcPr>
          <w:p>
            <w:pPr>
              <w:pStyle w:val="TableParagraph"/>
              <w:spacing w:line="93" w:lineRule="exact" w:before="0"/>
              <w:ind w:left="105" w:right="116"/>
              <w:jc w:val="center"/>
              <w:rPr>
                <w:rFonts w:ascii="Times New Roman"/>
                <w:i/>
                <w:sz w:val="9"/>
              </w:rPr>
            </w:pPr>
            <w:r>
              <w:rPr>
                <w:rFonts w:ascii="Times New Roman"/>
                <w:i/>
                <w:color w:val="FF0000"/>
                <w:sz w:val="9"/>
              </w:rPr>
              <w:t>(211.541)</w:t>
            </w:r>
          </w:p>
        </w:tc>
        <w:tc>
          <w:tcPr>
            <w:tcW w:w="625" w:type="dxa"/>
          </w:tcPr>
          <w:p>
            <w:pPr>
              <w:pStyle w:val="TableParagraph"/>
              <w:spacing w:line="100" w:lineRule="exact" w:before="0"/>
              <w:ind w:right="16"/>
              <w:jc w:val="center"/>
              <w:rPr>
                <w:rFonts w:ascii="Times New Roman"/>
                <w:i/>
                <w:sz w:val="9"/>
              </w:rPr>
            </w:pPr>
            <w:r>
              <w:rPr>
                <w:rFonts w:ascii="Times New Roman"/>
                <w:i/>
                <w:color w:val="FF0000"/>
                <w:w w:val="90"/>
                <w:sz w:val="9"/>
              </w:rPr>
              <w:t>-</w:t>
            </w:r>
          </w:p>
        </w:tc>
        <w:tc>
          <w:tcPr>
            <w:tcW w:w="629" w:type="dxa"/>
          </w:tcPr>
          <w:p>
            <w:pPr>
              <w:pStyle w:val="TableParagraph"/>
              <w:spacing w:line="100" w:lineRule="exact" w:before="0"/>
              <w:ind w:right="147"/>
              <w:rPr>
                <w:rFonts w:ascii="Times New Roman"/>
                <w:b/>
                <w:i/>
                <w:sz w:val="9"/>
              </w:rPr>
            </w:pPr>
            <w:r>
              <w:rPr>
                <w:rFonts w:ascii="Times New Roman"/>
                <w:b/>
                <w:i/>
                <w:w w:val="90"/>
                <w:sz w:val="9"/>
              </w:rPr>
              <w:t>(846.164)</w:t>
            </w:r>
          </w:p>
        </w:tc>
      </w:tr>
      <w:tr>
        <w:trPr>
          <w:trHeight w:val="124" w:hRule="exact"/>
        </w:trPr>
        <w:tc>
          <w:tcPr>
            <w:tcW w:w="3135" w:type="dxa"/>
          </w:tcPr>
          <w:p>
            <w:pPr>
              <w:pStyle w:val="TableParagraph"/>
              <w:tabs>
                <w:tab w:pos="2709" w:val="left" w:leader="none"/>
              </w:tabs>
              <w:spacing w:before="7"/>
              <w:ind w:left="13"/>
              <w:jc w:val="left"/>
              <w:rPr>
                <w:rFonts w:ascii="Times New Roman"/>
                <w:sz w:val="9"/>
              </w:rPr>
            </w:pPr>
            <w:r>
              <w:rPr>
                <w:rFonts w:ascii="Times New Roman"/>
                <w:sz w:val="9"/>
              </w:rPr>
              <w:t>-</w:t>
            </w:r>
            <w:r>
              <w:rPr>
                <w:rFonts w:ascii="Times New Roman"/>
                <w:spacing w:val="-15"/>
                <w:sz w:val="9"/>
              </w:rPr>
              <w:t> </w:t>
            </w:r>
            <w:r>
              <w:rPr>
                <w:rFonts w:ascii="Times New Roman"/>
                <w:sz w:val="9"/>
              </w:rPr>
              <w:t>Costo</w:t>
            </w:r>
            <w:r>
              <w:rPr>
                <w:rFonts w:ascii="Times New Roman"/>
                <w:spacing w:val="-15"/>
                <w:sz w:val="9"/>
              </w:rPr>
              <w:t> </w:t>
            </w:r>
            <w:r>
              <w:rPr>
                <w:rFonts w:ascii="Times New Roman"/>
                <w:sz w:val="9"/>
              </w:rPr>
              <w:t>del</w:t>
            </w:r>
            <w:r>
              <w:rPr>
                <w:rFonts w:ascii="Times New Roman"/>
                <w:spacing w:val="-17"/>
                <w:sz w:val="9"/>
              </w:rPr>
              <w:t> </w:t>
            </w:r>
            <w:r>
              <w:rPr>
                <w:rFonts w:ascii="Times New Roman"/>
                <w:sz w:val="9"/>
              </w:rPr>
              <w:t>personale</w:t>
              <w:tab/>
              <w:t>(369.400)</w:t>
            </w:r>
          </w:p>
        </w:tc>
        <w:tc>
          <w:tcPr>
            <w:tcW w:w="529" w:type="dxa"/>
          </w:tcPr>
          <w:p>
            <w:pPr>
              <w:pStyle w:val="TableParagraph"/>
              <w:spacing w:before="7"/>
              <w:ind w:right="102"/>
              <w:rPr>
                <w:rFonts w:ascii="Times New Roman"/>
                <w:sz w:val="9"/>
              </w:rPr>
            </w:pPr>
            <w:r>
              <w:rPr>
                <w:rFonts w:ascii="Times New Roman"/>
                <w:w w:val="90"/>
                <w:sz w:val="9"/>
              </w:rPr>
              <w:t>(577.200)</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530" w:type="dxa"/>
          </w:tcPr>
          <w:p>
            <w:pPr>
              <w:pStyle w:val="TableParagraph"/>
              <w:spacing w:before="7"/>
              <w:ind w:right="2"/>
              <w:jc w:val="center"/>
              <w:rPr>
                <w:rFonts w:ascii="Times New Roman"/>
                <w:sz w:val="9"/>
              </w:rPr>
            </w:pPr>
            <w:r>
              <w:rPr>
                <w:rFonts w:ascii="Times New Roman"/>
                <w:w w:val="90"/>
                <w:sz w:val="9"/>
              </w:rPr>
              <w:t>-</w:t>
            </w:r>
          </w:p>
        </w:tc>
        <w:tc>
          <w:tcPr>
            <w:tcW w:w="529" w:type="dxa"/>
          </w:tcPr>
          <w:p>
            <w:pPr>
              <w:pStyle w:val="TableParagraph"/>
              <w:spacing w:before="7"/>
              <w:ind w:right="2"/>
              <w:jc w:val="center"/>
              <w:rPr>
                <w:rFonts w:ascii="Times New Roman"/>
                <w:sz w:val="9"/>
              </w:rPr>
            </w:pPr>
            <w:r>
              <w:rPr>
                <w:rFonts w:ascii="Times New Roman"/>
                <w:w w:val="90"/>
                <w:sz w:val="9"/>
              </w:rPr>
              <w:t>-</w:t>
            </w:r>
          </w:p>
        </w:tc>
        <w:tc>
          <w:tcPr>
            <w:tcW w:w="624" w:type="dxa"/>
          </w:tcPr>
          <w:p>
            <w:pPr>
              <w:pStyle w:val="TableParagraph"/>
              <w:spacing w:before="7"/>
              <w:jc w:val="center"/>
              <w:rPr>
                <w:rFonts w:ascii="Times New Roman"/>
                <w:sz w:val="9"/>
              </w:rPr>
            </w:pPr>
            <w:r>
              <w:rPr>
                <w:rFonts w:ascii="Times New Roman"/>
                <w:w w:val="90"/>
                <w:sz w:val="9"/>
              </w:rPr>
              <w:t>-</w:t>
            </w:r>
          </w:p>
        </w:tc>
        <w:tc>
          <w:tcPr>
            <w:tcW w:w="625" w:type="dxa"/>
          </w:tcPr>
          <w:p>
            <w:pPr>
              <w:pStyle w:val="TableParagraph"/>
              <w:spacing w:before="7"/>
              <w:jc w:val="center"/>
              <w:rPr>
                <w:rFonts w:ascii="Times New Roman"/>
                <w:sz w:val="9"/>
              </w:rPr>
            </w:pPr>
            <w:r>
              <w:rPr>
                <w:rFonts w:ascii="Times New Roman"/>
                <w:w w:val="90"/>
                <w:sz w:val="9"/>
              </w:rPr>
              <w:t>-</w:t>
            </w:r>
          </w:p>
        </w:tc>
        <w:tc>
          <w:tcPr>
            <w:tcW w:w="629" w:type="dxa"/>
          </w:tcPr>
          <w:p>
            <w:pPr>
              <w:pStyle w:val="TableParagraph"/>
              <w:spacing w:before="7"/>
              <w:ind w:right="142"/>
              <w:rPr>
                <w:rFonts w:ascii="Times New Roman"/>
                <w:b/>
                <w:sz w:val="9"/>
              </w:rPr>
            </w:pPr>
            <w:r>
              <w:rPr>
                <w:rFonts w:ascii="Times New Roman"/>
                <w:b/>
                <w:w w:val="90"/>
                <w:sz w:val="9"/>
              </w:rPr>
              <w:t>(946.600)</w:t>
            </w:r>
          </w:p>
        </w:tc>
      </w:tr>
      <w:tr>
        <w:trPr>
          <w:trHeight w:val="111" w:hRule="exact"/>
        </w:trPr>
        <w:tc>
          <w:tcPr>
            <w:tcW w:w="3135" w:type="dxa"/>
          </w:tcPr>
          <w:p>
            <w:pPr>
              <w:pStyle w:val="TableParagraph"/>
              <w:tabs>
                <w:tab w:pos="2709" w:val="left" w:leader="none"/>
              </w:tabs>
              <w:spacing w:line="103" w:lineRule="exact" w:before="0"/>
              <w:ind w:left="13"/>
              <w:jc w:val="left"/>
              <w:rPr>
                <w:rFonts w:ascii="Times New Roman"/>
                <w:sz w:val="9"/>
              </w:rPr>
            </w:pPr>
            <w:r>
              <w:rPr>
                <w:rFonts w:ascii="Times New Roman"/>
                <w:color w:val="FF0000"/>
                <w:sz w:val="9"/>
              </w:rPr>
              <w:t>-</w:t>
            </w:r>
            <w:r>
              <w:rPr>
                <w:rFonts w:ascii="Times New Roman"/>
                <w:color w:val="FF0000"/>
                <w:spacing w:val="-10"/>
                <w:sz w:val="9"/>
              </w:rPr>
              <w:t> </w:t>
            </w:r>
            <w:r>
              <w:rPr>
                <w:rFonts w:ascii="Times New Roman"/>
                <w:color w:val="FF0000"/>
                <w:sz w:val="9"/>
              </w:rPr>
              <w:t>Costi</w:t>
            </w:r>
            <w:r>
              <w:rPr>
                <w:rFonts w:ascii="Times New Roman"/>
                <w:color w:val="FF0000"/>
                <w:spacing w:val="-13"/>
                <w:sz w:val="9"/>
              </w:rPr>
              <w:t> </w:t>
            </w:r>
            <w:r>
              <w:rPr>
                <w:rFonts w:ascii="Times New Roman"/>
                <w:color w:val="FF0000"/>
                <w:sz w:val="9"/>
              </w:rPr>
              <w:t>fissi</w:t>
              <w:tab/>
            </w:r>
            <w:r>
              <w:rPr>
                <w:rFonts w:ascii="Times New Roman"/>
                <w:sz w:val="9"/>
              </w:rPr>
              <w:t>(372.604)</w:t>
            </w:r>
          </w:p>
        </w:tc>
        <w:tc>
          <w:tcPr>
            <w:tcW w:w="529" w:type="dxa"/>
          </w:tcPr>
          <w:p>
            <w:pPr>
              <w:pStyle w:val="TableParagraph"/>
              <w:spacing w:line="103" w:lineRule="exact" w:before="0"/>
              <w:ind w:right="102"/>
              <w:rPr>
                <w:rFonts w:ascii="Times New Roman"/>
                <w:sz w:val="9"/>
              </w:rPr>
            </w:pPr>
            <w:r>
              <w:rPr>
                <w:rFonts w:ascii="Times New Roman"/>
                <w:w w:val="90"/>
                <w:sz w:val="9"/>
              </w:rPr>
              <w:t>(277.300)</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30"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624" w:type="dxa"/>
          </w:tcPr>
          <w:p>
            <w:pPr>
              <w:pStyle w:val="TableParagraph"/>
              <w:spacing w:line="103" w:lineRule="exact" w:before="0"/>
              <w:jc w:val="center"/>
              <w:rPr>
                <w:rFonts w:ascii="Times New Roman"/>
                <w:sz w:val="9"/>
              </w:rPr>
            </w:pPr>
            <w:r>
              <w:rPr>
                <w:rFonts w:ascii="Times New Roman"/>
                <w:w w:val="90"/>
                <w:sz w:val="9"/>
              </w:rPr>
              <w:t>-</w:t>
            </w:r>
          </w:p>
        </w:tc>
        <w:tc>
          <w:tcPr>
            <w:tcW w:w="625" w:type="dxa"/>
          </w:tcPr>
          <w:p>
            <w:pPr>
              <w:pStyle w:val="TableParagraph"/>
              <w:spacing w:line="103" w:lineRule="exact" w:before="0"/>
              <w:jc w:val="center"/>
              <w:rPr>
                <w:rFonts w:ascii="Times New Roman"/>
                <w:sz w:val="9"/>
              </w:rPr>
            </w:pPr>
            <w:r>
              <w:rPr>
                <w:rFonts w:ascii="Times New Roman"/>
                <w:w w:val="90"/>
                <w:sz w:val="9"/>
              </w:rPr>
              <w:t>-</w:t>
            </w:r>
          </w:p>
        </w:tc>
        <w:tc>
          <w:tcPr>
            <w:tcW w:w="629" w:type="dxa"/>
          </w:tcPr>
          <w:p>
            <w:pPr>
              <w:pStyle w:val="TableParagraph"/>
              <w:spacing w:line="103" w:lineRule="exact" w:before="0"/>
              <w:ind w:right="142"/>
              <w:rPr>
                <w:rFonts w:ascii="Times New Roman"/>
                <w:b/>
                <w:sz w:val="9"/>
              </w:rPr>
            </w:pPr>
            <w:r>
              <w:rPr>
                <w:rFonts w:ascii="Times New Roman"/>
                <w:b/>
                <w:w w:val="90"/>
                <w:sz w:val="9"/>
              </w:rPr>
              <w:t>(649.904)</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9"/>
                <w:w w:val="95"/>
                <w:sz w:val="9"/>
              </w:rPr>
              <w:t> </w:t>
            </w:r>
            <w:r>
              <w:rPr>
                <w:rFonts w:ascii="Times New Roman"/>
                <w:w w:val="95"/>
                <w:sz w:val="9"/>
              </w:rPr>
              <w:t>Mantenimento</w:t>
            </w:r>
            <w:r>
              <w:rPr>
                <w:rFonts w:ascii="Times New Roman"/>
                <w:spacing w:val="-10"/>
                <w:w w:val="95"/>
                <w:sz w:val="9"/>
              </w:rPr>
              <w:t> </w:t>
            </w:r>
            <w:r>
              <w:rPr>
                <w:rFonts w:ascii="Times New Roman"/>
                <w:w w:val="95"/>
                <w:sz w:val="9"/>
              </w:rPr>
              <w:t>brevetti</w:t>
              <w:tab/>
            </w:r>
            <w:r>
              <w:rPr>
                <w:rFonts w:ascii="Times New Roman"/>
                <w:sz w:val="9"/>
              </w:rPr>
              <w:t>-</w:t>
            </w:r>
          </w:p>
        </w:tc>
        <w:tc>
          <w:tcPr>
            <w:tcW w:w="529" w:type="dxa"/>
          </w:tcPr>
          <w:p>
            <w:pPr>
              <w:pStyle w:val="TableParagraph"/>
              <w:spacing w:before="4"/>
              <w:ind w:right="124"/>
              <w:rPr>
                <w:rFonts w:ascii="Times New Roman"/>
                <w:sz w:val="9"/>
              </w:rPr>
            </w:pPr>
            <w:r>
              <w:rPr>
                <w:rFonts w:ascii="Times New Roman"/>
                <w:w w:val="90"/>
                <w:sz w:val="9"/>
              </w:rPr>
              <w:t>(67.000)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61"/>
              <w:rPr>
                <w:rFonts w:ascii="Times New Roman"/>
                <w:b/>
                <w:sz w:val="9"/>
              </w:rPr>
            </w:pPr>
            <w:r>
              <w:rPr>
                <w:rFonts w:ascii="Times New Roman"/>
                <w:b/>
                <w:w w:val="90"/>
                <w:sz w:val="9"/>
              </w:rPr>
              <w:t>(67.000)</w:t>
            </w:r>
          </w:p>
        </w:tc>
      </w:tr>
      <w:tr>
        <w:trPr>
          <w:trHeight w:val="116" w:hRule="exact"/>
        </w:trPr>
        <w:tc>
          <w:tcPr>
            <w:tcW w:w="3135" w:type="dxa"/>
          </w:tcPr>
          <w:p>
            <w:pPr>
              <w:pStyle w:val="TableParagraph"/>
              <w:tabs>
                <w:tab w:pos="2854" w:val="left" w:leader="none"/>
              </w:tabs>
              <w:spacing w:before="5"/>
              <w:ind w:left="13"/>
              <w:jc w:val="left"/>
              <w:rPr>
                <w:rFonts w:ascii="Times New Roman"/>
                <w:sz w:val="9"/>
              </w:rPr>
            </w:pPr>
            <w:r>
              <w:rPr>
                <w:rFonts w:ascii="Times New Roman"/>
                <w:w w:val="95"/>
                <w:sz w:val="9"/>
              </w:rPr>
              <w:t>-</w:t>
            </w:r>
            <w:r>
              <w:rPr>
                <w:rFonts w:ascii="Times New Roman"/>
                <w:spacing w:val="-11"/>
                <w:w w:val="95"/>
                <w:sz w:val="9"/>
              </w:rPr>
              <w:t> </w:t>
            </w:r>
            <w:r>
              <w:rPr>
                <w:rFonts w:ascii="Times New Roman"/>
                <w:w w:val="95"/>
                <w:sz w:val="9"/>
              </w:rPr>
              <w:t>Servizi</w:t>
            </w:r>
            <w:r>
              <w:rPr>
                <w:rFonts w:ascii="Times New Roman"/>
                <w:spacing w:val="-13"/>
                <w:w w:val="95"/>
                <w:sz w:val="9"/>
              </w:rPr>
              <w:t> </w:t>
            </w:r>
            <w:r>
              <w:rPr>
                <w:rFonts w:ascii="Times New Roman"/>
                <w:w w:val="95"/>
                <w:sz w:val="9"/>
              </w:rPr>
              <w:t>MG</w:t>
            </w:r>
            <w:r>
              <w:rPr>
                <w:rFonts w:ascii="Times New Roman"/>
                <w:spacing w:val="-11"/>
                <w:w w:val="95"/>
                <w:sz w:val="9"/>
              </w:rPr>
              <w:t> </w:t>
            </w:r>
            <w:r>
              <w:rPr>
                <w:rFonts w:ascii="Times New Roman"/>
                <w:w w:val="95"/>
                <w:sz w:val="9"/>
              </w:rPr>
              <w:t>Finanziaria</w:t>
              <w:tab/>
            </w:r>
            <w:r>
              <w:rPr>
                <w:rFonts w:ascii="Times New Roman"/>
                <w:sz w:val="9"/>
              </w:rPr>
              <w:t>-</w:t>
            </w:r>
          </w:p>
        </w:tc>
        <w:tc>
          <w:tcPr>
            <w:tcW w:w="529" w:type="dxa"/>
          </w:tcPr>
          <w:p>
            <w:pPr>
              <w:pStyle w:val="TableParagraph"/>
              <w:spacing w:before="5"/>
              <w:ind w:right="102"/>
              <w:rPr>
                <w:rFonts w:ascii="Times New Roman"/>
                <w:sz w:val="9"/>
              </w:rPr>
            </w:pPr>
            <w:r>
              <w:rPr>
                <w:rFonts w:ascii="Times New Roman"/>
                <w:w w:val="90"/>
                <w:sz w:val="9"/>
              </w:rPr>
              <w:t>(343.000)</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30"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624" w:type="dxa"/>
          </w:tcPr>
          <w:p>
            <w:pPr>
              <w:pStyle w:val="TableParagraph"/>
              <w:spacing w:before="5"/>
              <w:jc w:val="center"/>
              <w:rPr>
                <w:rFonts w:ascii="Times New Roman"/>
                <w:sz w:val="9"/>
              </w:rPr>
            </w:pPr>
            <w:r>
              <w:rPr>
                <w:rFonts w:ascii="Times New Roman"/>
                <w:w w:val="90"/>
                <w:sz w:val="9"/>
              </w:rPr>
              <w:t>-</w:t>
            </w:r>
          </w:p>
        </w:tc>
        <w:tc>
          <w:tcPr>
            <w:tcW w:w="625" w:type="dxa"/>
          </w:tcPr>
          <w:p>
            <w:pPr>
              <w:pStyle w:val="TableParagraph"/>
              <w:spacing w:before="5"/>
              <w:jc w:val="center"/>
              <w:rPr>
                <w:rFonts w:ascii="Times New Roman"/>
                <w:sz w:val="9"/>
              </w:rPr>
            </w:pPr>
            <w:r>
              <w:rPr>
                <w:rFonts w:ascii="Times New Roman"/>
                <w:w w:val="90"/>
                <w:sz w:val="9"/>
              </w:rPr>
              <w:t>-</w:t>
            </w:r>
          </w:p>
        </w:tc>
        <w:tc>
          <w:tcPr>
            <w:tcW w:w="629" w:type="dxa"/>
          </w:tcPr>
          <w:p>
            <w:pPr>
              <w:pStyle w:val="TableParagraph"/>
              <w:spacing w:before="5"/>
              <w:ind w:right="142"/>
              <w:rPr>
                <w:rFonts w:ascii="Times New Roman"/>
                <w:b/>
                <w:sz w:val="9"/>
              </w:rPr>
            </w:pPr>
            <w:r>
              <w:rPr>
                <w:rFonts w:ascii="Times New Roman"/>
                <w:b/>
                <w:w w:val="90"/>
                <w:sz w:val="9"/>
              </w:rPr>
              <w:t>(343.000)</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11"/>
                <w:w w:val="95"/>
                <w:sz w:val="9"/>
              </w:rPr>
              <w:t> </w:t>
            </w:r>
            <w:r>
              <w:rPr>
                <w:rFonts w:ascii="Times New Roman"/>
                <w:w w:val="95"/>
                <w:sz w:val="9"/>
              </w:rPr>
              <w:t>Assicurazioni</w:t>
              <w:tab/>
            </w:r>
            <w:r>
              <w:rPr>
                <w:rFonts w:ascii="Times New Roman"/>
                <w:sz w:val="9"/>
              </w:rPr>
              <w:t>-</w:t>
            </w:r>
          </w:p>
        </w:tc>
        <w:tc>
          <w:tcPr>
            <w:tcW w:w="529" w:type="dxa"/>
          </w:tcPr>
          <w:p>
            <w:pPr>
              <w:pStyle w:val="TableParagraph"/>
              <w:spacing w:before="4"/>
              <w:ind w:right="124"/>
              <w:rPr>
                <w:rFonts w:ascii="Times New Roman"/>
                <w:sz w:val="9"/>
              </w:rPr>
            </w:pPr>
            <w:r>
              <w:rPr>
                <w:rFonts w:ascii="Times New Roman"/>
                <w:w w:val="90"/>
                <w:sz w:val="9"/>
              </w:rPr>
              <w:t>(12.000)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61"/>
              <w:rPr>
                <w:rFonts w:ascii="Times New Roman"/>
                <w:b/>
                <w:sz w:val="9"/>
              </w:rPr>
            </w:pPr>
            <w:r>
              <w:rPr>
                <w:rFonts w:ascii="Times New Roman"/>
                <w:b/>
                <w:w w:val="90"/>
                <w:sz w:val="9"/>
              </w:rPr>
              <w:t>(12.000)</w:t>
            </w:r>
          </w:p>
        </w:tc>
      </w:tr>
      <w:tr>
        <w:trPr>
          <w:trHeight w:val="116" w:hRule="exact"/>
        </w:trPr>
        <w:tc>
          <w:tcPr>
            <w:tcW w:w="3135" w:type="dxa"/>
          </w:tcPr>
          <w:p>
            <w:pPr>
              <w:pStyle w:val="TableParagraph"/>
              <w:tabs>
                <w:tab w:pos="2854" w:val="left" w:leader="none"/>
              </w:tabs>
              <w:spacing w:before="4"/>
              <w:ind w:left="13"/>
              <w:jc w:val="left"/>
              <w:rPr>
                <w:rFonts w:ascii="Times New Roman"/>
                <w:sz w:val="9"/>
              </w:rPr>
            </w:pPr>
            <w:r>
              <w:rPr>
                <w:rFonts w:ascii="Times New Roman"/>
                <w:sz w:val="9"/>
              </w:rPr>
              <w:t>-</w:t>
            </w:r>
            <w:r>
              <w:rPr>
                <w:rFonts w:ascii="Times New Roman"/>
                <w:spacing w:val="-6"/>
                <w:sz w:val="9"/>
              </w:rPr>
              <w:t> </w:t>
            </w:r>
            <w:r>
              <w:rPr>
                <w:rFonts w:ascii="Times New Roman"/>
                <w:sz w:val="9"/>
              </w:rPr>
              <w:t>Tasse</w:t>
              <w:tab/>
              <w:t>-</w:t>
            </w:r>
          </w:p>
        </w:tc>
        <w:tc>
          <w:tcPr>
            <w:tcW w:w="529" w:type="dxa"/>
          </w:tcPr>
          <w:p>
            <w:pPr>
              <w:pStyle w:val="TableParagraph"/>
              <w:spacing w:before="4"/>
              <w:ind w:right="124"/>
              <w:rPr>
                <w:rFonts w:ascii="Times New Roman"/>
                <w:sz w:val="9"/>
              </w:rPr>
            </w:pPr>
            <w:r>
              <w:rPr>
                <w:rFonts w:ascii="Times New Roman"/>
                <w:w w:val="90"/>
                <w:sz w:val="9"/>
              </w:rPr>
              <w:t>(71.500)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61"/>
              <w:rPr>
                <w:rFonts w:ascii="Times New Roman"/>
                <w:b/>
                <w:sz w:val="9"/>
              </w:rPr>
            </w:pPr>
            <w:r>
              <w:rPr>
                <w:rFonts w:ascii="Times New Roman"/>
                <w:b/>
                <w:w w:val="90"/>
                <w:sz w:val="9"/>
              </w:rPr>
              <w:t>(71.500)</w:t>
            </w:r>
          </w:p>
        </w:tc>
      </w:tr>
      <w:tr>
        <w:trPr>
          <w:trHeight w:val="122" w:hRule="exact"/>
        </w:trPr>
        <w:tc>
          <w:tcPr>
            <w:tcW w:w="3135" w:type="dxa"/>
          </w:tcPr>
          <w:p>
            <w:pPr>
              <w:pStyle w:val="TableParagraph"/>
              <w:tabs>
                <w:tab w:pos="2854" w:val="left" w:leader="none"/>
              </w:tabs>
              <w:spacing w:before="4"/>
              <w:ind w:left="13"/>
              <w:jc w:val="left"/>
              <w:rPr>
                <w:rFonts w:ascii="Times New Roman"/>
                <w:sz w:val="9"/>
              </w:rPr>
            </w:pPr>
            <w:r>
              <w:rPr>
                <w:rFonts w:ascii="Times New Roman"/>
                <w:w w:val="95"/>
                <w:sz w:val="9"/>
              </w:rPr>
              <w:t>- Spese</w:t>
            </w:r>
            <w:r>
              <w:rPr>
                <w:rFonts w:ascii="Times New Roman"/>
                <w:spacing w:val="-16"/>
                <w:w w:val="95"/>
                <w:sz w:val="9"/>
              </w:rPr>
              <w:t> </w:t>
            </w:r>
            <w:r>
              <w:rPr>
                <w:rFonts w:ascii="Times New Roman"/>
                <w:spacing w:val="-3"/>
                <w:w w:val="95"/>
                <w:sz w:val="9"/>
              </w:rPr>
              <w:t>legali</w:t>
            </w:r>
            <w:r>
              <w:rPr>
                <w:rFonts w:ascii="Times New Roman"/>
                <w:spacing w:val="-11"/>
                <w:w w:val="95"/>
                <w:sz w:val="9"/>
              </w:rPr>
              <w:t> </w:t>
            </w:r>
            <w:r>
              <w:rPr>
                <w:rFonts w:ascii="Times New Roman"/>
                <w:w w:val="95"/>
                <w:sz w:val="9"/>
              </w:rPr>
              <w:t>contenziosi</w:t>
              <w:tab/>
            </w:r>
            <w:r>
              <w:rPr>
                <w:rFonts w:ascii="Times New Roman"/>
                <w:sz w:val="9"/>
              </w:rPr>
              <w:t>-</w:t>
            </w:r>
          </w:p>
        </w:tc>
        <w:tc>
          <w:tcPr>
            <w:tcW w:w="529" w:type="dxa"/>
          </w:tcPr>
          <w:p>
            <w:pPr>
              <w:pStyle w:val="TableParagraph"/>
              <w:spacing w:before="4"/>
              <w:ind w:right="102"/>
              <w:rPr>
                <w:rFonts w:ascii="Times New Roman"/>
                <w:sz w:val="9"/>
              </w:rPr>
            </w:pPr>
            <w:r>
              <w:rPr>
                <w:rFonts w:ascii="Times New Roman"/>
                <w:w w:val="90"/>
                <w:sz w:val="9"/>
              </w:rPr>
              <w:t>(127.000)</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530" w:type="dxa"/>
          </w:tcPr>
          <w:p>
            <w:pPr>
              <w:pStyle w:val="TableParagraph"/>
              <w:spacing w:before="4"/>
              <w:ind w:right="2"/>
              <w:jc w:val="center"/>
              <w:rPr>
                <w:rFonts w:ascii="Times New Roman"/>
                <w:sz w:val="9"/>
              </w:rPr>
            </w:pPr>
            <w:r>
              <w:rPr>
                <w:rFonts w:ascii="Times New Roman"/>
                <w:w w:val="90"/>
                <w:sz w:val="9"/>
              </w:rPr>
              <w:t>-</w:t>
            </w:r>
          </w:p>
        </w:tc>
        <w:tc>
          <w:tcPr>
            <w:tcW w:w="529" w:type="dxa"/>
          </w:tcPr>
          <w:p>
            <w:pPr>
              <w:pStyle w:val="TableParagraph"/>
              <w:spacing w:before="4"/>
              <w:ind w:right="2"/>
              <w:jc w:val="center"/>
              <w:rPr>
                <w:rFonts w:ascii="Times New Roman"/>
                <w:sz w:val="9"/>
              </w:rPr>
            </w:pPr>
            <w:r>
              <w:rPr>
                <w:rFonts w:ascii="Times New Roman"/>
                <w:w w:val="90"/>
                <w:sz w:val="9"/>
              </w:rPr>
              <w:t>-</w:t>
            </w:r>
          </w:p>
        </w:tc>
        <w:tc>
          <w:tcPr>
            <w:tcW w:w="624" w:type="dxa"/>
          </w:tcPr>
          <w:p>
            <w:pPr>
              <w:pStyle w:val="TableParagraph"/>
              <w:spacing w:before="4"/>
              <w:jc w:val="center"/>
              <w:rPr>
                <w:rFonts w:ascii="Times New Roman"/>
                <w:sz w:val="9"/>
              </w:rPr>
            </w:pPr>
            <w:r>
              <w:rPr>
                <w:rFonts w:ascii="Times New Roman"/>
                <w:w w:val="90"/>
                <w:sz w:val="9"/>
              </w:rPr>
              <w:t>-</w:t>
            </w:r>
          </w:p>
        </w:tc>
        <w:tc>
          <w:tcPr>
            <w:tcW w:w="625" w:type="dxa"/>
          </w:tcPr>
          <w:p>
            <w:pPr>
              <w:pStyle w:val="TableParagraph"/>
              <w:spacing w:before="4"/>
              <w:jc w:val="center"/>
              <w:rPr>
                <w:rFonts w:ascii="Times New Roman"/>
                <w:sz w:val="9"/>
              </w:rPr>
            </w:pPr>
            <w:r>
              <w:rPr>
                <w:rFonts w:ascii="Times New Roman"/>
                <w:w w:val="90"/>
                <w:sz w:val="9"/>
              </w:rPr>
              <w:t>-</w:t>
            </w:r>
          </w:p>
        </w:tc>
        <w:tc>
          <w:tcPr>
            <w:tcW w:w="629" w:type="dxa"/>
          </w:tcPr>
          <w:p>
            <w:pPr>
              <w:pStyle w:val="TableParagraph"/>
              <w:spacing w:before="4"/>
              <w:ind w:right="142"/>
              <w:rPr>
                <w:rFonts w:ascii="Times New Roman"/>
                <w:b/>
                <w:sz w:val="9"/>
              </w:rPr>
            </w:pPr>
            <w:r>
              <w:rPr>
                <w:rFonts w:ascii="Times New Roman"/>
                <w:b/>
                <w:w w:val="90"/>
                <w:sz w:val="9"/>
              </w:rPr>
              <w:t>(127.000)</w:t>
            </w:r>
          </w:p>
        </w:tc>
      </w:tr>
      <w:tr>
        <w:trPr>
          <w:trHeight w:val="118" w:hRule="exact"/>
        </w:trPr>
        <w:tc>
          <w:tcPr>
            <w:tcW w:w="3135" w:type="dxa"/>
          </w:tcPr>
          <w:p>
            <w:pPr>
              <w:pStyle w:val="TableParagraph"/>
              <w:tabs>
                <w:tab w:pos="2854" w:val="left" w:leader="none"/>
              </w:tabs>
              <w:spacing w:line="103" w:lineRule="exact" w:before="0"/>
              <w:ind w:left="13"/>
              <w:jc w:val="left"/>
              <w:rPr>
                <w:rFonts w:ascii="Times New Roman"/>
                <w:sz w:val="9"/>
              </w:rPr>
            </w:pPr>
            <w:r>
              <w:rPr>
                <w:rFonts w:ascii="Times New Roman"/>
                <w:w w:val="95"/>
                <w:sz w:val="9"/>
              </w:rPr>
              <w:t>-</w:t>
            </w:r>
            <w:r>
              <w:rPr>
                <w:rFonts w:ascii="Times New Roman"/>
                <w:spacing w:val="-14"/>
                <w:w w:val="95"/>
                <w:sz w:val="9"/>
              </w:rPr>
              <w:t> </w:t>
            </w:r>
            <w:r>
              <w:rPr>
                <w:rFonts w:ascii="Times New Roman"/>
                <w:w w:val="95"/>
                <w:sz w:val="9"/>
              </w:rPr>
              <w:t>Creditori</w:t>
            </w:r>
            <w:r>
              <w:rPr>
                <w:rFonts w:ascii="Times New Roman"/>
                <w:spacing w:val="-16"/>
                <w:w w:val="95"/>
                <w:sz w:val="9"/>
              </w:rPr>
              <w:t> </w:t>
            </w:r>
            <w:r>
              <w:rPr>
                <w:rFonts w:ascii="Times New Roman"/>
                <w:w w:val="95"/>
                <w:sz w:val="9"/>
              </w:rPr>
              <w:t>Privilegiati</w:t>
              <w:tab/>
            </w:r>
            <w:r>
              <w:rPr>
                <w:rFonts w:ascii="Times New Roman"/>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left="22" w:right="22"/>
              <w:jc w:val="center"/>
              <w:rPr>
                <w:rFonts w:ascii="Times New Roman"/>
                <w:sz w:val="9"/>
              </w:rPr>
            </w:pPr>
            <w:r>
              <w:rPr>
                <w:rFonts w:ascii="Times New Roman"/>
                <w:sz w:val="9"/>
              </w:rPr>
              <w:t>(1.754.143)</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30"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624" w:type="dxa"/>
          </w:tcPr>
          <w:p>
            <w:pPr>
              <w:pStyle w:val="TableParagraph"/>
              <w:spacing w:line="103" w:lineRule="exact" w:before="0"/>
              <w:jc w:val="center"/>
              <w:rPr>
                <w:rFonts w:ascii="Times New Roman"/>
                <w:sz w:val="9"/>
              </w:rPr>
            </w:pPr>
            <w:r>
              <w:rPr>
                <w:rFonts w:ascii="Times New Roman"/>
                <w:w w:val="90"/>
                <w:sz w:val="9"/>
              </w:rPr>
              <w:t>-</w:t>
            </w:r>
          </w:p>
        </w:tc>
        <w:tc>
          <w:tcPr>
            <w:tcW w:w="625" w:type="dxa"/>
          </w:tcPr>
          <w:p>
            <w:pPr>
              <w:pStyle w:val="TableParagraph"/>
              <w:spacing w:line="103" w:lineRule="exact" w:before="0"/>
              <w:ind w:left="115" w:right="117"/>
              <w:jc w:val="center"/>
              <w:rPr>
                <w:rFonts w:ascii="Times New Roman"/>
                <w:sz w:val="9"/>
              </w:rPr>
            </w:pPr>
            <w:r>
              <w:rPr>
                <w:rFonts w:ascii="Times New Roman"/>
                <w:sz w:val="9"/>
              </w:rPr>
              <w:t>(510.262)</w:t>
            </w:r>
          </w:p>
        </w:tc>
        <w:tc>
          <w:tcPr>
            <w:tcW w:w="629" w:type="dxa"/>
          </w:tcPr>
          <w:p>
            <w:pPr>
              <w:pStyle w:val="TableParagraph"/>
              <w:spacing w:line="103" w:lineRule="exact" w:before="0"/>
              <w:ind w:right="111"/>
              <w:rPr>
                <w:rFonts w:ascii="Times New Roman"/>
                <w:b/>
                <w:sz w:val="9"/>
              </w:rPr>
            </w:pPr>
            <w:r>
              <w:rPr>
                <w:rFonts w:ascii="Times New Roman"/>
                <w:b/>
                <w:w w:val="90"/>
                <w:sz w:val="9"/>
              </w:rPr>
              <w:t>(2.264.405)</w:t>
            </w:r>
          </w:p>
        </w:tc>
      </w:tr>
      <w:tr>
        <w:trPr>
          <w:trHeight w:val="108" w:hRule="exact"/>
        </w:trPr>
        <w:tc>
          <w:tcPr>
            <w:tcW w:w="3135" w:type="dxa"/>
          </w:tcPr>
          <w:p>
            <w:pPr>
              <w:pStyle w:val="TableParagraph"/>
              <w:tabs>
                <w:tab w:pos="2854" w:val="left" w:leader="none"/>
              </w:tabs>
              <w:spacing w:line="100" w:lineRule="exact" w:before="0"/>
              <w:ind w:left="13"/>
              <w:jc w:val="left"/>
              <w:rPr>
                <w:rFonts w:ascii="Times New Roman"/>
                <w:sz w:val="9"/>
              </w:rPr>
            </w:pPr>
            <w:r>
              <w:rPr>
                <w:rFonts w:ascii="Times New Roman"/>
                <w:w w:val="95"/>
                <w:sz w:val="9"/>
              </w:rPr>
              <w:t>-</w:t>
            </w:r>
            <w:r>
              <w:rPr>
                <w:rFonts w:ascii="Times New Roman"/>
                <w:spacing w:val="-12"/>
                <w:w w:val="95"/>
                <w:sz w:val="9"/>
              </w:rPr>
              <w:t> </w:t>
            </w:r>
            <w:r>
              <w:rPr>
                <w:rFonts w:ascii="Times New Roman"/>
                <w:w w:val="95"/>
                <w:sz w:val="9"/>
              </w:rPr>
              <w:t>Creditori</w:t>
            </w:r>
            <w:r>
              <w:rPr>
                <w:rFonts w:ascii="Times New Roman"/>
                <w:spacing w:val="-14"/>
                <w:w w:val="95"/>
                <w:sz w:val="9"/>
              </w:rPr>
              <w:t> </w:t>
            </w:r>
            <w:r>
              <w:rPr>
                <w:rFonts w:ascii="Times New Roman"/>
                <w:w w:val="95"/>
                <w:sz w:val="9"/>
              </w:rPr>
              <w:t>Chirografari</w:t>
              <w:tab/>
            </w:r>
            <w:r>
              <w:rPr>
                <w:rFonts w:ascii="Times New Roman"/>
                <w:sz w:val="9"/>
              </w:rPr>
              <w:t>-</w:t>
            </w:r>
          </w:p>
        </w:tc>
        <w:tc>
          <w:tcPr>
            <w:tcW w:w="529" w:type="dxa"/>
          </w:tcPr>
          <w:p>
            <w:pPr>
              <w:pStyle w:val="TableParagraph"/>
              <w:spacing w:line="100" w:lineRule="exact" w:before="0"/>
              <w:ind w:right="2"/>
              <w:jc w:val="center"/>
              <w:rPr>
                <w:rFonts w:ascii="Times New Roman"/>
                <w:sz w:val="9"/>
              </w:rPr>
            </w:pPr>
            <w:r>
              <w:rPr>
                <w:rFonts w:ascii="Times New Roman"/>
                <w:w w:val="90"/>
                <w:sz w:val="9"/>
              </w:rPr>
              <w:t>-</w:t>
            </w:r>
          </w:p>
        </w:tc>
        <w:tc>
          <w:tcPr>
            <w:tcW w:w="529" w:type="dxa"/>
          </w:tcPr>
          <w:p>
            <w:pPr>
              <w:pStyle w:val="TableParagraph"/>
              <w:spacing w:line="100"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left="22" w:right="24"/>
              <w:jc w:val="center"/>
              <w:rPr>
                <w:rFonts w:ascii="Times New Roman"/>
                <w:sz w:val="9"/>
              </w:rPr>
            </w:pPr>
            <w:r>
              <w:rPr>
                <w:rFonts w:ascii="Times New Roman"/>
                <w:w w:val="95"/>
                <w:sz w:val="9"/>
              </w:rPr>
              <w:t>(14.689.333)</w:t>
            </w:r>
          </w:p>
        </w:tc>
        <w:tc>
          <w:tcPr>
            <w:tcW w:w="529" w:type="dxa"/>
          </w:tcPr>
          <w:p>
            <w:pPr>
              <w:pStyle w:val="TableParagraph"/>
              <w:spacing w:line="100" w:lineRule="exact" w:before="0"/>
              <w:ind w:right="2"/>
              <w:jc w:val="center"/>
              <w:rPr>
                <w:rFonts w:ascii="Times New Roman"/>
                <w:sz w:val="9"/>
              </w:rPr>
            </w:pPr>
            <w:r>
              <w:rPr>
                <w:rFonts w:ascii="Times New Roman"/>
                <w:w w:val="90"/>
                <w:sz w:val="9"/>
              </w:rPr>
              <w:t>-</w:t>
            </w:r>
          </w:p>
        </w:tc>
        <w:tc>
          <w:tcPr>
            <w:tcW w:w="529" w:type="dxa"/>
          </w:tcPr>
          <w:p>
            <w:pPr>
              <w:pStyle w:val="TableParagraph"/>
              <w:spacing w:line="100" w:lineRule="exact" w:before="0"/>
              <w:ind w:right="2"/>
              <w:jc w:val="center"/>
              <w:rPr>
                <w:rFonts w:ascii="Times New Roman"/>
                <w:sz w:val="9"/>
              </w:rPr>
            </w:pPr>
            <w:r>
              <w:rPr>
                <w:rFonts w:ascii="Times New Roman"/>
                <w:w w:val="90"/>
                <w:sz w:val="9"/>
              </w:rPr>
              <w:t>-</w:t>
            </w:r>
          </w:p>
        </w:tc>
        <w:tc>
          <w:tcPr>
            <w:tcW w:w="529" w:type="dxa"/>
          </w:tcPr>
          <w:p>
            <w:pPr>
              <w:pStyle w:val="TableParagraph"/>
              <w:spacing w:line="88" w:lineRule="exact" w:before="0"/>
              <w:ind w:left="22" w:right="22"/>
              <w:jc w:val="center"/>
              <w:rPr>
                <w:rFonts w:ascii="Times New Roman"/>
                <w:sz w:val="9"/>
              </w:rPr>
            </w:pPr>
            <w:r>
              <w:rPr>
                <w:rFonts w:ascii="Times New Roman"/>
                <w:sz w:val="9"/>
              </w:rPr>
              <w:t>(7.344.667)</w:t>
            </w:r>
          </w:p>
        </w:tc>
        <w:tc>
          <w:tcPr>
            <w:tcW w:w="529" w:type="dxa"/>
          </w:tcPr>
          <w:p>
            <w:pPr>
              <w:pStyle w:val="TableParagraph"/>
              <w:spacing w:line="100" w:lineRule="exact" w:before="0"/>
              <w:ind w:right="2"/>
              <w:jc w:val="center"/>
              <w:rPr>
                <w:rFonts w:ascii="Times New Roman"/>
                <w:sz w:val="9"/>
              </w:rPr>
            </w:pPr>
            <w:r>
              <w:rPr>
                <w:rFonts w:ascii="Times New Roman"/>
                <w:w w:val="90"/>
                <w:sz w:val="9"/>
              </w:rPr>
              <w:t>-</w:t>
            </w:r>
          </w:p>
        </w:tc>
        <w:tc>
          <w:tcPr>
            <w:tcW w:w="529" w:type="dxa"/>
          </w:tcPr>
          <w:p>
            <w:pPr>
              <w:pStyle w:val="TableParagraph"/>
              <w:spacing w:line="100" w:lineRule="exact" w:before="0"/>
              <w:ind w:right="2"/>
              <w:jc w:val="center"/>
              <w:rPr>
                <w:rFonts w:ascii="Times New Roman"/>
                <w:sz w:val="9"/>
              </w:rPr>
            </w:pPr>
            <w:r>
              <w:rPr>
                <w:rFonts w:ascii="Times New Roman"/>
                <w:w w:val="90"/>
                <w:sz w:val="9"/>
              </w:rPr>
              <w:t>-</w:t>
            </w:r>
          </w:p>
        </w:tc>
        <w:tc>
          <w:tcPr>
            <w:tcW w:w="530" w:type="dxa"/>
          </w:tcPr>
          <w:p>
            <w:pPr>
              <w:pStyle w:val="TableParagraph"/>
              <w:spacing w:line="93" w:lineRule="exact" w:before="0"/>
              <w:ind w:left="34" w:right="34"/>
              <w:jc w:val="center"/>
              <w:rPr>
                <w:rFonts w:ascii="Times New Roman"/>
                <w:sz w:val="9"/>
              </w:rPr>
            </w:pPr>
            <w:r>
              <w:rPr>
                <w:rFonts w:ascii="Times New Roman"/>
                <w:sz w:val="9"/>
              </w:rPr>
              <w:t>(7.344.667)</w:t>
            </w:r>
          </w:p>
        </w:tc>
        <w:tc>
          <w:tcPr>
            <w:tcW w:w="529" w:type="dxa"/>
          </w:tcPr>
          <w:p>
            <w:pPr>
              <w:pStyle w:val="TableParagraph"/>
              <w:spacing w:line="100" w:lineRule="exact" w:before="0"/>
              <w:ind w:right="2"/>
              <w:jc w:val="center"/>
              <w:rPr>
                <w:rFonts w:ascii="Times New Roman"/>
                <w:sz w:val="9"/>
              </w:rPr>
            </w:pPr>
            <w:r>
              <w:rPr>
                <w:rFonts w:ascii="Times New Roman"/>
                <w:w w:val="90"/>
                <w:sz w:val="9"/>
              </w:rPr>
              <w:t>-</w:t>
            </w:r>
          </w:p>
        </w:tc>
        <w:tc>
          <w:tcPr>
            <w:tcW w:w="624" w:type="dxa"/>
          </w:tcPr>
          <w:p>
            <w:pPr>
              <w:pStyle w:val="TableParagraph"/>
              <w:spacing w:line="100" w:lineRule="exact" w:before="0"/>
              <w:jc w:val="center"/>
              <w:rPr>
                <w:rFonts w:ascii="Times New Roman"/>
                <w:sz w:val="9"/>
              </w:rPr>
            </w:pPr>
            <w:r>
              <w:rPr>
                <w:rFonts w:ascii="Times New Roman"/>
                <w:w w:val="90"/>
                <w:sz w:val="9"/>
              </w:rPr>
              <w:t>-</w:t>
            </w:r>
          </w:p>
        </w:tc>
        <w:tc>
          <w:tcPr>
            <w:tcW w:w="625" w:type="dxa"/>
          </w:tcPr>
          <w:p>
            <w:pPr>
              <w:pStyle w:val="TableParagraph"/>
              <w:spacing w:line="100" w:lineRule="exact" w:before="0"/>
              <w:jc w:val="center"/>
              <w:rPr>
                <w:rFonts w:ascii="Times New Roman"/>
                <w:sz w:val="9"/>
              </w:rPr>
            </w:pPr>
            <w:r>
              <w:rPr>
                <w:rFonts w:ascii="Times New Roman"/>
                <w:w w:val="90"/>
                <w:sz w:val="9"/>
              </w:rPr>
              <w:t>-</w:t>
            </w:r>
          </w:p>
        </w:tc>
        <w:tc>
          <w:tcPr>
            <w:tcW w:w="629" w:type="dxa"/>
          </w:tcPr>
          <w:p>
            <w:pPr>
              <w:pStyle w:val="TableParagraph"/>
              <w:spacing w:line="100" w:lineRule="exact" w:before="0"/>
              <w:ind w:right="88"/>
              <w:rPr>
                <w:rFonts w:ascii="Times New Roman"/>
                <w:b/>
                <w:sz w:val="9"/>
              </w:rPr>
            </w:pPr>
            <w:r>
              <w:rPr>
                <w:rFonts w:ascii="Times New Roman"/>
                <w:b/>
                <w:w w:val="90"/>
                <w:sz w:val="9"/>
              </w:rPr>
              <w:t>(29.378.666)</w:t>
            </w:r>
          </w:p>
        </w:tc>
      </w:tr>
      <w:tr>
        <w:trPr>
          <w:trHeight w:val="122" w:hRule="exact"/>
        </w:trPr>
        <w:tc>
          <w:tcPr>
            <w:tcW w:w="3135" w:type="dxa"/>
          </w:tcPr>
          <w:p>
            <w:pPr>
              <w:pStyle w:val="TableParagraph"/>
              <w:tabs>
                <w:tab w:pos="2854" w:val="left" w:leader="none"/>
              </w:tabs>
              <w:spacing w:before="5"/>
              <w:ind w:left="13"/>
              <w:jc w:val="left"/>
              <w:rPr>
                <w:rFonts w:ascii="Times New Roman"/>
                <w:sz w:val="9"/>
              </w:rPr>
            </w:pPr>
            <w:r>
              <w:rPr>
                <w:rFonts w:ascii="Times New Roman"/>
                <w:w w:val="95"/>
                <w:sz w:val="9"/>
              </w:rPr>
              <w:t>-</w:t>
            </w:r>
            <w:r>
              <w:rPr>
                <w:rFonts w:ascii="Times New Roman"/>
                <w:spacing w:val="-14"/>
                <w:w w:val="95"/>
                <w:sz w:val="9"/>
              </w:rPr>
              <w:t> </w:t>
            </w:r>
            <w:r>
              <w:rPr>
                <w:rFonts w:ascii="Times New Roman"/>
                <w:w w:val="95"/>
                <w:sz w:val="9"/>
              </w:rPr>
              <w:t>Creditori</w:t>
            </w:r>
            <w:r>
              <w:rPr>
                <w:rFonts w:ascii="Times New Roman"/>
                <w:spacing w:val="-15"/>
                <w:w w:val="95"/>
                <w:sz w:val="9"/>
              </w:rPr>
              <w:t> </w:t>
            </w:r>
            <w:r>
              <w:rPr>
                <w:rFonts w:ascii="Times New Roman"/>
                <w:w w:val="95"/>
                <w:sz w:val="9"/>
              </w:rPr>
              <w:t>Chirografari</w:t>
            </w:r>
            <w:r>
              <w:rPr>
                <w:rFonts w:ascii="Times New Roman"/>
                <w:spacing w:val="-15"/>
                <w:w w:val="95"/>
                <w:sz w:val="9"/>
              </w:rPr>
              <w:t> </w:t>
            </w:r>
            <w:r>
              <w:rPr>
                <w:rFonts w:ascii="Times New Roman"/>
                <w:w w:val="95"/>
                <w:sz w:val="9"/>
              </w:rPr>
              <w:t>Postergati</w:t>
              <w:tab/>
            </w:r>
            <w:r>
              <w:rPr>
                <w:rFonts w:ascii="Times New Roman"/>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530" w:type="dxa"/>
          </w:tcPr>
          <w:p>
            <w:pPr>
              <w:pStyle w:val="TableParagraph"/>
              <w:spacing w:before="5"/>
              <w:ind w:right="2"/>
              <w:jc w:val="center"/>
              <w:rPr>
                <w:rFonts w:ascii="Times New Roman"/>
                <w:sz w:val="9"/>
              </w:rPr>
            </w:pPr>
            <w:r>
              <w:rPr>
                <w:rFonts w:ascii="Times New Roman"/>
                <w:w w:val="90"/>
                <w:sz w:val="9"/>
              </w:rPr>
              <w:t>-</w:t>
            </w:r>
          </w:p>
        </w:tc>
        <w:tc>
          <w:tcPr>
            <w:tcW w:w="529" w:type="dxa"/>
          </w:tcPr>
          <w:p>
            <w:pPr>
              <w:pStyle w:val="TableParagraph"/>
              <w:spacing w:before="5"/>
              <w:ind w:right="2"/>
              <w:jc w:val="center"/>
              <w:rPr>
                <w:rFonts w:ascii="Times New Roman"/>
                <w:sz w:val="9"/>
              </w:rPr>
            </w:pPr>
            <w:r>
              <w:rPr>
                <w:rFonts w:ascii="Times New Roman"/>
                <w:w w:val="90"/>
                <w:sz w:val="9"/>
              </w:rPr>
              <w:t>-</w:t>
            </w:r>
          </w:p>
        </w:tc>
        <w:tc>
          <w:tcPr>
            <w:tcW w:w="624" w:type="dxa"/>
          </w:tcPr>
          <w:p>
            <w:pPr>
              <w:pStyle w:val="TableParagraph"/>
              <w:spacing w:before="5"/>
              <w:jc w:val="center"/>
              <w:rPr>
                <w:rFonts w:ascii="Times New Roman"/>
                <w:sz w:val="9"/>
              </w:rPr>
            </w:pPr>
            <w:r>
              <w:rPr>
                <w:rFonts w:ascii="Times New Roman"/>
                <w:w w:val="90"/>
                <w:sz w:val="9"/>
              </w:rPr>
              <w:t>-</w:t>
            </w:r>
          </w:p>
        </w:tc>
        <w:tc>
          <w:tcPr>
            <w:tcW w:w="625" w:type="dxa"/>
          </w:tcPr>
          <w:p>
            <w:pPr>
              <w:pStyle w:val="TableParagraph"/>
              <w:spacing w:before="5"/>
              <w:jc w:val="center"/>
              <w:rPr>
                <w:rFonts w:ascii="Times New Roman"/>
                <w:sz w:val="9"/>
              </w:rPr>
            </w:pPr>
            <w:r>
              <w:rPr>
                <w:rFonts w:ascii="Times New Roman"/>
                <w:w w:val="90"/>
                <w:sz w:val="9"/>
              </w:rPr>
              <w:t>-</w:t>
            </w:r>
          </w:p>
        </w:tc>
        <w:tc>
          <w:tcPr>
            <w:tcW w:w="629" w:type="dxa"/>
          </w:tcPr>
          <w:p>
            <w:pPr>
              <w:pStyle w:val="TableParagraph"/>
              <w:spacing w:before="5"/>
              <w:ind w:left="22"/>
              <w:jc w:val="center"/>
              <w:rPr>
                <w:rFonts w:ascii="Times New Roman"/>
                <w:b/>
                <w:sz w:val="9"/>
              </w:rPr>
            </w:pPr>
            <w:r>
              <w:rPr>
                <w:rFonts w:ascii="Times New Roman"/>
                <w:b/>
                <w:w w:val="90"/>
                <w:sz w:val="9"/>
              </w:rPr>
              <w:t>-</w:t>
            </w:r>
          </w:p>
        </w:tc>
      </w:tr>
      <w:tr>
        <w:trPr>
          <w:trHeight w:val="116" w:hRule="exact"/>
        </w:trPr>
        <w:tc>
          <w:tcPr>
            <w:tcW w:w="3135" w:type="dxa"/>
          </w:tcPr>
          <w:p>
            <w:pPr>
              <w:pStyle w:val="TableParagraph"/>
              <w:tabs>
                <w:tab w:pos="2854" w:val="left" w:leader="none"/>
              </w:tabs>
              <w:spacing w:line="103" w:lineRule="exact" w:before="0"/>
              <w:ind w:left="13"/>
              <w:jc w:val="left"/>
              <w:rPr>
                <w:rFonts w:ascii="Times New Roman"/>
                <w:sz w:val="9"/>
              </w:rPr>
            </w:pPr>
            <w:r>
              <w:rPr>
                <w:rFonts w:ascii="Times New Roman"/>
                <w:w w:val="90"/>
                <w:sz w:val="9"/>
              </w:rPr>
              <w:t>- Creditori Chirografario</w:t>
            </w:r>
            <w:r>
              <w:rPr>
                <w:rFonts w:ascii="Times New Roman"/>
                <w:spacing w:val="-12"/>
                <w:w w:val="90"/>
                <w:sz w:val="9"/>
              </w:rPr>
              <w:t> </w:t>
            </w:r>
            <w:r>
              <w:rPr>
                <w:rFonts w:ascii="Times New Roman"/>
                <w:w w:val="90"/>
                <w:sz w:val="9"/>
              </w:rPr>
              <w:t>Postergato</w:t>
            </w:r>
            <w:r>
              <w:rPr>
                <w:rFonts w:ascii="Times New Roman"/>
                <w:spacing w:val="-3"/>
                <w:w w:val="90"/>
                <w:sz w:val="9"/>
              </w:rPr>
              <w:t> </w:t>
            </w:r>
            <w:r>
              <w:rPr>
                <w:rFonts w:ascii="Times New Roman"/>
                <w:w w:val="90"/>
                <w:sz w:val="9"/>
              </w:rPr>
              <w:t>Volontario</w:t>
              <w:tab/>
            </w:r>
            <w:r>
              <w:rPr>
                <w:rFonts w:ascii="Times New Roman"/>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30"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624" w:type="dxa"/>
          </w:tcPr>
          <w:p>
            <w:pPr>
              <w:pStyle w:val="TableParagraph"/>
              <w:spacing w:line="103" w:lineRule="exact" w:before="0"/>
              <w:jc w:val="center"/>
              <w:rPr>
                <w:rFonts w:ascii="Times New Roman"/>
                <w:sz w:val="9"/>
              </w:rPr>
            </w:pPr>
            <w:r>
              <w:rPr>
                <w:rFonts w:ascii="Times New Roman"/>
                <w:w w:val="90"/>
                <w:sz w:val="9"/>
              </w:rPr>
              <w:t>-</w:t>
            </w:r>
          </w:p>
        </w:tc>
        <w:tc>
          <w:tcPr>
            <w:tcW w:w="625" w:type="dxa"/>
          </w:tcPr>
          <w:p>
            <w:pPr>
              <w:pStyle w:val="TableParagraph"/>
              <w:spacing w:line="103" w:lineRule="exact" w:before="0"/>
              <w:ind w:left="115" w:right="117"/>
              <w:jc w:val="center"/>
              <w:rPr>
                <w:rFonts w:ascii="Times New Roman"/>
                <w:sz w:val="9"/>
              </w:rPr>
            </w:pPr>
            <w:r>
              <w:rPr>
                <w:rFonts w:ascii="Times New Roman"/>
                <w:sz w:val="9"/>
              </w:rPr>
              <w:t>(219.301)</w:t>
            </w:r>
          </w:p>
        </w:tc>
        <w:tc>
          <w:tcPr>
            <w:tcW w:w="629" w:type="dxa"/>
          </w:tcPr>
          <w:p>
            <w:pPr>
              <w:pStyle w:val="TableParagraph"/>
              <w:spacing w:line="103" w:lineRule="exact" w:before="0"/>
              <w:ind w:right="142"/>
              <w:rPr>
                <w:rFonts w:ascii="Times New Roman"/>
                <w:b/>
                <w:sz w:val="9"/>
              </w:rPr>
            </w:pPr>
            <w:r>
              <w:rPr>
                <w:rFonts w:ascii="Times New Roman"/>
                <w:b/>
                <w:w w:val="90"/>
                <w:sz w:val="9"/>
              </w:rPr>
              <w:t>(219.301)</w:t>
            </w:r>
          </w:p>
        </w:tc>
      </w:tr>
      <w:tr>
        <w:trPr>
          <w:trHeight w:val="116" w:hRule="exact"/>
        </w:trPr>
        <w:tc>
          <w:tcPr>
            <w:tcW w:w="3135" w:type="dxa"/>
          </w:tcPr>
          <w:p>
            <w:pPr>
              <w:pStyle w:val="TableParagraph"/>
              <w:tabs>
                <w:tab w:pos="2854" w:val="left" w:leader="none"/>
              </w:tabs>
              <w:spacing w:line="103" w:lineRule="exact" w:before="0"/>
              <w:ind w:left="13"/>
              <w:jc w:val="left"/>
              <w:rPr>
                <w:rFonts w:ascii="Times New Roman"/>
                <w:sz w:val="9"/>
              </w:rPr>
            </w:pPr>
            <w:r>
              <w:rPr>
                <w:rFonts w:ascii="Times New Roman"/>
                <w:w w:val="95"/>
                <w:sz w:val="9"/>
              </w:rPr>
              <w:t>-</w:t>
            </w:r>
            <w:r>
              <w:rPr>
                <w:rFonts w:ascii="Times New Roman"/>
                <w:spacing w:val="-9"/>
                <w:w w:val="95"/>
                <w:sz w:val="9"/>
              </w:rPr>
              <w:t> </w:t>
            </w:r>
            <w:r>
              <w:rPr>
                <w:rFonts w:ascii="Times New Roman"/>
                <w:w w:val="95"/>
                <w:sz w:val="9"/>
              </w:rPr>
              <w:t>Fondi</w:t>
            </w:r>
            <w:r>
              <w:rPr>
                <w:rFonts w:ascii="Times New Roman"/>
                <w:spacing w:val="-12"/>
                <w:w w:val="95"/>
                <w:sz w:val="9"/>
              </w:rPr>
              <w:t> </w:t>
            </w:r>
            <w:r>
              <w:rPr>
                <w:rFonts w:ascii="Times New Roman"/>
                <w:w w:val="95"/>
                <w:sz w:val="9"/>
              </w:rPr>
              <w:t>rischi</w:t>
            </w:r>
            <w:r>
              <w:rPr>
                <w:rFonts w:ascii="Times New Roman"/>
                <w:spacing w:val="-12"/>
                <w:w w:val="95"/>
                <w:sz w:val="9"/>
              </w:rPr>
              <w:t> </w:t>
            </w:r>
            <w:r>
              <w:rPr>
                <w:rFonts w:ascii="Times New Roman"/>
                <w:spacing w:val="-3"/>
                <w:w w:val="95"/>
                <w:sz w:val="9"/>
              </w:rPr>
              <w:t>in</w:t>
            </w:r>
            <w:r>
              <w:rPr>
                <w:rFonts w:ascii="Times New Roman"/>
                <w:spacing w:val="-9"/>
                <w:w w:val="95"/>
                <w:sz w:val="9"/>
              </w:rPr>
              <w:t> </w:t>
            </w:r>
            <w:r>
              <w:rPr>
                <w:rFonts w:ascii="Times New Roman"/>
                <w:w w:val="95"/>
                <w:sz w:val="9"/>
              </w:rPr>
              <w:t>prededuzione</w:t>
              <w:tab/>
            </w:r>
            <w:r>
              <w:rPr>
                <w:rFonts w:ascii="Times New Roman"/>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left="22" w:right="22"/>
              <w:jc w:val="center"/>
              <w:rPr>
                <w:rFonts w:ascii="Times New Roman"/>
                <w:sz w:val="9"/>
              </w:rPr>
            </w:pPr>
            <w:r>
              <w:rPr>
                <w:rFonts w:ascii="Times New Roman"/>
                <w:sz w:val="9"/>
              </w:rPr>
              <w:t>(1.591.479)</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30"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624" w:type="dxa"/>
          </w:tcPr>
          <w:p>
            <w:pPr>
              <w:pStyle w:val="TableParagraph"/>
              <w:spacing w:line="103" w:lineRule="exact" w:before="0"/>
              <w:jc w:val="center"/>
              <w:rPr>
                <w:rFonts w:ascii="Times New Roman"/>
                <w:sz w:val="9"/>
              </w:rPr>
            </w:pPr>
            <w:r>
              <w:rPr>
                <w:rFonts w:ascii="Times New Roman"/>
                <w:w w:val="90"/>
                <w:sz w:val="9"/>
              </w:rPr>
              <w:t>-</w:t>
            </w:r>
          </w:p>
        </w:tc>
        <w:tc>
          <w:tcPr>
            <w:tcW w:w="625" w:type="dxa"/>
          </w:tcPr>
          <w:p>
            <w:pPr>
              <w:pStyle w:val="TableParagraph"/>
              <w:spacing w:line="103" w:lineRule="exact" w:before="0"/>
              <w:jc w:val="center"/>
              <w:rPr>
                <w:rFonts w:ascii="Times New Roman"/>
                <w:sz w:val="9"/>
              </w:rPr>
            </w:pPr>
            <w:r>
              <w:rPr>
                <w:rFonts w:ascii="Times New Roman"/>
                <w:w w:val="90"/>
                <w:sz w:val="9"/>
              </w:rPr>
              <w:t>-</w:t>
            </w:r>
          </w:p>
        </w:tc>
        <w:tc>
          <w:tcPr>
            <w:tcW w:w="629" w:type="dxa"/>
          </w:tcPr>
          <w:p>
            <w:pPr>
              <w:pStyle w:val="TableParagraph"/>
              <w:spacing w:line="103" w:lineRule="exact" w:before="0"/>
              <w:ind w:right="111"/>
              <w:rPr>
                <w:rFonts w:ascii="Times New Roman"/>
                <w:b/>
                <w:sz w:val="9"/>
              </w:rPr>
            </w:pPr>
            <w:r>
              <w:rPr>
                <w:rFonts w:ascii="Times New Roman"/>
                <w:b/>
                <w:w w:val="90"/>
                <w:sz w:val="9"/>
              </w:rPr>
              <w:t>(1.591.479)</w:t>
            </w:r>
          </w:p>
        </w:tc>
      </w:tr>
      <w:tr>
        <w:trPr>
          <w:trHeight w:val="111" w:hRule="exact"/>
        </w:trPr>
        <w:tc>
          <w:tcPr>
            <w:tcW w:w="3135" w:type="dxa"/>
          </w:tcPr>
          <w:p>
            <w:pPr>
              <w:pStyle w:val="TableParagraph"/>
              <w:tabs>
                <w:tab w:pos="2854" w:val="left" w:leader="none"/>
              </w:tabs>
              <w:spacing w:line="103" w:lineRule="exact" w:before="0"/>
              <w:ind w:left="13"/>
              <w:jc w:val="left"/>
              <w:rPr>
                <w:rFonts w:ascii="Times New Roman"/>
                <w:sz w:val="9"/>
              </w:rPr>
            </w:pPr>
            <w:r>
              <w:rPr>
                <w:rFonts w:ascii="Times New Roman"/>
                <w:w w:val="95"/>
                <w:sz w:val="9"/>
              </w:rPr>
              <w:t>- Fondi</w:t>
            </w:r>
            <w:r>
              <w:rPr>
                <w:rFonts w:ascii="Times New Roman"/>
                <w:spacing w:val="-15"/>
                <w:w w:val="95"/>
                <w:sz w:val="9"/>
              </w:rPr>
              <w:t> </w:t>
            </w:r>
            <w:r>
              <w:rPr>
                <w:rFonts w:ascii="Times New Roman"/>
                <w:w w:val="95"/>
                <w:sz w:val="9"/>
              </w:rPr>
              <w:t>rischi</w:t>
            </w:r>
            <w:r>
              <w:rPr>
                <w:rFonts w:ascii="Times New Roman"/>
                <w:spacing w:val="-9"/>
                <w:w w:val="95"/>
                <w:sz w:val="9"/>
              </w:rPr>
              <w:t> </w:t>
            </w:r>
            <w:r>
              <w:rPr>
                <w:rFonts w:ascii="Times New Roman"/>
                <w:spacing w:val="-3"/>
                <w:w w:val="95"/>
                <w:sz w:val="9"/>
              </w:rPr>
              <w:t>privilegiati</w:t>
              <w:tab/>
            </w:r>
            <w:r>
              <w:rPr>
                <w:rFonts w:ascii="Times New Roman"/>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left="22" w:right="22"/>
              <w:jc w:val="center"/>
              <w:rPr>
                <w:rFonts w:ascii="Times New Roman"/>
                <w:sz w:val="9"/>
              </w:rPr>
            </w:pPr>
            <w:r>
              <w:rPr>
                <w:rFonts w:ascii="Times New Roman"/>
                <w:sz w:val="9"/>
              </w:rPr>
              <w:t>(354.045)</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530" w:type="dxa"/>
          </w:tcPr>
          <w:p>
            <w:pPr>
              <w:pStyle w:val="TableParagraph"/>
              <w:spacing w:line="103" w:lineRule="exact" w:before="0"/>
              <w:ind w:right="2"/>
              <w:jc w:val="center"/>
              <w:rPr>
                <w:rFonts w:ascii="Times New Roman"/>
                <w:sz w:val="9"/>
              </w:rPr>
            </w:pPr>
            <w:r>
              <w:rPr>
                <w:rFonts w:ascii="Times New Roman"/>
                <w:w w:val="90"/>
                <w:sz w:val="9"/>
              </w:rPr>
              <w:t>-</w:t>
            </w:r>
          </w:p>
        </w:tc>
        <w:tc>
          <w:tcPr>
            <w:tcW w:w="529" w:type="dxa"/>
          </w:tcPr>
          <w:p>
            <w:pPr>
              <w:pStyle w:val="TableParagraph"/>
              <w:spacing w:line="103" w:lineRule="exact" w:before="0"/>
              <w:ind w:right="2"/>
              <w:jc w:val="center"/>
              <w:rPr>
                <w:rFonts w:ascii="Times New Roman"/>
                <w:sz w:val="9"/>
              </w:rPr>
            </w:pPr>
            <w:r>
              <w:rPr>
                <w:rFonts w:ascii="Times New Roman"/>
                <w:w w:val="90"/>
                <w:sz w:val="9"/>
              </w:rPr>
              <w:t>-</w:t>
            </w:r>
          </w:p>
        </w:tc>
        <w:tc>
          <w:tcPr>
            <w:tcW w:w="624" w:type="dxa"/>
          </w:tcPr>
          <w:p>
            <w:pPr>
              <w:pStyle w:val="TableParagraph"/>
              <w:spacing w:line="103" w:lineRule="exact" w:before="0"/>
              <w:jc w:val="center"/>
              <w:rPr>
                <w:rFonts w:ascii="Times New Roman"/>
                <w:sz w:val="9"/>
              </w:rPr>
            </w:pPr>
            <w:r>
              <w:rPr>
                <w:rFonts w:ascii="Times New Roman"/>
                <w:w w:val="90"/>
                <w:sz w:val="9"/>
              </w:rPr>
              <w:t>-</w:t>
            </w:r>
          </w:p>
        </w:tc>
        <w:tc>
          <w:tcPr>
            <w:tcW w:w="625" w:type="dxa"/>
          </w:tcPr>
          <w:p>
            <w:pPr>
              <w:pStyle w:val="TableParagraph"/>
              <w:spacing w:line="103" w:lineRule="exact" w:before="0"/>
              <w:ind w:left="115" w:right="115"/>
              <w:jc w:val="center"/>
              <w:rPr>
                <w:rFonts w:ascii="Times New Roman"/>
                <w:sz w:val="9"/>
              </w:rPr>
            </w:pPr>
            <w:r>
              <w:rPr>
                <w:rFonts w:ascii="Times New Roman"/>
                <w:sz w:val="9"/>
              </w:rPr>
              <w:t>(11.043)</w:t>
            </w:r>
          </w:p>
        </w:tc>
        <w:tc>
          <w:tcPr>
            <w:tcW w:w="629" w:type="dxa"/>
          </w:tcPr>
          <w:p>
            <w:pPr>
              <w:pStyle w:val="TableParagraph"/>
              <w:spacing w:line="103" w:lineRule="exact" w:before="0"/>
              <w:ind w:right="142"/>
              <w:rPr>
                <w:rFonts w:ascii="Times New Roman"/>
                <w:b/>
                <w:sz w:val="9"/>
              </w:rPr>
            </w:pPr>
            <w:r>
              <w:rPr>
                <w:rFonts w:ascii="Times New Roman"/>
                <w:b/>
                <w:w w:val="90"/>
                <w:sz w:val="9"/>
              </w:rPr>
              <w:t>(365.088)</w:t>
            </w:r>
          </w:p>
        </w:tc>
      </w:tr>
      <w:tr>
        <w:trPr>
          <w:trHeight w:val="111" w:hRule="exact"/>
        </w:trPr>
        <w:tc>
          <w:tcPr>
            <w:tcW w:w="3135" w:type="dxa"/>
            <w:tcBorders>
              <w:bottom w:val="single" w:sz="2" w:space="0" w:color="000000"/>
            </w:tcBorders>
          </w:tcPr>
          <w:p>
            <w:pPr>
              <w:pStyle w:val="TableParagraph"/>
              <w:tabs>
                <w:tab w:pos="2854" w:val="left" w:leader="none"/>
              </w:tabs>
              <w:spacing w:before="4"/>
              <w:ind w:left="13"/>
              <w:jc w:val="left"/>
              <w:rPr>
                <w:rFonts w:ascii="Times New Roman"/>
                <w:sz w:val="9"/>
              </w:rPr>
            </w:pPr>
            <w:r>
              <w:rPr>
                <w:rFonts w:ascii="Times New Roman"/>
                <w:w w:val="95"/>
                <w:sz w:val="9"/>
              </w:rPr>
              <w:t>-</w:t>
            </w:r>
            <w:r>
              <w:rPr>
                <w:rFonts w:ascii="Times New Roman"/>
                <w:spacing w:val="-11"/>
                <w:w w:val="95"/>
                <w:sz w:val="9"/>
              </w:rPr>
              <w:t> </w:t>
            </w:r>
            <w:r>
              <w:rPr>
                <w:rFonts w:ascii="Times New Roman"/>
                <w:w w:val="95"/>
                <w:sz w:val="9"/>
              </w:rPr>
              <w:t>Fondi</w:t>
            </w:r>
            <w:r>
              <w:rPr>
                <w:rFonts w:ascii="Times New Roman"/>
                <w:spacing w:val="-13"/>
                <w:w w:val="95"/>
                <w:sz w:val="9"/>
              </w:rPr>
              <w:t> </w:t>
            </w:r>
            <w:r>
              <w:rPr>
                <w:rFonts w:ascii="Times New Roman"/>
                <w:w w:val="95"/>
                <w:sz w:val="9"/>
              </w:rPr>
              <w:t>rischi</w:t>
            </w:r>
            <w:r>
              <w:rPr>
                <w:rFonts w:ascii="Times New Roman"/>
                <w:spacing w:val="-13"/>
                <w:w w:val="95"/>
                <w:sz w:val="9"/>
              </w:rPr>
              <w:t> </w:t>
            </w:r>
            <w:r>
              <w:rPr>
                <w:rFonts w:ascii="Times New Roman"/>
                <w:w w:val="95"/>
                <w:sz w:val="9"/>
              </w:rPr>
              <w:t>chirografari</w:t>
              <w:tab/>
            </w:r>
            <w:r>
              <w:rPr>
                <w:rFonts w:ascii="Times New Roman"/>
                <w:sz w:val="9"/>
              </w:rPr>
              <w:t>-</w:t>
            </w:r>
          </w:p>
        </w:tc>
        <w:tc>
          <w:tcPr>
            <w:tcW w:w="529" w:type="dxa"/>
            <w:tcBorders>
              <w:bottom w:val="single" w:sz="2" w:space="0" w:color="000000"/>
            </w:tcBorders>
          </w:tcPr>
          <w:p>
            <w:pPr>
              <w:pStyle w:val="TableParagraph"/>
              <w:spacing w:before="4"/>
              <w:ind w:right="2"/>
              <w:jc w:val="center"/>
              <w:rPr>
                <w:rFonts w:ascii="Times New Roman"/>
                <w:sz w:val="9"/>
              </w:rPr>
            </w:pPr>
            <w:r>
              <w:rPr>
                <w:rFonts w:ascii="Times New Roman"/>
                <w:w w:val="90"/>
                <w:sz w:val="9"/>
              </w:rPr>
              <w:t>-</w:t>
            </w:r>
          </w:p>
        </w:tc>
        <w:tc>
          <w:tcPr>
            <w:tcW w:w="529" w:type="dxa"/>
            <w:tcBorders>
              <w:bottom w:val="single" w:sz="2" w:space="0" w:color="000000"/>
            </w:tcBorders>
          </w:tcPr>
          <w:p>
            <w:pPr>
              <w:pStyle w:val="TableParagraph"/>
              <w:spacing w:before="4"/>
              <w:ind w:right="2"/>
              <w:jc w:val="center"/>
              <w:rPr>
                <w:rFonts w:ascii="Times New Roman"/>
                <w:sz w:val="9"/>
              </w:rPr>
            </w:pPr>
            <w:r>
              <w:rPr>
                <w:rFonts w:ascii="Times New Roman"/>
                <w:w w:val="90"/>
                <w:sz w:val="9"/>
              </w:rPr>
              <w:t>-</w:t>
            </w:r>
          </w:p>
        </w:tc>
        <w:tc>
          <w:tcPr>
            <w:tcW w:w="529" w:type="dxa"/>
            <w:tcBorders>
              <w:bottom w:val="single" w:sz="2" w:space="0" w:color="000000"/>
            </w:tcBorders>
          </w:tcPr>
          <w:p>
            <w:pPr>
              <w:pStyle w:val="TableParagraph"/>
              <w:spacing w:before="4"/>
              <w:ind w:left="22" w:right="22"/>
              <w:jc w:val="center"/>
              <w:rPr>
                <w:rFonts w:ascii="Times New Roman"/>
                <w:sz w:val="9"/>
              </w:rPr>
            </w:pPr>
            <w:r>
              <w:rPr>
                <w:rFonts w:ascii="Times New Roman"/>
                <w:sz w:val="9"/>
              </w:rPr>
              <w:t>(739.604)</w:t>
            </w:r>
          </w:p>
        </w:tc>
        <w:tc>
          <w:tcPr>
            <w:tcW w:w="529" w:type="dxa"/>
            <w:tcBorders>
              <w:bottom w:val="single" w:sz="2" w:space="0" w:color="000000"/>
            </w:tcBorders>
          </w:tcPr>
          <w:p>
            <w:pPr/>
          </w:p>
        </w:tc>
        <w:tc>
          <w:tcPr>
            <w:tcW w:w="529" w:type="dxa"/>
            <w:tcBorders>
              <w:bottom w:val="single" w:sz="2" w:space="0" w:color="000000"/>
            </w:tcBorders>
          </w:tcPr>
          <w:p>
            <w:pPr/>
          </w:p>
        </w:tc>
        <w:tc>
          <w:tcPr>
            <w:tcW w:w="529" w:type="dxa"/>
            <w:tcBorders>
              <w:bottom w:val="single" w:sz="2" w:space="0" w:color="000000"/>
            </w:tcBorders>
          </w:tcPr>
          <w:p>
            <w:pPr>
              <w:pStyle w:val="TableParagraph"/>
              <w:spacing w:before="4"/>
              <w:ind w:left="22" w:right="22"/>
              <w:jc w:val="center"/>
              <w:rPr>
                <w:rFonts w:ascii="Times New Roman"/>
                <w:sz w:val="9"/>
              </w:rPr>
            </w:pPr>
            <w:r>
              <w:rPr>
                <w:rFonts w:ascii="Times New Roman"/>
                <w:sz w:val="9"/>
              </w:rPr>
              <w:t>(369.802)</w:t>
            </w:r>
          </w:p>
        </w:tc>
        <w:tc>
          <w:tcPr>
            <w:tcW w:w="529" w:type="dxa"/>
            <w:tcBorders>
              <w:bottom w:val="single" w:sz="2" w:space="0" w:color="000000"/>
            </w:tcBorders>
          </w:tcPr>
          <w:p>
            <w:pPr/>
          </w:p>
        </w:tc>
        <w:tc>
          <w:tcPr>
            <w:tcW w:w="529" w:type="dxa"/>
            <w:tcBorders>
              <w:bottom w:val="single" w:sz="2" w:space="0" w:color="000000"/>
            </w:tcBorders>
          </w:tcPr>
          <w:p>
            <w:pPr/>
          </w:p>
        </w:tc>
        <w:tc>
          <w:tcPr>
            <w:tcW w:w="530" w:type="dxa"/>
            <w:tcBorders>
              <w:bottom w:val="single" w:sz="2" w:space="0" w:color="000000"/>
            </w:tcBorders>
          </w:tcPr>
          <w:p>
            <w:pPr>
              <w:pStyle w:val="TableParagraph"/>
              <w:spacing w:before="4"/>
              <w:ind w:left="34" w:right="34"/>
              <w:jc w:val="center"/>
              <w:rPr>
                <w:rFonts w:ascii="Times New Roman"/>
                <w:sz w:val="9"/>
              </w:rPr>
            </w:pPr>
            <w:r>
              <w:rPr>
                <w:rFonts w:ascii="Times New Roman"/>
                <w:sz w:val="9"/>
              </w:rPr>
              <w:t>(369.802)</w:t>
            </w:r>
          </w:p>
        </w:tc>
        <w:tc>
          <w:tcPr>
            <w:tcW w:w="529" w:type="dxa"/>
            <w:tcBorders>
              <w:bottom w:val="single" w:sz="2" w:space="0" w:color="000000"/>
            </w:tcBorders>
          </w:tcPr>
          <w:p>
            <w:pPr/>
          </w:p>
        </w:tc>
        <w:tc>
          <w:tcPr>
            <w:tcW w:w="624" w:type="dxa"/>
            <w:tcBorders>
              <w:bottom w:val="single" w:sz="2" w:space="0" w:color="000000"/>
            </w:tcBorders>
          </w:tcPr>
          <w:p>
            <w:pPr/>
          </w:p>
        </w:tc>
        <w:tc>
          <w:tcPr>
            <w:tcW w:w="625" w:type="dxa"/>
            <w:tcBorders>
              <w:bottom w:val="single" w:sz="2" w:space="0" w:color="000000"/>
            </w:tcBorders>
          </w:tcPr>
          <w:p>
            <w:pPr/>
          </w:p>
        </w:tc>
        <w:tc>
          <w:tcPr>
            <w:tcW w:w="629" w:type="dxa"/>
            <w:tcBorders>
              <w:bottom w:val="single" w:sz="2" w:space="0" w:color="000000"/>
            </w:tcBorders>
          </w:tcPr>
          <w:p>
            <w:pPr>
              <w:pStyle w:val="TableParagraph"/>
              <w:spacing w:before="4"/>
              <w:ind w:right="111"/>
              <w:rPr>
                <w:rFonts w:ascii="Times New Roman"/>
                <w:b/>
                <w:sz w:val="9"/>
              </w:rPr>
            </w:pPr>
            <w:r>
              <w:rPr>
                <w:rFonts w:ascii="Times New Roman"/>
                <w:b/>
                <w:w w:val="90"/>
                <w:sz w:val="9"/>
              </w:rPr>
              <w:t>(1.479.207)</w:t>
            </w:r>
          </w:p>
        </w:tc>
      </w:tr>
      <w:tr>
        <w:trPr>
          <w:trHeight w:val="230" w:hRule="exact"/>
        </w:trPr>
        <w:tc>
          <w:tcPr>
            <w:tcW w:w="3135" w:type="dxa"/>
            <w:tcBorders>
              <w:top w:val="single" w:sz="2" w:space="0" w:color="000000"/>
            </w:tcBorders>
          </w:tcPr>
          <w:p>
            <w:pPr>
              <w:pStyle w:val="TableParagraph"/>
              <w:tabs>
                <w:tab w:pos="2709" w:val="left" w:leader="none"/>
              </w:tabs>
              <w:spacing w:before="7"/>
              <w:ind w:left="13"/>
              <w:jc w:val="left"/>
              <w:rPr>
                <w:rFonts w:ascii="Times New Roman"/>
                <w:b/>
                <w:sz w:val="9"/>
              </w:rPr>
            </w:pPr>
            <w:r>
              <w:rPr>
                <w:rFonts w:ascii="Times New Roman"/>
                <w:b/>
                <w:sz w:val="9"/>
              </w:rPr>
              <w:t>Totale</w:t>
            </w:r>
            <w:r>
              <w:rPr>
                <w:rFonts w:ascii="Times New Roman"/>
                <w:b/>
                <w:spacing w:val="-15"/>
                <w:sz w:val="9"/>
              </w:rPr>
              <w:t> </w:t>
            </w:r>
            <w:r>
              <w:rPr>
                <w:rFonts w:ascii="Times New Roman"/>
                <w:b/>
                <w:sz w:val="9"/>
              </w:rPr>
              <w:t>Uscite</w:t>
              <w:tab/>
              <w:t>(802.004)</w:t>
            </w:r>
          </w:p>
        </w:tc>
        <w:tc>
          <w:tcPr>
            <w:tcW w:w="529" w:type="dxa"/>
            <w:tcBorders>
              <w:top w:val="single" w:sz="2" w:space="0" w:color="000000"/>
            </w:tcBorders>
          </w:tcPr>
          <w:p>
            <w:pPr>
              <w:pStyle w:val="TableParagraph"/>
              <w:spacing w:before="7"/>
              <w:ind w:right="70"/>
              <w:rPr>
                <w:rFonts w:ascii="Times New Roman"/>
                <w:b/>
                <w:sz w:val="9"/>
              </w:rPr>
            </w:pPr>
            <w:r>
              <w:rPr>
                <w:rFonts w:ascii="Times New Roman"/>
                <w:b/>
                <w:w w:val="90"/>
                <w:sz w:val="9"/>
              </w:rPr>
              <w:t>(5.354.901)</w:t>
            </w:r>
          </w:p>
        </w:tc>
        <w:tc>
          <w:tcPr>
            <w:tcW w:w="529" w:type="dxa"/>
            <w:tcBorders>
              <w:top w:val="single" w:sz="2" w:space="0" w:color="000000"/>
            </w:tcBorders>
          </w:tcPr>
          <w:p>
            <w:pPr>
              <w:pStyle w:val="TableParagraph"/>
              <w:spacing w:before="7"/>
              <w:ind w:left="31" w:right="31"/>
              <w:jc w:val="center"/>
              <w:rPr>
                <w:rFonts w:ascii="Times New Roman"/>
                <w:b/>
                <w:sz w:val="9"/>
              </w:rPr>
            </w:pPr>
            <w:r>
              <w:rPr>
                <w:rFonts w:ascii="Times New Roman"/>
                <w:b/>
                <w:sz w:val="9"/>
              </w:rPr>
              <w:t>(265.575)</w:t>
            </w:r>
          </w:p>
        </w:tc>
        <w:tc>
          <w:tcPr>
            <w:tcW w:w="529" w:type="dxa"/>
            <w:tcBorders>
              <w:top w:val="single" w:sz="2" w:space="0" w:color="000000"/>
            </w:tcBorders>
          </w:tcPr>
          <w:p>
            <w:pPr>
              <w:pStyle w:val="TableParagraph"/>
              <w:spacing w:before="7"/>
              <w:ind w:left="22" w:right="24"/>
              <w:jc w:val="center"/>
              <w:rPr>
                <w:rFonts w:ascii="Times New Roman"/>
                <w:b/>
                <w:sz w:val="9"/>
              </w:rPr>
            </w:pPr>
            <w:r>
              <w:rPr>
                <w:rFonts w:ascii="Times New Roman"/>
                <w:b/>
                <w:w w:val="95"/>
                <w:sz w:val="9"/>
              </w:rPr>
              <w:t>(21.555.529)</w:t>
            </w:r>
          </w:p>
        </w:tc>
        <w:tc>
          <w:tcPr>
            <w:tcW w:w="529"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529" w:type="dxa"/>
            <w:tcBorders>
              <w:top w:val="single" w:sz="2" w:space="0" w:color="000000"/>
            </w:tcBorders>
          </w:tcPr>
          <w:p>
            <w:pPr>
              <w:pStyle w:val="TableParagraph"/>
              <w:spacing w:before="7"/>
              <w:ind w:left="104"/>
              <w:jc w:val="left"/>
              <w:rPr>
                <w:rFonts w:ascii="Times New Roman"/>
                <w:b/>
                <w:sz w:val="9"/>
              </w:rPr>
            </w:pPr>
            <w:r>
              <w:rPr>
                <w:rFonts w:ascii="Times New Roman"/>
                <w:b/>
                <w:sz w:val="9"/>
              </w:rPr>
              <w:t>(435.770)</w:t>
            </w:r>
          </w:p>
        </w:tc>
        <w:tc>
          <w:tcPr>
            <w:tcW w:w="529" w:type="dxa"/>
            <w:tcBorders>
              <w:top w:val="single" w:sz="2" w:space="0" w:color="000000"/>
            </w:tcBorders>
          </w:tcPr>
          <w:p>
            <w:pPr>
              <w:pStyle w:val="TableParagraph"/>
              <w:spacing w:before="7"/>
              <w:ind w:left="22" w:right="22"/>
              <w:jc w:val="center"/>
              <w:rPr>
                <w:rFonts w:ascii="Times New Roman"/>
                <w:b/>
                <w:sz w:val="9"/>
              </w:rPr>
            </w:pPr>
            <w:r>
              <w:rPr>
                <w:rFonts w:ascii="Times New Roman"/>
                <w:b/>
                <w:sz w:val="9"/>
              </w:rPr>
              <w:t>(7.745.468)</w:t>
            </w:r>
          </w:p>
        </w:tc>
        <w:tc>
          <w:tcPr>
            <w:tcW w:w="529" w:type="dxa"/>
            <w:tcBorders>
              <w:top w:val="single" w:sz="2" w:space="0" w:color="000000"/>
            </w:tcBorders>
          </w:tcPr>
          <w:p>
            <w:pPr>
              <w:pStyle w:val="TableParagraph"/>
              <w:spacing w:before="7"/>
              <w:ind w:right="2"/>
              <w:jc w:val="center"/>
              <w:rPr>
                <w:rFonts w:ascii="Times New Roman"/>
                <w:b/>
                <w:sz w:val="9"/>
              </w:rPr>
            </w:pPr>
            <w:r>
              <w:rPr>
                <w:rFonts w:ascii="Times New Roman"/>
                <w:b/>
                <w:w w:val="90"/>
                <w:sz w:val="9"/>
              </w:rPr>
              <w:t>-</w:t>
            </w:r>
          </w:p>
        </w:tc>
        <w:tc>
          <w:tcPr>
            <w:tcW w:w="529" w:type="dxa"/>
            <w:tcBorders>
              <w:top w:val="single" w:sz="2" w:space="0" w:color="000000"/>
            </w:tcBorders>
          </w:tcPr>
          <w:p>
            <w:pPr>
              <w:pStyle w:val="TableParagraph"/>
              <w:spacing w:before="7"/>
              <w:ind w:left="31" w:right="31"/>
              <w:jc w:val="center"/>
              <w:rPr>
                <w:rFonts w:ascii="Times New Roman"/>
                <w:b/>
                <w:sz w:val="9"/>
              </w:rPr>
            </w:pPr>
            <w:r>
              <w:rPr>
                <w:rFonts w:ascii="Times New Roman"/>
                <w:b/>
                <w:sz w:val="9"/>
              </w:rPr>
              <w:t>(371.614)</w:t>
            </w:r>
          </w:p>
        </w:tc>
        <w:tc>
          <w:tcPr>
            <w:tcW w:w="530" w:type="dxa"/>
            <w:tcBorders>
              <w:top w:val="single" w:sz="2" w:space="0" w:color="000000"/>
            </w:tcBorders>
          </w:tcPr>
          <w:p>
            <w:pPr>
              <w:pStyle w:val="TableParagraph"/>
              <w:spacing w:before="7"/>
              <w:ind w:left="34" w:right="34"/>
              <w:jc w:val="center"/>
              <w:rPr>
                <w:rFonts w:ascii="Times New Roman"/>
                <w:b/>
                <w:sz w:val="9"/>
              </w:rPr>
            </w:pPr>
            <w:r>
              <w:rPr>
                <w:rFonts w:ascii="Times New Roman"/>
                <w:b/>
                <w:sz w:val="9"/>
              </w:rPr>
              <w:t>(7.758.156)</w:t>
            </w:r>
          </w:p>
        </w:tc>
        <w:tc>
          <w:tcPr>
            <w:tcW w:w="529" w:type="dxa"/>
            <w:tcBorders>
              <w:top w:val="single" w:sz="2" w:space="0" w:color="000000"/>
            </w:tcBorders>
          </w:tcPr>
          <w:p>
            <w:pPr>
              <w:pStyle w:val="TableParagraph"/>
              <w:spacing w:before="7"/>
              <w:ind w:left="31" w:right="31"/>
              <w:jc w:val="center"/>
              <w:rPr>
                <w:rFonts w:ascii="Times New Roman"/>
                <w:b/>
                <w:sz w:val="9"/>
              </w:rPr>
            </w:pPr>
            <w:r>
              <w:rPr>
                <w:rFonts w:ascii="Times New Roman"/>
                <w:b/>
                <w:sz w:val="9"/>
              </w:rPr>
              <w:t>(255.229)</w:t>
            </w:r>
          </w:p>
        </w:tc>
        <w:tc>
          <w:tcPr>
            <w:tcW w:w="624" w:type="dxa"/>
            <w:tcBorders>
              <w:top w:val="single" w:sz="2" w:space="0" w:color="000000"/>
            </w:tcBorders>
          </w:tcPr>
          <w:p>
            <w:pPr>
              <w:pStyle w:val="TableParagraph"/>
              <w:spacing w:before="7"/>
              <w:ind w:left="110" w:right="112"/>
              <w:jc w:val="center"/>
              <w:rPr>
                <w:rFonts w:ascii="Times New Roman"/>
                <w:b/>
                <w:sz w:val="9"/>
              </w:rPr>
            </w:pPr>
            <w:r>
              <w:rPr>
                <w:rFonts w:ascii="Times New Roman"/>
                <w:b/>
                <w:sz w:val="9"/>
              </w:rPr>
              <w:t>(255.229)</w:t>
            </w:r>
          </w:p>
        </w:tc>
        <w:tc>
          <w:tcPr>
            <w:tcW w:w="625" w:type="dxa"/>
            <w:tcBorders>
              <w:top w:val="single" w:sz="2" w:space="0" w:color="000000"/>
            </w:tcBorders>
          </w:tcPr>
          <w:p>
            <w:pPr>
              <w:pStyle w:val="TableParagraph"/>
              <w:spacing w:before="7"/>
              <w:ind w:left="115" w:right="117"/>
              <w:jc w:val="center"/>
              <w:rPr>
                <w:rFonts w:ascii="Times New Roman"/>
                <w:b/>
                <w:sz w:val="9"/>
              </w:rPr>
            </w:pPr>
            <w:r>
              <w:rPr>
                <w:rFonts w:ascii="Times New Roman"/>
                <w:b/>
                <w:sz w:val="9"/>
              </w:rPr>
              <w:t>(784.294)</w:t>
            </w:r>
          </w:p>
        </w:tc>
        <w:tc>
          <w:tcPr>
            <w:tcW w:w="629" w:type="dxa"/>
            <w:tcBorders>
              <w:top w:val="single" w:sz="2" w:space="0" w:color="000000"/>
            </w:tcBorders>
          </w:tcPr>
          <w:p>
            <w:pPr>
              <w:pStyle w:val="TableParagraph"/>
              <w:spacing w:before="7"/>
              <w:ind w:right="88"/>
              <w:rPr>
                <w:rFonts w:ascii="Times New Roman"/>
                <w:b/>
                <w:sz w:val="9"/>
              </w:rPr>
            </w:pPr>
            <w:r>
              <w:rPr>
                <w:rFonts w:ascii="Times New Roman"/>
                <w:b/>
                <w:w w:val="90"/>
                <w:sz w:val="9"/>
              </w:rPr>
              <w:t>(45.583.769)</w:t>
            </w:r>
          </w:p>
        </w:tc>
      </w:tr>
      <w:tr>
        <w:trPr>
          <w:trHeight w:val="121" w:hRule="exact"/>
        </w:trPr>
        <w:tc>
          <w:tcPr>
            <w:tcW w:w="3135" w:type="dxa"/>
            <w:shd w:val="clear" w:color="auto" w:fill="878A8D"/>
          </w:tcPr>
          <w:p>
            <w:pPr>
              <w:pStyle w:val="TableParagraph"/>
              <w:tabs>
                <w:tab w:pos="3044" w:val="right" w:leader="none"/>
              </w:tabs>
              <w:spacing w:before="12"/>
              <w:ind w:left="13"/>
              <w:jc w:val="left"/>
              <w:rPr>
                <w:rFonts w:ascii="Times New Roman"/>
                <w:b/>
                <w:sz w:val="9"/>
              </w:rPr>
            </w:pPr>
            <w:r>
              <w:rPr>
                <w:rFonts w:ascii="Times New Roman"/>
                <w:b/>
                <w:color w:val="FFFFFF"/>
                <w:sz w:val="9"/>
              </w:rPr>
              <w:t>Saldo</w:t>
            </w:r>
            <w:r>
              <w:rPr>
                <w:rFonts w:ascii="Times New Roman"/>
                <w:b/>
                <w:color w:val="FFFFFF"/>
                <w:spacing w:val="3"/>
                <w:sz w:val="9"/>
              </w:rPr>
              <w:t> </w:t>
            </w:r>
            <w:r>
              <w:rPr>
                <w:rFonts w:ascii="Times New Roman"/>
                <w:b/>
                <w:color w:val="FFFFFF"/>
                <w:sz w:val="9"/>
              </w:rPr>
              <w:t>Finale</w:t>
            </w:r>
            <w:r>
              <w:rPr>
                <w:rFonts w:ascii="Times New Roman"/>
                <w:b/>
                <w:color w:val="00FF00"/>
                <w:sz w:val="9"/>
              </w:rPr>
              <w:tab/>
              <w:t>1.007.629</w:t>
            </w:r>
          </w:p>
        </w:tc>
        <w:tc>
          <w:tcPr>
            <w:tcW w:w="529" w:type="dxa"/>
            <w:shd w:val="clear" w:color="auto" w:fill="878A8D"/>
          </w:tcPr>
          <w:p>
            <w:pPr>
              <w:pStyle w:val="TableParagraph"/>
              <w:spacing w:before="12"/>
              <w:ind w:right="66"/>
              <w:rPr>
                <w:rFonts w:ascii="Times New Roman"/>
                <w:b/>
                <w:sz w:val="9"/>
              </w:rPr>
            </w:pPr>
            <w:r>
              <w:rPr>
                <w:rFonts w:ascii="Times New Roman"/>
                <w:b/>
                <w:color w:val="00FF00"/>
                <w:w w:val="90"/>
                <w:sz w:val="9"/>
              </w:rPr>
              <w:t>24.420.764</w:t>
            </w:r>
          </w:p>
        </w:tc>
        <w:tc>
          <w:tcPr>
            <w:tcW w:w="529" w:type="dxa"/>
            <w:shd w:val="clear" w:color="auto" w:fill="878A8D"/>
          </w:tcPr>
          <w:p>
            <w:pPr>
              <w:pStyle w:val="TableParagraph"/>
              <w:spacing w:before="12"/>
              <w:ind w:left="31" w:right="31"/>
              <w:jc w:val="center"/>
              <w:rPr>
                <w:rFonts w:ascii="Times New Roman"/>
                <w:b/>
                <w:sz w:val="9"/>
              </w:rPr>
            </w:pPr>
            <w:r>
              <w:rPr>
                <w:rFonts w:ascii="Times New Roman"/>
                <w:b/>
                <w:color w:val="FF0000"/>
                <w:sz w:val="9"/>
              </w:rPr>
              <w:t>(1.522)</w:t>
            </w:r>
          </w:p>
        </w:tc>
        <w:tc>
          <w:tcPr>
            <w:tcW w:w="529" w:type="dxa"/>
            <w:shd w:val="clear" w:color="auto" w:fill="878A8D"/>
          </w:tcPr>
          <w:p>
            <w:pPr>
              <w:pStyle w:val="TableParagraph"/>
              <w:spacing w:before="12"/>
              <w:ind w:left="22" w:right="24"/>
              <w:jc w:val="center"/>
              <w:rPr>
                <w:rFonts w:ascii="Times New Roman"/>
                <w:b/>
                <w:sz w:val="9"/>
              </w:rPr>
            </w:pPr>
            <w:r>
              <w:rPr>
                <w:rFonts w:ascii="Times New Roman"/>
                <w:b/>
                <w:color w:val="FF0000"/>
                <w:w w:val="95"/>
                <w:sz w:val="9"/>
              </w:rPr>
              <w:t>(11.469.397)</w:t>
            </w:r>
          </w:p>
        </w:tc>
        <w:tc>
          <w:tcPr>
            <w:tcW w:w="529" w:type="dxa"/>
            <w:shd w:val="clear" w:color="auto" w:fill="878A8D"/>
          </w:tcPr>
          <w:p>
            <w:pPr>
              <w:pStyle w:val="TableParagraph"/>
              <w:spacing w:before="12"/>
              <w:ind w:right="2"/>
              <w:jc w:val="center"/>
              <w:rPr>
                <w:rFonts w:ascii="Times New Roman"/>
                <w:b/>
                <w:sz w:val="9"/>
              </w:rPr>
            </w:pPr>
            <w:r>
              <w:rPr>
                <w:rFonts w:ascii="Times New Roman"/>
                <w:b/>
                <w:color w:val="FFFFFF"/>
                <w:w w:val="90"/>
                <w:sz w:val="9"/>
              </w:rPr>
              <w:t>-</w:t>
            </w:r>
          </w:p>
        </w:tc>
        <w:tc>
          <w:tcPr>
            <w:tcW w:w="529" w:type="dxa"/>
            <w:shd w:val="clear" w:color="auto" w:fill="878A8D"/>
          </w:tcPr>
          <w:p>
            <w:pPr>
              <w:pStyle w:val="TableParagraph"/>
              <w:spacing w:before="12"/>
              <w:ind w:left="104"/>
              <w:jc w:val="left"/>
              <w:rPr>
                <w:rFonts w:ascii="Times New Roman"/>
                <w:b/>
                <w:sz w:val="9"/>
              </w:rPr>
            </w:pPr>
            <w:r>
              <w:rPr>
                <w:rFonts w:ascii="Times New Roman"/>
                <w:b/>
                <w:color w:val="FF0000"/>
                <w:sz w:val="9"/>
              </w:rPr>
              <w:t>(435.770)</w:t>
            </w:r>
          </w:p>
        </w:tc>
        <w:tc>
          <w:tcPr>
            <w:tcW w:w="529" w:type="dxa"/>
            <w:shd w:val="clear" w:color="auto" w:fill="878A8D"/>
          </w:tcPr>
          <w:p>
            <w:pPr>
              <w:pStyle w:val="TableParagraph"/>
              <w:spacing w:before="12"/>
              <w:ind w:left="22" w:right="22"/>
              <w:jc w:val="center"/>
              <w:rPr>
                <w:rFonts w:ascii="Times New Roman"/>
                <w:b/>
                <w:sz w:val="9"/>
              </w:rPr>
            </w:pPr>
            <w:r>
              <w:rPr>
                <w:rFonts w:ascii="Times New Roman"/>
                <w:b/>
                <w:color w:val="FF0000"/>
                <w:sz w:val="9"/>
              </w:rPr>
              <w:t>(7.745.468)</w:t>
            </w:r>
          </w:p>
        </w:tc>
        <w:tc>
          <w:tcPr>
            <w:tcW w:w="529" w:type="dxa"/>
            <w:shd w:val="clear" w:color="auto" w:fill="878A8D"/>
          </w:tcPr>
          <w:p>
            <w:pPr>
              <w:pStyle w:val="TableParagraph"/>
              <w:spacing w:before="12"/>
              <w:ind w:right="2"/>
              <w:jc w:val="center"/>
              <w:rPr>
                <w:rFonts w:ascii="Times New Roman"/>
                <w:b/>
                <w:sz w:val="9"/>
              </w:rPr>
            </w:pPr>
            <w:r>
              <w:rPr>
                <w:rFonts w:ascii="Times New Roman"/>
                <w:b/>
                <w:color w:val="FFFFFF"/>
                <w:w w:val="90"/>
                <w:sz w:val="9"/>
              </w:rPr>
              <w:t>-</w:t>
            </w:r>
          </w:p>
        </w:tc>
        <w:tc>
          <w:tcPr>
            <w:tcW w:w="529" w:type="dxa"/>
            <w:shd w:val="clear" w:color="auto" w:fill="878A8D"/>
          </w:tcPr>
          <w:p>
            <w:pPr>
              <w:pStyle w:val="TableParagraph"/>
              <w:spacing w:before="12"/>
              <w:ind w:left="48" w:right="31"/>
              <w:jc w:val="center"/>
              <w:rPr>
                <w:rFonts w:ascii="Times New Roman"/>
                <w:b/>
                <w:sz w:val="9"/>
              </w:rPr>
            </w:pPr>
            <w:r>
              <w:rPr>
                <w:rFonts w:ascii="Times New Roman"/>
                <w:b/>
                <w:color w:val="00FF00"/>
                <w:sz w:val="9"/>
              </w:rPr>
              <w:t>2.508.222</w:t>
            </w:r>
          </w:p>
        </w:tc>
        <w:tc>
          <w:tcPr>
            <w:tcW w:w="530" w:type="dxa"/>
            <w:shd w:val="clear" w:color="auto" w:fill="878A8D"/>
          </w:tcPr>
          <w:p>
            <w:pPr>
              <w:pStyle w:val="TableParagraph"/>
              <w:spacing w:before="12"/>
              <w:ind w:left="34" w:right="34"/>
              <w:jc w:val="center"/>
              <w:rPr>
                <w:rFonts w:ascii="Times New Roman"/>
                <w:b/>
                <w:sz w:val="9"/>
              </w:rPr>
            </w:pPr>
            <w:r>
              <w:rPr>
                <w:rFonts w:ascii="Times New Roman"/>
                <w:b/>
                <w:color w:val="FF0000"/>
                <w:sz w:val="9"/>
              </w:rPr>
              <w:t>(7.758.156)</w:t>
            </w:r>
          </w:p>
        </w:tc>
        <w:tc>
          <w:tcPr>
            <w:tcW w:w="529" w:type="dxa"/>
            <w:shd w:val="clear" w:color="auto" w:fill="878A8D"/>
          </w:tcPr>
          <w:p>
            <w:pPr>
              <w:pStyle w:val="TableParagraph"/>
              <w:spacing w:before="12"/>
              <w:ind w:left="31" w:right="31"/>
              <w:jc w:val="center"/>
              <w:rPr>
                <w:rFonts w:ascii="Times New Roman"/>
                <w:b/>
                <w:sz w:val="9"/>
              </w:rPr>
            </w:pPr>
            <w:r>
              <w:rPr>
                <w:rFonts w:ascii="Times New Roman"/>
                <w:b/>
                <w:color w:val="FF0000"/>
                <w:sz w:val="9"/>
              </w:rPr>
              <w:t>(255.229)</w:t>
            </w:r>
          </w:p>
        </w:tc>
        <w:tc>
          <w:tcPr>
            <w:tcW w:w="624" w:type="dxa"/>
            <w:shd w:val="clear" w:color="auto" w:fill="878A8D"/>
          </w:tcPr>
          <w:p>
            <w:pPr>
              <w:pStyle w:val="TableParagraph"/>
              <w:spacing w:before="12"/>
              <w:ind w:left="110" w:right="112"/>
              <w:jc w:val="center"/>
              <w:rPr>
                <w:rFonts w:ascii="Times New Roman"/>
                <w:b/>
                <w:sz w:val="9"/>
              </w:rPr>
            </w:pPr>
            <w:r>
              <w:rPr>
                <w:rFonts w:ascii="Times New Roman"/>
                <w:b/>
                <w:color w:val="FF0000"/>
                <w:sz w:val="9"/>
              </w:rPr>
              <w:t>(255.229)</w:t>
            </w:r>
          </w:p>
        </w:tc>
        <w:tc>
          <w:tcPr>
            <w:tcW w:w="625" w:type="dxa"/>
            <w:shd w:val="clear" w:color="auto" w:fill="878A8D"/>
          </w:tcPr>
          <w:p>
            <w:pPr>
              <w:pStyle w:val="TableParagraph"/>
              <w:spacing w:before="12"/>
              <w:ind w:left="115" w:right="115"/>
              <w:jc w:val="center"/>
              <w:rPr>
                <w:rFonts w:ascii="Times New Roman"/>
                <w:b/>
                <w:sz w:val="9"/>
              </w:rPr>
            </w:pPr>
            <w:r>
              <w:rPr>
                <w:rFonts w:ascii="Times New Roman"/>
                <w:b/>
                <w:color w:val="FF0000"/>
                <w:sz w:val="9"/>
              </w:rPr>
              <w:t>(15.844)</w:t>
            </w:r>
          </w:p>
        </w:tc>
        <w:tc>
          <w:tcPr>
            <w:tcW w:w="629" w:type="dxa"/>
            <w:shd w:val="clear" w:color="auto" w:fill="878A8D"/>
          </w:tcPr>
          <w:p>
            <w:pPr>
              <w:pStyle w:val="TableParagraph"/>
              <w:spacing w:before="12"/>
              <w:ind w:left="250" w:right="232"/>
              <w:jc w:val="center"/>
              <w:rPr>
                <w:rFonts w:ascii="Times New Roman"/>
                <w:b/>
                <w:sz w:val="9"/>
              </w:rPr>
            </w:pPr>
            <w:r>
              <w:rPr>
                <w:rFonts w:ascii="Times New Roman"/>
                <w:b/>
                <w:color w:val="FFFFFF"/>
                <w:sz w:val="9"/>
              </w:rPr>
              <w:t>(0)</w:t>
            </w:r>
          </w:p>
        </w:tc>
      </w:tr>
      <w:tr>
        <w:trPr>
          <w:trHeight w:val="111" w:hRule="exact"/>
        </w:trPr>
        <w:tc>
          <w:tcPr>
            <w:tcW w:w="3135"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29" w:type="dxa"/>
          </w:tcPr>
          <w:p>
            <w:pPr/>
          </w:p>
        </w:tc>
        <w:tc>
          <w:tcPr>
            <w:tcW w:w="530" w:type="dxa"/>
          </w:tcPr>
          <w:p>
            <w:pPr/>
          </w:p>
        </w:tc>
        <w:tc>
          <w:tcPr>
            <w:tcW w:w="529" w:type="dxa"/>
          </w:tcPr>
          <w:p>
            <w:pPr/>
          </w:p>
        </w:tc>
        <w:tc>
          <w:tcPr>
            <w:tcW w:w="624" w:type="dxa"/>
          </w:tcPr>
          <w:p>
            <w:pPr/>
          </w:p>
        </w:tc>
        <w:tc>
          <w:tcPr>
            <w:tcW w:w="625" w:type="dxa"/>
          </w:tcPr>
          <w:p>
            <w:pPr/>
          </w:p>
        </w:tc>
        <w:tc>
          <w:tcPr>
            <w:tcW w:w="629" w:type="dxa"/>
          </w:tcPr>
          <w:p>
            <w:pPr/>
          </w:p>
        </w:tc>
      </w:tr>
      <w:tr>
        <w:trPr>
          <w:trHeight w:val="121" w:hRule="exact"/>
        </w:trPr>
        <w:tc>
          <w:tcPr>
            <w:tcW w:w="3135" w:type="dxa"/>
            <w:shd w:val="clear" w:color="auto" w:fill="878A8D"/>
          </w:tcPr>
          <w:p>
            <w:pPr>
              <w:pStyle w:val="TableParagraph"/>
              <w:tabs>
                <w:tab w:pos="3044" w:val="right" w:leader="none"/>
              </w:tabs>
              <w:spacing w:before="12"/>
              <w:ind w:left="13"/>
              <w:jc w:val="left"/>
              <w:rPr>
                <w:rFonts w:ascii="Times New Roman"/>
                <w:b/>
                <w:sz w:val="9"/>
              </w:rPr>
            </w:pPr>
            <w:r>
              <w:rPr>
                <w:rFonts w:ascii="Times New Roman"/>
                <w:b/>
                <w:color w:val="FFFFFF"/>
                <w:sz w:val="9"/>
              </w:rPr>
              <w:t>Saldo</w:t>
            </w:r>
            <w:r>
              <w:rPr>
                <w:rFonts w:ascii="Times New Roman"/>
                <w:b/>
                <w:color w:val="FFFFFF"/>
                <w:spacing w:val="2"/>
                <w:sz w:val="9"/>
              </w:rPr>
              <w:t> </w:t>
            </w:r>
            <w:r>
              <w:rPr>
                <w:rFonts w:ascii="Times New Roman"/>
                <w:b/>
                <w:color w:val="FFFFFF"/>
                <w:sz w:val="9"/>
              </w:rPr>
              <w:t>progressivo</w:t>
            </w:r>
            <w:r>
              <w:rPr>
                <w:rFonts w:ascii="Times New Roman"/>
                <w:b/>
                <w:color w:val="00FF00"/>
                <w:sz w:val="9"/>
              </w:rPr>
              <w:tab/>
              <w:t>1.007.629</w:t>
            </w:r>
          </w:p>
        </w:tc>
        <w:tc>
          <w:tcPr>
            <w:tcW w:w="529" w:type="dxa"/>
            <w:shd w:val="clear" w:color="auto" w:fill="878A8D"/>
          </w:tcPr>
          <w:p>
            <w:pPr>
              <w:pStyle w:val="TableParagraph"/>
              <w:spacing w:before="12"/>
              <w:ind w:right="66"/>
              <w:rPr>
                <w:rFonts w:ascii="Times New Roman"/>
                <w:b/>
                <w:sz w:val="9"/>
              </w:rPr>
            </w:pPr>
            <w:r>
              <w:rPr>
                <w:rFonts w:ascii="Times New Roman"/>
                <w:b/>
                <w:color w:val="00FF00"/>
                <w:w w:val="90"/>
                <w:sz w:val="9"/>
              </w:rPr>
              <w:t>25.428.393</w:t>
            </w:r>
          </w:p>
        </w:tc>
        <w:tc>
          <w:tcPr>
            <w:tcW w:w="529" w:type="dxa"/>
            <w:shd w:val="clear" w:color="auto" w:fill="878A8D"/>
          </w:tcPr>
          <w:p>
            <w:pPr>
              <w:pStyle w:val="TableParagraph"/>
              <w:spacing w:before="12"/>
              <w:ind w:left="53" w:right="31"/>
              <w:jc w:val="center"/>
              <w:rPr>
                <w:rFonts w:ascii="Times New Roman"/>
                <w:b/>
                <w:sz w:val="9"/>
              </w:rPr>
            </w:pPr>
            <w:r>
              <w:rPr>
                <w:rFonts w:ascii="Times New Roman"/>
                <w:b/>
                <w:color w:val="00FF00"/>
                <w:sz w:val="9"/>
              </w:rPr>
              <w:t>25.426.870</w:t>
            </w:r>
          </w:p>
        </w:tc>
        <w:tc>
          <w:tcPr>
            <w:tcW w:w="529" w:type="dxa"/>
            <w:shd w:val="clear" w:color="auto" w:fill="878A8D"/>
          </w:tcPr>
          <w:p>
            <w:pPr>
              <w:pStyle w:val="TableParagraph"/>
              <w:spacing w:before="12"/>
              <w:ind w:left="22"/>
              <w:jc w:val="center"/>
              <w:rPr>
                <w:rFonts w:ascii="Times New Roman"/>
                <w:b/>
                <w:sz w:val="9"/>
              </w:rPr>
            </w:pPr>
            <w:r>
              <w:rPr>
                <w:rFonts w:ascii="Times New Roman"/>
                <w:b/>
                <w:color w:val="00FF00"/>
                <w:sz w:val="9"/>
              </w:rPr>
              <w:t>13.957.474</w:t>
            </w:r>
          </w:p>
        </w:tc>
        <w:tc>
          <w:tcPr>
            <w:tcW w:w="529" w:type="dxa"/>
            <w:shd w:val="clear" w:color="auto" w:fill="878A8D"/>
          </w:tcPr>
          <w:p>
            <w:pPr>
              <w:pStyle w:val="TableParagraph"/>
              <w:spacing w:before="12"/>
              <w:ind w:left="53" w:right="31"/>
              <w:jc w:val="center"/>
              <w:rPr>
                <w:rFonts w:ascii="Times New Roman"/>
                <w:b/>
                <w:sz w:val="9"/>
              </w:rPr>
            </w:pPr>
            <w:r>
              <w:rPr>
                <w:rFonts w:ascii="Times New Roman"/>
                <w:b/>
                <w:color w:val="00FF00"/>
                <w:sz w:val="9"/>
              </w:rPr>
              <w:t>13.957.474</w:t>
            </w:r>
          </w:p>
        </w:tc>
        <w:tc>
          <w:tcPr>
            <w:tcW w:w="529" w:type="dxa"/>
            <w:shd w:val="clear" w:color="auto" w:fill="878A8D"/>
          </w:tcPr>
          <w:p>
            <w:pPr>
              <w:pStyle w:val="TableParagraph"/>
              <w:spacing w:before="12"/>
              <w:ind w:left="90"/>
              <w:jc w:val="left"/>
              <w:rPr>
                <w:rFonts w:ascii="Times New Roman"/>
                <w:b/>
                <w:sz w:val="9"/>
              </w:rPr>
            </w:pPr>
            <w:r>
              <w:rPr>
                <w:rFonts w:ascii="Times New Roman"/>
                <w:b/>
                <w:color w:val="00FF00"/>
                <w:sz w:val="9"/>
              </w:rPr>
              <w:t>13.521.704</w:t>
            </w:r>
          </w:p>
        </w:tc>
        <w:tc>
          <w:tcPr>
            <w:tcW w:w="529" w:type="dxa"/>
            <w:shd w:val="clear" w:color="auto" w:fill="878A8D"/>
          </w:tcPr>
          <w:p>
            <w:pPr>
              <w:pStyle w:val="TableParagraph"/>
              <w:spacing w:before="12"/>
              <w:ind w:left="22" w:right="5"/>
              <w:jc w:val="center"/>
              <w:rPr>
                <w:rFonts w:ascii="Times New Roman"/>
                <w:b/>
                <w:sz w:val="9"/>
              </w:rPr>
            </w:pPr>
            <w:r>
              <w:rPr>
                <w:rFonts w:ascii="Times New Roman"/>
                <w:b/>
                <w:color w:val="00FF00"/>
                <w:sz w:val="9"/>
              </w:rPr>
              <w:t>5.776.236</w:t>
            </w:r>
          </w:p>
        </w:tc>
        <w:tc>
          <w:tcPr>
            <w:tcW w:w="529" w:type="dxa"/>
            <w:shd w:val="clear" w:color="auto" w:fill="878A8D"/>
          </w:tcPr>
          <w:p>
            <w:pPr>
              <w:pStyle w:val="TableParagraph"/>
              <w:spacing w:before="12"/>
              <w:ind w:left="48" w:right="31"/>
              <w:jc w:val="center"/>
              <w:rPr>
                <w:rFonts w:ascii="Times New Roman"/>
                <w:b/>
                <w:sz w:val="9"/>
              </w:rPr>
            </w:pPr>
            <w:r>
              <w:rPr>
                <w:rFonts w:ascii="Times New Roman"/>
                <w:b/>
                <w:color w:val="00FF00"/>
                <w:sz w:val="9"/>
              </w:rPr>
              <w:t>5.776.236</w:t>
            </w:r>
          </w:p>
        </w:tc>
        <w:tc>
          <w:tcPr>
            <w:tcW w:w="529" w:type="dxa"/>
            <w:shd w:val="clear" w:color="auto" w:fill="878A8D"/>
          </w:tcPr>
          <w:p>
            <w:pPr>
              <w:pStyle w:val="TableParagraph"/>
              <w:spacing w:before="12"/>
              <w:ind w:left="48" w:right="31"/>
              <w:jc w:val="center"/>
              <w:rPr>
                <w:rFonts w:ascii="Times New Roman"/>
                <w:b/>
                <w:sz w:val="9"/>
              </w:rPr>
            </w:pPr>
            <w:r>
              <w:rPr>
                <w:rFonts w:ascii="Times New Roman"/>
                <w:b/>
                <w:color w:val="00FF00"/>
                <w:sz w:val="9"/>
              </w:rPr>
              <w:t>8.284.458</w:t>
            </w:r>
          </w:p>
        </w:tc>
        <w:tc>
          <w:tcPr>
            <w:tcW w:w="530" w:type="dxa"/>
            <w:shd w:val="clear" w:color="auto" w:fill="878A8D"/>
          </w:tcPr>
          <w:p>
            <w:pPr>
              <w:pStyle w:val="TableParagraph"/>
              <w:spacing w:before="12"/>
              <w:ind w:left="34" w:right="17"/>
              <w:jc w:val="center"/>
              <w:rPr>
                <w:rFonts w:ascii="Times New Roman"/>
                <w:b/>
                <w:sz w:val="9"/>
              </w:rPr>
            </w:pPr>
            <w:r>
              <w:rPr>
                <w:rFonts w:ascii="Times New Roman"/>
                <w:b/>
                <w:color w:val="00FF00"/>
                <w:sz w:val="9"/>
              </w:rPr>
              <w:t>526.302</w:t>
            </w:r>
          </w:p>
        </w:tc>
        <w:tc>
          <w:tcPr>
            <w:tcW w:w="529" w:type="dxa"/>
            <w:shd w:val="clear" w:color="auto" w:fill="878A8D"/>
          </w:tcPr>
          <w:p>
            <w:pPr>
              <w:pStyle w:val="TableParagraph"/>
              <w:spacing w:before="12"/>
              <w:ind w:left="48" w:right="31"/>
              <w:jc w:val="center"/>
              <w:rPr>
                <w:rFonts w:ascii="Times New Roman"/>
                <w:b/>
                <w:sz w:val="9"/>
              </w:rPr>
            </w:pPr>
            <w:r>
              <w:rPr>
                <w:rFonts w:ascii="Times New Roman"/>
                <w:b/>
                <w:color w:val="00FF00"/>
                <w:sz w:val="9"/>
              </w:rPr>
              <w:t>271.073</w:t>
            </w:r>
          </w:p>
        </w:tc>
        <w:tc>
          <w:tcPr>
            <w:tcW w:w="624" w:type="dxa"/>
            <w:shd w:val="clear" w:color="auto" w:fill="878A8D"/>
          </w:tcPr>
          <w:p>
            <w:pPr>
              <w:pStyle w:val="TableParagraph"/>
              <w:spacing w:before="12"/>
              <w:ind w:left="110" w:right="93"/>
              <w:jc w:val="center"/>
              <w:rPr>
                <w:rFonts w:ascii="Times New Roman"/>
                <w:b/>
                <w:sz w:val="9"/>
              </w:rPr>
            </w:pPr>
            <w:r>
              <w:rPr>
                <w:rFonts w:ascii="Times New Roman"/>
                <w:b/>
                <w:color w:val="00FF00"/>
                <w:sz w:val="9"/>
              </w:rPr>
              <w:t>15.844</w:t>
            </w:r>
          </w:p>
        </w:tc>
        <w:tc>
          <w:tcPr>
            <w:tcW w:w="625" w:type="dxa"/>
            <w:shd w:val="clear" w:color="auto" w:fill="878A8D"/>
          </w:tcPr>
          <w:p>
            <w:pPr>
              <w:pStyle w:val="TableParagraph"/>
              <w:spacing w:before="12"/>
              <w:ind w:left="115" w:right="117"/>
              <w:jc w:val="center"/>
              <w:rPr>
                <w:rFonts w:ascii="Times New Roman"/>
                <w:b/>
                <w:sz w:val="9"/>
              </w:rPr>
            </w:pPr>
            <w:r>
              <w:rPr>
                <w:rFonts w:ascii="Times New Roman"/>
                <w:b/>
                <w:color w:val="FF0000"/>
                <w:sz w:val="9"/>
              </w:rPr>
              <w:t>(0)</w:t>
            </w:r>
          </w:p>
        </w:tc>
        <w:tc>
          <w:tcPr>
            <w:tcW w:w="629" w:type="dxa"/>
          </w:tcPr>
          <w:p>
            <w:pPr/>
          </w:p>
        </w:tc>
      </w:tr>
    </w:tbl>
    <w:p>
      <w:pPr>
        <w:pStyle w:val="BodyText"/>
        <w:spacing w:before="4"/>
        <w:rPr>
          <w:sz w:val="15"/>
        </w:rPr>
      </w:pPr>
    </w:p>
    <w:p>
      <w:pPr>
        <w:pStyle w:val="BodyText"/>
        <w:spacing w:line="480" w:lineRule="auto" w:before="100"/>
        <w:ind w:left="1418" w:right="1411"/>
        <w:jc w:val="both"/>
      </w:pPr>
      <w:r>
        <w:rPr/>
        <w:pict>
          <v:group style="position:absolute;margin-left:360.148987pt;margin-top:-72.596619pt;width:1.9pt;height:1.85pt;mso-position-horizontal-relative:page;mso-position-vertical-relative:paragraph;z-index:-843400" coordorigin="7203,-1452" coordsize="38,37">
            <v:line style="position:absolute" from="7208,-1449" to="7235,-1449" stroked="true" strokeweight=".252398pt" strokecolor="#008000">
              <v:stroke dashstyle="solid"/>
            </v:line>
            <v:line style="position:absolute" from="7206,-1449" to="7238,-1449" stroked="true" strokeweight=".252415pt" strokecolor="#008000">
              <v:stroke dashstyle="solid"/>
            </v:line>
            <v:line style="position:absolute" from="7208,-1444" to="7231,-1444" stroked="true" strokeweight=".252398pt" strokecolor="#008000">
              <v:stroke dashstyle="solid"/>
            </v:line>
            <v:line style="position:absolute" from="7206,-1444" to="7233,-1444" stroked="true" strokeweight=".25239pt" strokecolor="#008000">
              <v:stroke dashstyle="solid"/>
            </v:line>
            <v:line style="position:absolute" from="7208,-1439" to="7226,-1439" stroked="true" strokeweight=".252398pt" strokecolor="#008000">
              <v:stroke dashstyle="solid"/>
            </v:line>
            <v:line style="position:absolute" from="7206,-1439" to="7229,-1439" stroked="true" strokeweight=".252415pt" strokecolor="#008000">
              <v:stroke dashstyle="solid"/>
            </v:line>
            <v:line style="position:absolute" from="7208,-1434" to="7222,-1434" stroked="true" strokeweight=".252398pt" strokecolor="#008000">
              <v:stroke dashstyle="solid"/>
            </v:line>
            <v:line style="position:absolute" from="7206,-1434" to="7224,-1434" stroked="true" strokeweight=".25239pt" strokecolor="#008000">
              <v:stroke dashstyle="solid"/>
            </v:line>
            <v:line style="position:absolute" from="7206,-1429" to="7220,-1429" stroked="true" strokeweight=".25239pt" strokecolor="#008000">
              <v:stroke dashstyle="solid"/>
            </v:line>
            <v:line style="position:absolute" from="7208,-1424" to="7213,-1424" stroked="true" strokeweight=".252398pt" strokecolor="#008000">
              <v:stroke dashstyle="solid"/>
            </v:line>
            <v:line style="position:absolute" from="7206,-1424" to="7215,-1424" stroked="true" strokeweight=".252415pt" strokecolor="#008000">
              <v:stroke dashstyle="solid"/>
            </v:line>
            <v:line style="position:absolute" from="7206,-1419" to="7211,-1419" stroked="true" strokeweight=".25239pt" strokecolor="#008000">
              <v:stroke dashstyle="solid"/>
            </v:line>
            <w10:wrap type="none"/>
          </v:group>
        </w:pict>
      </w:r>
      <w:r>
        <w:rPr/>
        <w:pict>
          <v:group style="position:absolute;margin-left:439.543396pt;margin-top:-72.596619pt;width:1.9pt;height:1.35pt;mso-position-horizontal-relative:page;mso-position-vertical-relative:paragraph;z-index:-843376" coordorigin="8791,-1452" coordsize="38,27">
            <v:line style="position:absolute" from="8796,-1449" to="8823,-1449" stroked="true" strokeweight=".252398pt" strokecolor="#008000">
              <v:stroke dashstyle="solid"/>
            </v:line>
            <v:line style="position:absolute" from="8794,-1449" to="8826,-1449" stroked="true" strokeweight=".252415pt" strokecolor="#008000">
              <v:stroke dashstyle="solid"/>
            </v:line>
            <v:line style="position:absolute" from="8796,-1444" to="8819,-1444" stroked="true" strokeweight=".252398pt" strokecolor="#008000">
              <v:stroke dashstyle="solid"/>
            </v:line>
            <v:line style="position:absolute" from="8794,-1444" to="8821,-1444" stroked="true" strokeweight=".25239pt" strokecolor="#008000">
              <v:stroke dashstyle="solid"/>
            </v:line>
            <v:line style="position:absolute" from="8794,-1439" to="8816,-1439" stroked="true" strokeweight=".252415pt" strokecolor="#008000">
              <v:stroke dashstyle="solid"/>
            </v:line>
            <v:line style="position:absolute" from="8794,-1434" to="8812,-1434" stroked="true" strokeweight=".25239pt" strokecolor="#008000">
              <v:stroke dashstyle="solid"/>
            </v:line>
            <v:line style="position:absolute" from="8794,-1429" to="8807,-1429" stroked="true" strokeweight=".25239pt" strokecolor="#008000">
              <v:stroke dashstyle="solid"/>
            </v:line>
            <w10:wrap type="none"/>
          </v:group>
        </w:pict>
      </w:r>
      <w:r>
        <w:rPr/>
        <w:t>Come si può notare, per effetto delle analisi di sensitività, il piano di riparto nell’anno 2022, risulterebbe carente di disponibilità liquide per far fronte al pagamento integrale dell’ultima tranche relativa alle spese di procedura, così come previsto da piano. Tale deficit comporterebbe pertanto uno slittamento nelle tempistiche di pagamento di una annualità.</w:t>
      </w:r>
    </w:p>
    <w:p>
      <w:pPr>
        <w:pStyle w:val="BodyText"/>
        <w:spacing w:line="480" w:lineRule="auto"/>
        <w:ind w:left="1418" w:right="1410"/>
        <w:jc w:val="both"/>
      </w:pPr>
      <w:r>
        <w:rPr>
          <w:u w:val="single"/>
        </w:rPr>
        <w:t>In conclusione i fondi rischi generici e gli ulteriori fattori di mitigazione (quali l’impegno della famiglia Ghisolfi e gli effetti della postergazione volontaria di Novozymes) risulterebbero sufficienti a garantire, anche in ipotesi limite di manifestazione contemporanea di tutti    gli eventi</w:t>
      </w:r>
    </w:p>
    <w:p>
      <w:pPr>
        <w:pStyle w:val="BodyText"/>
        <w:ind w:left="1418"/>
      </w:pPr>
      <w:r>
        <w:rPr>
          <w:u w:val="single"/>
        </w:rPr>
        <w:t>sopra citati, la percentuale di soddisfacimento del 20% ai creditori chirografari.</w:t>
      </w:r>
    </w:p>
    <w:p>
      <w:pPr>
        <w:spacing w:after="0"/>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Heading2"/>
        <w:numPr>
          <w:ilvl w:val="1"/>
          <w:numId w:val="95"/>
        </w:numPr>
        <w:tabs>
          <w:tab w:pos="2127" w:val="left" w:leader="none"/>
        </w:tabs>
        <w:spacing w:line="240" w:lineRule="auto" w:before="100" w:after="0"/>
        <w:ind w:left="2126" w:right="0" w:hanging="708"/>
        <w:jc w:val="both"/>
      </w:pPr>
      <w:bookmarkStart w:name="_bookmark37" w:id="73"/>
      <w:bookmarkEnd w:id="73"/>
      <w:r>
        <w:rPr>
          <w:b w:val="0"/>
        </w:rPr>
      </w:r>
      <w:bookmarkStart w:name="_bookmark37" w:id="74"/>
      <w:bookmarkEnd w:id="74"/>
      <w:r>
        <w:rPr/>
        <w:t>U</w:t>
      </w:r>
      <w:r>
        <w:rPr/>
        <w:t>PSIDE</w:t>
      </w:r>
      <w:r>
        <w:rPr>
          <w:spacing w:val="-11"/>
        </w:rPr>
        <w:t> </w:t>
      </w:r>
      <w:r>
        <w:rPr/>
        <w:t>EVENTUALI</w:t>
      </w:r>
    </w:p>
    <w:p>
      <w:pPr>
        <w:pStyle w:val="BodyText"/>
        <w:spacing w:before="11"/>
        <w:rPr>
          <w:b/>
          <w:sz w:val="23"/>
        </w:rPr>
      </w:pPr>
    </w:p>
    <w:p>
      <w:pPr>
        <w:pStyle w:val="BodyText"/>
        <w:spacing w:line="480" w:lineRule="auto"/>
        <w:ind w:left="1418" w:right="1415"/>
        <w:jc w:val="both"/>
      </w:pPr>
      <w:r>
        <w:rPr/>
        <w:t>Allo stato non sono stati valorizzati all’interno del Piano e non formano oggetto della presente Attestazione possibili </w:t>
      </w:r>
      <w:r>
        <w:rPr>
          <w:i/>
        </w:rPr>
        <w:t>upside</w:t>
      </w:r>
      <w:r>
        <w:rPr/>
        <w:t>, in parte, derivanti dal realizzarsi di eventi indicati nell’offerta di Versalis e, in parte, da negoziazioni ad oggi in corso; più precisamente l’incremento del corrispettivo offerto da Versalis in relazione al Progetto Setha, nei termini e alle condizioni di cui all’Offerta Versalis.</w:t>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4"/>
        <w:rPr>
          <w:sz w:val="32"/>
        </w:rPr>
      </w:pPr>
    </w:p>
    <w:p>
      <w:pPr>
        <w:pStyle w:val="Heading1"/>
        <w:numPr>
          <w:ilvl w:val="0"/>
          <w:numId w:val="95"/>
        </w:numPr>
        <w:tabs>
          <w:tab w:pos="1847" w:val="left" w:leader="none"/>
        </w:tabs>
        <w:spacing w:line="480" w:lineRule="auto" w:before="0" w:after="0"/>
        <w:ind w:left="1418" w:right="1414" w:firstLine="0"/>
        <w:jc w:val="both"/>
      </w:pPr>
      <w:bookmarkStart w:name="_bookmark38" w:id="75"/>
      <w:bookmarkEnd w:id="75"/>
      <w:r>
        <w:rPr>
          <w:b w:val="0"/>
        </w:rPr>
      </w:r>
      <w:bookmarkStart w:name="_bookmark38" w:id="76"/>
      <w:bookmarkEnd w:id="76"/>
      <w:r>
        <w:rPr/>
        <w:t>CO</w:t>
      </w:r>
      <w:r>
        <w:rPr/>
        <w:t>NCLUSIONI IN ORDINE ALLA VERIDICITA’ DEI DATI E ALLA FATTIBILITA’ DEL</w:t>
      </w:r>
      <w:r>
        <w:rPr>
          <w:spacing w:val="-4"/>
        </w:rPr>
        <w:t> </w:t>
      </w:r>
      <w:r>
        <w:rPr/>
        <w:t>PIANO</w:t>
      </w:r>
    </w:p>
    <w:p>
      <w:pPr>
        <w:pStyle w:val="BodyText"/>
        <w:spacing w:line="480" w:lineRule="auto" w:before="122"/>
        <w:ind w:left="1418" w:right="1417"/>
        <w:jc w:val="both"/>
      </w:pPr>
      <w:r>
        <w:rPr/>
        <w:t>In ordine alla veridicità dei dati aziendali ed alla fattibilità economica del piano (oggetto di attestazione nella prospettiva indicata nei paragrafi 4.1 e 5.1) si possono a questo punto formulare le seguenti considerazioni di sintesi:</w:t>
      </w:r>
    </w:p>
    <w:p>
      <w:pPr>
        <w:pStyle w:val="ListParagraph"/>
        <w:numPr>
          <w:ilvl w:val="0"/>
          <w:numId w:val="110"/>
        </w:numPr>
        <w:tabs>
          <w:tab w:pos="2127" w:val="left" w:leader="none"/>
        </w:tabs>
        <w:spacing w:line="480" w:lineRule="auto" w:before="0" w:after="0"/>
        <w:ind w:left="2138" w:right="1412" w:hanging="360"/>
        <w:jc w:val="both"/>
        <w:rPr>
          <w:sz w:val="24"/>
        </w:rPr>
      </w:pPr>
      <w:r>
        <w:rPr>
          <w:sz w:val="24"/>
        </w:rPr>
        <w:t>dalle verifiche condotte, esposte nella presente relazione non sono emersi rilievi tali da inficiare l'attendibilità dei dati iscritti nella situazione contabile al 15 ottobre 2017 e nel piano concordatario. Le discrepanze eventualmente verificate sono state considerate attraverso lo stanziamento di congrui fondi</w:t>
      </w:r>
      <w:r>
        <w:rPr>
          <w:spacing w:val="-22"/>
          <w:sz w:val="24"/>
        </w:rPr>
        <w:t> </w:t>
      </w:r>
      <w:r>
        <w:rPr>
          <w:sz w:val="24"/>
        </w:rPr>
        <w:t>rischi;</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110"/>
        </w:numPr>
        <w:tabs>
          <w:tab w:pos="2127" w:val="left" w:leader="none"/>
        </w:tabs>
        <w:spacing w:line="480" w:lineRule="auto" w:before="100" w:after="0"/>
        <w:ind w:left="2138" w:right="1416" w:hanging="360"/>
        <w:jc w:val="both"/>
        <w:rPr>
          <w:sz w:val="24"/>
        </w:rPr>
      </w:pPr>
      <w:r>
        <w:rPr>
          <w:sz w:val="24"/>
        </w:rPr>
        <w:t>gli accantonamenti effettuati ai fini del piano concordatario, oltre a considerare le  passività prevedibili, sono comprensivi di fondi per rischi ed oneri prudenzialmente accantonati per far fronte ad eventuali obbligazioni</w:t>
      </w:r>
      <w:r>
        <w:rPr>
          <w:spacing w:val="-28"/>
          <w:sz w:val="24"/>
        </w:rPr>
        <w:t> </w:t>
      </w:r>
      <w:r>
        <w:rPr>
          <w:sz w:val="24"/>
        </w:rPr>
        <w:t>future;</w:t>
      </w:r>
    </w:p>
    <w:p>
      <w:pPr>
        <w:pStyle w:val="ListParagraph"/>
        <w:numPr>
          <w:ilvl w:val="0"/>
          <w:numId w:val="110"/>
        </w:numPr>
        <w:tabs>
          <w:tab w:pos="2127" w:val="left" w:leader="none"/>
        </w:tabs>
        <w:spacing w:line="480" w:lineRule="auto" w:before="0" w:after="0"/>
        <w:ind w:left="2138" w:right="1419" w:hanging="360"/>
        <w:jc w:val="both"/>
        <w:rPr>
          <w:sz w:val="24"/>
        </w:rPr>
      </w:pPr>
      <w:r>
        <w:rPr>
          <w:sz w:val="24"/>
        </w:rPr>
        <w:t>sulla scorta di tali accertamenti è possibile concludere in ordine alla veridicità dei dati aziendali.</w:t>
      </w:r>
    </w:p>
    <w:p>
      <w:pPr>
        <w:pStyle w:val="BodyText"/>
        <w:spacing w:line="480" w:lineRule="auto"/>
        <w:ind w:left="1418" w:right="1417"/>
        <w:jc w:val="both"/>
      </w:pPr>
      <w:r>
        <w:rPr/>
        <w:t>In ordine alla fattibilità del piano, la questione assume contorni di maggiore complessità che impongono di chiarire il percorso logico seguito dagli scriventi e le conseguenti determinazioni finali.</w:t>
      </w:r>
    </w:p>
    <w:p>
      <w:pPr>
        <w:pStyle w:val="BodyText"/>
        <w:spacing w:line="480" w:lineRule="auto"/>
        <w:ind w:left="1418" w:right="1417"/>
        <w:jc w:val="both"/>
      </w:pPr>
      <w:r>
        <w:rPr/>
        <w:t>Sul piano eminentemente quantitativo, in base alle elaborazioni svolte nel presente paragrafo, e tenuto anche conto della analisi di sensitività svolta, si può concludere che le prospettive di soddisfacimento dei creditori, anche nella tempistica, appaiono compatibili con la prospettazione della debitrice.</w:t>
      </w:r>
    </w:p>
    <w:p>
      <w:pPr>
        <w:pStyle w:val="BodyText"/>
        <w:spacing w:line="480" w:lineRule="auto"/>
        <w:ind w:left="1418" w:right="1411"/>
        <w:jc w:val="both"/>
      </w:pPr>
      <w:r>
        <w:rPr/>
        <w:t>Va ricordato che la </w:t>
      </w:r>
      <w:r>
        <w:rPr>
          <w:i/>
        </w:rPr>
        <w:t>sensitivity </w:t>
      </w:r>
      <w:r>
        <w:rPr/>
        <w:t>è stata improntata ad un approccio prudenziale ed ha quindi riguardato i possibili minori attivi/maggiori passività e non gli elementi connessi a possibili </w:t>
      </w:r>
      <w:r>
        <w:rPr>
          <w:i/>
        </w:rPr>
        <w:t>upside </w:t>
      </w:r>
      <w:r>
        <w:rPr/>
        <w:t>del piano (alcuni di essi allo stato correlati ad assunzioni ipotetiche di incerta realizzazione).</w:t>
      </w:r>
    </w:p>
    <w:p>
      <w:pPr>
        <w:spacing w:before="0"/>
        <w:ind w:left="1418" w:right="0" w:firstLine="0"/>
        <w:jc w:val="both"/>
        <w:rPr>
          <w:sz w:val="24"/>
        </w:rPr>
      </w:pPr>
      <w:r>
        <w:rPr>
          <w:sz w:val="24"/>
        </w:rPr>
        <w:t>Gli </w:t>
      </w:r>
      <w:r>
        <w:rPr>
          <w:i/>
          <w:sz w:val="24"/>
        </w:rPr>
        <w:t>upside </w:t>
      </w:r>
      <w:r>
        <w:rPr>
          <w:sz w:val="24"/>
        </w:rPr>
        <w:t>non considerati sono:</w:t>
      </w:r>
    </w:p>
    <w:p>
      <w:pPr>
        <w:pStyle w:val="BodyText"/>
        <w:spacing w:before="10"/>
        <w:rPr>
          <w:sz w:val="23"/>
        </w:rPr>
      </w:pPr>
    </w:p>
    <w:p>
      <w:pPr>
        <w:pStyle w:val="ListParagraph"/>
        <w:numPr>
          <w:ilvl w:val="0"/>
          <w:numId w:val="111"/>
        </w:numPr>
        <w:tabs>
          <w:tab w:pos="2127" w:val="left" w:leader="none"/>
        </w:tabs>
        <w:spacing w:line="477" w:lineRule="auto" w:before="0" w:after="0"/>
        <w:ind w:left="2138" w:right="1411" w:hanging="360"/>
        <w:jc w:val="both"/>
        <w:rPr>
          <w:sz w:val="24"/>
        </w:rPr>
      </w:pPr>
      <w:r>
        <w:rPr>
          <w:sz w:val="24"/>
        </w:rPr>
        <w:t>il possibile realizzo della quota parte del corrispettivo variabile (</w:t>
      </w:r>
      <w:r>
        <w:rPr>
          <w:i/>
          <w:sz w:val="24"/>
        </w:rPr>
        <w:t>Earn out</w:t>
      </w:r>
      <w:r>
        <w:rPr>
          <w:sz w:val="24"/>
        </w:rPr>
        <w:t>) alle condizioni previste dall’Offerta Versalis, per 6,5 mil. oltre la quota parte che potrebbe derivare per le medesime ragioni dai riparti dei concordati preventivi Beta Renewables S.p.A. e IBP Energia</w:t>
      </w:r>
      <w:r>
        <w:rPr>
          <w:spacing w:val="-3"/>
          <w:sz w:val="24"/>
        </w:rPr>
        <w:t> </w:t>
      </w:r>
      <w:r>
        <w:rPr>
          <w:sz w:val="24"/>
        </w:rPr>
        <w:t>S.r.l.;</w:t>
      </w:r>
    </w:p>
    <w:p>
      <w:pPr>
        <w:pStyle w:val="ListParagraph"/>
        <w:numPr>
          <w:ilvl w:val="0"/>
          <w:numId w:val="111"/>
        </w:numPr>
        <w:tabs>
          <w:tab w:pos="2127" w:val="left" w:leader="none"/>
        </w:tabs>
        <w:spacing w:line="477" w:lineRule="auto" w:before="0" w:after="0"/>
        <w:ind w:left="2138" w:right="1413" w:hanging="360"/>
        <w:jc w:val="both"/>
        <w:rPr>
          <w:sz w:val="24"/>
        </w:rPr>
      </w:pPr>
      <w:r>
        <w:rPr>
          <w:sz w:val="24"/>
        </w:rPr>
        <w:t>il perfezionamento di un accordo para-concordatario con uno o più creditori finanziari, cui è stato proposto di destinare a ripagamento parziale o totale delle proprie ragioni di credito </w:t>
      </w:r>
      <w:r>
        <w:rPr>
          <w:i/>
          <w:sz w:val="24"/>
        </w:rPr>
        <w:t>l’earn out </w:t>
      </w:r>
      <w:r>
        <w:rPr>
          <w:sz w:val="24"/>
        </w:rPr>
        <w:t>di cui al punto che</w:t>
      </w:r>
      <w:r>
        <w:rPr>
          <w:spacing w:val="-12"/>
          <w:sz w:val="24"/>
        </w:rPr>
        <w:t> </w:t>
      </w:r>
      <w:r>
        <w:rPr>
          <w:sz w:val="24"/>
        </w:rPr>
        <w:t>precede;</w:t>
      </w:r>
    </w:p>
    <w:p>
      <w:pPr>
        <w:spacing w:after="0" w:line="477"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ListParagraph"/>
        <w:numPr>
          <w:ilvl w:val="0"/>
          <w:numId w:val="111"/>
        </w:numPr>
        <w:tabs>
          <w:tab w:pos="2127" w:val="left" w:leader="none"/>
        </w:tabs>
        <w:spacing w:line="477" w:lineRule="auto" w:before="100" w:after="0"/>
        <w:ind w:left="2138" w:right="1411" w:hanging="360"/>
        <w:jc w:val="both"/>
        <w:rPr>
          <w:sz w:val="24"/>
        </w:rPr>
      </w:pPr>
      <w:r>
        <w:rPr>
          <w:sz w:val="24"/>
        </w:rPr>
        <w:t>il positivo intervento di Lloyds con riferimento alle polizze D/O n. 1913065 e n. 1913066 stipulate da M&amp;G Finanziaria S.p.A. (e M&amp;G Chemicals S.A.) in data 22.12.2016 denominata “Responsabilità di Amministratori, Sindaci o Dirigenti della Società capogruppo M &amp; G Finanziaria S.p.A. e della sua</w:t>
      </w:r>
      <w:r>
        <w:rPr>
          <w:spacing w:val="-21"/>
          <w:sz w:val="24"/>
        </w:rPr>
        <w:t> </w:t>
      </w:r>
      <w:r>
        <w:rPr>
          <w:sz w:val="24"/>
        </w:rPr>
        <w:t>controllata”.</w:t>
      </w:r>
    </w:p>
    <w:p>
      <w:pPr>
        <w:pStyle w:val="BodyText"/>
        <w:spacing w:line="480" w:lineRule="auto" w:before="2"/>
        <w:ind w:left="1418" w:right="1411"/>
        <w:jc w:val="both"/>
      </w:pPr>
      <w:r>
        <w:rPr/>
        <w:t>L’effettiva realizzazione di tale piano sconta però alcuni elementi condizionanti rappresentati in primo luogo dal fatto che la fattibilità economica del piano risulta attualmente fondata sull’offerta Versalis che a sua volta dipende dalle “</w:t>
      </w:r>
      <w:r>
        <w:rPr>
          <w:i/>
        </w:rPr>
        <w:t>assunzioni e presupposti</w:t>
      </w:r>
      <w:r>
        <w:rPr/>
        <w:t>” (altresì definiti “essenziali ed imprescindibili”) indicati nel punto 1.1 (c) dell’offerta Versalis. Si rimarca in questa sede che tali assunzioni attengono a:</w:t>
      </w:r>
    </w:p>
    <w:p>
      <w:pPr>
        <w:pStyle w:val="ListParagraph"/>
        <w:numPr>
          <w:ilvl w:val="0"/>
          <w:numId w:val="112"/>
        </w:numPr>
        <w:tabs>
          <w:tab w:pos="2127" w:val="left" w:leader="none"/>
        </w:tabs>
        <w:spacing w:line="480" w:lineRule="auto" w:before="0" w:after="0"/>
        <w:ind w:left="2138" w:right="1412" w:hanging="360"/>
        <w:jc w:val="both"/>
        <w:rPr>
          <w:sz w:val="24"/>
        </w:rPr>
      </w:pPr>
      <w:r>
        <w:rPr>
          <w:sz w:val="24"/>
        </w:rPr>
        <w:t>la presentazione della domanda di concordato da parte di tutte le società titolari dei rami d’azienda Bio (punto 1.1. (c)</w:t>
      </w:r>
      <w:r>
        <w:rPr>
          <w:spacing w:val="-5"/>
          <w:sz w:val="24"/>
        </w:rPr>
        <w:t> </w:t>
      </w:r>
      <w:r>
        <w:rPr>
          <w:sz w:val="24"/>
        </w:rPr>
        <w:t>i);</w:t>
      </w:r>
    </w:p>
    <w:p>
      <w:pPr>
        <w:pStyle w:val="ListParagraph"/>
        <w:numPr>
          <w:ilvl w:val="0"/>
          <w:numId w:val="112"/>
        </w:numPr>
        <w:tabs>
          <w:tab w:pos="2127" w:val="left" w:leader="none"/>
        </w:tabs>
        <w:spacing w:line="480" w:lineRule="auto" w:before="0" w:after="0"/>
        <w:ind w:left="2138" w:right="1416" w:hanging="360"/>
        <w:jc w:val="both"/>
        <w:rPr>
          <w:sz w:val="24"/>
        </w:rPr>
      </w:pPr>
      <w:r>
        <w:rPr>
          <w:sz w:val="24"/>
        </w:rPr>
        <w:t>l’ammissione alla procedura di concordato preventivo di tutte le società titolari dei rami d’azienda Bio (punto 1.1. (c)</w:t>
      </w:r>
      <w:r>
        <w:rPr>
          <w:spacing w:val="-5"/>
          <w:sz w:val="24"/>
        </w:rPr>
        <w:t> </w:t>
      </w:r>
      <w:r>
        <w:rPr>
          <w:sz w:val="24"/>
        </w:rPr>
        <w:t>ii);</w:t>
      </w:r>
    </w:p>
    <w:p>
      <w:pPr>
        <w:pStyle w:val="ListParagraph"/>
        <w:numPr>
          <w:ilvl w:val="0"/>
          <w:numId w:val="112"/>
        </w:numPr>
        <w:tabs>
          <w:tab w:pos="2127" w:val="left" w:leader="none"/>
        </w:tabs>
        <w:spacing w:line="240" w:lineRule="auto" w:before="0" w:after="0"/>
        <w:ind w:left="2126" w:right="0" w:hanging="348"/>
        <w:jc w:val="left"/>
        <w:rPr>
          <w:sz w:val="24"/>
        </w:rPr>
      </w:pPr>
      <w:r>
        <w:rPr>
          <w:sz w:val="24"/>
        </w:rPr>
        <w:t>la prosecuzione della procedura fino al perfezionamento della cessione (punto 1.1. (c)</w:t>
      </w:r>
      <w:r>
        <w:rPr>
          <w:spacing w:val="-29"/>
          <w:sz w:val="24"/>
        </w:rPr>
        <w:t> </w:t>
      </w:r>
      <w:r>
        <w:rPr>
          <w:sz w:val="24"/>
        </w:rPr>
        <w:t>ii);</w:t>
      </w:r>
    </w:p>
    <w:p>
      <w:pPr>
        <w:pStyle w:val="BodyText"/>
      </w:pPr>
    </w:p>
    <w:p>
      <w:pPr>
        <w:pStyle w:val="ListParagraph"/>
        <w:numPr>
          <w:ilvl w:val="0"/>
          <w:numId w:val="112"/>
        </w:numPr>
        <w:tabs>
          <w:tab w:pos="2127" w:val="left" w:leader="none"/>
        </w:tabs>
        <w:spacing w:line="480" w:lineRule="auto" w:before="0" w:after="0"/>
        <w:ind w:left="2138" w:right="1418" w:hanging="360"/>
        <w:jc w:val="both"/>
        <w:rPr>
          <w:sz w:val="24"/>
        </w:rPr>
      </w:pPr>
      <w:r>
        <w:rPr>
          <w:sz w:val="24"/>
        </w:rPr>
        <w:t>l’adesione del Tribunale alla prospettiva della cessione delle aziende Bio quale blocco unitario (punto 1.1. (c)</w:t>
      </w:r>
      <w:r>
        <w:rPr>
          <w:spacing w:val="-9"/>
          <w:sz w:val="24"/>
        </w:rPr>
        <w:t> </w:t>
      </w:r>
      <w:r>
        <w:rPr>
          <w:sz w:val="24"/>
        </w:rPr>
        <w:t>iii);</w:t>
      </w:r>
    </w:p>
    <w:p>
      <w:pPr>
        <w:pStyle w:val="ListParagraph"/>
        <w:numPr>
          <w:ilvl w:val="0"/>
          <w:numId w:val="112"/>
        </w:numPr>
        <w:tabs>
          <w:tab w:pos="2127" w:val="left" w:leader="none"/>
        </w:tabs>
        <w:spacing w:line="480" w:lineRule="auto" w:before="0" w:after="0"/>
        <w:ind w:left="2138" w:right="1417" w:hanging="360"/>
        <w:jc w:val="both"/>
        <w:rPr>
          <w:sz w:val="24"/>
        </w:rPr>
      </w:pPr>
      <w:r>
        <w:rPr>
          <w:sz w:val="24"/>
        </w:rPr>
        <w:t>l’adesione del Tribunale alla prospettiva indicata nella clausola 1.1. c iv) che prevede in capo a Versalis il diritto di pareggiare l’eventuale provvisoria migliore</w:t>
      </w:r>
      <w:r>
        <w:rPr>
          <w:spacing w:val="-18"/>
          <w:sz w:val="24"/>
        </w:rPr>
        <w:t> </w:t>
      </w:r>
      <w:r>
        <w:rPr>
          <w:sz w:val="24"/>
        </w:rPr>
        <w:t>offerta.</w:t>
      </w:r>
    </w:p>
    <w:p>
      <w:pPr>
        <w:spacing w:line="480" w:lineRule="auto" w:before="1"/>
        <w:ind w:left="1418" w:right="1411" w:firstLine="0"/>
        <w:jc w:val="both"/>
        <w:rPr>
          <w:i/>
          <w:sz w:val="24"/>
        </w:rPr>
      </w:pPr>
      <w:r>
        <w:rPr>
          <w:sz w:val="24"/>
        </w:rPr>
        <w:t>Si segnala che la formulazione dell’offerta conferisce a tali assunzioni la natura di condizione risolutiva, essendo precisato che “</w:t>
      </w:r>
      <w:r>
        <w:rPr>
          <w:i/>
          <w:sz w:val="24"/>
        </w:rPr>
        <w:t>ove per qualsiasi motivo prima della Data di Esecuzione anche solo una </w:t>
      </w:r>
      <w:r>
        <w:rPr>
          <w:i/>
          <w:sz w:val="24"/>
        </w:rPr>
        <w:t>delle predette assunzioni dovesse essere disattesa, ovvero si creasse una situazione tale da far ritenere che possa essere disattesa, l’Offerta e il Contratto (se già concluso) perderanno definitivamente e automaticamente l’efficacia e</w:t>
      </w:r>
    </w:p>
    <w:p>
      <w:pPr>
        <w:spacing w:after="0" w:line="480" w:lineRule="auto"/>
        <w:jc w:val="both"/>
        <w:rPr>
          <w:sz w:val="24"/>
        </w:rPr>
        <w:sectPr>
          <w:footerReference w:type="default" r:id="rId60"/>
          <w:pgSz w:w="11910" w:h="16840"/>
          <w:pgMar w:footer="1025" w:header="707" w:top="1740" w:bottom="1220" w:left="0" w:right="0"/>
        </w:sectPr>
      </w:pPr>
    </w:p>
    <w:p>
      <w:pPr>
        <w:pStyle w:val="BodyText"/>
        <w:rPr>
          <w:i/>
          <w:sz w:val="20"/>
        </w:rPr>
      </w:pPr>
    </w:p>
    <w:p>
      <w:pPr>
        <w:pStyle w:val="BodyText"/>
        <w:rPr>
          <w:i/>
          <w:sz w:val="20"/>
        </w:rPr>
      </w:pPr>
    </w:p>
    <w:p>
      <w:pPr>
        <w:pStyle w:val="BodyText"/>
        <w:rPr>
          <w:i/>
          <w:sz w:val="20"/>
        </w:rPr>
      </w:pPr>
    </w:p>
    <w:p>
      <w:pPr>
        <w:pStyle w:val="BodyText"/>
        <w:spacing w:before="4"/>
        <w:rPr>
          <w:i/>
          <w:sz w:val="27"/>
        </w:rPr>
      </w:pPr>
    </w:p>
    <w:p>
      <w:pPr>
        <w:spacing w:line="480" w:lineRule="auto" w:before="100"/>
        <w:ind w:left="1418" w:right="1422" w:firstLine="0"/>
        <w:jc w:val="both"/>
        <w:rPr>
          <w:sz w:val="24"/>
        </w:rPr>
      </w:pPr>
      <w:r>
        <w:rPr>
          <w:i/>
          <w:sz w:val="24"/>
        </w:rPr>
        <w:t>qualsiasi impegno, obbligo e diritto assunti in forza degli stessi si intenderanno risolti e cessati, con conseguente </w:t>
      </w:r>
      <w:r>
        <w:rPr>
          <w:i/>
          <w:sz w:val="24"/>
        </w:rPr>
        <w:t>integrale liberazione dell’Offerente da qualsiasi onere e responsabilità, a qualsivoglia titolo</w:t>
      </w:r>
      <w:r>
        <w:rPr>
          <w:sz w:val="24"/>
        </w:rPr>
        <w:t>”.</w:t>
      </w:r>
    </w:p>
    <w:p>
      <w:pPr>
        <w:pStyle w:val="BodyText"/>
        <w:spacing w:line="480" w:lineRule="auto"/>
        <w:ind w:left="1418" w:right="1412"/>
        <w:jc w:val="both"/>
      </w:pPr>
      <w:r>
        <w:rPr/>
        <w:t>Ulteriore elemento condizionante è che, entro 60 giorni dalla sottoscrizione degli accordi stessi, estendibili fino al 30.09.2018 nel caso in cui il maggior termine dipenda da esigenze delle procedure concordatarie di Beta Renewables S.p.A. e Biochemtex S.p.A., venga autorizzata la stipula dell’accordo transattivo “Granbio” con riferimento:</w:t>
      </w:r>
    </w:p>
    <w:p>
      <w:pPr>
        <w:pStyle w:val="ListParagraph"/>
        <w:numPr>
          <w:ilvl w:val="1"/>
          <w:numId w:val="112"/>
        </w:numPr>
        <w:tabs>
          <w:tab w:pos="2127" w:val="left" w:leader="none"/>
        </w:tabs>
        <w:spacing w:line="477" w:lineRule="auto" w:before="0" w:after="0"/>
        <w:ind w:left="2198" w:right="1416" w:hanging="360"/>
        <w:jc w:val="both"/>
        <w:rPr>
          <w:sz w:val="24"/>
        </w:rPr>
      </w:pPr>
      <w:r>
        <w:rPr>
          <w:sz w:val="24"/>
        </w:rPr>
        <w:t>al contenzioso instaurato da Granbio a Bioflex nei confronti di Beta Renewables S.p.A. e di Biochemtex S.p.A. avanti alla Corte Internazionale di Arbitrato della Camera di Commercio Internazionale</w:t>
      </w:r>
      <w:r>
        <w:rPr>
          <w:spacing w:val="-15"/>
          <w:sz w:val="24"/>
        </w:rPr>
        <w:t> </w:t>
      </w:r>
      <w:r>
        <w:rPr>
          <w:sz w:val="24"/>
        </w:rPr>
        <w:t>(ICC);</w:t>
      </w:r>
    </w:p>
    <w:p>
      <w:pPr>
        <w:pStyle w:val="ListParagraph"/>
        <w:numPr>
          <w:ilvl w:val="0"/>
          <w:numId w:val="111"/>
        </w:numPr>
        <w:tabs>
          <w:tab w:pos="2127" w:val="left" w:leader="none"/>
        </w:tabs>
        <w:spacing w:line="475" w:lineRule="auto" w:before="2" w:after="0"/>
        <w:ind w:left="2138" w:right="1416" w:hanging="360"/>
        <w:jc w:val="both"/>
        <w:rPr>
          <w:sz w:val="24"/>
        </w:rPr>
      </w:pPr>
      <w:r>
        <w:rPr>
          <w:sz w:val="24"/>
        </w:rPr>
        <w:t>al contenzioso instaurato da Granbio, Bioflex e Granbio Investments nei confronti di M&amp;G Finanziaria</w:t>
      </w:r>
      <w:r>
        <w:rPr>
          <w:spacing w:val="-6"/>
          <w:sz w:val="24"/>
        </w:rPr>
        <w:t> </w:t>
      </w:r>
      <w:r>
        <w:rPr>
          <w:sz w:val="24"/>
        </w:rPr>
        <w:t>S.p.A.;</w:t>
      </w:r>
    </w:p>
    <w:p>
      <w:pPr>
        <w:pStyle w:val="ListParagraph"/>
        <w:numPr>
          <w:ilvl w:val="0"/>
          <w:numId w:val="111"/>
        </w:numPr>
        <w:tabs>
          <w:tab w:pos="2127" w:val="left" w:leader="none"/>
        </w:tabs>
        <w:spacing w:line="475" w:lineRule="auto" w:before="3" w:after="0"/>
        <w:ind w:left="2138" w:right="1410" w:hanging="360"/>
        <w:jc w:val="both"/>
        <w:rPr>
          <w:sz w:val="24"/>
        </w:rPr>
      </w:pPr>
      <w:r>
        <w:rPr>
          <w:sz w:val="24"/>
        </w:rPr>
        <w:t>all’intervento degli “Assicuratori Primari”, dei “Primi Assicuratori in Eccesso” dei “Secondi Assicuratori in Eccesso”, per effetto delle polizze n. 1902736, 1902737 e 1902738 stipulate da Mossi &amp; Ghisolfi International</w:t>
      </w:r>
      <w:r>
        <w:rPr>
          <w:spacing w:val="-14"/>
          <w:sz w:val="24"/>
        </w:rPr>
        <w:t> </w:t>
      </w:r>
      <w:r>
        <w:rPr>
          <w:sz w:val="24"/>
        </w:rPr>
        <w:t>S.a.r.l.</w:t>
      </w:r>
    </w:p>
    <w:p>
      <w:pPr>
        <w:pStyle w:val="BodyText"/>
        <w:spacing w:line="480" w:lineRule="auto" w:before="5"/>
        <w:ind w:left="1418" w:right="1410"/>
        <w:jc w:val="both"/>
      </w:pPr>
      <w:r>
        <w:rPr/>
        <w:t>Quali fattori di incertezza che paiono oggi residuare si segnala la formulazione del punto 1.2 b ii) dell’offerta Versalis ove vi è la previsione che taluni contratti debbano essere necessariamente inclusi nelle aziende Bio e che entro la data di esecuzione vi sia il consenso scritto delle controparti. Sul punto gli scriventi hanno manifestato alla Società l’opportunità di acquisire quanto prima tale consenso al fine di escludere il rischio che la mancata accettazione delle controparti possa minare l’efficacia</w:t>
      </w:r>
      <w:r>
        <w:rPr>
          <w:spacing w:val="-4"/>
        </w:rPr>
        <w:t> </w:t>
      </w:r>
      <w:r>
        <w:rPr/>
        <w:t>dell’offerta.</w:t>
      </w:r>
    </w:p>
    <w:p>
      <w:pPr>
        <w:spacing w:after="0" w:line="480" w:lineRule="auto"/>
        <w:jc w:val="both"/>
        <w:sectPr>
          <w:footerReference w:type="default" r:id="rId61"/>
          <w:pgSz w:w="11910" w:h="16840"/>
          <w:pgMar w:footer="1025" w:header="707" w:top="1740" w:bottom="1220" w:left="0" w:right="0"/>
          <w:pgNumType w:start="301"/>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Heading1"/>
        <w:numPr>
          <w:ilvl w:val="0"/>
          <w:numId w:val="95"/>
        </w:numPr>
        <w:tabs>
          <w:tab w:pos="1847" w:val="left" w:leader="none"/>
        </w:tabs>
        <w:spacing w:line="240" w:lineRule="auto" w:before="101" w:after="0"/>
        <w:ind w:left="1846" w:right="0" w:hanging="428"/>
        <w:jc w:val="both"/>
      </w:pPr>
      <w:bookmarkStart w:name="_bookmark39" w:id="77"/>
      <w:bookmarkEnd w:id="77"/>
      <w:r>
        <w:rPr>
          <w:b w:val="0"/>
        </w:rPr>
      </w:r>
      <w:bookmarkStart w:name="_bookmark39" w:id="78"/>
      <w:bookmarkEnd w:id="78"/>
      <w:r>
        <w:rPr/>
        <w:t>UL</w:t>
      </w:r>
      <w:r>
        <w:rPr/>
        <w:t>TERIORI</w:t>
      </w:r>
      <w:r>
        <w:rPr>
          <w:spacing w:val="-5"/>
        </w:rPr>
        <w:t> </w:t>
      </w:r>
      <w:r>
        <w:rPr/>
        <w:t>INFORMAZIONI</w:t>
      </w:r>
    </w:p>
    <w:p>
      <w:pPr>
        <w:pStyle w:val="BodyText"/>
        <w:spacing w:before="9"/>
        <w:rPr>
          <w:b/>
          <w:sz w:val="38"/>
        </w:rPr>
      </w:pPr>
    </w:p>
    <w:p>
      <w:pPr>
        <w:pStyle w:val="BodyText"/>
        <w:spacing w:line="480" w:lineRule="auto"/>
        <w:ind w:left="1418" w:right="1414"/>
        <w:jc w:val="both"/>
      </w:pPr>
      <w:r>
        <w:rPr/>
        <w:t>La Domanda di concordato non tratteggia condotte sussumibili nel concetto di mala gestio, il piano non prevede la cessione ai creditori della azione di responsabilità né viene delineata l’esistenza dei presupposti per l’avvio di azioni revocatorie utilmente esperibili nella alternativa fallimentare.</w:t>
      </w:r>
    </w:p>
    <w:p>
      <w:pPr>
        <w:pStyle w:val="BodyText"/>
        <w:spacing w:line="480" w:lineRule="auto"/>
        <w:ind w:left="1418" w:right="1410"/>
        <w:jc w:val="both"/>
      </w:pPr>
      <w:r>
        <w:rPr/>
        <w:t>In questo quadro gli scriventi, in linea di continuità rispetto a quanto prospettato nella Relazione attestativa riferita ad IBP Srl, intendono completare le proprie analisi con alcune considerazioni  su talune operazioni gestionali e relativi</w:t>
      </w:r>
      <w:r>
        <w:rPr>
          <w:spacing w:val="-20"/>
        </w:rPr>
        <w:t> </w:t>
      </w:r>
      <w:r>
        <w:rPr/>
        <w:t>effetti.</w:t>
      </w:r>
    </w:p>
    <w:p>
      <w:pPr>
        <w:pStyle w:val="BodyText"/>
        <w:spacing w:line="480" w:lineRule="auto"/>
        <w:ind w:left="1418" w:right="1411"/>
        <w:jc w:val="both"/>
      </w:pPr>
      <w:r>
        <w:rPr/>
        <w:t>Si ribadisce quanto si è già scritto nell’ampia premessa contenuta nella  relazione  attestativa relativa ad IBP Srl circa le caratteristiche delle analisi svolte dagli scriventi che si pongono esclusivamente l’obiettivo di poter offrire al Tribunale un quadro informativo ad ampio spettro e possibilmente completo, senza tuttavia avere la pretesa di poter attribuire alle proprie considerazioni la valenza di giudizi definitivi e di attendibile prognosi sui risultati delle azioni (che potrebbero essere resi all’esito di un’attività istruttoria e di un confronto tecnico con le tesi della Società propri di altre sedi).</w:t>
      </w:r>
    </w:p>
    <w:p>
      <w:pPr>
        <w:pStyle w:val="BodyText"/>
        <w:spacing w:line="480" w:lineRule="auto"/>
        <w:ind w:left="1418" w:right="1416"/>
        <w:jc w:val="both"/>
      </w:pPr>
      <w:r>
        <w:rPr/>
        <w:t>Quindi, a parere degli scriventi, qualora si volessero approfondire eventuali profili di responsabilità, appaiono dotate di un certo rilievo le seguenti circostanze.</w:t>
      </w:r>
    </w:p>
    <w:p>
      <w:pPr>
        <w:pStyle w:val="ListParagraph"/>
        <w:numPr>
          <w:ilvl w:val="0"/>
          <w:numId w:val="113"/>
        </w:numPr>
        <w:tabs>
          <w:tab w:pos="1986" w:val="left" w:leader="none"/>
        </w:tabs>
        <w:spacing w:line="480" w:lineRule="auto" w:before="0" w:after="0"/>
        <w:ind w:left="1985" w:right="1412" w:hanging="567"/>
        <w:jc w:val="both"/>
        <w:rPr>
          <w:sz w:val="24"/>
        </w:rPr>
      </w:pPr>
      <w:r>
        <w:rPr>
          <w:sz w:val="24"/>
        </w:rPr>
        <w:t>Come si è visto nel paragrafo 2.1, sino al 2016 la Società presenta un andamento  economico costantemente positivo (a livello di margine operativo lordo), e apparentemente condizioni di solidità e solvibilità patrimoniale (il patrimonio netto risulta ampiamente positivo e la posizione finanziaria è pari a circa 1,5 volte il capitale</w:t>
      </w:r>
      <w:r>
        <w:rPr>
          <w:spacing w:val="-30"/>
          <w:sz w:val="24"/>
        </w:rPr>
        <w:t> </w:t>
      </w:r>
      <w:r>
        <w:rPr>
          <w:sz w:val="24"/>
        </w:rPr>
        <w:t>proprio).</w:t>
      </w:r>
    </w:p>
    <w:p>
      <w:pPr>
        <w:spacing w:after="0" w:line="480" w:lineRule="auto"/>
        <w:jc w:val="both"/>
        <w:rPr>
          <w:sz w:val="24"/>
        </w:rPr>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ListParagraph"/>
        <w:numPr>
          <w:ilvl w:val="0"/>
          <w:numId w:val="113"/>
        </w:numPr>
        <w:tabs>
          <w:tab w:pos="1985" w:val="left" w:leader="none"/>
          <w:tab w:pos="1986" w:val="left" w:leader="none"/>
        </w:tabs>
        <w:spacing w:line="480" w:lineRule="auto" w:before="100" w:after="0"/>
        <w:ind w:left="1985" w:right="1412" w:hanging="567"/>
        <w:jc w:val="left"/>
        <w:rPr>
          <w:sz w:val="24"/>
        </w:rPr>
      </w:pPr>
      <w:r>
        <w:rPr>
          <w:sz w:val="24"/>
        </w:rPr>
        <w:t>In realtà tali condizioni di solidità e solvibilità potrebbero non sussistere se si considera quanto</w:t>
      </w:r>
      <w:r>
        <w:rPr>
          <w:spacing w:val="-3"/>
          <w:sz w:val="24"/>
        </w:rPr>
        <w:t> </w:t>
      </w:r>
      <w:r>
        <w:rPr>
          <w:sz w:val="24"/>
        </w:rPr>
        <w:t>segue.</w:t>
      </w:r>
    </w:p>
    <w:p>
      <w:pPr>
        <w:pStyle w:val="BodyText"/>
        <w:spacing w:line="480" w:lineRule="auto"/>
        <w:ind w:left="1985" w:right="1413"/>
        <w:jc w:val="both"/>
      </w:pPr>
      <w:r>
        <w:rPr/>
        <w:t>Anzitutto, vanno richiamati i lineamenti dell’operazione sintetizzata nel paragrafo 2.3.1 ricostruiti dalla Società e riportati nei </w:t>
      </w:r>
      <w:r>
        <w:rPr>
          <w:i/>
        </w:rPr>
        <w:t>deliverables </w:t>
      </w:r>
      <w:r>
        <w:rPr/>
        <w:t>di Deloitte consegnatici dalla società, che ha comportato la cessione nell’esercizio 2013 del Know How e della licenza PET-Proesa a favore della consociata M&amp;G Usa Corporation.</w:t>
      </w:r>
    </w:p>
    <w:p>
      <w:pPr>
        <w:pStyle w:val="BodyText"/>
        <w:spacing w:line="480" w:lineRule="auto"/>
        <w:ind w:left="1985" w:right="1416"/>
        <w:jc w:val="both"/>
      </w:pPr>
      <w:r>
        <w:rPr/>
        <w:t>Nonostante la rilevanza degli effetti di tale operazione, non risulta che l’operazione sia stata oggetto di articolata trattazione in seno al Consiglio di Amministrazione sulla scorta di una perizia indipendente.</w:t>
      </w:r>
    </w:p>
    <w:p>
      <w:pPr>
        <w:pStyle w:val="BodyText"/>
        <w:spacing w:line="480" w:lineRule="auto"/>
        <w:ind w:left="1985" w:right="1412"/>
        <w:jc w:val="both"/>
      </w:pPr>
      <w:r>
        <w:rPr/>
        <w:t>Inoltre l’operazione ha determinato il rafforzamento del patrimonio netto di Biochemtex al 31 dicembre 2013 (che grazie alla rilevazione della plusvalenza originata dalla cessione si incrementa nell’esercizio 2013 sino ad euro 66.303.000), senza un immediato e diretto beneficio finanziario (bensì “mediato” e “indiretto” tramite l’iscrizione di un credito verso M&amp;G Finanziaria correlato alla operatività del cash pooling). Come detto nel precedente paragrafo 2.3.1., il risultato finale è stato quello di trasferire la licenza PET Proesa da Biochemtex a M&amp;G Usa Corporation e di consentire ad M&amp;G Finanziaria di estinguere un proprio debito nei confronti di Mossi &amp; Ghisolfi International Sarl (senza incasso per Biochemtex che in ultima analisi per effetto della cessione iscrive un credito nei confronti del </w:t>
      </w:r>
      <w:r>
        <w:rPr>
          <w:i/>
        </w:rPr>
        <w:t>cash pooling </w:t>
      </w:r>
      <w:r>
        <w:rPr/>
        <w:t>accentrato presso M&amp;G Finanziaria).</w:t>
      </w:r>
    </w:p>
    <w:p>
      <w:pPr>
        <w:pStyle w:val="BodyText"/>
        <w:spacing w:line="480" w:lineRule="auto"/>
        <w:ind w:left="1985" w:right="1414"/>
        <w:jc w:val="both"/>
      </w:pPr>
      <w:r>
        <w:rPr/>
        <w:t>Non risulta neppure che l’operazione sia stata oggetto di esame da parte del collegio sindacale di Biochemtex. Oltretutto, come già osservato per IBP Srl, anche Biochemtex risulta caratterizzata da una analoga carenza nei propri sistemi di controllo (si rileva in</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985" w:right="1421"/>
        <w:jc w:val="both"/>
      </w:pPr>
      <w:r>
        <w:rPr/>
        <w:t>particolare la mancata adozione del modello di organizzazione, gestione e controllo ex l. 231/2001).</w:t>
      </w:r>
    </w:p>
    <w:p>
      <w:pPr>
        <w:pStyle w:val="ListParagraph"/>
        <w:numPr>
          <w:ilvl w:val="0"/>
          <w:numId w:val="113"/>
        </w:numPr>
        <w:tabs>
          <w:tab w:pos="1986" w:val="left" w:leader="none"/>
        </w:tabs>
        <w:spacing w:line="480" w:lineRule="auto" w:before="0" w:after="0"/>
        <w:ind w:left="1985" w:right="1411" w:hanging="567"/>
        <w:jc w:val="both"/>
        <w:rPr>
          <w:sz w:val="24"/>
        </w:rPr>
      </w:pPr>
      <w:r>
        <w:rPr>
          <w:sz w:val="24"/>
        </w:rPr>
        <w:t>Al di là dell’ipotesi delineata nel punto precedente, una ulteriore possibile criticità si coglie nel valore di iscrizione della partecipazione in IBP Srl, quantomeno nel bilancio</w:t>
      </w:r>
      <w:r>
        <w:rPr>
          <w:spacing w:val="-30"/>
          <w:sz w:val="24"/>
        </w:rPr>
        <w:t> </w:t>
      </w:r>
      <w:r>
        <w:rPr>
          <w:sz w:val="24"/>
        </w:rPr>
        <w:t>2016.</w:t>
      </w:r>
    </w:p>
    <w:p>
      <w:pPr>
        <w:pStyle w:val="BodyText"/>
        <w:spacing w:line="480" w:lineRule="auto"/>
        <w:ind w:left="1985" w:right="1413"/>
        <w:jc w:val="both"/>
      </w:pPr>
      <w:r>
        <w:rPr/>
        <w:t>Si vedano le elaborazioni svolte nel precedente paragrafo 2.3.2 che in ultima analisi conducono all’ipotesi che il patrimonio netto di Biochemtex potesse essere negativo sin dall’esercizio 2016 (peraltro le condizioni di criticità finanziaria di Biochemtex esistenti da quel momento vengono confermate anche dalla dinamica dei rapporti con IBP Srl e con Unicredit descritte nei paragrafi 2.3.5 e 7 della relazione attestativa di IBP Srl ai quali si rinvia).</w:t>
      </w:r>
    </w:p>
    <w:p>
      <w:pPr>
        <w:pStyle w:val="ListParagraph"/>
        <w:numPr>
          <w:ilvl w:val="0"/>
          <w:numId w:val="113"/>
        </w:numPr>
        <w:tabs>
          <w:tab w:pos="1986" w:val="left" w:leader="none"/>
        </w:tabs>
        <w:spacing w:line="480" w:lineRule="auto" w:before="0" w:after="0"/>
        <w:ind w:left="1985" w:right="1414" w:hanging="567"/>
        <w:jc w:val="both"/>
        <w:rPr>
          <w:sz w:val="24"/>
        </w:rPr>
      </w:pPr>
      <w:r>
        <w:rPr>
          <w:sz w:val="24"/>
        </w:rPr>
        <w:t>Nel quadro delineato, gli effetti derivanti dalla continuazione della attività nell’esercizio 2017 non sembrerebbero </w:t>
      </w:r>
      <w:r>
        <w:rPr>
          <w:i/>
          <w:sz w:val="24"/>
        </w:rPr>
        <w:t>prima facie </w:t>
      </w:r>
      <w:r>
        <w:rPr>
          <w:sz w:val="24"/>
        </w:rPr>
        <w:t>negativi, posto che escludendo le poste non monetarie, la dinamica reddituale del periodo 1.1.17/15.10.2017 mostra risultati positivi a livello di EBITDA (margine operativo lordo) ed EBIT (reddito</w:t>
      </w:r>
      <w:r>
        <w:rPr>
          <w:spacing w:val="-29"/>
          <w:sz w:val="24"/>
        </w:rPr>
        <w:t> </w:t>
      </w:r>
      <w:r>
        <w:rPr>
          <w:sz w:val="24"/>
        </w:rPr>
        <w:t>operativo).</w:t>
      </w:r>
    </w:p>
    <w:p>
      <w:pPr>
        <w:pStyle w:val="BodyText"/>
        <w:ind w:left="1418"/>
        <w:jc w:val="both"/>
      </w:pPr>
      <w:r>
        <w:rPr/>
        <w:t>Tuttavia si deve osservare quanto segue.</w:t>
      </w:r>
    </w:p>
    <w:p>
      <w:pPr>
        <w:pStyle w:val="BodyText"/>
        <w:spacing w:before="11"/>
        <w:rPr>
          <w:sz w:val="23"/>
        </w:rPr>
      </w:pPr>
    </w:p>
    <w:p>
      <w:pPr>
        <w:pStyle w:val="BodyText"/>
        <w:spacing w:line="480" w:lineRule="auto"/>
        <w:ind w:left="1418" w:right="1410"/>
        <w:jc w:val="both"/>
      </w:pPr>
      <w:r>
        <w:rPr/>
        <w:t>Il pregiudizio subito dai creditori derivante dalla continuazione della attività non si correla necessariamente ad una diminuzione della garanzia patrimoniale causata dalle perdite operative medio tempore subite.</w:t>
      </w:r>
    </w:p>
    <w:p>
      <w:pPr>
        <w:pStyle w:val="BodyText"/>
        <w:spacing w:line="480" w:lineRule="auto"/>
        <w:ind w:left="1418" w:right="1410"/>
        <w:jc w:val="both"/>
      </w:pPr>
      <w:r>
        <w:rPr/>
        <w:t>Tale pregiudizio può infatti derivare anche dal diverso trattamento che la Società nel continuare la propria attività riserva a favore di alcuni creditori, a scapito di altri. In altri termini, il pregiudizio non si verifica qualora tutti i creditori siano pagati in proporzione ai rispettivi crediti, e nessun creditore percepisca un pagamento in misura superiore a quella che otterrebbe nell’ipotetica sede concorsuale. Viceversa, se ciò non avviene, il pagamento di taluni creditori “privilegiati” sottrae</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09"/>
        <w:jc w:val="both"/>
      </w:pPr>
      <w:r>
        <w:rPr/>
        <w:t>risorse agli altri creditori, con pregiudizio quantificabile nella minor quota di riparto a questi  ultimi spettante nell’ipotetica procedura</w:t>
      </w:r>
      <w:r>
        <w:rPr>
          <w:spacing w:val="-16"/>
        </w:rPr>
        <w:t> </w:t>
      </w:r>
      <w:r>
        <w:rPr/>
        <w:t>concorsuale.</w:t>
      </w:r>
    </w:p>
    <w:p>
      <w:pPr>
        <w:pStyle w:val="BodyText"/>
        <w:spacing w:line="480" w:lineRule="auto"/>
        <w:ind w:left="1418" w:right="1411"/>
        <w:jc w:val="both"/>
      </w:pPr>
      <w:r>
        <w:rPr/>
        <w:t>Ad avviso degli scriventi, potrebbero essere valutati in questa prospettiva i pagamenti effettuati a favore di BEI (per un totale di euro 5.909.091 in data 8 maggio 2017) e ad Unicredit (euro 4 milioni in data 6 luglio 2017 (in relazione alla escussione della garanzia da parte del committente Entsorga Westvirginia ed alla rivalsa di Unicredit sulla contro-garanzia di Biochemtex).</w:t>
      </w:r>
    </w:p>
    <w:p>
      <w:pPr>
        <w:pStyle w:val="BodyText"/>
        <w:spacing w:line="480" w:lineRule="auto"/>
        <w:ind w:left="1418" w:right="1411"/>
        <w:jc w:val="both"/>
      </w:pPr>
      <w:r>
        <w:rPr/>
        <w:t>Di tali effetti pregiudizievoli (rappresentati dal complessivo importo di euro 9,9 milioni, dal quale va sottratta la quota di riparto in ipotesi spettante ai beneficiari dei pagamenti – ipotizzabile nell’aliquota concordataria del 20%) potrebbero in ipotesi essere chiamati a rispondere gli organi sociali di Biochemtex per aver omesso la obbligatoria vigilanza sui fatti di gestione riportati, e di adottare gli strumenti messi a disposizione dall’ordinamento giuridico per elidere o quantomeno attenuare le conseguenze dannose.</w:t>
      </w:r>
    </w:p>
    <w:p>
      <w:pPr>
        <w:pStyle w:val="BodyText"/>
        <w:spacing w:line="480" w:lineRule="auto"/>
        <w:ind w:left="1418" w:right="1410"/>
        <w:jc w:val="both"/>
      </w:pPr>
      <w:r>
        <w:rPr/>
        <w:t>Sotto altro punto di vista, qualora risultasse provato che Biochemtex fosse priva di autonomia operativa e totalmente subordinata a direttive provenienti da altre società del Gruppo, potrebbe risultare l’obbligo risarcitorio ex art. 2497 c.c. di M&amp;G Finanziaria nei confronti di Biochemtex.</w:t>
      </w:r>
    </w:p>
    <w:p>
      <w:pPr>
        <w:pStyle w:val="BodyText"/>
        <w:spacing w:line="480" w:lineRule="auto"/>
        <w:ind w:left="1418" w:right="1414"/>
        <w:jc w:val="both"/>
      </w:pPr>
      <w:r>
        <w:rPr/>
        <w:t>Inoltre, di tali fatti potrebbero essere riconosciuti corresponsabili, </w:t>
      </w:r>
      <w:r>
        <w:rPr>
          <w:i/>
        </w:rPr>
        <w:t>ex </w:t>
      </w:r>
      <w:r>
        <w:rPr/>
        <w:t>art. 2497 c.c., anche i soggetti persone fisiche “apicali” di M&amp;G Finanziaria che hanno preso parte ai fatti</w:t>
      </w:r>
      <w:r>
        <w:rPr>
          <w:spacing w:val="-27"/>
        </w:rPr>
        <w:t> </w:t>
      </w:r>
      <w:r>
        <w:rPr/>
        <w:t>lesivi.</w:t>
      </w:r>
    </w:p>
    <w:p>
      <w:pPr>
        <w:pStyle w:val="BodyText"/>
        <w:spacing w:line="480" w:lineRule="auto"/>
        <w:ind w:left="1418" w:right="1411"/>
        <w:jc w:val="both"/>
      </w:pPr>
      <w:r>
        <w:rPr/>
        <w:t>In quest’ottica ed in una prospettiva più ampia andrebbe altresì approfondito se la genesi della esposizione creditizia di Biochemtex nei confronti di M&amp;G Finanziaria (alimentata anche dal finanziamento BEI) relativa al </w:t>
      </w:r>
      <w:r>
        <w:rPr>
          <w:i/>
        </w:rPr>
        <w:t>cash pooling </w:t>
      </w:r>
      <w:r>
        <w:rPr/>
        <w:t>- da cui deriva un credito sostanzialmente inesigibile verso M&amp;G Finanziaria di euro 33 milioni al 15 ottobre 2017 - abbia trovato ragione in  dimostrati “vantaggi compensativi” ottenuti nel tempo da</w:t>
      </w:r>
      <w:r>
        <w:rPr>
          <w:spacing w:val="-16"/>
        </w:rPr>
        <w:t> </w:t>
      </w:r>
      <w:r>
        <w:rPr/>
        <w:t>Biochemtex.</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13"/>
        <w:jc w:val="both"/>
      </w:pPr>
      <w:r>
        <w:rPr/>
        <w:t>Di seguito si riporta la tavola riepilogativa dei nominativi che hanno costituito l’organo amministrativo e di controllo di Biochemtex nel recente periodo (per completezza si riporta anche la composizione degli organi di M&amp;G</w:t>
      </w:r>
      <w:r>
        <w:rPr>
          <w:spacing w:val="-23"/>
        </w:rPr>
        <w:t> </w:t>
      </w:r>
      <w:r>
        <w:rPr/>
        <w:t>Finanziaria).</w:t>
      </w:r>
    </w:p>
    <w:p>
      <w:pPr>
        <w:tabs>
          <w:tab w:pos="7915" w:val="left" w:leader="none"/>
        </w:tabs>
        <w:spacing w:line="240" w:lineRule="auto"/>
        <w:ind w:left="4193" w:right="0" w:firstLine="0"/>
        <w:rPr>
          <w:sz w:val="20"/>
        </w:rPr>
      </w:pPr>
      <w:r>
        <w:rPr>
          <w:rFonts w:ascii="Times New Roman"/>
          <w:spacing w:val="-49"/>
          <w:sz w:val="20"/>
        </w:rPr>
        <w:t> </w:t>
      </w:r>
      <w:r>
        <w:rPr>
          <w:spacing w:val="-49"/>
          <w:sz w:val="20"/>
        </w:rPr>
        <w:pict>
          <v:shape style="width:172.15pt;height:25.35pt;mso-position-horizontal-relative:char;mso-position-vertical-relative:line" type="#_x0000_t202" filled="false" stroked="true" strokeweight=".47998pt" strokecolor="#a6a6a6">
            <w10:anchorlock/>
            <v:textbox inset="0,0,0,0">
              <w:txbxContent>
                <w:p>
                  <w:pPr>
                    <w:pStyle w:val="BodyText"/>
                    <w:spacing w:before="8"/>
                    <w:rPr>
                      <w:rFonts w:ascii="Times New Roman"/>
                      <w:sz w:val="21"/>
                    </w:rPr>
                  </w:pPr>
                </w:p>
                <w:p>
                  <w:pPr>
                    <w:spacing w:line="247" w:lineRule="exact" w:before="0"/>
                    <w:ind w:left="938" w:right="0" w:firstLine="0"/>
                    <w:jc w:val="left"/>
                    <w:rPr>
                      <w:b/>
                      <w:sz w:val="22"/>
                    </w:rPr>
                  </w:pPr>
                  <w:r>
                    <w:rPr>
                      <w:b/>
                      <w:sz w:val="22"/>
                    </w:rPr>
                    <w:t>Biochemtex SpA</w:t>
                  </w:r>
                </w:p>
              </w:txbxContent>
            </v:textbox>
            <v:stroke dashstyle="solid"/>
          </v:shape>
        </w:pict>
      </w:r>
      <w:r>
        <w:rPr>
          <w:spacing w:val="-49"/>
          <w:sz w:val="20"/>
        </w:rPr>
      </w:r>
      <w:r>
        <w:rPr>
          <w:spacing w:val="-49"/>
          <w:sz w:val="20"/>
        </w:rPr>
        <w:tab/>
      </w:r>
      <w:r>
        <w:rPr>
          <w:spacing w:val="-49"/>
          <w:sz w:val="20"/>
        </w:rPr>
        <w:pict>
          <v:shape style="width:113.1pt;height:25.35pt;mso-position-horizontal-relative:char;mso-position-vertical-relative:line" type="#_x0000_t202" filled="false" stroked="true" strokeweight=".47998pt" strokecolor="#a6a6a6">
            <w10:anchorlock/>
            <v:textbox inset="0,0,0,0">
              <w:txbxContent>
                <w:p>
                  <w:pPr>
                    <w:pStyle w:val="BodyText"/>
                    <w:spacing w:before="2"/>
                    <w:rPr>
                      <w:sz w:val="22"/>
                    </w:rPr>
                  </w:pPr>
                </w:p>
                <w:p>
                  <w:pPr>
                    <w:spacing w:line="247" w:lineRule="exact" w:before="0"/>
                    <w:ind w:left="81" w:right="0" w:firstLine="0"/>
                    <w:jc w:val="left"/>
                    <w:rPr>
                      <w:b/>
                      <w:sz w:val="22"/>
                    </w:rPr>
                  </w:pPr>
                  <w:r>
                    <w:rPr>
                      <w:b/>
                      <w:sz w:val="22"/>
                    </w:rPr>
                    <w:t>M&amp;G Finanziaria SpA</w:t>
                  </w:r>
                </w:p>
              </w:txbxContent>
            </v:textbox>
            <v:stroke dashstyle="solid"/>
          </v:shape>
        </w:pict>
      </w:r>
      <w:r>
        <w:rPr>
          <w:spacing w:val="-49"/>
          <w:sz w:val="20"/>
        </w:rPr>
      </w:r>
    </w:p>
    <w:p>
      <w:pPr>
        <w:tabs>
          <w:tab w:pos="6114" w:val="left" w:leader="none"/>
          <w:tab w:pos="8385" w:val="left" w:leader="none"/>
        </w:tabs>
        <w:spacing w:before="18"/>
        <w:ind w:left="5182" w:right="0" w:hanging="790"/>
        <w:jc w:val="left"/>
        <w:rPr>
          <w:i/>
          <w:sz w:val="22"/>
        </w:rPr>
      </w:pPr>
      <w:r>
        <w:rPr>
          <w:i/>
          <w:color w:val="808080"/>
          <w:sz w:val="22"/>
        </w:rPr>
        <w:t>dal</w:t>
      </w:r>
      <w:r>
        <w:rPr>
          <w:i/>
          <w:color w:val="808080"/>
          <w:spacing w:val="-1"/>
          <w:sz w:val="22"/>
        </w:rPr>
        <w:t> </w:t>
      </w:r>
      <w:r>
        <w:rPr>
          <w:i/>
          <w:color w:val="808080"/>
          <w:sz w:val="22"/>
        </w:rPr>
        <w:t>27/04/2017</w:t>
        <w:tab/>
        <w:t>dal</w:t>
      </w:r>
      <w:r>
        <w:rPr>
          <w:i/>
          <w:color w:val="808080"/>
          <w:spacing w:val="-1"/>
          <w:sz w:val="22"/>
        </w:rPr>
        <w:t> </w:t>
      </w:r>
      <w:r>
        <w:rPr>
          <w:i/>
          <w:color w:val="808080"/>
          <w:sz w:val="22"/>
        </w:rPr>
        <w:t>05/06/2014</w:t>
        <w:tab/>
        <w:t>dal</w:t>
      </w:r>
      <w:r>
        <w:rPr>
          <w:i/>
          <w:color w:val="808080"/>
          <w:spacing w:val="-2"/>
          <w:sz w:val="22"/>
        </w:rPr>
        <w:t> </w:t>
      </w:r>
      <w:r>
        <w:rPr>
          <w:i/>
          <w:color w:val="808080"/>
          <w:sz w:val="22"/>
        </w:rPr>
        <w:t>09/10/2015</w:t>
      </w:r>
    </w:p>
    <w:p>
      <w:pPr>
        <w:tabs>
          <w:tab w:pos="7914" w:val="left" w:leader="none"/>
        </w:tabs>
        <w:spacing w:line="240" w:lineRule="auto"/>
        <w:ind w:left="1414" w:right="0" w:firstLine="0"/>
        <w:rPr>
          <w:sz w:val="20"/>
        </w:rPr>
      </w:pPr>
      <w:r>
        <w:rPr>
          <w:sz w:val="20"/>
        </w:rPr>
        <w:pict>
          <v:shape style="width:311.850pt;height:119.55pt;mso-position-horizontal-relative:char;mso-position-vertical-relative:line" type="#_x0000_t202" filled="false" stroked="false">
            <w10:anchorlock/>
            <v:textbox inset="0,0,0,0">
              <w:txbxContent>
                <w:tbl>
                  <w:tblPr>
                    <w:tblW w:w="0" w:type="auto"/>
                    <w:jc w:val="lef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0" w:type="dxa"/>
                      <w:left w:w="0" w:type="dxa"/>
                      <w:bottom w:w="0" w:type="dxa"/>
                      <w:right w:w="0" w:type="dxa"/>
                    </w:tblCellMar>
                    <w:tblLook w:val="01E0"/>
                  </w:tblPr>
                  <w:tblGrid>
                    <w:gridCol w:w="900"/>
                    <w:gridCol w:w="1601"/>
                    <w:gridCol w:w="278"/>
                    <w:gridCol w:w="1721"/>
                    <w:gridCol w:w="1721"/>
                  </w:tblGrid>
                  <w:tr>
                    <w:trPr>
                      <w:trHeight w:val="341" w:hRule="exact"/>
                    </w:trPr>
                    <w:tc>
                      <w:tcPr>
                        <w:tcW w:w="900" w:type="dxa"/>
                        <w:vMerge w:val="restart"/>
                        <w:textDirection w:val="btLr"/>
                      </w:tcPr>
                      <w:p>
                        <w:pPr>
                          <w:pStyle w:val="TableParagraph"/>
                          <w:spacing w:before="9"/>
                          <w:jc w:val="left"/>
                          <w:rPr>
                            <w:i/>
                            <w:sz w:val="19"/>
                          </w:rPr>
                        </w:pPr>
                      </w:p>
                      <w:p>
                        <w:pPr>
                          <w:pStyle w:val="TableParagraph"/>
                          <w:spacing w:line="247" w:lineRule="auto" w:before="0"/>
                          <w:ind w:left="381" w:right="371" w:firstLine="237"/>
                          <w:jc w:val="left"/>
                          <w:rPr>
                            <w:b/>
                            <w:sz w:val="22"/>
                          </w:rPr>
                        </w:pPr>
                        <w:r>
                          <w:rPr>
                            <w:b/>
                            <w:spacing w:val="-1"/>
                            <w:w w:val="100"/>
                            <w:sz w:val="22"/>
                          </w:rPr>
                          <w:t>C</w:t>
                        </w:r>
                        <w:r>
                          <w:rPr>
                            <w:b/>
                            <w:w w:val="100"/>
                            <w:sz w:val="22"/>
                          </w:rPr>
                          <w:t>on</w:t>
                        </w:r>
                        <w:r>
                          <w:rPr>
                            <w:b/>
                            <w:spacing w:val="-1"/>
                            <w:w w:val="100"/>
                            <w:sz w:val="22"/>
                          </w:rPr>
                          <w:t>si</w:t>
                        </w:r>
                        <w:r>
                          <w:rPr>
                            <w:b/>
                            <w:w w:val="100"/>
                            <w:sz w:val="22"/>
                          </w:rPr>
                          <w:t>g</w:t>
                        </w:r>
                        <w:r>
                          <w:rPr>
                            <w:b/>
                            <w:spacing w:val="-1"/>
                            <w:w w:val="100"/>
                            <w:sz w:val="22"/>
                          </w:rPr>
                          <w:t>l</w:t>
                        </w:r>
                        <w:r>
                          <w:rPr>
                            <w:b/>
                            <w:spacing w:val="-2"/>
                            <w:w w:val="100"/>
                            <w:sz w:val="22"/>
                          </w:rPr>
                          <w:t>i</w:t>
                        </w:r>
                        <w:r>
                          <w:rPr>
                            <w:b/>
                            <w:w w:val="100"/>
                            <w:sz w:val="22"/>
                          </w:rPr>
                          <w:t>o</w:t>
                        </w:r>
                        <w:r>
                          <w:rPr>
                            <w:b/>
                            <w:sz w:val="22"/>
                          </w:rPr>
                          <w:t> </w:t>
                        </w:r>
                        <w:r>
                          <w:rPr>
                            <w:b/>
                            <w:w w:val="100"/>
                            <w:sz w:val="22"/>
                          </w:rPr>
                          <w:t>di </w:t>
                        </w:r>
                        <w:r>
                          <w:rPr>
                            <w:b/>
                            <w:spacing w:val="-1"/>
                            <w:w w:val="100"/>
                            <w:sz w:val="22"/>
                          </w:rPr>
                          <w:t>A</w:t>
                        </w:r>
                        <w:r>
                          <w:rPr>
                            <w:b/>
                            <w:w w:val="100"/>
                            <w:sz w:val="22"/>
                          </w:rPr>
                          <w:t>mm</w:t>
                        </w:r>
                        <w:r>
                          <w:rPr>
                            <w:b/>
                            <w:spacing w:val="-3"/>
                            <w:w w:val="100"/>
                            <w:sz w:val="22"/>
                          </w:rPr>
                          <w:t>i</w:t>
                        </w:r>
                        <w:r>
                          <w:rPr>
                            <w:b/>
                            <w:spacing w:val="-1"/>
                            <w:w w:val="100"/>
                            <w:sz w:val="22"/>
                          </w:rPr>
                          <w:t>n</w:t>
                        </w:r>
                        <w:r>
                          <w:rPr>
                            <w:b/>
                            <w:w w:val="100"/>
                            <w:sz w:val="22"/>
                          </w:rPr>
                          <w:t>i</w:t>
                        </w:r>
                        <w:r>
                          <w:rPr>
                            <w:b/>
                            <w:spacing w:val="-1"/>
                            <w:w w:val="100"/>
                            <w:sz w:val="22"/>
                          </w:rPr>
                          <w:t>s</w:t>
                        </w:r>
                        <w:r>
                          <w:rPr>
                            <w:b/>
                            <w:spacing w:val="-2"/>
                            <w:w w:val="100"/>
                            <w:sz w:val="22"/>
                          </w:rPr>
                          <w:t>t</w:t>
                        </w:r>
                        <w:r>
                          <w:rPr>
                            <w:b/>
                            <w:w w:val="100"/>
                            <w:sz w:val="22"/>
                          </w:rPr>
                          <w:t>razi</w:t>
                        </w:r>
                        <w:r>
                          <w:rPr>
                            <w:b/>
                            <w:spacing w:val="-3"/>
                            <w:w w:val="100"/>
                            <w:sz w:val="22"/>
                          </w:rPr>
                          <w:t>o</w:t>
                        </w:r>
                        <w:r>
                          <w:rPr>
                            <w:b/>
                            <w:spacing w:val="-1"/>
                            <w:w w:val="100"/>
                            <w:sz w:val="22"/>
                          </w:rPr>
                          <w:t>ne</w:t>
                        </w:r>
                      </w:p>
                    </w:tc>
                    <w:tc>
                      <w:tcPr>
                        <w:tcW w:w="1601" w:type="dxa"/>
                      </w:tcPr>
                      <w:p>
                        <w:pPr>
                          <w:pStyle w:val="TableParagraph"/>
                          <w:spacing w:before="82"/>
                          <w:ind w:right="62"/>
                          <w:rPr>
                            <w:i/>
                            <w:sz w:val="22"/>
                          </w:rPr>
                        </w:pPr>
                        <w:r>
                          <w:rPr>
                            <w:i/>
                            <w:sz w:val="22"/>
                          </w:rPr>
                          <w:t>Presdente</w:t>
                        </w:r>
                      </w:p>
                    </w:tc>
                    <w:tc>
                      <w:tcPr>
                        <w:tcW w:w="278" w:type="dxa"/>
                      </w:tcPr>
                      <w:p>
                        <w:pPr/>
                      </w:p>
                    </w:tc>
                    <w:tc>
                      <w:tcPr>
                        <w:tcW w:w="1721" w:type="dxa"/>
                        <w:vMerge w:val="restart"/>
                      </w:tcPr>
                      <w:p>
                        <w:pPr>
                          <w:pStyle w:val="TableParagraph"/>
                          <w:spacing w:line="242" w:lineRule="auto" w:before="87"/>
                          <w:ind w:left="475" w:right="438" w:hanging="22"/>
                          <w:jc w:val="left"/>
                          <w:rPr>
                            <w:sz w:val="22"/>
                          </w:rPr>
                        </w:pPr>
                        <w:r>
                          <w:rPr>
                            <w:sz w:val="22"/>
                          </w:rPr>
                          <w:t>Giovanni Bolcheni</w:t>
                        </w:r>
                      </w:p>
                    </w:tc>
                    <w:tc>
                      <w:tcPr>
                        <w:tcW w:w="1721" w:type="dxa"/>
                        <w:vMerge w:val="restart"/>
                      </w:tcPr>
                      <w:p>
                        <w:pPr>
                          <w:pStyle w:val="TableParagraph"/>
                          <w:spacing w:line="242" w:lineRule="auto" w:before="87"/>
                          <w:ind w:left="475" w:right="439" w:hanging="22"/>
                          <w:jc w:val="left"/>
                          <w:rPr>
                            <w:sz w:val="22"/>
                          </w:rPr>
                        </w:pPr>
                        <w:r>
                          <w:rPr>
                            <w:sz w:val="22"/>
                          </w:rPr>
                          <w:t>Giovanni Bolcheni</w:t>
                        </w:r>
                      </w:p>
                    </w:tc>
                  </w:tr>
                  <w:tr>
                    <w:trPr>
                      <w:trHeight w:val="338" w:hRule="exact"/>
                    </w:trPr>
                    <w:tc>
                      <w:tcPr>
                        <w:tcW w:w="900" w:type="dxa"/>
                        <w:vMerge/>
                        <w:textDirection w:val="btLr"/>
                      </w:tcPr>
                      <w:p>
                        <w:pPr/>
                      </w:p>
                    </w:tc>
                    <w:tc>
                      <w:tcPr>
                        <w:tcW w:w="1601" w:type="dxa"/>
                      </w:tcPr>
                      <w:p>
                        <w:pPr>
                          <w:pStyle w:val="TableParagraph"/>
                          <w:spacing w:before="81"/>
                          <w:ind w:right="64"/>
                          <w:rPr>
                            <w:i/>
                            <w:sz w:val="22"/>
                          </w:rPr>
                        </w:pPr>
                        <w:r>
                          <w:rPr>
                            <w:i/>
                            <w:sz w:val="22"/>
                          </w:rPr>
                          <w:t>A.D.</w:t>
                        </w:r>
                      </w:p>
                    </w:tc>
                    <w:tc>
                      <w:tcPr>
                        <w:tcW w:w="278" w:type="dxa"/>
                      </w:tcPr>
                      <w:p>
                        <w:pPr/>
                      </w:p>
                    </w:tc>
                    <w:tc>
                      <w:tcPr>
                        <w:tcW w:w="1721" w:type="dxa"/>
                        <w:vMerge/>
                      </w:tcPr>
                      <w:p>
                        <w:pPr/>
                      </w:p>
                    </w:tc>
                    <w:tc>
                      <w:tcPr>
                        <w:tcW w:w="1721" w:type="dxa"/>
                        <w:vMerge/>
                      </w:tcPr>
                      <w:p>
                        <w:pPr/>
                      </w:p>
                    </w:tc>
                  </w:tr>
                  <w:tr>
                    <w:trPr>
                      <w:trHeight w:val="341" w:hRule="exact"/>
                    </w:trPr>
                    <w:tc>
                      <w:tcPr>
                        <w:tcW w:w="900" w:type="dxa"/>
                        <w:vMerge/>
                        <w:textDirection w:val="btLr"/>
                      </w:tcPr>
                      <w:p>
                        <w:pPr/>
                      </w:p>
                    </w:tc>
                    <w:tc>
                      <w:tcPr>
                        <w:tcW w:w="1601" w:type="dxa"/>
                      </w:tcPr>
                      <w:p>
                        <w:pPr>
                          <w:pStyle w:val="TableParagraph"/>
                          <w:spacing w:before="84"/>
                          <w:ind w:right="64"/>
                          <w:rPr>
                            <w:i/>
                            <w:sz w:val="22"/>
                          </w:rPr>
                        </w:pPr>
                        <w:r>
                          <w:rPr>
                            <w:i/>
                            <w:sz w:val="22"/>
                          </w:rPr>
                          <w:t>A.D.</w:t>
                        </w:r>
                      </w:p>
                    </w:tc>
                    <w:tc>
                      <w:tcPr>
                        <w:tcW w:w="3721" w:type="dxa"/>
                        <w:gridSpan w:val="3"/>
                        <w:tcBorders>
                          <w:right w:val="nil"/>
                        </w:tcBorders>
                      </w:tcPr>
                      <w:p>
                        <w:pPr/>
                      </w:p>
                    </w:tc>
                  </w:tr>
                  <w:tr>
                    <w:trPr>
                      <w:trHeight w:val="341" w:hRule="exact"/>
                    </w:trPr>
                    <w:tc>
                      <w:tcPr>
                        <w:tcW w:w="900" w:type="dxa"/>
                        <w:vMerge/>
                        <w:textDirection w:val="btLr"/>
                      </w:tcPr>
                      <w:p>
                        <w:pPr/>
                      </w:p>
                    </w:tc>
                    <w:tc>
                      <w:tcPr>
                        <w:tcW w:w="1601" w:type="dxa"/>
                      </w:tcPr>
                      <w:p>
                        <w:pPr>
                          <w:pStyle w:val="TableParagraph"/>
                          <w:spacing w:before="81"/>
                          <w:ind w:right="64"/>
                          <w:rPr>
                            <w:i/>
                            <w:sz w:val="22"/>
                          </w:rPr>
                        </w:pPr>
                        <w:r>
                          <w:rPr>
                            <w:i/>
                            <w:sz w:val="22"/>
                          </w:rPr>
                          <w:t>consigliere</w:t>
                        </w:r>
                      </w:p>
                    </w:tc>
                    <w:tc>
                      <w:tcPr>
                        <w:tcW w:w="278" w:type="dxa"/>
                      </w:tcPr>
                      <w:p>
                        <w:pPr/>
                      </w:p>
                    </w:tc>
                    <w:tc>
                      <w:tcPr>
                        <w:tcW w:w="1721" w:type="dxa"/>
                      </w:tcPr>
                      <w:p>
                        <w:pPr>
                          <w:pStyle w:val="TableParagraph"/>
                          <w:spacing w:before="81"/>
                          <w:ind w:left="83" w:right="83"/>
                          <w:jc w:val="center"/>
                          <w:rPr>
                            <w:sz w:val="22"/>
                          </w:rPr>
                        </w:pPr>
                        <w:r>
                          <w:rPr>
                            <w:sz w:val="22"/>
                          </w:rPr>
                          <w:t>Dario Giordano</w:t>
                        </w:r>
                      </w:p>
                    </w:tc>
                    <w:tc>
                      <w:tcPr>
                        <w:tcW w:w="1721" w:type="dxa"/>
                      </w:tcPr>
                      <w:p>
                        <w:pPr>
                          <w:pStyle w:val="TableParagraph"/>
                          <w:spacing w:before="81"/>
                          <w:ind w:left="62" w:right="63"/>
                          <w:jc w:val="center"/>
                          <w:rPr>
                            <w:sz w:val="22"/>
                          </w:rPr>
                        </w:pPr>
                        <w:r>
                          <w:rPr>
                            <w:sz w:val="22"/>
                          </w:rPr>
                          <w:t>Dario Giordano</w:t>
                        </w:r>
                      </w:p>
                    </w:tc>
                  </w:tr>
                  <w:tr>
                    <w:trPr>
                      <w:trHeight w:val="338" w:hRule="exact"/>
                    </w:trPr>
                    <w:tc>
                      <w:tcPr>
                        <w:tcW w:w="900" w:type="dxa"/>
                        <w:vMerge/>
                        <w:textDirection w:val="btLr"/>
                      </w:tcPr>
                      <w:p>
                        <w:pPr/>
                      </w:p>
                    </w:tc>
                    <w:tc>
                      <w:tcPr>
                        <w:tcW w:w="1601" w:type="dxa"/>
                      </w:tcPr>
                      <w:p>
                        <w:pPr>
                          <w:pStyle w:val="TableParagraph"/>
                          <w:spacing w:before="81"/>
                          <w:ind w:right="64"/>
                          <w:rPr>
                            <w:i/>
                            <w:sz w:val="22"/>
                          </w:rPr>
                        </w:pPr>
                        <w:r>
                          <w:rPr>
                            <w:i/>
                            <w:sz w:val="22"/>
                          </w:rPr>
                          <w:t>consigliere</w:t>
                        </w:r>
                      </w:p>
                    </w:tc>
                    <w:tc>
                      <w:tcPr>
                        <w:tcW w:w="278" w:type="dxa"/>
                      </w:tcPr>
                      <w:p>
                        <w:pPr/>
                      </w:p>
                    </w:tc>
                    <w:tc>
                      <w:tcPr>
                        <w:tcW w:w="1721" w:type="dxa"/>
                      </w:tcPr>
                      <w:p>
                        <w:pPr>
                          <w:pStyle w:val="TableParagraph"/>
                          <w:spacing w:before="81"/>
                          <w:ind w:left="83" w:right="83"/>
                          <w:jc w:val="center"/>
                          <w:rPr>
                            <w:sz w:val="22"/>
                          </w:rPr>
                        </w:pPr>
                        <w:r>
                          <w:rPr>
                            <w:sz w:val="22"/>
                          </w:rPr>
                          <w:t>Stock Pedro Losa</w:t>
                        </w:r>
                      </w:p>
                    </w:tc>
                    <w:tc>
                      <w:tcPr>
                        <w:tcW w:w="1721" w:type="dxa"/>
                      </w:tcPr>
                      <w:p>
                        <w:pPr>
                          <w:pStyle w:val="TableParagraph"/>
                          <w:spacing w:before="81"/>
                          <w:ind w:left="63" w:right="63"/>
                          <w:jc w:val="center"/>
                          <w:rPr>
                            <w:sz w:val="22"/>
                          </w:rPr>
                        </w:pPr>
                        <w:r>
                          <w:rPr>
                            <w:sz w:val="22"/>
                          </w:rPr>
                          <w:t>Stock Pedro Losa'</w:t>
                        </w:r>
                      </w:p>
                    </w:tc>
                  </w:tr>
                  <w:tr>
                    <w:trPr>
                      <w:trHeight w:val="341" w:hRule="exact"/>
                    </w:trPr>
                    <w:tc>
                      <w:tcPr>
                        <w:tcW w:w="900" w:type="dxa"/>
                        <w:vMerge/>
                        <w:textDirection w:val="btLr"/>
                      </w:tcPr>
                      <w:p>
                        <w:pPr/>
                      </w:p>
                    </w:tc>
                    <w:tc>
                      <w:tcPr>
                        <w:tcW w:w="1601" w:type="dxa"/>
                      </w:tcPr>
                      <w:p>
                        <w:pPr>
                          <w:pStyle w:val="TableParagraph"/>
                          <w:spacing w:before="84"/>
                          <w:ind w:right="64"/>
                          <w:rPr>
                            <w:i/>
                            <w:sz w:val="22"/>
                          </w:rPr>
                        </w:pPr>
                        <w:r>
                          <w:rPr>
                            <w:i/>
                            <w:sz w:val="22"/>
                          </w:rPr>
                          <w:t>consigliere</w:t>
                        </w:r>
                      </w:p>
                    </w:tc>
                    <w:tc>
                      <w:tcPr>
                        <w:tcW w:w="2000" w:type="dxa"/>
                        <w:gridSpan w:val="2"/>
                        <w:vMerge w:val="restart"/>
                      </w:tcPr>
                      <w:p>
                        <w:pPr/>
                      </w:p>
                    </w:tc>
                    <w:tc>
                      <w:tcPr>
                        <w:tcW w:w="1721" w:type="dxa"/>
                      </w:tcPr>
                      <w:p>
                        <w:pPr>
                          <w:pStyle w:val="TableParagraph"/>
                          <w:spacing w:before="84"/>
                          <w:ind w:left="63" w:right="63"/>
                          <w:jc w:val="center"/>
                          <w:rPr>
                            <w:sz w:val="22"/>
                          </w:rPr>
                        </w:pPr>
                        <w:r>
                          <w:rPr>
                            <w:sz w:val="22"/>
                          </w:rPr>
                          <w:t>Mauro Osella''</w:t>
                        </w:r>
                      </w:p>
                    </w:tc>
                  </w:tr>
                  <w:tr>
                    <w:trPr>
                      <w:trHeight w:val="341" w:hRule="exact"/>
                    </w:trPr>
                    <w:tc>
                      <w:tcPr>
                        <w:tcW w:w="900" w:type="dxa"/>
                        <w:vMerge/>
                        <w:textDirection w:val="btLr"/>
                      </w:tcPr>
                      <w:p>
                        <w:pPr/>
                      </w:p>
                    </w:tc>
                    <w:tc>
                      <w:tcPr>
                        <w:tcW w:w="1601" w:type="dxa"/>
                      </w:tcPr>
                      <w:p>
                        <w:pPr>
                          <w:pStyle w:val="TableParagraph"/>
                          <w:spacing w:before="81"/>
                          <w:ind w:right="64"/>
                          <w:rPr>
                            <w:i/>
                            <w:sz w:val="22"/>
                          </w:rPr>
                        </w:pPr>
                        <w:r>
                          <w:rPr>
                            <w:i/>
                            <w:sz w:val="22"/>
                          </w:rPr>
                          <w:t>consigliere</w:t>
                        </w:r>
                      </w:p>
                    </w:tc>
                    <w:tc>
                      <w:tcPr>
                        <w:tcW w:w="2000" w:type="dxa"/>
                        <w:gridSpan w:val="2"/>
                        <w:vMerge/>
                        <w:tcBorders>
                          <w:bottom w:val="nil"/>
                        </w:tcBorders>
                      </w:tcPr>
                      <w:p>
                        <w:pPr/>
                      </w:p>
                    </w:tc>
                    <w:tc>
                      <w:tcPr>
                        <w:tcW w:w="1721" w:type="dxa"/>
                      </w:tcPr>
                      <w:p>
                        <w:pPr>
                          <w:pStyle w:val="TableParagraph"/>
                          <w:spacing w:before="81"/>
                          <w:ind w:left="60" w:right="63"/>
                          <w:jc w:val="center"/>
                          <w:rPr>
                            <w:sz w:val="22"/>
                          </w:rPr>
                        </w:pPr>
                        <w:r>
                          <w:rPr>
                            <w:sz w:val="22"/>
                          </w:rPr>
                          <w:t>Mario Murri''</w:t>
                        </w:r>
                      </w:p>
                    </w:tc>
                  </w:tr>
                </w:tbl>
                <w:p>
                  <w:pPr>
                    <w:pStyle w:val="BodyText"/>
                  </w:pPr>
                </w:p>
              </w:txbxContent>
            </v:textbox>
          </v:shape>
        </w:pict>
      </w:r>
      <w:r>
        <w:rPr>
          <w:sz w:val="20"/>
        </w:rPr>
      </w:r>
      <w:r>
        <w:rPr>
          <w:sz w:val="20"/>
        </w:rPr>
        <w:tab/>
      </w:r>
      <w:r>
        <w:rPr>
          <w:position w:val="102"/>
          <w:sz w:val="20"/>
        </w:rPr>
        <w:pict>
          <v:shape style="width:113.8pt;height:68.55pt;mso-position-horizontal-relative:char;mso-position-vertical-relative:line" type="#_x0000_t202" filled="false" stroked="false">
            <w10:anchorlock/>
            <v:textbox inset="0,0,0,0">
              <w:txbxContent>
                <w:tbl>
                  <w:tblPr>
                    <w:tblW w:w="0" w:type="auto"/>
                    <w:jc w:val="lef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0" w:type="dxa"/>
                      <w:left w:w="0" w:type="dxa"/>
                      <w:bottom w:w="0" w:type="dxa"/>
                      <w:right w:w="0" w:type="dxa"/>
                    </w:tblCellMar>
                    <w:tblLook w:val="01E0"/>
                  </w:tblPr>
                  <w:tblGrid>
                    <w:gridCol w:w="2261"/>
                  </w:tblGrid>
                  <w:tr>
                    <w:trPr>
                      <w:trHeight w:val="341" w:hRule="exact"/>
                    </w:trPr>
                    <w:tc>
                      <w:tcPr>
                        <w:tcW w:w="2261" w:type="dxa"/>
                      </w:tcPr>
                      <w:p>
                        <w:pPr>
                          <w:pStyle w:val="TableParagraph"/>
                          <w:spacing w:before="82"/>
                          <w:ind w:left="299" w:right="300"/>
                          <w:jc w:val="center"/>
                          <w:rPr>
                            <w:sz w:val="22"/>
                          </w:rPr>
                        </w:pPr>
                        <w:r>
                          <w:rPr>
                            <w:sz w:val="22"/>
                          </w:rPr>
                          <w:t>Vittorio Ghisolfi</w:t>
                        </w:r>
                      </w:p>
                    </w:tc>
                  </w:tr>
                  <w:tr>
                    <w:trPr>
                      <w:trHeight w:val="338" w:hRule="exact"/>
                    </w:trPr>
                    <w:tc>
                      <w:tcPr>
                        <w:tcW w:w="2261" w:type="dxa"/>
                      </w:tcPr>
                      <w:p>
                        <w:pPr>
                          <w:pStyle w:val="TableParagraph"/>
                          <w:spacing w:before="81"/>
                          <w:ind w:left="299" w:right="300"/>
                          <w:jc w:val="center"/>
                          <w:rPr>
                            <w:sz w:val="22"/>
                          </w:rPr>
                        </w:pPr>
                        <w:r>
                          <w:rPr>
                            <w:sz w:val="22"/>
                          </w:rPr>
                          <w:t>Marco Ghisolfi</w:t>
                        </w:r>
                      </w:p>
                    </w:tc>
                  </w:tr>
                  <w:tr>
                    <w:trPr>
                      <w:trHeight w:val="341" w:hRule="exact"/>
                    </w:trPr>
                    <w:tc>
                      <w:tcPr>
                        <w:tcW w:w="2261" w:type="dxa"/>
                      </w:tcPr>
                      <w:p>
                        <w:pPr>
                          <w:pStyle w:val="TableParagraph"/>
                          <w:spacing w:before="84"/>
                          <w:ind w:left="300" w:right="300"/>
                          <w:jc w:val="center"/>
                          <w:rPr>
                            <w:sz w:val="22"/>
                          </w:rPr>
                        </w:pPr>
                        <w:r>
                          <w:rPr>
                            <w:sz w:val="22"/>
                          </w:rPr>
                          <w:t>Giovanni Bolcheni</w:t>
                        </w:r>
                      </w:p>
                    </w:tc>
                  </w:tr>
                  <w:tr>
                    <w:trPr>
                      <w:trHeight w:val="341" w:hRule="exact"/>
                    </w:trPr>
                    <w:tc>
                      <w:tcPr>
                        <w:tcW w:w="2261" w:type="dxa"/>
                      </w:tcPr>
                      <w:p>
                        <w:pPr>
                          <w:pStyle w:val="TableParagraph"/>
                          <w:spacing w:before="81"/>
                          <w:ind w:left="299" w:right="300"/>
                          <w:jc w:val="center"/>
                          <w:rPr>
                            <w:sz w:val="22"/>
                          </w:rPr>
                        </w:pPr>
                        <w:r>
                          <w:rPr>
                            <w:sz w:val="22"/>
                          </w:rPr>
                          <w:t>Merli Enrico</w:t>
                        </w:r>
                      </w:p>
                    </w:tc>
                  </w:tr>
                </w:tbl>
                <w:p>
                  <w:pPr>
                    <w:pStyle w:val="BodyText"/>
                  </w:pPr>
                </w:p>
              </w:txbxContent>
            </v:textbox>
          </v:shape>
        </w:pict>
      </w:r>
      <w:r>
        <w:rPr>
          <w:position w:val="102"/>
          <w:sz w:val="20"/>
        </w:rPr>
      </w:r>
    </w:p>
    <w:p>
      <w:pPr>
        <w:pStyle w:val="BodyText"/>
        <w:spacing w:before="4"/>
        <w:rPr>
          <w:i/>
          <w:sz w:val="18"/>
        </w:rPr>
      </w:pPr>
      <w:r>
        <w:rPr/>
        <w:pict>
          <v:shape style="position:absolute;margin-left:209.929993pt;margin-top:12.554996pt;width:172.15pt;height:16.95pt;mso-position-horizontal-relative:page;mso-position-vertical-relative:paragraph;z-index:4432;mso-wrap-distance-left:0;mso-wrap-distance-right:0" type="#_x0000_t202" filled="false" stroked="true" strokeweight=".47998pt" strokecolor="#a6a6a6">
            <v:textbox inset="0,0,0,0">
              <w:txbxContent>
                <w:p>
                  <w:pPr>
                    <w:spacing w:line="247" w:lineRule="exact" w:before="81"/>
                    <w:ind w:left="938" w:right="0" w:firstLine="0"/>
                    <w:jc w:val="left"/>
                    <w:rPr>
                      <w:b/>
                      <w:sz w:val="22"/>
                    </w:rPr>
                  </w:pPr>
                  <w:r>
                    <w:rPr>
                      <w:b/>
                      <w:sz w:val="22"/>
                    </w:rPr>
                    <w:t>Biochemtex SpA</w:t>
                  </w:r>
                </w:p>
              </w:txbxContent>
            </v:textbox>
            <v:stroke dashstyle="solid"/>
            <w10:wrap type="topAndBottom"/>
          </v:shape>
        </w:pict>
      </w:r>
      <w:r>
        <w:rPr/>
        <w:pict>
          <v:shape style="position:absolute;margin-left:395.980011pt;margin-top:12.554996pt;width:113.1pt;height:16.95pt;mso-position-horizontal-relative:page;mso-position-vertical-relative:paragraph;z-index:4456;mso-wrap-distance-left:0;mso-wrap-distance-right:0" type="#_x0000_t202" filled="false" stroked="true" strokeweight=".47998pt" strokecolor="#a6a6a6">
            <v:textbox inset="0,0,0,0">
              <w:txbxContent>
                <w:p>
                  <w:pPr>
                    <w:spacing w:line="247" w:lineRule="exact" w:before="81"/>
                    <w:ind w:left="81" w:right="0" w:firstLine="0"/>
                    <w:jc w:val="left"/>
                    <w:rPr>
                      <w:b/>
                      <w:sz w:val="22"/>
                    </w:rPr>
                  </w:pPr>
                  <w:r>
                    <w:rPr>
                      <w:b/>
                      <w:sz w:val="22"/>
                    </w:rPr>
                    <w:t>M&amp;G Finanziaria SpA</w:t>
                  </w:r>
                </w:p>
              </w:txbxContent>
            </v:textbox>
            <v:stroke dashstyle="solid"/>
            <w10:wrap type="topAndBottom"/>
          </v:shape>
        </w:pict>
      </w:r>
    </w:p>
    <w:p>
      <w:pPr>
        <w:tabs>
          <w:tab w:pos="8385" w:val="left" w:leader="none"/>
        </w:tabs>
        <w:spacing w:before="54"/>
        <w:ind w:left="5182" w:right="0" w:firstLine="0"/>
        <w:jc w:val="left"/>
        <w:rPr>
          <w:i/>
          <w:sz w:val="22"/>
        </w:rPr>
      </w:pPr>
      <w:r>
        <w:rPr>
          <w:i/>
          <w:color w:val="808080"/>
          <w:sz w:val="22"/>
        </w:rPr>
        <w:t>dal</w:t>
      </w:r>
      <w:r>
        <w:rPr>
          <w:i/>
          <w:color w:val="808080"/>
          <w:spacing w:val="-1"/>
          <w:sz w:val="22"/>
        </w:rPr>
        <w:t> </w:t>
      </w:r>
      <w:r>
        <w:rPr>
          <w:i/>
          <w:color w:val="808080"/>
          <w:sz w:val="22"/>
        </w:rPr>
        <w:t>23/05/2013</w:t>
      </w:r>
      <w:r>
        <w:rPr>
          <w:i/>
          <w:color w:val="808080"/>
          <w:spacing w:val="-1"/>
          <w:sz w:val="22"/>
        </w:rPr>
        <w:t> </w:t>
      </w:r>
      <w:r>
        <w:rPr>
          <w:i/>
          <w:color w:val="808080"/>
          <w:sz w:val="22"/>
        </w:rPr>
        <w:t>°</w:t>
        <w:tab/>
        <w:t>dal</w:t>
      </w:r>
      <w:r>
        <w:rPr>
          <w:i/>
          <w:color w:val="808080"/>
          <w:spacing w:val="-2"/>
          <w:sz w:val="22"/>
        </w:rPr>
        <w:t> </w:t>
      </w:r>
      <w:r>
        <w:rPr>
          <w:i/>
          <w:color w:val="808080"/>
          <w:sz w:val="22"/>
        </w:rPr>
        <w:t>14/10/2015</w:t>
      </w:r>
    </w:p>
    <w:p>
      <w:pPr>
        <w:tabs>
          <w:tab w:pos="7914" w:val="left" w:leader="none"/>
        </w:tabs>
        <w:spacing w:line="240" w:lineRule="auto"/>
        <w:ind w:left="1414" w:right="0" w:firstLine="0"/>
        <w:rPr>
          <w:sz w:val="20"/>
        </w:rPr>
      </w:pPr>
      <w:r>
        <w:rPr>
          <w:sz w:val="20"/>
        </w:rPr>
        <w:pict>
          <v:shape style="width:311.850pt;height:51.5pt;mso-position-horizontal-relative:char;mso-position-vertical-relative:line" type="#_x0000_t202" filled="false" stroked="false">
            <w10:anchorlock/>
            <v:textbox inset="0,0,0,0">
              <w:txbxContent>
                <w:tbl>
                  <w:tblPr>
                    <w:tblW w:w="0" w:type="auto"/>
                    <w:jc w:val="lef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0" w:type="dxa"/>
                      <w:left w:w="0" w:type="dxa"/>
                      <w:bottom w:w="0" w:type="dxa"/>
                      <w:right w:w="0" w:type="dxa"/>
                    </w:tblCellMar>
                    <w:tblLook w:val="01E0"/>
                  </w:tblPr>
                  <w:tblGrid>
                    <w:gridCol w:w="900"/>
                    <w:gridCol w:w="1601"/>
                    <w:gridCol w:w="278"/>
                    <w:gridCol w:w="3443"/>
                  </w:tblGrid>
                  <w:tr>
                    <w:trPr>
                      <w:trHeight w:val="341" w:hRule="exact"/>
                    </w:trPr>
                    <w:tc>
                      <w:tcPr>
                        <w:tcW w:w="900" w:type="dxa"/>
                        <w:vMerge w:val="restart"/>
                        <w:textDirection w:val="btLr"/>
                      </w:tcPr>
                      <w:p>
                        <w:pPr>
                          <w:pStyle w:val="TableParagraph"/>
                          <w:spacing w:before="9"/>
                          <w:jc w:val="left"/>
                          <w:rPr>
                            <w:i/>
                            <w:sz w:val="19"/>
                          </w:rPr>
                        </w:pPr>
                      </w:p>
                      <w:p>
                        <w:pPr>
                          <w:pStyle w:val="TableParagraph"/>
                          <w:spacing w:line="247" w:lineRule="auto" w:before="0"/>
                          <w:ind w:left="59" w:right="47" w:firstLine="55"/>
                          <w:jc w:val="left"/>
                          <w:rPr>
                            <w:b/>
                            <w:sz w:val="22"/>
                          </w:rPr>
                        </w:pPr>
                        <w:r>
                          <w:rPr>
                            <w:b/>
                            <w:spacing w:val="-1"/>
                            <w:w w:val="100"/>
                            <w:sz w:val="22"/>
                          </w:rPr>
                          <w:t>C</w:t>
                        </w:r>
                        <w:r>
                          <w:rPr>
                            <w:b/>
                            <w:w w:val="100"/>
                            <w:sz w:val="22"/>
                          </w:rPr>
                          <w:t>ollegio </w:t>
                        </w:r>
                        <w:r>
                          <w:rPr>
                            <w:b/>
                            <w:spacing w:val="-1"/>
                            <w:w w:val="100"/>
                            <w:sz w:val="22"/>
                          </w:rPr>
                          <w:t>Si</w:t>
                        </w:r>
                        <w:r>
                          <w:rPr>
                            <w:b/>
                            <w:w w:val="100"/>
                            <w:sz w:val="22"/>
                          </w:rPr>
                          <w:t>n</w:t>
                        </w:r>
                        <w:r>
                          <w:rPr>
                            <w:b/>
                            <w:spacing w:val="-1"/>
                            <w:w w:val="100"/>
                            <w:sz w:val="22"/>
                          </w:rPr>
                          <w:t>dac</w:t>
                        </w:r>
                        <w:r>
                          <w:rPr>
                            <w:b/>
                            <w:spacing w:val="-3"/>
                            <w:w w:val="100"/>
                            <w:sz w:val="22"/>
                          </w:rPr>
                          <w:t>a</w:t>
                        </w:r>
                        <w:r>
                          <w:rPr>
                            <w:b/>
                            <w:spacing w:val="-1"/>
                            <w:w w:val="100"/>
                            <w:sz w:val="22"/>
                          </w:rPr>
                          <w:t>le</w:t>
                        </w:r>
                      </w:p>
                    </w:tc>
                    <w:tc>
                      <w:tcPr>
                        <w:tcW w:w="1601" w:type="dxa"/>
                      </w:tcPr>
                      <w:p>
                        <w:pPr>
                          <w:pStyle w:val="TableParagraph"/>
                          <w:spacing w:before="84"/>
                          <w:ind w:right="65"/>
                          <w:rPr>
                            <w:i/>
                            <w:sz w:val="22"/>
                          </w:rPr>
                        </w:pPr>
                        <w:r>
                          <w:rPr>
                            <w:i/>
                            <w:sz w:val="22"/>
                          </w:rPr>
                          <w:t>Presidente</w:t>
                        </w:r>
                      </w:p>
                    </w:tc>
                    <w:tc>
                      <w:tcPr>
                        <w:tcW w:w="278" w:type="dxa"/>
                      </w:tcPr>
                      <w:p>
                        <w:pPr/>
                      </w:p>
                    </w:tc>
                    <w:tc>
                      <w:tcPr>
                        <w:tcW w:w="3443" w:type="dxa"/>
                      </w:tcPr>
                      <w:p>
                        <w:pPr>
                          <w:pStyle w:val="TableParagraph"/>
                          <w:spacing w:before="84"/>
                          <w:ind w:left="965" w:right="965"/>
                          <w:jc w:val="center"/>
                          <w:rPr>
                            <w:sz w:val="22"/>
                          </w:rPr>
                        </w:pPr>
                        <w:r>
                          <w:rPr>
                            <w:sz w:val="22"/>
                          </w:rPr>
                          <w:t>Davio Dante</w:t>
                        </w:r>
                      </w:p>
                    </w:tc>
                  </w:tr>
                  <w:tr>
                    <w:trPr>
                      <w:trHeight w:val="338" w:hRule="exact"/>
                    </w:trPr>
                    <w:tc>
                      <w:tcPr>
                        <w:tcW w:w="900" w:type="dxa"/>
                        <w:vMerge/>
                        <w:textDirection w:val="btLr"/>
                      </w:tcPr>
                      <w:p>
                        <w:pPr/>
                      </w:p>
                    </w:tc>
                    <w:tc>
                      <w:tcPr>
                        <w:tcW w:w="1601" w:type="dxa"/>
                      </w:tcPr>
                      <w:p>
                        <w:pPr>
                          <w:pStyle w:val="TableParagraph"/>
                          <w:spacing w:before="81"/>
                          <w:ind w:right="63"/>
                          <w:rPr>
                            <w:i/>
                            <w:sz w:val="22"/>
                          </w:rPr>
                        </w:pPr>
                        <w:r>
                          <w:rPr>
                            <w:i/>
                            <w:sz w:val="22"/>
                          </w:rPr>
                          <w:t>effettivo</w:t>
                        </w:r>
                      </w:p>
                    </w:tc>
                    <w:tc>
                      <w:tcPr>
                        <w:tcW w:w="278" w:type="dxa"/>
                      </w:tcPr>
                      <w:p>
                        <w:pPr/>
                      </w:p>
                    </w:tc>
                    <w:tc>
                      <w:tcPr>
                        <w:tcW w:w="3443" w:type="dxa"/>
                      </w:tcPr>
                      <w:p>
                        <w:pPr>
                          <w:pStyle w:val="TableParagraph"/>
                          <w:spacing w:before="81"/>
                          <w:ind w:left="965" w:right="966"/>
                          <w:jc w:val="center"/>
                          <w:rPr>
                            <w:sz w:val="22"/>
                          </w:rPr>
                        </w:pPr>
                        <w:r>
                          <w:rPr>
                            <w:sz w:val="22"/>
                          </w:rPr>
                          <w:t>Roberto Gianelli</w:t>
                        </w:r>
                      </w:p>
                    </w:tc>
                  </w:tr>
                  <w:tr>
                    <w:trPr>
                      <w:trHeight w:val="341" w:hRule="exact"/>
                    </w:trPr>
                    <w:tc>
                      <w:tcPr>
                        <w:tcW w:w="900" w:type="dxa"/>
                        <w:vMerge/>
                        <w:textDirection w:val="btLr"/>
                      </w:tcPr>
                      <w:p>
                        <w:pPr/>
                      </w:p>
                    </w:tc>
                    <w:tc>
                      <w:tcPr>
                        <w:tcW w:w="1601" w:type="dxa"/>
                      </w:tcPr>
                      <w:p>
                        <w:pPr>
                          <w:pStyle w:val="TableParagraph"/>
                          <w:spacing w:before="84"/>
                          <w:ind w:right="63"/>
                          <w:rPr>
                            <w:i/>
                            <w:sz w:val="22"/>
                          </w:rPr>
                        </w:pPr>
                        <w:r>
                          <w:rPr>
                            <w:i/>
                            <w:sz w:val="22"/>
                          </w:rPr>
                          <w:t>effettivo</w:t>
                        </w:r>
                      </w:p>
                    </w:tc>
                    <w:tc>
                      <w:tcPr>
                        <w:tcW w:w="278" w:type="dxa"/>
                      </w:tcPr>
                      <w:p>
                        <w:pPr/>
                      </w:p>
                    </w:tc>
                    <w:tc>
                      <w:tcPr>
                        <w:tcW w:w="3443" w:type="dxa"/>
                      </w:tcPr>
                      <w:p>
                        <w:pPr>
                          <w:pStyle w:val="TableParagraph"/>
                          <w:spacing w:before="84"/>
                          <w:ind w:left="965" w:right="966"/>
                          <w:jc w:val="center"/>
                          <w:rPr>
                            <w:sz w:val="22"/>
                          </w:rPr>
                        </w:pPr>
                        <w:r>
                          <w:rPr>
                            <w:sz w:val="22"/>
                          </w:rPr>
                          <w:t>Massimo Bianchi</w:t>
                        </w:r>
                      </w:p>
                    </w:tc>
                  </w:tr>
                </w:tbl>
                <w:p>
                  <w:pPr>
                    <w:pStyle w:val="BodyText"/>
                  </w:pPr>
                </w:p>
              </w:txbxContent>
            </v:textbox>
          </v:shape>
        </w:pict>
      </w:r>
      <w:r>
        <w:rPr>
          <w:sz w:val="20"/>
        </w:rPr>
      </w:r>
      <w:r>
        <w:rPr>
          <w:sz w:val="20"/>
        </w:rPr>
        <w:tab/>
      </w:r>
      <w:r>
        <w:rPr>
          <w:sz w:val="20"/>
        </w:rPr>
        <w:pict>
          <v:shape style="width:113.8pt;height:51.5pt;mso-position-horizontal-relative:char;mso-position-vertical-relative:line" type="#_x0000_t202" filled="false" stroked="false">
            <w10:anchorlock/>
            <v:textbox inset="0,0,0,0">
              <w:txbxContent>
                <w:tbl>
                  <w:tblPr>
                    <w:tblW w:w="0" w:type="auto"/>
                    <w:jc w:val="lef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0" w:type="dxa"/>
                      <w:left w:w="0" w:type="dxa"/>
                      <w:bottom w:w="0" w:type="dxa"/>
                      <w:right w:w="0" w:type="dxa"/>
                    </w:tblCellMar>
                    <w:tblLook w:val="01E0"/>
                  </w:tblPr>
                  <w:tblGrid>
                    <w:gridCol w:w="2261"/>
                  </w:tblGrid>
                  <w:tr>
                    <w:trPr>
                      <w:trHeight w:val="341" w:hRule="exact"/>
                    </w:trPr>
                    <w:tc>
                      <w:tcPr>
                        <w:tcW w:w="2261" w:type="dxa"/>
                      </w:tcPr>
                      <w:p>
                        <w:pPr>
                          <w:pStyle w:val="TableParagraph"/>
                          <w:spacing w:before="84"/>
                          <w:ind w:left="297" w:right="300"/>
                          <w:jc w:val="center"/>
                          <w:rPr>
                            <w:sz w:val="22"/>
                          </w:rPr>
                        </w:pPr>
                        <w:r>
                          <w:rPr>
                            <w:sz w:val="22"/>
                          </w:rPr>
                          <w:t>Roberto Giannelli</w:t>
                        </w:r>
                      </w:p>
                    </w:tc>
                  </w:tr>
                  <w:tr>
                    <w:trPr>
                      <w:trHeight w:val="338" w:hRule="exact"/>
                    </w:trPr>
                    <w:tc>
                      <w:tcPr>
                        <w:tcW w:w="2261" w:type="dxa"/>
                      </w:tcPr>
                      <w:p>
                        <w:pPr>
                          <w:pStyle w:val="TableParagraph"/>
                          <w:spacing w:before="81"/>
                          <w:ind w:left="299" w:right="300"/>
                          <w:jc w:val="center"/>
                          <w:rPr>
                            <w:sz w:val="22"/>
                          </w:rPr>
                        </w:pPr>
                        <w:r>
                          <w:rPr>
                            <w:sz w:val="22"/>
                          </w:rPr>
                          <w:t>Massimo Bianchi</w:t>
                        </w:r>
                      </w:p>
                    </w:tc>
                  </w:tr>
                  <w:tr>
                    <w:trPr>
                      <w:trHeight w:val="341" w:hRule="exact"/>
                    </w:trPr>
                    <w:tc>
                      <w:tcPr>
                        <w:tcW w:w="2261" w:type="dxa"/>
                      </w:tcPr>
                      <w:p>
                        <w:pPr>
                          <w:pStyle w:val="TableParagraph"/>
                          <w:spacing w:before="84"/>
                          <w:ind w:left="300" w:right="300"/>
                          <w:jc w:val="center"/>
                          <w:rPr>
                            <w:sz w:val="22"/>
                          </w:rPr>
                        </w:pPr>
                        <w:r>
                          <w:rPr>
                            <w:sz w:val="22"/>
                          </w:rPr>
                          <w:t>Dante Davio</w:t>
                        </w:r>
                      </w:p>
                    </w:tc>
                  </w:tr>
                </w:tbl>
                <w:p>
                  <w:pPr>
                    <w:pStyle w:val="BodyText"/>
                  </w:pPr>
                </w:p>
              </w:txbxContent>
            </v:textbox>
          </v:shape>
        </w:pict>
      </w:r>
      <w:r>
        <w:rPr>
          <w:sz w:val="20"/>
        </w:rPr>
      </w:r>
    </w:p>
    <w:p>
      <w:pPr>
        <w:pStyle w:val="BodyText"/>
        <w:spacing w:before="4"/>
        <w:rPr>
          <w:i/>
          <w:sz w:val="18"/>
        </w:rPr>
      </w:pPr>
      <w:r>
        <w:rPr/>
        <w:pict>
          <v:shape style="position:absolute;margin-left:70.704002pt;margin-top:12.30499pt;width:311.850pt;height:17.55pt;mso-position-horizontal-relative:page;mso-position-vertical-relative:paragraph;z-index:0;mso-wrap-distance-left:0;mso-wrap-distance-right:0" type="#_x0000_t202" filled="false" stroked="false">
            <v:textbox inset="0,0,0,0">
              <w:txbxContent>
                <w:tbl>
                  <w:tblPr>
                    <w:tblW w:w="0" w:type="auto"/>
                    <w:jc w:val="lef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0" w:type="dxa"/>
                      <w:left w:w="0" w:type="dxa"/>
                      <w:bottom w:w="0" w:type="dxa"/>
                      <w:right w:w="0" w:type="dxa"/>
                    </w:tblCellMar>
                    <w:tblLook w:val="01E0"/>
                  </w:tblPr>
                  <w:tblGrid>
                    <w:gridCol w:w="2501"/>
                    <w:gridCol w:w="278"/>
                    <w:gridCol w:w="3443"/>
                  </w:tblGrid>
                  <w:tr>
                    <w:trPr>
                      <w:trHeight w:val="341" w:hRule="exact"/>
                    </w:trPr>
                    <w:tc>
                      <w:tcPr>
                        <w:tcW w:w="2501" w:type="dxa"/>
                      </w:tcPr>
                      <w:p>
                        <w:pPr>
                          <w:pStyle w:val="TableParagraph"/>
                          <w:spacing w:before="75"/>
                          <w:ind w:left="446"/>
                          <w:jc w:val="left"/>
                          <w:rPr>
                            <w:b/>
                            <w:i/>
                            <w:sz w:val="23"/>
                          </w:rPr>
                        </w:pPr>
                        <w:r>
                          <w:rPr>
                            <w:b/>
                            <w:i/>
                            <w:w w:val="95"/>
                            <w:sz w:val="23"/>
                          </w:rPr>
                          <w:t>Soc. di Revisione</w:t>
                        </w:r>
                      </w:p>
                    </w:tc>
                    <w:tc>
                      <w:tcPr>
                        <w:tcW w:w="278" w:type="dxa"/>
                      </w:tcPr>
                      <w:p>
                        <w:pPr/>
                      </w:p>
                    </w:tc>
                    <w:tc>
                      <w:tcPr>
                        <w:tcW w:w="3443" w:type="dxa"/>
                      </w:tcPr>
                      <w:p>
                        <w:pPr>
                          <w:pStyle w:val="TableParagraph"/>
                          <w:spacing w:before="84"/>
                          <w:ind w:left="830"/>
                          <w:jc w:val="left"/>
                          <w:rPr>
                            <w:sz w:val="22"/>
                          </w:rPr>
                        </w:pPr>
                        <w:r>
                          <w:rPr>
                            <w:sz w:val="22"/>
                          </w:rPr>
                          <w:t>Reconta E&amp;Y S.p.A.</w:t>
                        </w:r>
                      </w:p>
                    </w:tc>
                  </w:tr>
                </w:tbl>
                <w:p>
                  <w:pPr>
                    <w:pStyle w:val="BodyText"/>
                  </w:pPr>
                </w:p>
              </w:txbxContent>
            </v:textbox>
            <w10:wrap type="topAndBottom"/>
          </v:shape>
        </w:pict>
      </w:r>
      <w:r>
        <w:rPr/>
        <w:pict>
          <v:shape style="position:absolute;margin-left:395.980011pt;margin-top:12.544995pt;width:113.1pt;height:17.05pt;mso-position-horizontal-relative:page;mso-position-vertical-relative:paragraph;z-index:4480;mso-wrap-distance-left:0;mso-wrap-distance-right:0" type="#_x0000_t202" filled="false" stroked="true" strokeweight=".47998pt" strokecolor="#a6a6a6">
            <v:textbox inset="0,0,0,0">
              <w:txbxContent>
                <w:p>
                  <w:pPr>
                    <w:spacing w:line="247" w:lineRule="exact" w:before="84"/>
                    <w:ind w:left="240" w:right="0" w:firstLine="0"/>
                    <w:jc w:val="left"/>
                    <w:rPr>
                      <w:sz w:val="22"/>
                    </w:rPr>
                  </w:pPr>
                  <w:r>
                    <w:rPr>
                      <w:sz w:val="22"/>
                    </w:rPr>
                    <w:t>Reconta E&amp;Y S.p.A.</w:t>
                  </w:r>
                </w:p>
              </w:txbxContent>
            </v:textbox>
            <v:stroke dashstyle="solid"/>
            <w10:wrap type="topAndBottom"/>
          </v:shape>
        </w:pict>
      </w:r>
    </w:p>
    <w:p>
      <w:pPr>
        <w:spacing w:before="194"/>
        <w:ind w:left="1418" w:right="5187" w:firstLine="0"/>
        <w:jc w:val="left"/>
        <w:rPr>
          <w:sz w:val="20"/>
        </w:rPr>
      </w:pPr>
      <w:r>
        <w:rPr>
          <w:sz w:val="20"/>
        </w:rPr>
        <w:t>':nominato con atto del 09.12.2015 in sostituzione di Ghisolfi Guido '':cessazione con approvazione bilancio al 31.12.2016</w:t>
      </w:r>
    </w:p>
    <w:p>
      <w:pPr>
        <w:spacing w:before="0"/>
        <w:ind w:left="1418" w:right="0" w:firstLine="0"/>
        <w:jc w:val="both"/>
        <w:rPr>
          <w:sz w:val="20"/>
        </w:rPr>
      </w:pPr>
      <w:r>
        <w:rPr>
          <w:sz w:val="20"/>
        </w:rPr>
        <w:t>°:ultimo rinnovo in data 14/04/2016</w:t>
      </w:r>
    </w:p>
    <w:p>
      <w:pPr>
        <w:pStyle w:val="BodyText"/>
        <w:rPr>
          <w:sz w:val="22"/>
        </w:rPr>
      </w:pPr>
    </w:p>
    <w:p>
      <w:pPr>
        <w:pStyle w:val="BodyText"/>
        <w:spacing w:before="10"/>
        <w:rPr>
          <w:sz w:val="25"/>
        </w:rPr>
      </w:pPr>
    </w:p>
    <w:p>
      <w:pPr>
        <w:pStyle w:val="BodyText"/>
        <w:spacing w:line="480" w:lineRule="auto" w:before="1"/>
        <w:ind w:left="1418" w:right="1416"/>
        <w:jc w:val="both"/>
      </w:pPr>
      <w:r>
        <w:rPr/>
        <w:t>E’ solo il caso di ricordare che la prognosi sul risultato utile derivante dall’eventuale azione richiede anche la verifica della capienza patrimoniale dei soggetti in ipotesi riconosciuti responsabili.</w:t>
      </w:r>
    </w:p>
    <w:p>
      <w:pPr>
        <w:pStyle w:val="BodyText"/>
        <w:spacing w:line="480" w:lineRule="auto"/>
        <w:ind w:left="1418" w:right="1411"/>
        <w:jc w:val="both"/>
      </w:pPr>
      <w:r>
        <w:rPr/>
        <w:t>A tal fine, si segnala che sono state effettuate le visure patrimoniali sui soggetti componenti il Consiglio di Amministrazione ed il Collegio Sindacale di Biochemtex, oltre che di M&amp;G Finanziaria SpA.</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20"/>
        <w:jc w:val="both"/>
      </w:pPr>
      <w:r>
        <w:rPr/>
        <w:t>Sono state inoltre effettuate le visure cariche e partecipazioni e le visure ipotecarie sui soggetti a capo dei singoli organi amministrativi e di controllo.</w:t>
      </w:r>
    </w:p>
    <w:p>
      <w:pPr>
        <w:pStyle w:val="BodyText"/>
        <w:spacing w:line="480" w:lineRule="auto"/>
        <w:ind w:left="1418" w:right="1412"/>
        <w:jc w:val="both"/>
      </w:pPr>
      <w:r>
        <w:rPr/>
        <w:t>L’analisi svolta mostra adeguate condizioni di patrimonializzazione in capo ai soggetti esaminati. In ogni caso, a prescindere dall’alea dei contenziosi (e dalla necessità che sussistano le medesime condizioni patrimoniali al momento di conclusione dei contenziosi), va segnalato che i fatti enunciati si riferiscono a Biochemtex, ma ovviamente taluni nominativi (in ragione della presenza negli organi di altre società del Gruppo) potrebbero essere contemporaneamente colpiti da analoghe iniziative, in relazione a fatti relativi ad altre società del Gruppo (a parità di patrimonio aggredibile).</w:t>
      </w:r>
    </w:p>
    <w:p>
      <w:pPr>
        <w:pStyle w:val="BodyText"/>
        <w:spacing w:line="480" w:lineRule="auto"/>
        <w:ind w:left="1418" w:right="1412"/>
        <w:jc w:val="both"/>
      </w:pPr>
      <w:r>
        <w:rPr/>
        <w:t>Per quanto attiene ad azioni revocatorie, va ricordato che la dichiarazione di fallimento comporta di per sè stessa un teorico vantaggio che potrebbe in astratto portare ad un aumento dell’attivo rispetto all’ipotesi alternativa del concordato, ovvero l’esperibilità delle azioni revocatorie previste dall’art. 67 L.f. Com’è noto, invece, le azioni revocatorie ordinarie ex art. 2901 c.c. sono promuovibili sia nel concordato che nel fallimento.</w:t>
      </w:r>
    </w:p>
    <w:p>
      <w:pPr>
        <w:pStyle w:val="BodyText"/>
        <w:spacing w:line="480" w:lineRule="auto"/>
        <w:ind w:left="1418" w:right="1408"/>
        <w:jc w:val="both"/>
      </w:pPr>
      <w:r>
        <w:rPr/>
        <w:t>Al riguardo, si segnala che il pagamento ricevuto da Unicredit in relazione alla citata contro- garanzia rilasciata da Biochemtex per l’importo di Euro/Mil. 4 (commessa Entsorga West Virginia) possa essere valutato in relazione all’art. 67 2° co. l. fall (anche alla luce della specifica conoscenza di Unicredit in relazione alla complessiva situazione del Gruppo, come già indicato nella relazione attestativa di IBP Srl, nei paragrafi 2.3.5 e 7).</w:t>
      </w:r>
    </w:p>
    <w:p>
      <w:pPr>
        <w:pStyle w:val="BodyText"/>
        <w:spacing w:line="480" w:lineRule="auto"/>
        <w:ind w:left="1418" w:right="1415"/>
        <w:jc w:val="both"/>
      </w:pPr>
      <w:r>
        <w:rPr/>
        <w:t>Ulteriore aspetto da considerare e che completa le considerazioni svolte nel presente capitolo è costituito dal fatto che il conseguimento di ricavi ed il sostenimento di costi da parte di Biochemtex deriva anche da operazioni intercompany (nel 2015 il 32% dei ricavi deriva da servizi resi alla parte correlata M&amp;G International Lux, NI, pagg. 62 e 75).</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4"/>
        <w:rPr>
          <w:sz w:val="27"/>
        </w:rPr>
      </w:pPr>
    </w:p>
    <w:p>
      <w:pPr>
        <w:pStyle w:val="BodyText"/>
        <w:spacing w:line="480" w:lineRule="auto" w:before="100"/>
        <w:ind w:left="1418" w:right="1409"/>
        <w:jc w:val="both"/>
      </w:pPr>
      <w:r>
        <w:rPr/>
        <w:t>Come più analiticamente ricostruito dalla Società e riportato nei </w:t>
      </w:r>
      <w:r>
        <w:rPr>
          <w:i/>
        </w:rPr>
        <w:t>Deliverables </w:t>
      </w:r>
      <w:r>
        <w:rPr/>
        <w:t>di Deloitte consegnatici e discussi con il management della società, risultano anche rapporti intercorsi con controparti anche correlate di particolare rilievo, come ad esempio Chemtex International ed Hepta Capital (cfr. retro paragrafo 2.3.3.).</w:t>
      </w:r>
    </w:p>
    <w:p>
      <w:pPr>
        <w:pStyle w:val="BodyText"/>
        <w:spacing w:line="480" w:lineRule="auto"/>
        <w:ind w:left="1418" w:right="1412"/>
        <w:jc w:val="both"/>
      </w:pPr>
      <w:r>
        <w:rPr/>
        <w:t>Al riguardo, la risposta del consulente fiscale della Società (Maisto e Associati) non indica l’esistenza attuale di contenziosi od altre pendenze fiscali riguardanti i rapporti tra Biochemtex e  le menzionate</w:t>
      </w:r>
      <w:r>
        <w:rPr>
          <w:spacing w:val="-8"/>
        </w:rPr>
        <w:t> </w:t>
      </w:r>
      <w:r>
        <w:rPr/>
        <w:t>Società.</w:t>
      </w:r>
    </w:p>
    <w:p>
      <w:pPr>
        <w:pStyle w:val="BodyText"/>
        <w:spacing w:line="480" w:lineRule="auto"/>
        <w:ind w:left="1418" w:right="1410"/>
        <w:jc w:val="both"/>
      </w:pPr>
      <w:r>
        <w:rPr/>
        <w:t>Va tuttavia considerato che secondo il parere del fiscalista l’ultimo esercizio definito ai fini fiscali è quello chiuso al 31 dicembre 2012, e pertanto la Società risulta ancora ampiamente esposta al rischio di insorgenza di futuri contenziosi sulle operazioni poste in essere (ivi comprese quelle relativi alle controparti summenzionate) negli esercizi 2013 e</w:t>
      </w:r>
      <w:r>
        <w:rPr>
          <w:spacing w:val="-30"/>
        </w:rPr>
        <w:t> </w:t>
      </w:r>
      <w:r>
        <w:rPr/>
        <w:t>seguenti.</w:t>
      </w:r>
    </w:p>
    <w:p>
      <w:pPr>
        <w:pStyle w:val="BodyText"/>
        <w:spacing w:line="480" w:lineRule="auto"/>
        <w:ind w:left="1418" w:right="1415"/>
        <w:jc w:val="both"/>
      </w:pPr>
      <w:r>
        <w:rPr/>
        <w:t>Una conferma del rischio (ancorché non vi siano allo stato elementi per quantificarne gli effetti) deriva dalle richieste della Gdf sui rapporti tra IBP Srl ed Hepta (cfr. paragrafo 2.3.2 Relazione ex art. 161 3° co. l. fall. IBP Srl).</w:t>
      </w:r>
    </w:p>
    <w:p>
      <w:pPr>
        <w:pStyle w:val="BodyText"/>
        <w:spacing w:line="480" w:lineRule="auto"/>
        <w:ind w:left="1418" w:right="1409"/>
        <w:jc w:val="both"/>
      </w:pPr>
      <w:r>
        <w:rPr/>
        <w:t>In conclusione, sullo sfondo delle considerazioni svolte nel presente paragrafo, gli scriventi premettono che potrebbero esserci ulteriori vicende meritevoli di approfondimento (o di approfondimento ulteriore rispetto ai fatti descritti nel precedente capitolo 2), ma purtuttavia auspicano che le presenti note siano sufficienti a completare lo spettro delle attività in concreto attese dall’operato degli scriventi professionisti in funzione della complessità della vicenda e del ruolo ad essi attribuito nell’iter procedimentale del concordato preventivo.</w:t>
      </w:r>
    </w:p>
    <w:p>
      <w:pPr>
        <w:spacing w:after="0" w:line="480" w:lineRule="auto"/>
        <w:jc w:val="both"/>
        <w:sectPr>
          <w:pgSz w:w="11910" w:h="16840"/>
          <w:pgMar w:header="707" w:footer="1025" w:top="1740" w:bottom="1220" w:left="0" w:right="0"/>
        </w:sectPr>
      </w:pPr>
    </w:p>
    <w:p>
      <w:pPr>
        <w:pStyle w:val="BodyText"/>
        <w:rPr>
          <w:sz w:val="20"/>
        </w:rPr>
      </w:pPr>
    </w:p>
    <w:p>
      <w:pPr>
        <w:pStyle w:val="BodyText"/>
        <w:rPr>
          <w:sz w:val="20"/>
        </w:rPr>
      </w:pPr>
    </w:p>
    <w:p>
      <w:pPr>
        <w:pStyle w:val="BodyText"/>
        <w:rPr>
          <w:sz w:val="20"/>
        </w:rPr>
      </w:pPr>
    </w:p>
    <w:p>
      <w:pPr>
        <w:pStyle w:val="BodyText"/>
        <w:spacing w:before="2"/>
        <w:rPr>
          <w:sz w:val="27"/>
        </w:rPr>
      </w:pPr>
    </w:p>
    <w:p>
      <w:pPr>
        <w:pStyle w:val="Heading1"/>
        <w:numPr>
          <w:ilvl w:val="0"/>
          <w:numId w:val="95"/>
        </w:numPr>
        <w:tabs>
          <w:tab w:pos="1847" w:val="left" w:leader="none"/>
        </w:tabs>
        <w:spacing w:line="240" w:lineRule="auto" w:before="101" w:after="0"/>
        <w:ind w:left="1846" w:right="0" w:hanging="428"/>
        <w:jc w:val="both"/>
      </w:pPr>
      <w:bookmarkStart w:name="_bookmark40" w:id="79"/>
      <w:bookmarkEnd w:id="79"/>
      <w:r>
        <w:rPr>
          <w:b w:val="0"/>
        </w:rPr>
      </w:r>
      <w:bookmarkStart w:name="_bookmark40" w:id="80"/>
      <w:bookmarkEnd w:id="80"/>
      <w:r>
        <w:rPr/>
        <w:t>AT</w:t>
      </w:r>
      <w:r>
        <w:rPr/>
        <w:t>TESTAZIONE</w:t>
      </w:r>
    </w:p>
    <w:p>
      <w:pPr>
        <w:pStyle w:val="BodyText"/>
        <w:spacing w:before="9"/>
        <w:rPr>
          <w:b/>
          <w:sz w:val="38"/>
        </w:rPr>
      </w:pPr>
    </w:p>
    <w:p>
      <w:pPr>
        <w:pStyle w:val="BodyText"/>
        <w:spacing w:line="480" w:lineRule="auto"/>
        <w:ind w:left="1418" w:right="1414"/>
        <w:jc w:val="both"/>
      </w:pPr>
      <w:r>
        <w:rPr/>
        <w:t>Tutto quanto sopra premesso, gli scriventi attestano la veridicità dei dati aziendali e la fattibilità del piano sottostante alla proposta che assicura il pagamento del 20% ai creditori chirografari non postergati, nei termini enunciati nel precedente paragrafo</w:t>
      </w:r>
      <w:r>
        <w:rPr>
          <w:spacing w:val="-29"/>
        </w:rPr>
        <w:t> </w:t>
      </w:r>
      <w:r>
        <w:rPr/>
        <w:t>6.</w:t>
      </w:r>
    </w:p>
    <w:p>
      <w:pPr>
        <w:pStyle w:val="BodyText"/>
        <w:rPr>
          <w:sz w:val="26"/>
        </w:rPr>
      </w:pPr>
    </w:p>
    <w:p>
      <w:pPr>
        <w:pStyle w:val="BodyText"/>
        <w:rPr>
          <w:sz w:val="22"/>
        </w:rPr>
      </w:pPr>
    </w:p>
    <w:p>
      <w:pPr>
        <w:pStyle w:val="BodyText"/>
        <w:spacing w:line="480" w:lineRule="auto"/>
        <w:ind w:left="1418" w:right="8454"/>
      </w:pPr>
      <w:r>
        <w:rPr/>
        <w:t>Con Osservanza. Milano 23 aprile 2018</w:t>
      </w:r>
    </w:p>
    <w:p>
      <w:pPr>
        <w:pStyle w:val="BodyText"/>
        <w:rPr>
          <w:sz w:val="20"/>
        </w:rPr>
      </w:pPr>
    </w:p>
    <w:p>
      <w:pPr>
        <w:pStyle w:val="BodyText"/>
        <w:spacing w:before="1"/>
        <w:rPr>
          <w:sz w:val="19"/>
        </w:rPr>
      </w:pPr>
    </w:p>
    <w:p>
      <w:pPr>
        <w:pStyle w:val="BodyText"/>
        <w:spacing w:before="100"/>
        <w:ind w:left="7083"/>
      </w:pPr>
      <w:r>
        <w:rPr/>
        <w:pict>
          <v:group style="position:absolute;margin-left:124.099998pt;margin-top:4.999989pt;width:135pt;height:64.7pt;mso-position-horizontal-relative:page;mso-position-vertical-relative:paragraph;z-index:4528" coordorigin="2482,100" coordsize="2700,1294">
            <v:shape style="position:absolute;left:2482;top:164;width:2700;height:1230" type="#_x0000_t75" stroked="false">
              <v:imagedata r:id="rId62" o:title=""/>
            </v:shape>
            <v:shape style="position:absolute;left:2482;top:100;width:2700;height:1294" type="#_x0000_t202" filled="false" stroked="false">
              <v:textbox inset="0,0,0,0">
                <w:txbxContent>
                  <w:p>
                    <w:pPr>
                      <w:spacing w:before="0"/>
                      <w:ind w:left="352" w:right="0" w:firstLine="0"/>
                      <w:jc w:val="left"/>
                      <w:rPr>
                        <w:sz w:val="24"/>
                      </w:rPr>
                    </w:pPr>
                    <w:r>
                      <w:rPr>
                        <w:sz w:val="24"/>
                      </w:rPr>
                      <w:t>Alessandro Solidoro</w:t>
                    </w:r>
                  </w:p>
                </w:txbxContent>
              </v:textbox>
              <w10:wrap type="none"/>
            </v:shape>
            <w10:wrap type="none"/>
          </v:group>
        </w:pict>
      </w:r>
      <w:r>
        <w:rPr/>
        <w:drawing>
          <wp:anchor distT="0" distB="0" distL="0" distR="0" allowOverlap="1" layoutInCell="1" locked="0" behindDoc="1" simplePos="0" relativeHeight="267592271">
            <wp:simplePos x="0" y="0"/>
            <wp:positionH relativeFrom="page">
              <wp:posOffset>3953509</wp:posOffset>
            </wp:positionH>
            <wp:positionV relativeFrom="paragraph">
              <wp:posOffset>199920</wp:posOffset>
            </wp:positionV>
            <wp:extent cx="1752600" cy="638175"/>
            <wp:effectExtent l="0" t="0" r="0" b="0"/>
            <wp:wrapNone/>
            <wp:docPr id="11" name="image45.jpeg" descr=""/>
            <wp:cNvGraphicFramePr>
              <a:graphicFrameLocks noChangeAspect="1"/>
            </wp:cNvGraphicFramePr>
            <a:graphic>
              <a:graphicData uri="http://schemas.openxmlformats.org/drawingml/2006/picture">
                <pic:pic>
                  <pic:nvPicPr>
                    <pic:cNvPr id="12" name="image45.jpeg"/>
                    <pic:cNvPicPr/>
                  </pic:nvPicPr>
                  <pic:blipFill>
                    <a:blip r:embed="rId63" cstate="print"/>
                    <a:stretch>
                      <a:fillRect/>
                    </a:stretch>
                  </pic:blipFill>
                  <pic:spPr>
                    <a:xfrm>
                      <a:off x="0" y="0"/>
                      <a:ext cx="1752600" cy="638175"/>
                    </a:xfrm>
                    <a:prstGeom prst="rect">
                      <a:avLst/>
                    </a:prstGeom>
                  </pic:spPr>
                </pic:pic>
              </a:graphicData>
            </a:graphic>
          </wp:anchor>
        </w:drawing>
      </w:r>
      <w:r>
        <w:rPr/>
        <w:t>Carlo Pagliughi</w:t>
      </w:r>
    </w:p>
    <w:sectPr>
      <w:pgSz w:w="11910" w:h="16840"/>
      <w:pgMar w:header="707" w:footer="1025" w:top="1740" w:bottom="1220" w:left="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Garamond">
    <w:altName w:val="Garamond"/>
    <w:charset w:val="0"/>
    <w:family w:val="roman"/>
    <w:pitch w:val="variable"/>
  </w:font>
  <w:font w:name="Calibri">
    <w:altName w:val="Calibri"/>
    <w:charset w:val="0"/>
    <w:family w:val="swiss"/>
    <w:pitch w:val="variable"/>
  </w:font>
  <w:font w:name="Wingdings">
    <w:altName w:val="Wingdings"/>
    <w:charset w:val="2"/>
    <w:family w:val="auto"/>
    <w:pitch w:val="variable"/>
  </w:font>
  <w:font w:name="Symbol">
    <w:altName w:val="Symbol"/>
    <w:charset w:val="2"/>
    <w:family w:val="roman"/>
    <w:pitch w:val="variable"/>
  </w:font>
  <w:font w:name="Georgia">
    <w:altName w:val="Georgia"/>
    <w:charset w:val="0"/>
    <w:family w:val="roman"/>
    <w:pitch w:val="variable"/>
  </w:font>
  <w:font w:name="Webdings">
    <w:altName w:val="Webdings"/>
    <w:charset w:val="2"/>
    <w:family w:val="roman"/>
    <w:pitch w:val="variable"/>
  </w:font>
  <w:font w:name="Verdana">
    <w:altName w:val="Verdana"/>
    <w:charset w:val="0"/>
    <w:family w:val="swiss"/>
    <w:pitch w:val="variable"/>
  </w:font>
  <w:font w:name="Book Antiqua">
    <w:altName w:val="Book Antiqua"/>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12.200012pt;margin-top:779.66156pt;width:14.35pt;height:14.45pt;mso-position-horizontal-relative:page;mso-position-vertical-relative:page;z-index:-846568" type="#_x0000_t202" filled="false" stroked="false">
          <v:textbox inset="0,0,0,0">
            <w:txbxContent>
              <w:p>
                <w:pPr>
                  <w:spacing w:before="20"/>
                  <w:ind w:left="40" w:right="0" w:firstLine="0"/>
                  <w:jc w:val="left"/>
                  <w:rPr>
                    <w:sz w:val="22"/>
                  </w:rPr>
                </w:pPr>
                <w:r>
                  <w:rPr/>
                  <w:fldChar w:fldCharType="begin"/>
                </w:r>
                <w:r>
                  <w:rPr>
                    <w:sz w:val="22"/>
                  </w:rPr>
                  <w:instrText> PAGE </w:instrText>
                </w:r>
                <w:r>
                  <w:rPr/>
                  <w:fldChar w:fldCharType="separate"/>
                </w:r>
                <w:r>
                  <w:rPr/>
                  <w:t>10</w:t>
                </w:r>
                <w:r>
                  <w:rPr/>
                  <w:fldChar w:fldCharType="end"/>
                </w:r>
              </w:p>
            </w:txbxContent>
          </v:textbox>
          <w10:wrap type="non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7.040009pt;margin-top:779.66156pt;width:19.5pt;height:14.45pt;mso-position-horizontal-relative:page;mso-position-vertical-relative:page;z-index:-846232" type="#_x0000_t202" filled="false" stroked="false">
          <v:textbox inset="0,0,0,0">
            <w:txbxContent>
              <w:p>
                <w:pPr>
                  <w:spacing w:before="20"/>
                  <w:ind w:left="40" w:right="0" w:firstLine="0"/>
                  <w:jc w:val="left"/>
                  <w:rPr>
                    <w:sz w:val="22"/>
                  </w:rPr>
                </w:pPr>
                <w:r>
                  <w:rPr/>
                  <w:fldChar w:fldCharType="begin"/>
                </w:r>
                <w:r>
                  <w:rPr>
                    <w:sz w:val="22"/>
                  </w:rPr>
                  <w:instrText> PAGE </w:instrText>
                </w:r>
                <w:r>
                  <w:rPr/>
                  <w:fldChar w:fldCharType="separate"/>
                </w:r>
                <w:r>
                  <w:rPr/>
                  <w:t>301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8.040009pt;margin-top:779.66156pt;width:17.5pt;height:14.45pt;mso-position-horizontal-relative:page;mso-position-vertical-relative:page;z-index:-846544" type="#_x0000_t202" filled="false" stroked="false">
          <v:textbox inset="0,0,0,0">
            <w:txbxContent>
              <w:p>
                <w:pPr>
                  <w:spacing w:before="20"/>
                  <w:ind w:left="20" w:right="0" w:firstLine="0"/>
                  <w:jc w:val="left"/>
                  <w:rPr>
                    <w:sz w:val="22"/>
                  </w:rPr>
                </w:pPr>
                <w:r>
                  <w:rPr>
                    <w:sz w:val="22"/>
                  </w:rPr>
                  <w:t>100</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7.040009pt;margin-top:779.66156pt;width:19.5pt;height:14.45pt;mso-position-horizontal-relative:page;mso-position-vertical-relative:page;z-index:-846520" type="#_x0000_t202" filled="false" stroked="false">
          <v:textbox inset="0,0,0,0">
            <w:txbxContent>
              <w:p>
                <w:pPr>
                  <w:spacing w:before="20"/>
                  <w:ind w:left="40" w:right="0" w:firstLine="0"/>
                  <w:jc w:val="left"/>
                  <w:rPr>
                    <w:sz w:val="22"/>
                  </w:rPr>
                </w:pPr>
                <w:r>
                  <w:rPr/>
                  <w:fldChar w:fldCharType="begin"/>
                </w:r>
                <w:r>
                  <w:rPr>
                    <w:sz w:val="22"/>
                  </w:rPr>
                  <w:instrText> PAGE </w:instrText>
                </w:r>
                <w:r>
                  <w:rPr/>
                  <w:fldChar w:fldCharType="separate"/>
                </w:r>
                <w:r>
                  <w:rPr/>
                  <w:t>101</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8.040009pt;margin-top:779.66156pt;width:17.5pt;height:14.45pt;mso-position-horizontal-relative:page;mso-position-vertical-relative:page;z-index:-846496" type="#_x0000_t202" filled="false" stroked="false">
          <v:textbox inset="0,0,0,0">
            <w:txbxContent>
              <w:p>
                <w:pPr>
                  <w:spacing w:before="20"/>
                  <w:ind w:left="20" w:right="0" w:firstLine="0"/>
                  <w:jc w:val="left"/>
                  <w:rPr>
                    <w:sz w:val="22"/>
                  </w:rPr>
                </w:pPr>
                <w:r>
                  <w:rPr>
                    <w:sz w:val="22"/>
                  </w:rPr>
                  <w:t>200</w:t>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7.040009pt;margin-top:779.66156pt;width:19.5pt;height:14.45pt;mso-position-horizontal-relative:page;mso-position-vertical-relative:page;z-index:-846472" type="#_x0000_t202" filled="false" stroked="false">
          <v:textbox inset="0,0,0,0">
            <w:txbxContent>
              <w:p>
                <w:pPr>
                  <w:spacing w:before="20"/>
                  <w:ind w:left="40" w:right="0" w:firstLine="0"/>
                  <w:jc w:val="left"/>
                  <w:rPr>
                    <w:sz w:val="22"/>
                  </w:rPr>
                </w:pPr>
                <w:r>
                  <w:rPr/>
                  <w:fldChar w:fldCharType="begin"/>
                </w:r>
                <w:r>
                  <w:rPr>
                    <w:sz w:val="22"/>
                  </w:rPr>
                  <w:instrText> PAGE </w:instrText>
                </w:r>
                <w:r>
                  <w:rPr/>
                  <w:fldChar w:fldCharType="separate"/>
                </w:r>
                <w:r>
                  <w:rPr/>
                  <w:t>201</w:t>
                </w:r>
                <w:r>
                  <w:rPr/>
                  <w:fldChar w:fldCharType="end"/>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7.040009pt;margin-top:779.66156pt;width:19.5pt;height:14.45pt;mso-position-horizontal-relative:page;mso-position-vertical-relative:page;z-index:-846304" type="#_x0000_t202" filled="false" stroked="false">
          <v:textbox inset="0,0,0,0">
            <w:txbxContent>
              <w:p>
                <w:pPr>
                  <w:spacing w:before="20"/>
                  <w:ind w:left="40" w:right="0" w:firstLine="0"/>
                  <w:jc w:val="left"/>
                  <w:rPr>
                    <w:sz w:val="22"/>
                  </w:rPr>
                </w:pPr>
                <w:r>
                  <w:rPr/>
                  <w:fldChar w:fldCharType="begin"/>
                </w:r>
                <w:r>
                  <w:rPr>
                    <w:sz w:val="22"/>
                  </w:rPr>
                  <w:instrText> PAGE </w:instrText>
                </w:r>
                <w:r>
                  <w:rPr/>
                  <w:fldChar w:fldCharType="separate"/>
                </w:r>
                <w:r>
                  <w:rPr/>
                  <w:t>265</w:t>
                </w:r>
                <w:r>
                  <w:rPr/>
                  <w:fldChar w:fldCharType="end"/>
                </w:r>
              </w:p>
            </w:txbxContent>
          </v:textbox>
          <w10:wrap type="non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7.040009pt;margin-top:779.66156pt;width:19.5pt;height:14.45pt;mso-position-horizontal-relative:page;mso-position-vertical-relative:page;z-index:-846280" type="#_x0000_t202" filled="false" stroked="false">
          <v:textbox inset="0,0,0,0">
            <w:txbxContent>
              <w:p>
                <w:pPr>
                  <w:spacing w:before="20"/>
                  <w:ind w:left="40" w:right="0" w:firstLine="0"/>
                  <w:jc w:val="left"/>
                  <w:rPr>
                    <w:sz w:val="22"/>
                  </w:rPr>
                </w:pPr>
                <w:r>
                  <w:rPr/>
                  <w:fldChar w:fldCharType="begin"/>
                </w:r>
                <w:r>
                  <w:rPr>
                    <w:sz w:val="22"/>
                  </w:rPr>
                  <w:instrText> PAGE </w:instrText>
                </w:r>
                <w:r>
                  <w:rPr/>
                  <w:fldChar w:fldCharType="separate"/>
                </w:r>
                <w:r>
                  <w:rPr/>
                  <w:t>296</w:t>
                </w:r>
                <w:r>
                  <w:rPr/>
                  <w:fldChar w:fldCharType="end"/>
                </w:r>
              </w:p>
            </w:txbxContent>
          </v:textbox>
          <w10:wrap type="non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8.040009pt;margin-top:779.66156pt;width:17.5pt;height:14.45pt;mso-position-horizontal-relative:page;mso-position-vertical-relative:page;z-index:-846256" type="#_x0000_t202" filled="false" stroked="false">
          <v:textbox inset="0,0,0,0">
            <w:txbxContent>
              <w:p>
                <w:pPr>
                  <w:spacing w:before="20"/>
                  <w:ind w:left="20" w:right="0" w:firstLine="0"/>
                  <w:jc w:val="left"/>
                  <w:rPr>
                    <w:sz w:val="22"/>
                  </w:rPr>
                </w:pPr>
                <w:r>
                  <w:rPr>
                    <w:sz w:val="22"/>
                  </w:rPr>
                  <w:t>300</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846712" from="0pt,87.199982pt" to="592.5pt,87.199982pt" stroked="true" strokeweight=".75pt" strokecolor="#30849b">
          <v:stroke dashstyle="solid"/>
          <w10:wrap type="none"/>
        </v:line>
      </w:pict>
    </w:r>
    <w:r>
      <w:rPr/>
      <w:pict>
        <v:shapetype id="_x0000_t202" o:spt="202" coordsize="21600,21600" path="m,l,21600r21600,l21600,xe">
          <v:stroke joinstyle="miter"/>
          <v:path gradientshapeok="t" o:connecttype="rect"/>
        </v:shapetype>
        <v:shape style="position:absolute;margin-left:69.944pt;margin-top:46.845531pt;width:98.65pt;height:14.45pt;mso-position-horizontal-relative:page;mso-position-vertical-relative:page;z-index:-846688" type="#_x0000_t202" filled="false" stroked="false">
          <v:textbox inset="0,0,0,0">
            <w:txbxContent>
              <w:p>
                <w:pPr>
                  <w:spacing w:before="20"/>
                  <w:ind w:left="20" w:right="0" w:firstLine="0"/>
                  <w:jc w:val="left"/>
                  <w:rPr>
                    <w:sz w:val="22"/>
                  </w:rPr>
                </w:pPr>
                <w:r>
                  <w:rPr>
                    <w:sz w:val="22"/>
                  </w:rPr>
                  <w:t>BIOCHEMTEX</w:t>
                </w:r>
                <w:r>
                  <w:rPr>
                    <w:spacing w:val="51"/>
                    <w:sz w:val="22"/>
                  </w:rPr>
                  <w:t> </w:t>
                </w:r>
                <w:r>
                  <w:rPr>
                    <w:sz w:val="22"/>
                  </w:rPr>
                  <w:t>SpA</w:t>
                </w:r>
              </w:p>
            </w:txbxContent>
          </v:textbox>
          <w10:wrap type="none"/>
        </v:shape>
      </w:pict>
    </w:r>
    <w:r>
      <w:rPr/>
      <w:pict>
        <v:shape style="position:absolute;margin-left:420.779999pt;margin-top:46.845531pt;width:133.25pt;height:14.45pt;mso-position-horizontal-relative:page;mso-position-vertical-relative:page;z-index:-846664" type="#_x0000_t202" filled="false" stroked="false">
          <v:textbox inset="0,0,0,0">
            <w:txbxContent>
              <w:p>
                <w:pPr>
                  <w:spacing w:before="20"/>
                  <w:ind w:left="20" w:right="0" w:firstLine="0"/>
                  <w:jc w:val="left"/>
                  <w:rPr>
                    <w:sz w:val="22"/>
                  </w:rPr>
                </w:pPr>
                <w:r>
                  <w:rPr>
                    <w:sz w:val="22"/>
                  </w:rPr>
                  <w:t>Relazione ex art.161, co.3, L.F.</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846640" from="0pt,87.199982pt" to="592.5pt,87.199982pt" stroked="true" strokeweight=".75pt" strokecolor="#30849b">
          <v:stroke dashstyle="solid"/>
          <w10:wrap type="none"/>
        </v:line>
      </w:pict>
    </w:r>
    <w:r>
      <w:rPr/>
      <w:pict>
        <v:shape style="position:absolute;margin-left:69.944pt;margin-top:34.365528pt;width:76.7pt;height:14.45pt;mso-position-horizontal-relative:page;mso-position-vertical-relative:page;z-index:-846616" type="#_x0000_t202" filled="false" stroked="false">
          <v:textbox inset="0,0,0,0">
            <w:txbxContent>
              <w:p>
                <w:pPr>
                  <w:spacing w:before="20"/>
                  <w:ind w:left="20" w:right="0" w:firstLine="0"/>
                  <w:jc w:val="left"/>
                  <w:rPr>
                    <w:sz w:val="22"/>
                  </w:rPr>
                </w:pPr>
                <w:r>
                  <w:rPr>
                    <w:sz w:val="22"/>
                  </w:rPr>
                  <w:t>BioChemtex SpA</w:t>
                </w:r>
              </w:p>
            </w:txbxContent>
          </v:textbox>
          <w10:wrap type="none"/>
        </v:shape>
      </w:pict>
    </w:r>
    <w:r>
      <w:rPr/>
      <w:pict>
        <v:shape style="position:absolute;margin-left:392.100006pt;margin-top:34.365528pt;width:133.4pt;height:14.45pt;mso-position-horizontal-relative:page;mso-position-vertical-relative:page;z-index:-846592" type="#_x0000_t202" filled="false" stroked="false">
          <v:textbox inset="0,0,0,0">
            <w:txbxContent>
              <w:p>
                <w:pPr>
                  <w:spacing w:before="20"/>
                  <w:ind w:left="20" w:right="0" w:firstLine="0"/>
                  <w:jc w:val="left"/>
                  <w:rPr>
                    <w:sz w:val="22"/>
                  </w:rPr>
                </w:pPr>
                <w:r>
                  <w:rPr>
                    <w:sz w:val="22"/>
                  </w:rPr>
                  <w:t>Relazione ex art.161, co.3, L.F.</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846448" from="0pt,87.199982pt" to="592.5pt,87.199982pt" stroked="true" strokeweight=".75pt" strokecolor="#30849b">
          <v:stroke dashstyle="solid"/>
          <w10:wrap type="none"/>
        </v:line>
      </w:pict>
    </w:r>
    <w:r>
      <w:rPr/>
      <w:pict>
        <v:shape style="position:absolute;margin-left:69.944pt;margin-top:46.845531pt;width:98.65pt;height:14.45pt;mso-position-horizontal-relative:page;mso-position-vertical-relative:page;z-index:-846424" type="#_x0000_t202" filled="false" stroked="false">
          <v:textbox inset="0,0,0,0">
            <w:txbxContent>
              <w:p>
                <w:pPr>
                  <w:spacing w:before="20"/>
                  <w:ind w:left="20" w:right="0" w:firstLine="0"/>
                  <w:jc w:val="left"/>
                  <w:rPr>
                    <w:sz w:val="22"/>
                  </w:rPr>
                </w:pPr>
                <w:r>
                  <w:rPr>
                    <w:sz w:val="22"/>
                  </w:rPr>
                  <w:t>BIOCHEMTEX</w:t>
                </w:r>
                <w:r>
                  <w:rPr>
                    <w:spacing w:val="51"/>
                    <w:sz w:val="22"/>
                  </w:rPr>
                  <w:t> </w:t>
                </w:r>
                <w:r>
                  <w:rPr>
                    <w:sz w:val="22"/>
                  </w:rPr>
                  <w:t>SpA</w:t>
                </w:r>
              </w:p>
            </w:txbxContent>
          </v:textbox>
          <w10:wrap type="none"/>
        </v:shape>
      </w:pict>
    </w:r>
    <w:r>
      <w:rPr/>
      <w:pict>
        <v:shape style="position:absolute;margin-left:420.779999pt;margin-top:46.845531pt;width:133.25pt;height:14.45pt;mso-position-horizontal-relative:page;mso-position-vertical-relative:page;z-index:-846400" type="#_x0000_t202" filled="false" stroked="false">
          <v:textbox inset="0,0,0,0">
            <w:txbxContent>
              <w:p>
                <w:pPr>
                  <w:spacing w:before="20"/>
                  <w:ind w:left="20" w:right="0" w:firstLine="0"/>
                  <w:jc w:val="left"/>
                  <w:rPr>
                    <w:sz w:val="22"/>
                  </w:rPr>
                </w:pPr>
                <w:r>
                  <w:rPr>
                    <w:sz w:val="22"/>
                  </w:rPr>
                  <w:t>Relazione ex art.161, co.3, L.F.</w:t>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846376" from="0pt,87.199982pt" to="592.5pt,87.199982pt" stroked="true" strokeweight=".75pt" strokecolor="#30849b">
          <v:stroke dashstyle="solid"/>
          <w10:wrap type="none"/>
        </v:line>
      </w:pict>
    </w:r>
    <w:r>
      <w:rPr/>
      <w:pict>
        <v:shape style="position:absolute;margin-left:69.944pt;margin-top:34.365528pt;width:76.7pt;height:14.45pt;mso-position-horizontal-relative:page;mso-position-vertical-relative:page;z-index:-846352" type="#_x0000_t202" filled="false" stroked="false">
          <v:textbox inset="0,0,0,0">
            <w:txbxContent>
              <w:p>
                <w:pPr>
                  <w:spacing w:before="20"/>
                  <w:ind w:left="20" w:right="0" w:firstLine="0"/>
                  <w:jc w:val="left"/>
                  <w:rPr>
                    <w:sz w:val="22"/>
                  </w:rPr>
                </w:pPr>
                <w:r>
                  <w:rPr>
                    <w:sz w:val="22"/>
                  </w:rPr>
                  <w:t>BioChemtex SpA</w:t>
                </w:r>
              </w:p>
            </w:txbxContent>
          </v:textbox>
          <w10:wrap type="none"/>
        </v:shape>
      </w:pict>
    </w:r>
    <w:r>
      <w:rPr/>
      <w:pict>
        <v:shape style="position:absolute;margin-left:392.100006pt;margin-top:34.365528pt;width:133.4pt;height:14.45pt;mso-position-horizontal-relative:page;mso-position-vertical-relative:page;z-index:-846328" type="#_x0000_t202" filled="false" stroked="false">
          <v:textbox inset="0,0,0,0">
            <w:txbxContent>
              <w:p>
                <w:pPr>
                  <w:spacing w:before="20"/>
                  <w:ind w:left="20" w:right="0" w:firstLine="0"/>
                  <w:jc w:val="left"/>
                  <w:rPr>
                    <w:sz w:val="22"/>
                  </w:rPr>
                </w:pPr>
                <w:r>
                  <w:rPr>
                    <w:sz w:val="22"/>
                  </w:rPr>
                  <w:t>Relazione ex art.161, co.3, L.F.</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3">
    <w:multiLevelType w:val="hybridMultilevel"/>
    <w:lvl w:ilvl="0">
      <w:start w:val="1"/>
      <w:numFmt w:val="decimal"/>
      <w:lvlText w:val="%1."/>
      <w:lvlJc w:val="left"/>
      <w:pPr>
        <w:ind w:left="2138" w:hanging="348"/>
        <w:jc w:val="left"/>
      </w:pPr>
      <w:rPr>
        <w:rFonts w:hint="default" w:ascii="Garamond" w:hAnsi="Garamond" w:eastAsia="Garamond" w:cs="Garamond"/>
        <w:spacing w:val="-9"/>
        <w:w w:val="99"/>
        <w:sz w:val="24"/>
        <w:szCs w:val="24"/>
      </w:rPr>
    </w:lvl>
    <w:lvl w:ilvl="1">
      <w:start w:val="1"/>
      <w:numFmt w:val="decimal"/>
      <w:lvlText w:val="%2."/>
      <w:lvlJc w:val="left"/>
      <w:pPr>
        <w:ind w:left="2198" w:hanging="288"/>
        <w:jc w:val="left"/>
      </w:pPr>
      <w:rPr>
        <w:rFonts w:hint="default" w:ascii="Garamond" w:hAnsi="Garamond" w:eastAsia="Garamond" w:cs="Garamond"/>
        <w:spacing w:val="-3"/>
        <w:w w:val="100"/>
        <w:sz w:val="24"/>
        <w:szCs w:val="24"/>
      </w:rPr>
    </w:lvl>
    <w:lvl w:ilvl="2">
      <w:start w:val="0"/>
      <w:numFmt w:val="bullet"/>
      <w:lvlText w:val="•"/>
      <w:lvlJc w:val="left"/>
      <w:pPr>
        <w:ind w:left="3278" w:hanging="288"/>
      </w:pPr>
      <w:rPr>
        <w:rFonts w:hint="default"/>
      </w:rPr>
    </w:lvl>
    <w:lvl w:ilvl="3">
      <w:start w:val="0"/>
      <w:numFmt w:val="bullet"/>
      <w:lvlText w:val="•"/>
      <w:lvlJc w:val="left"/>
      <w:pPr>
        <w:ind w:left="4356" w:hanging="288"/>
      </w:pPr>
      <w:rPr>
        <w:rFonts w:hint="default"/>
      </w:rPr>
    </w:lvl>
    <w:lvl w:ilvl="4">
      <w:start w:val="0"/>
      <w:numFmt w:val="bullet"/>
      <w:lvlText w:val="•"/>
      <w:lvlJc w:val="left"/>
      <w:pPr>
        <w:ind w:left="5435" w:hanging="288"/>
      </w:pPr>
      <w:rPr>
        <w:rFonts w:hint="default"/>
      </w:rPr>
    </w:lvl>
    <w:lvl w:ilvl="5">
      <w:start w:val="0"/>
      <w:numFmt w:val="bullet"/>
      <w:lvlText w:val="•"/>
      <w:lvlJc w:val="left"/>
      <w:pPr>
        <w:ind w:left="6513" w:hanging="288"/>
      </w:pPr>
      <w:rPr>
        <w:rFonts w:hint="default"/>
      </w:rPr>
    </w:lvl>
    <w:lvl w:ilvl="6">
      <w:start w:val="0"/>
      <w:numFmt w:val="bullet"/>
      <w:lvlText w:val="•"/>
      <w:lvlJc w:val="left"/>
      <w:pPr>
        <w:ind w:left="7592" w:hanging="288"/>
      </w:pPr>
      <w:rPr>
        <w:rFonts w:hint="default"/>
      </w:rPr>
    </w:lvl>
    <w:lvl w:ilvl="7">
      <w:start w:val="0"/>
      <w:numFmt w:val="bullet"/>
      <w:lvlText w:val="•"/>
      <w:lvlJc w:val="left"/>
      <w:pPr>
        <w:ind w:left="8670" w:hanging="288"/>
      </w:pPr>
      <w:rPr>
        <w:rFonts w:hint="default"/>
      </w:rPr>
    </w:lvl>
    <w:lvl w:ilvl="8">
      <w:start w:val="0"/>
      <w:numFmt w:val="bullet"/>
      <w:lvlText w:val="•"/>
      <w:lvlJc w:val="left"/>
      <w:pPr>
        <w:ind w:left="9749" w:hanging="288"/>
      </w:pPr>
      <w:rPr>
        <w:rFonts w:hint="default"/>
      </w:rPr>
    </w:lvl>
  </w:abstractNum>
  <w:abstractNum w:abstractNumId="98">
    <w:multiLevelType w:val="hybridMultilevel"/>
    <w:lvl w:ilvl="0">
      <w:start w:val="1"/>
      <w:numFmt w:val="decimal"/>
      <w:lvlText w:val="%1."/>
      <w:lvlJc w:val="left"/>
      <w:pPr>
        <w:ind w:left="2138" w:hanging="348"/>
        <w:jc w:val="left"/>
      </w:pPr>
      <w:rPr>
        <w:rFonts w:hint="default" w:ascii="Garamond" w:hAnsi="Garamond" w:eastAsia="Garamond" w:cs="Garamond"/>
        <w:spacing w:val="-13"/>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92">
    <w:multiLevelType w:val="hybridMultilevel"/>
    <w:lvl w:ilvl="0">
      <w:start w:val="0"/>
      <w:numFmt w:val="bullet"/>
      <w:lvlText w:val=""/>
      <w:lvlJc w:val="left"/>
      <w:pPr>
        <w:ind w:left="2138" w:hanging="348"/>
      </w:pPr>
      <w:rPr>
        <w:rFonts w:hint="default"/>
        <w:w w:val="100"/>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81">
    <w:multiLevelType w:val="hybridMultilevel"/>
    <w:lvl w:ilvl="0">
      <w:start w:val="0"/>
      <w:numFmt w:val="bullet"/>
      <w:lvlText w:val=""/>
      <w:lvlJc w:val="left"/>
      <w:pPr>
        <w:ind w:left="2126" w:hanging="348"/>
      </w:pPr>
      <w:rPr>
        <w:rFonts w:hint="default" w:ascii="Symbol" w:hAnsi="Symbol" w:eastAsia="Symbol" w:cs="Symbol"/>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78">
    <w:multiLevelType w:val="hybridMultilevel"/>
    <w:lvl w:ilvl="0">
      <w:start w:val="0"/>
      <w:numFmt w:val="bullet"/>
      <w:lvlText w:val=""/>
      <w:lvlJc w:val="left"/>
      <w:pPr>
        <w:ind w:left="2126" w:hanging="348"/>
      </w:pPr>
      <w:rPr>
        <w:rFonts w:hint="default" w:ascii="Symbol" w:hAnsi="Symbol" w:eastAsia="Symbol" w:cs="Symbol"/>
        <w:w w:val="100"/>
        <w:sz w:val="18"/>
        <w:szCs w:val="18"/>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73">
    <w:multiLevelType w:val="hybridMultilevel"/>
    <w:lvl w:ilvl="0">
      <w:start w:val="0"/>
      <w:numFmt w:val="bullet"/>
      <w:lvlText w:val="-"/>
      <w:lvlJc w:val="left"/>
      <w:pPr>
        <w:ind w:left="1985" w:hanging="149"/>
      </w:pPr>
      <w:rPr>
        <w:rFonts w:hint="default" w:ascii="Garamond" w:hAnsi="Garamond" w:eastAsia="Garamond" w:cs="Garamond"/>
        <w:w w:val="100"/>
        <w:sz w:val="24"/>
        <w:szCs w:val="24"/>
      </w:rPr>
    </w:lvl>
    <w:lvl w:ilvl="1">
      <w:start w:val="0"/>
      <w:numFmt w:val="bullet"/>
      <w:lvlText w:val="•"/>
      <w:lvlJc w:val="left"/>
      <w:pPr>
        <w:ind w:left="2972" w:hanging="149"/>
      </w:pPr>
      <w:rPr>
        <w:rFonts w:hint="default"/>
      </w:rPr>
    </w:lvl>
    <w:lvl w:ilvl="2">
      <w:start w:val="0"/>
      <w:numFmt w:val="bullet"/>
      <w:lvlText w:val="•"/>
      <w:lvlJc w:val="left"/>
      <w:pPr>
        <w:ind w:left="3965" w:hanging="149"/>
      </w:pPr>
      <w:rPr>
        <w:rFonts w:hint="default"/>
      </w:rPr>
    </w:lvl>
    <w:lvl w:ilvl="3">
      <w:start w:val="0"/>
      <w:numFmt w:val="bullet"/>
      <w:lvlText w:val="•"/>
      <w:lvlJc w:val="left"/>
      <w:pPr>
        <w:ind w:left="4957" w:hanging="149"/>
      </w:pPr>
      <w:rPr>
        <w:rFonts w:hint="default"/>
      </w:rPr>
    </w:lvl>
    <w:lvl w:ilvl="4">
      <w:start w:val="0"/>
      <w:numFmt w:val="bullet"/>
      <w:lvlText w:val="•"/>
      <w:lvlJc w:val="left"/>
      <w:pPr>
        <w:ind w:left="5950" w:hanging="149"/>
      </w:pPr>
      <w:rPr>
        <w:rFonts w:hint="default"/>
      </w:rPr>
    </w:lvl>
    <w:lvl w:ilvl="5">
      <w:start w:val="0"/>
      <w:numFmt w:val="bullet"/>
      <w:lvlText w:val="•"/>
      <w:lvlJc w:val="left"/>
      <w:pPr>
        <w:ind w:left="6943" w:hanging="149"/>
      </w:pPr>
      <w:rPr>
        <w:rFonts w:hint="default"/>
      </w:rPr>
    </w:lvl>
    <w:lvl w:ilvl="6">
      <w:start w:val="0"/>
      <w:numFmt w:val="bullet"/>
      <w:lvlText w:val="•"/>
      <w:lvlJc w:val="left"/>
      <w:pPr>
        <w:ind w:left="7935" w:hanging="149"/>
      </w:pPr>
      <w:rPr>
        <w:rFonts w:hint="default"/>
      </w:rPr>
    </w:lvl>
    <w:lvl w:ilvl="7">
      <w:start w:val="0"/>
      <w:numFmt w:val="bullet"/>
      <w:lvlText w:val="•"/>
      <w:lvlJc w:val="left"/>
      <w:pPr>
        <w:ind w:left="8928" w:hanging="149"/>
      </w:pPr>
      <w:rPr>
        <w:rFonts w:hint="default"/>
      </w:rPr>
    </w:lvl>
    <w:lvl w:ilvl="8">
      <w:start w:val="0"/>
      <w:numFmt w:val="bullet"/>
      <w:lvlText w:val="•"/>
      <w:lvlJc w:val="left"/>
      <w:pPr>
        <w:ind w:left="9921" w:hanging="149"/>
      </w:pPr>
      <w:rPr>
        <w:rFonts w:hint="default"/>
      </w:rPr>
    </w:lvl>
  </w:abstractNum>
  <w:abstractNum w:abstractNumId="66">
    <w:multiLevelType w:val="hybridMultilevel"/>
    <w:lvl w:ilvl="0">
      <w:start w:val="0"/>
      <w:numFmt w:val="bullet"/>
      <w:lvlText w:val=""/>
      <w:lvlJc w:val="left"/>
      <w:pPr>
        <w:ind w:left="2138" w:hanging="348"/>
      </w:pPr>
      <w:rPr>
        <w:rFonts w:hint="default" w:ascii="Symbol" w:hAnsi="Symbol" w:eastAsia="Symbol" w:cs="Symbol"/>
        <w:w w:val="100"/>
        <w:sz w:val="24"/>
        <w:szCs w:val="24"/>
      </w:rPr>
    </w:lvl>
    <w:lvl w:ilvl="1">
      <w:start w:val="0"/>
      <w:numFmt w:val="bullet"/>
      <w:lvlText w:val=""/>
      <w:lvlJc w:val="left"/>
      <w:pPr>
        <w:ind w:left="2189" w:hanging="298"/>
      </w:pPr>
      <w:rPr>
        <w:rFonts w:hint="default" w:ascii="Symbol" w:hAnsi="Symbol" w:eastAsia="Symbol" w:cs="Symbol"/>
        <w:w w:val="100"/>
        <w:sz w:val="24"/>
        <w:szCs w:val="24"/>
      </w:rPr>
    </w:lvl>
    <w:lvl w:ilvl="2">
      <w:start w:val="0"/>
      <w:numFmt w:val="bullet"/>
      <w:lvlText w:val="•"/>
      <w:lvlJc w:val="left"/>
      <w:pPr>
        <w:ind w:left="3260" w:hanging="298"/>
      </w:pPr>
      <w:rPr>
        <w:rFonts w:hint="default"/>
      </w:rPr>
    </w:lvl>
    <w:lvl w:ilvl="3">
      <w:start w:val="0"/>
      <w:numFmt w:val="bullet"/>
      <w:lvlText w:val="•"/>
      <w:lvlJc w:val="left"/>
      <w:pPr>
        <w:ind w:left="4341" w:hanging="298"/>
      </w:pPr>
      <w:rPr>
        <w:rFonts w:hint="default"/>
      </w:rPr>
    </w:lvl>
    <w:lvl w:ilvl="4">
      <w:start w:val="0"/>
      <w:numFmt w:val="bullet"/>
      <w:lvlText w:val="•"/>
      <w:lvlJc w:val="left"/>
      <w:pPr>
        <w:ind w:left="5422" w:hanging="298"/>
      </w:pPr>
      <w:rPr>
        <w:rFonts w:hint="default"/>
      </w:rPr>
    </w:lvl>
    <w:lvl w:ilvl="5">
      <w:start w:val="0"/>
      <w:numFmt w:val="bullet"/>
      <w:lvlText w:val="•"/>
      <w:lvlJc w:val="left"/>
      <w:pPr>
        <w:ind w:left="6502" w:hanging="298"/>
      </w:pPr>
      <w:rPr>
        <w:rFonts w:hint="default"/>
      </w:rPr>
    </w:lvl>
    <w:lvl w:ilvl="6">
      <w:start w:val="0"/>
      <w:numFmt w:val="bullet"/>
      <w:lvlText w:val="•"/>
      <w:lvlJc w:val="left"/>
      <w:pPr>
        <w:ind w:left="7583" w:hanging="298"/>
      </w:pPr>
      <w:rPr>
        <w:rFonts w:hint="default"/>
      </w:rPr>
    </w:lvl>
    <w:lvl w:ilvl="7">
      <w:start w:val="0"/>
      <w:numFmt w:val="bullet"/>
      <w:lvlText w:val="•"/>
      <w:lvlJc w:val="left"/>
      <w:pPr>
        <w:ind w:left="8664" w:hanging="298"/>
      </w:pPr>
      <w:rPr>
        <w:rFonts w:hint="default"/>
      </w:rPr>
    </w:lvl>
    <w:lvl w:ilvl="8">
      <w:start w:val="0"/>
      <w:numFmt w:val="bullet"/>
      <w:lvlText w:val="•"/>
      <w:lvlJc w:val="left"/>
      <w:pPr>
        <w:ind w:left="9744" w:hanging="298"/>
      </w:pPr>
      <w:rPr>
        <w:rFonts w:hint="default"/>
      </w:rPr>
    </w:lvl>
  </w:abstractNum>
  <w:abstractNum w:abstractNumId="63">
    <w:multiLevelType w:val="hybridMultilevel"/>
    <w:lvl w:ilvl="0">
      <w:start w:val="0"/>
      <w:numFmt w:val="bullet"/>
      <w:lvlText w:val=""/>
      <w:lvlJc w:val="left"/>
      <w:pPr>
        <w:ind w:left="2126" w:hanging="348"/>
      </w:pPr>
      <w:rPr>
        <w:rFonts w:hint="default" w:ascii="Symbol" w:hAnsi="Symbol" w:eastAsia="Symbol" w:cs="Symbol"/>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60">
    <w:multiLevelType w:val="hybridMultilevel"/>
    <w:lvl w:ilvl="0">
      <w:start w:val="0"/>
      <w:numFmt w:val="bullet"/>
      <w:lvlText w:val=""/>
      <w:lvlJc w:val="left"/>
      <w:pPr>
        <w:ind w:left="2126" w:hanging="348"/>
      </w:pPr>
      <w:rPr>
        <w:rFonts w:hint="default" w:ascii="Symbol" w:hAnsi="Symbol" w:eastAsia="Symbol" w:cs="Symbol"/>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59">
    <w:multiLevelType w:val="hybridMultilevel"/>
    <w:lvl w:ilvl="0">
      <w:start w:val="0"/>
      <w:numFmt w:val="bullet"/>
      <w:lvlText w:val=""/>
      <w:lvlJc w:val="left"/>
      <w:pPr>
        <w:ind w:left="2126" w:hanging="348"/>
      </w:pPr>
      <w:rPr>
        <w:rFonts w:hint="default" w:ascii="Symbol" w:hAnsi="Symbol" w:eastAsia="Symbol" w:cs="Symbol"/>
        <w:w w:val="100"/>
        <w:sz w:val="18"/>
        <w:szCs w:val="18"/>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56">
    <w:multiLevelType w:val="hybridMultilevel"/>
    <w:lvl w:ilvl="0">
      <w:start w:val="0"/>
      <w:numFmt w:val="bullet"/>
      <w:lvlText w:val="-"/>
      <w:lvlJc w:val="left"/>
      <w:pPr>
        <w:ind w:left="2126" w:hanging="348"/>
      </w:pPr>
      <w:rPr>
        <w:rFonts w:hint="default" w:ascii="Calibri" w:hAnsi="Calibri" w:eastAsia="Calibri" w:cs="Calibri"/>
        <w:spacing w:val="-2"/>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55">
    <w:multiLevelType w:val="hybridMultilevel"/>
    <w:lvl w:ilvl="0">
      <w:start w:val="1"/>
      <w:numFmt w:val="lowerLetter"/>
      <w:lvlText w:val="%1."/>
      <w:lvlJc w:val="left"/>
      <w:pPr>
        <w:ind w:left="2422" w:hanging="281"/>
        <w:jc w:val="right"/>
      </w:pPr>
      <w:rPr>
        <w:rFonts w:hint="default" w:ascii="Garamond" w:hAnsi="Garamond" w:eastAsia="Garamond" w:cs="Garamond"/>
        <w:spacing w:val="-4"/>
        <w:w w:val="100"/>
        <w:sz w:val="24"/>
        <w:szCs w:val="24"/>
      </w:rPr>
    </w:lvl>
    <w:lvl w:ilvl="1">
      <w:start w:val="0"/>
      <w:numFmt w:val="bullet"/>
      <w:lvlText w:val="-"/>
      <w:lvlJc w:val="left"/>
      <w:pPr>
        <w:ind w:left="2551" w:hanging="135"/>
      </w:pPr>
      <w:rPr>
        <w:rFonts w:hint="default" w:ascii="Garamond" w:hAnsi="Garamond" w:eastAsia="Garamond" w:cs="Garamond"/>
        <w:w w:val="100"/>
        <w:sz w:val="24"/>
        <w:szCs w:val="24"/>
      </w:rPr>
    </w:lvl>
    <w:lvl w:ilvl="2">
      <w:start w:val="0"/>
      <w:numFmt w:val="bullet"/>
      <w:lvlText w:val="•"/>
      <w:lvlJc w:val="left"/>
      <w:pPr>
        <w:ind w:left="3598" w:hanging="135"/>
      </w:pPr>
      <w:rPr>
        <w:rFonts w:hint="default"/>
      </w:rPr>
    </w:lvl>
    <w:lvl w:ilvl="3">
      <w:start w:val="0"/>
      <w:numFmt w:val="bullet"/>
      <w:lvlText w:val="•"/>
      <w:lvlJc w:val="left"/>
      <w:pPr>
        <w:ind w:left="4636" w:hanging="135"/>
      </w:pPr>
      <w:rPr>
        <w:rFonts w:hint="default"/>
      </w:rPr>
    </w:lvl>
    <w:lvl w:ilvl="4">
      <w:start w:val="0"/>
      <w:numFmt w:val="bullet"/>
      <w:lvlText w:val="•"/>
      <w:lvlJc w:val="left"/>
      <w:pPr>
        <w:ind w:left="5675" w:hanging="135"/>
      </w:pPr>
      <w:rPr>
        <w:rFonts w:hint="default"/>
      </w:rPr>
    </w:lvl>
    <w:lvl w:ilvl="5">
      <w:start w:val="0"/>
      <w:numFmt w:val="bullet"/>
      <w:lvlText w:val="•"/>
      <w:lvlJc w:val="left"/>
      <w:pPr>
        <w:ind w:left="6713" w:hanging="135"/>
      </w:pPr>
      <w:rPr>
        <w:rFonts w:hint="default"/>
      </w:rPr>
    </w:lvl>
    <w:lvl w:ilvl="6">
      <w:start w:val="0"/>
      <w:numFmt w:val="bullet"/>
      <w:lvlText w:val="•"/>
      <w:lvlJc w:val="left"/>
      <w:pPr>
        <w:ind w:left="7752" w:hanging="135"/>
      </w:pPr>
      <w:rPr>
        <w:rFonts w:hint="default"/>
      </w:rPr>
    </w:lvl>
    <w:lvl w:ilvl="7">
      <w:start w:val="0"/>
      <w:numFmt w:val="bullet"/>
      <w:lvlText w:val="•"/>
      <w:lvlJc w:val="left"/>
      <w:pPr>
        <w:ind w:left="8790" w:hanging="135"/>
      </w:pPr>
      <w:rPr>
        <w:rFonts w:hint="default"/>
      </w:rPr>
    </w:lvl>
    <w:lvl w:ilvl="8">
      <w:start w:val="0"/>
      <w:numFmt w:val="bullet"/>
      <w:lvlText w:val="•"/>
      <w:lvlJc w:val="left"/>
      <w:pPr>
        <w:ind w:left="9829" w:hanging="135"/>
      </w:pPr>
      <w:rPr>
        <w:rFonts w:hint="default"/>
      </w:rPr>
    </w:lvl>
  </w:abstractNum>
  <w:abstractNum w:abstractNumId="42">
    <w:multiLevelType w:val="hybridMultilevel"/>
    <w:lvl w:ilvl="0">
      <w:start w:val="0"/>
      <w:numFmt w:val="bullet"/>
      <w:lvlText w:val="-"/>
      <w:lvlJc w:val="left"/>
      <w:pPr>
        <w:ind w:left="2138" w:hanging="348"/>
      </w:pPr>
      <w:rPr>
        <w:rFonts w:hint="default" w:ascii="Calibri" w:hAnsi="Calibri" w:eastAsia="Calibri" w:cs="Calibri"/>
        <w:spacing w:val="-2"/>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35">
    <w:multiLevelType w:val="hybridMultilevel"/>
    <w:lvl w:ilvl="0">
      <w:start w:val="0"/>
      <w:numFmt w:val="bullet"/>
      <w:lvlText w:val=""/>
      <w:lvlJc w:val="left"/>
      <w:pPr>
        <w:ind w:left="2126" w:hanging="348"/>
      </w:pPr>
      <w:rPr>
        <w:rFonts w:hint="default" w:ascii="Wingdings" w:hAnsi="Wingdings" w:eastAsia="Wingdings" w:cs="Wingdings"/>
        <w:w w:val="99"/>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33">
    <w:multiLevelType w:val="hybridMultilevel"/>
    <w:lvl w:ilvl="0">
      <w:start w:val="0"/>
      <w:numFmt w:val="bullet"/>
      <w:lvlText w:val=""/>
      <w:lvlJc w:val="left"/>
      <w:pPr>
        <w:ind w:left="2126" w:hanging="348"/>
      </w:pPr>
      <w:rPr>
        <w:rFonts w:hint="default" w:ascii="Wingdings" w:hAnsi="Wingdings" w:eastAsia="Wingdings" w:cs="Wingdings"/>
        <w:w w:val="99"/>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13">
    <w:multiLevelType w:val="hybridMultilevel"/>
    <w:lvl w:ilvl="0">
      <w:start w:val="0"/>
      <w:numFmt w:val="bullet"/>
      <w:lvlText w:val=""/>
      <w:lvlJc w:val="left"/>
      <w:pPr>
        <w:ind w:left="2138" w:hanging="348"/>
      </w:pPr>
      <w:rPr>
        <w:rFonts w:hint="default" w:ascii="Symbol" w:hAnsi="Symbol" w:eastAsia="Symbol" w:cs="Symbol"/>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7">
    <w:multiLevelType w:val="hybridMultilevel"/>
    <w:lvl w:ilvl="0">
      <w:start w:val="0"/>
      <w:numFmt w:val="bullet"/>
      <w:lvlText w:val=""/>
      <w:lvlJc w:val="left"/>
      <w:pPr>
        <w:ind w:left="2138" w:hanging="348"/>
      </w:pPr>
      <w:rPr>
        <w:rFonts w:hint="default" w:ascii="Symbol" w:hAnsi="Symbol" w:eastAsia="Symbol" w:cs="Symbol"/>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112">
    <w:multiLevelType w:val="hybridMultilevel"/>
    <w:lvl w:ilvl="0">
      <w:start w:val="1"/>
      <w:numFmt w:val="upperLetter"/>
      <w:lvlText w:val="%1."/>
      <w:lvlJc w:val="left"/>
      <w:pPr>
        <w:ind w:left="1985" w:hanging="567"/>
        <w:jc w:val="left"/>
      </w:pPr>
      <w:rPr>
        <w:rFonts w:hint="default" w:ascii="Garamond" w:hAnsi="Garamond" w:eastAsia="Garamond" w:cs="Garamond"/>
        <w:spacing w:val="-10"/>
        <w:w w:val="100"/>
        <w:sz w:val="24"/>
        <w:szCs w:val="24"/>
      </w:rPr>
    </w:lvl>
    <w:lvl w:ilvl="1">
      <w:start w:val="0"/>
      <w:numFmt w:val="bullet"/>
      <w:lvlText w:val="•"/>
      <w:lvlJc w:val="left"/>
      <w:pPr>
        <w:ind w:left="2972" w:hanging="567"/>
      </w:pPr>
      <w:rPr>
        <w:rFonts w:hint="default"/>
      </w:rPr>
    </w:lvl>
    <w:lvl w:ilvl="2">
      <w:start w:val="0"/>
      <w:numFmt w:val="bullet"/>
      <w:lvlText w:val="•"/>
      <w:lvlJc w:val="left"/>
      <w:pPr>
        <w:ind w:left="3965" w:hanging="567"/>
      </w:pPr>
      <w:rPr>
        <w:rFonts w:hint="default"/>
      </w:rPr>
    </w:lvl>
    <w:lvl w:ilvl="3">
      <w:start w:val="0"/>
      <w:numFmt w:val="bullet"/>
      <w:lvlText w:val="•"/>
      <w:lvlJc w:val="left"/>
      <w:pPr>
        <w:ind w:left="4957" w:hanging="567"/>
      </w:pPr>
      <w:rPr>
        <w:rFonts w:hint="default"/>
      </w:rPr>
    </w:lvl>
    <w:lvl w:ilvl="4">
      <w:start w:val="0"/>
      <w:numFmt w:val="bullet"/>
      <w:lvlText w:val="•"/>
      <w:lvlJc w:val="left"/>
      <w:pPr>
        <w:ind w:left="5950" w:hanging="567"/>
      </w:pPr>
      <w:rPr>
        <w:rFonts w:hint="default"/>
      </w:rPr>
    </w:lvl>
    <w:lvl w:ilvl="5">
      <w:start w:val="0"/>
      <w:numFmt w:val="bullet"/>
      <w:lvlText w:val="•"/>
      <w:lvlJc w:val="left"/>
      <w:pPr>
        <w:ind w:left="6943" w:hanging="567"/>
      </w:pPr>
      <w:rPr>
        <w:rFonts w:hint="default"/>
      </w:rPr>
    </w:lvl>
    <w:lvl w:ilvl="6">
      <w:start w:val="0"/>
      <w:numFmt w:val="bullet"/>
      <w:lvlText w:val="•"/>
      <w:lvlJc w:val="left"/>
      <w:pPr>
        <w:ind w:left="7935" w:hanging="567"/>
      </w:pPr>
      <w:rPr>
        <w:rFonts w:hint="default"/>
      </w:rPr>
    </w:lvl>
    <w:lvl w:ilvl="7">
      <w:start w:val="0"/>
      <w:numFmt w:val="bullet"/>
      <w:lvlText w:val="•"/>
      <w:lvlJc w:val="left"/>
      <w:pPr>
        <w:ind w:left="8928" w:hanging="567"/>
      </w:pPr>
      <w:rPr>
        <w:rFonts w:hint="default"/>
      </w:rPr>
    </w:lvl>
    <w:lvl w:ilvl="8">
      <w:start w:val="0"/>
      <w:numFmt w:val="bullet"/>
      <w:lvlText w:val="•"/>
      <w:lvlJc w:val="left"/>
      <w:pPr>
        <w:ind w:left="9921" w:hanging="567"/>
      </w:pPr>
      <w:rPr>
        <w:rFonts w:hint="default"/>
      </w:rPr>
    </w:lvl>
  </w:abstractNum>
  <w:abstractNum w:abstractNumId="111">
    <w:multiLevelType w:val="hybridMultilevel"/>
    <w:lvl w:ilvl="0">
      <w:start w:val="1"/>
      <w:numFmt w:val="decimal"/>
      <w:lvlText w:val="%1."/>
      <w:lvlJc w:val="left"/>
      <w:pPr>
        <w:ind w:left="2138" w:hanging="348"/>
        <w:jc w:val="left"/>
      </w:pPr>
      <w:rPr>
        <w:rFonts w:hint="default" w:ascii="Garamond" w:hAnsi="Garamond" w:eastAsia="Garamond" w:cs="Garamond"/>
        <w:spacing w:val="-4"/>
        <w:w w:val="99"/>
        <w:sz w:val="24"/>
        <w:szCs w:val="24"/>
      </w:rPr>
    </w:lvl>
    <w:lvl w:ilvl="1">
      <w:start w:val="0"/>
      <w:numFmt w:val="bullet"/>
      <w:lvlText w:val=""/>
      <w:lvlJc w:val="left"/>
      <w:pPr>
        <w:ind w:left="2198" w:hanging="288"/>
      </w:pPr>
      <w:rPr>
        <w:rFonts w:hint="default" w:ascii="Wingdings" w:hAnsi="Wingdings" w:eastAsia="Wingdings" w:cs="Wingdings"/>
        <w:w w:val="100"/>
        <w:sz w:val="24"/>
        <w:szCs w:val="24"/>
      </w:rPr>
    </w:lvl>
    <w:lvl w:ilvl="2">
      <w:start w:val="0"/>
      <w:numFmt w:val="bullet"/>
      <w:lvlText w:val="•"/>
      <w:lvlJc w:val="left"/>
      <w:pPr>
        <w:ind w:left="3278" w:hanging="288"/>
      </w:pPr>
      <w:rPr>
        <w:rFonts w:hint="default"/>
      </w:rPr>
    </w:lvl>
    <w:lvl w:ilvl="3">
      <w:start w:val="0"/>
      <w:numFmt w:val="bullet"/>
      <w:lvlText w:val="•"/>
      <w:lvlJc w:val="left"/>
      <w:pPr>
        <w:ind w:left="4356" w:hanging="288"/>
      </w:pPr>
      <w:rPr>
        <w:rFonts w:hint="default"/>
      </w:rPr>
    </w:lvl>
    <w:lvl w:ilvl="4">
      <w:start w:val="0"/>
      <w:numFmt w:val="bullet"/>
      <w:lvlText w:val="•"/>
      <w:lvlJc w:val="left"/>
      <w:pPr>
        <w:ind w:left="5435" w:hanging="288"/>
      </w:pPr>
      <w:rPr>
        <w:rFonts w:hint="default"/>
      </w:rPr>
    </w:lvl>
    <w:lvl w:ilvl="5">
      <w:start w:val="0"/>
      <w:numFmt w:val="bullet"/>
      <w:lvlText w:val="•"/>
      <w:lvlJc w:val="left"/>
      <w:pPr>
        <w:ind w:left="6513" w:hanging="288"/>
      </w:pPr>
      <w:rPr>
        <w:rFonts w:hint="default"/>
      </w:rPr>
    </w:lvl>
    <w:lvl w:ilvl="6">
      <w:start w:val="0"/>
      <w:numFmt w:val="bullet"/>
      <w:lvlText w:val="•"/>
      <w:lvlJc w:val="left"/>
      <w:pPr>
        <w:ind w:left="7592" w:hanging="288"/>
      </w:pPr>
      <w:rPr>
        <w:rFonts w:hint="default"/>
      </w:rPr>
    </w:lvl>
    <w:lvl w:ilvl="7">
      <w:start w:val="0"/>
      <w:numFmt w:val="bullet"/>
      <w:lvlText w:val="•"/>
      <w:lvlJc w:val="left"/>
      <w:pPr>
        <w:ind w:left="8670" w:hanging="288"/>
      </w:pPr>
      <w:rPr>
        <w:rFonts w:hint="default"/>
      </w:rPr>
    </w:lvl>
    <w:lvl w:ilvl="8">
      <w:start w:val="0"/>
      <w:numFmt w:val="bullet"/>
      <w:lvlText w:val="•"/>
      <w:lvlJc w:val="left"/>
      <w:pPr>
        <w:ind w:left="9749" w:hanging="288"/>
      </w:pPr>
      <w:rPr>
        <w:rFonts w:hint="default"/>
      </w:rPr>
    </w:lvl>
  </w:abstractNum>
  <w:abstractNum w:abstractNumId="110">
    <w:multiLevelType w:val="hybridMultilevel"/>
    <w:lvl w:ilvl="0">
      <w:start w:val="0"/>
      <w:numFmt w:val="bullet"/>
      <w:lvlText w:val=""/>
      <w:lvlJc w:val="left"/>
      <w:pPr>
        <w:ind w:left="2138" w:hanging="348"/>
      </w:pPr>
      <w:rPr>
        <w:rFonts w:hint="default" w:ascii="Wingdings" w:hAnsi="Wingdings" w:eastAsia="Wingdings" w:cs="Wingdings"/>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109">
    <w:multiLevelType w:val="hybridMultilevel"/>
    <w:lvl w:ilvl="0">
      <w:start w:val="1"/>
      <w:numFmt w:val="decimal"/>
      <w:lvlText w:val="%1."/>
      <w:lvlJc w:val="left"/>
      <w:pPr>
        <w:ind w:left="2138" w:hanging="348"/>
        <w:jc w:val="left"/>
      </w:pPr>
      <w:rPr>
        <w:rFonts w:hint="default" w:ascii="Garamond" w:hAnsi="Garamond" w:eastAsia="Garamond" w:cs="Garamond"/>
        <w:spacing w:val="-27"/>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108">
    <w:multiLevelType w:val="hybridMultilevel"/>
    <w:lvl w:ilvl="0">
      <w:start w:val="0"/>
      <w:numFmt w:val="bullet"/>
      <w:lvlText w:val=""/>
      <w:lvlJc w:val="left"/>
      <w:pPr>
        <w:ind w:left="2126" w:hanging="348"/>
      </w:pPr>
      <w:rPr>
        <w:rFonts w:hint="default" w:ascii="Symbol" w:hAnsi="Symbol" w:eastAsia="Symbol" w:cs="Symbol"/>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107">
    <w:multiLevelType w:val="hybridMultilevel"/>
    <w:lvl w:ilvl="0">
      <w:start w:val="0"/>
      <w:numFmt w:val="bullet"/>
      <w:lvlText w:val=""/>
      <w:lvlJc w:val="left"/>
      <w:pPr>
        <w:ind w:left="2198" w:hanging="288"/>
      </w:pPr>
      <w:rPr>
        <w:rFonts w:hint="default" w:ascii="Symbol" w:hAnsi="Symbol" w:eastAsia="Symbol" w:cs="Symbol"/>
        <w:w w:val="100"/>
        <w:sz w:val="24"/>
        <w:szCs w:val="24"/>
      </w:rPr>
    </w:lvl>
    <w:lvl w:ilvl="1">
      <w:start w:val="0"/>
      <w:numFmt w:val="bullet"/>
      <w:lvlText w:val="•"/>
      <w:lvlJc w:val="left"/>
      <w:pPr>
        <w:ind w:left="3170" w:hanging="288"/>
      </w:pPr>
      <w:rPr>
        <w:rFonts w:hint="default"/>
      </w:rPr>
    </w:lvl>
    <w:lvl w:ilvl="2">
      <w:start w:val="0"/>
      <w:numFmt w:val="bullet"/>
      <w:lvlText w:val="•"/>
      <w:lvlJc w:val="left"/>
      <w:pPr>
        <w:ind w:left="4141" w:hanging="288"/>
      </w:pPr>
      <w:rPr>
        <w:rFonts w:hint="default"/>
      </w:rPr>
    </w:lvl>
    <w:lvl w:ilvl="3">
      <w:start w:val="0"/>
      <w:numFmt w:val="bullet"/>
      <w:lvlText w:val="•"/>
      <w:lvlJc w:val="left"/>
      <w:pPr>
        <w:ind w:left="5111" w:hanging="288"/>
      </w:pPr>
      <w:rPr>
        <w:rFonts w:hint="default"/>
      </w:rPr>
    </w:lvl>
    <w:lvl w:ilvl="4">
      <w:start w:val="0"/>
      <w:numFmt w:val="bullet"/>
      <w:lvlText w:val="•"/>
      <w:lvlJc w:val="left"/>
      <w:pPr>
        <w:ind w:left="6082" w:hanging="288"/>
      </w:pPr>
      <w:rPr>
        <w:rFonts w:hint="default"/>
      </w:rPr>
    </w:lvl>
    <w:lvl w:ilvl="5">
      <w:start w:val="0"/>
      <w:numFmt w:val="bullet"/>
      <w:lvlText w:val="•"/>
      <w:lvlJc w:val="left"/>
      <w:pPr>
        <w:ind w:left="7053" w:hanging="288"/>
      </w:pPr>
      <w:rPr>
        <w:rFonts w:hint="default"/>
      </w:rPr>
    </w:lvl>
    <w:lvl w:ilvl="6">
      <w:start w:val="0"/>
      <w:numFmt w:val="bullet"/>
      <w:lvlText w:val="•"/>
      <w:lvlJc w:val="left"/>
      <w:pPr>
        <w:ind w:left="8023" w:hanging="288"/>
      </w:pPr>
      <w:rPr>
        <w:rFonts w:hint="default"/>
      </w:rPr>
    </w:lvl>
    <w:lvl w:ilvl="7">
      <w:start w:val="0"/>
      <w:numFmt w:val="bullet"/>
      <w:lvlText w:val="•"/>
      <w:lvlJc w:val="left"/>
      <w:pPr>
        <w:ind w:left="8994" w:hanging="288"/>
      </w:pPr>
      <w:rPr>
        <w:rFonts w:hint="default"/>
      </w:rPr>
    </w:lvl>
    <w:lvl w:ilvl="8">
      <w:start w:val="0"/>
      <w:numFmt w:val="bullet"/>
      <w:lvlText w:val="•"/>
      <w:lvlJc w:val="left"/>
      <w:pPr>
        <w:ind w:left="9965" w:hanging="288"/>
      </w:pPr>
      <w:rPr>
        <w:rFonts w:hint="default"/>
      </w:rPr>
    </w:lvl>
  </w:abstractNum>
  <w:abstractNum w:abstractNumId="106">
    <w:multiLevelType w:val="hybridMultilevel"/>
    <w:lvl w:ilvl="0">
      <w:start w:val="1"/>
      <w:numFmt w:val="decimal"/>
      <w:lvlText w:val="%1."/>
      <w:lvlJc w:val="left"/>
      <w:pPr>
        <w:ind w:left="2138" w:hanging="348"/>
        <w:jc w:val="left"/>
      </w:pPr>
      <w:rPr>
        <w:rFonts w:hint="default" w:ascii="Garamond" w:hAnsi="Garamond" w:eastAsia="Garamond" w:cs="Garamond"/>
        <w:spacing w:val="-3"/>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105">
    <w:multiLevelType w:val="hybridMultilevel"/>
    <w:lvl w:ilvl="0">
      <w:start w:val="1"/>
      <w:numFmt w:val="decimal"/>
      <w:lvlText w:val="%1."/>
      <w:lvlJc w:val="left"/>
      <w:pPr>
        <w:ind w:left="2138" w:hanging="348"/>
        <w:jc w:val="left"/>
      </w:pPr>
      <w:rPr>
        <w:rFonts w:hint="default"/>
        <w:spacing w:val="-29"/>
        <w:w w:val="99"/>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104">
    <w:multiLevelType w:val="hybridMultilevel"/>
    <w:lvl w:ilvl="0">
      <w:start w:val="0"/>
      <w:numFmt w:val="bullet"/>
      <w:lvlText w:val="-"/>
      <w:lvlJc w:val="left"/>
      <w:pPr>
        <w:ind w:left="1418" w:hanging="144"/>
      </w:pPr>
      <w:rPr>
        <w:rFonts w:hint="default" w:ascii="Garamond" w:hAnsi="Garamond" w:eastAsia="Garamond" w:cs="Garamond"/>
        <w:w w:val="100"/>
        <w:sz w:val="24"/>
        <w:szCs w:val="24"/>
      </w:rPr>
    </w:lvl>
    <w:lvl w:ilvl="1">
      <w:start w:val="0"/>
      <w:numFmt w:val="bullet"/>
      <w:lvlText w:val="•"/>
      <w:lvlJc w:val="left"/>
      <w:pPr>
        <w:ind w:left="2468" w:hanging="144"/>
      </w:pPr>
      <w:rPr>
        <w:rFonts w:hint="default"/>
      </w:rPr>
    </w:lvl>
    <w:lvl w:ilvl="2">
      <w:start w:val="0"/>
      <w:numFmt w:val="bullet"/>
      <w:lvlText w:val="•"/>
      <w:lvlJc w:val="left"/>
      <w:pPr>
        <w:ind w:left="3517" w:hanging="144"/>
      </w:pPr>
      <w:rPr>
        <w:rFonts w:hint="default"/>
      </w:rPr>
    </w:lvl>
    <w:lvl w:ilvl="3">
      <w:start w:val="0"/>
      <w:numFmt w:val="bullet"/>
      <w:lvlText w:val="•"/>
      <w:lvlJc w:val="left"/>
      <w:pPr>
        <w:ind w:left="4565" w:hanging="144"/>
      </w:pPr>
      <w:rPr>
        <w:rFonts w:hint="default"/>
      </w:rPr>
    </w:lvl>
    <w:lvl w:ilvl="4">
      <w:start w:val="0"/>
      <w:numFmt w:val="bullet"/>
      <w:lvlText w:val="•"/>
      <w:lvlJc w:val="left"/>
      <w:pPr>
        <w:ind w:left="5614" w:hanging="144"/>
      </w:pPr>
      <w:rPr>
        <w:rFonts w:hint="default"/>
      </w:rPr>
    </w:lvl>
    <w:lvl w:ilvl="5">
      <w:start w:val="0"/>
      <w:numFmt w:val="bullet"/>
      <w:lvlText w:val="•"/>
      <w:lvlJc w:val="left"/>
      <w:pPr>
        <w:ind w:left="6663" w:hanging="144"/>
      </w:pPr>
      <w:rPr>
        <w:rFonts w:hint="default"/>
      </w:rPr>
    </w:lvl>
    <w:lvl w:ilvl="6">
      <w:start w:val="0"/>
      <w:numFmt w:val="bullet"/>
      <w:lvlText w:val="•"/>
      <w:lvlJc w:val="left"/>
      <w:pPr>
        <w:ind w:left="7711" w:hanging="144"/>
      </w:pPr>
      <w:rPr>
        <w:rFonts w:hint="default"/>
      </w:rPr>
    </w:lvl>
    <w:lvl w:ilvl="7">
      <w:start w:val="0"/>
      <w:numFmt w:val="bullet"/>
      <w:lvlText w:val="•"/>
      <w:lvlJc w:val="left"/>
      <w:pPr>
        <w:ind w:left="8760" w:hanging="144"/>
      </w:pPr>
      <w:rPr>
        <w:rFonts w:hint="default"/>
      </w:rPr>
    </w:lvl>
    <w:lvl w:ilvl="8">
      <w:start w:val="0"/>
      <w:numFmt w:val="bullet"/>
      <w:lvlText w:val="•"/>
      <w:lvlJc w:val="left"/>
      <w:pPr>
        <w:ind w:left="9809" w:hanging="144"/>
      </w:pPr>
      <w:rPr>
        <w:rFonts w:hint="default"/>
      </w:rPr>
    </w:lvl>
  </w:abstractNum>
  <w:abstractNum w:abstractNumId="102">
    <w:multiLevelType w:val="hybridMultilevel"/>
    <w:lvl w:ilvl="0">
      <w:start w:val="0"/>
      <w:numFmt w:val="bullet"/>
      <w:lvlText w:val="-"/>
      <w:lvlJc w:val="left"/>
      <w:pPr>
        <w:ind w:left="1985" w:hanging="284"/>
      </w:pPr>
      <w:rPr>
        <w:rFonts w:hint="default" w:ascii="Times New Roman" w:hAnsi="Times New Roman" w:eastAsia="Times New Roman" w:cs="Times New Roman"/>
        <w:spacing w:val="-3"/>
        <w:w w:val="100"/>
        <w:sz w:val="24"/>
        <w:szCs w:val="24"/>
      </w:rPr>
    </w:lvl>
    <w:lvl w:ilvl="1">
      <w:start w:val="0"/>
      <w:numFmt w:val="bullet"/>
      <w:lvlText w:val=""/>
      <w:lvlJc w:val="left"/>
      <w:pPr>
        <w:ind w:left="2126" w:hanging="348"/>
      </w:pPr>
      <w:rPr>
        <w:rFonts w:hint="default" w:ascii="Symbol" w:hAnsi="Symbol" w:eastAsia="Symbol" w:cs="Symbol"/>
        <w:w w:val="100"/>
        <w:sz w:val="24"/>
        <w:szCs w:val="24"/>
      </w:rPr>
    </w:lvl>
    <w:lvl w:ilvl="2">
      <w:start w:val="0"/>
      <w:numFmt w:val="bullet"/>
      <w:lvlText w:val="•"/>
      <w:lvlJc w:val="left"/>
      <w:pPr>
        <w:ind w:left="2140" w:hanging="348"/>
      </w:pPr>
      <w:rPr>
        <w:rFonts w:hint="default"/>
      </w:rPr>
    </w:lvl>
    <w:lvl w:ilvl="3">
      <w:start w:val="0"/>
      <w:numFmt w:val="bullet"/>
      <w:lvlText w:val="•"/>
      <w:lvlJc w:val="left"/>
      <w:pPr>
        <w:ind w:left="3360" w:hanging="348"/>
      </w:pPr>
      <w:rPr>
        <w:rFonts w:hint="default"/>
      </w:rPr>
    </w:lvl>
    <w:lvl w:ilvl="4">
      <w:start w:val="0"/>
      <w:numFmt w:val="bullet"/>
      <w:lvlText w:val="•"/>
      <w:lvlJc w:val="left"/>
      <w:pPr>
        <w:ind w:left="4581" w:hanging="348"/>
      </w:pPr>
      <w:rPr>
        <w:rFonts w:hint="default"/>
      </w:rPr>
    </w:lvl>
    <w:lvl w:ilvl="5">
      <w:start w:val="0"/>
      <w:numFmt w:val="bullet"/>
      <w:lvlText w:val="•"/>
      <w:lvlJc w:val="left"/>
      <w:pPr>
        <w:ind w:left="5802" w:hanging="348"/>
      </w:pPr>
      <w:rPr>
        <w:rFonts w:hint="default"/>
      </w:rPr>
    </w:lvl>
    <w:lvl w:ilvl="6">
      <w:start w:val="0"/>
      <w:numFmt w:val="bullet"/>
      <w:lvlText w:val="•"/>
      <w:lvlJc w:val="left"/>
      <w:pPr>
        <w:ind w:left="7023" w:hanging="348"/>
      </w:pPr>
      <w:rPr>
        <w:rFonts w:hint="default"/>
      </w:rPr>
    </w:lvl>
    <w:lvl w:ilvl="7">
      <w:start w:val="0"/>
      <w:numFmt w:val="bullet"/>
      <w:lvlText w:val="•"/>
      <w:lvlJc w:val="left"/>
      <w:pPr>
        <w:ind w:left="8244" w:hanging="348"/>
      </w:pPr>
      <w:rPr>
        <w:rFonts w:hint="default"/>
      </w:rPr>
    </w:lvl>
    <w:lvl w:ilvl="8">
      <w:start w:val="0"/>
      <w:numFmt w:val="bullet"/>
      <w:lvlText w:val="•"/>
      <w:lvlJc w:val="left"/>
      <w:pPr>
        <w:ind w:left="9464" w:hanging="348"/>
      </w:pPr>
      <w:rPr>
        <w:rFonts w:hint="default"/>
      </w:rPr>
    </w:lvl>
  </w:abstractNum>
  <w:abstractNum w:abstractNumId="101">
    <w:multiLevelType w:val="hybridMultilevel"/>
    <w:lvl w:ilvl="0">
      <w:start w:val="1"/>
      <w:numFmt w:val="upperLetter"/>
      <w:lvlText w:val="%1."/>
      <w:lvlJc w:val="left"/>
      <w:pPr>
        <w:ind w:left="1597" w:hanging="147"/>
        <w:jc w:val="left"/>
      </w:pPr>
      <w:rPr>
        <w:rFonts w:hint="default"/>
        <w:spacing w:val="-11"/>
        <w:w w:val="101"/>
        <w:u w:val="single" w:color="9F2F33"/>
      </w:rPr>
    </w:lvl>
    <w:lvl w:ilvl="1">
      <w:start w:val="1"/>
      <w:numFmt w:val="decimal"/>
      <w:lvlText w:val="%2."/>
      <w:lvlJc w:val="left"/>
      <w:pPr>
        <w:ind w:left="2138" w:hanging="348"/>
        <w:jc w:val="left"/>
      </w:pPr>
      <w:rPr>
        <w:rFonts w:hint="default" w:ascii="Garamond" w:hAnsi="Garamond" w:eastAsia="Garamond" w:cs="Garamond"/>
        <w:spacing w:val="-3"/>
        <w:w w:val="99"/>
        <w:sz w:val="24"/>
        <w:szCs w:val="24"/>
      </w:rPr>
    </w:lvl>
    <w:lvl w:ilvl="2">
      <w:start w:val="0"/>
      <w:numFmt w:val="bullet"/>
      <w:lvlText w:val="•"/>
      <w:lvlJc w:val="left"/>
      <w:pPr>
        <w:ind w:left="3225" w:hanging="348"/>
      </w:pPr>
      <w:rPr>
        <w:rFonts w:hint="default"/>
      </w:rPr>
    </w:lvl>
    <w:lvl w:ilvl="3">
      <w:start w:val="0"/>
      <w:numFmt w:val="bullet"/>
      <w:lvlText w:val="•"/>
      <w:lvlJc w:val="left"/>
      <w:pPr>
        <w:ind w:left="4310" w:hanging="348"/>
      </w:pPr>
      <w:rPr>
        <w:rFonts w:hint="default"/>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100">
    <w:multiLevelType w:val="hybridMultilevel"/>
    <w:lvl w:ilvl="0">
      <w:start w:val="0"/>
      <w:numFmt w:val="bullet"/>
      <w:lvlText w:val=""/>
      <w:lvlJc w:val="left"/>
      <w:pPr>
        <w:ind w:left="2138" w:hanging="348"/>
      </w:pPr>
      <w:rPr>
        <w:rFonts w:hint="default" w:ascii="Wingdings" w:hAnsi="Wingdings" w:eastAsia="Wingdings" w:cs="Wingdings"/>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99">
    <w:multiLevelType w:val="hybridMultilevel"/>
    <w:lvl w:ilvl="0">
      <w:start w:val="1"/>
      <w:numFmt w:val="upperLetter"/>
      <w:lvlText w:val="(%1)"/>
      <w:lvlJc w:val="left"/>
      <w:pPr>
        <w:ind w:left="2138" w:hanging="708"/>
        <w:jc w:val="left"/>
      </w:pPr>
      <w:rPr>
        <w:rFonts w:hint="default" w:ascii="Garamond" w:hAnsi="Garamond" w:eastAsia="Garamond" w:cs="Garamond"/>
        <w:i/>
        <w:spacing w:val="-25"/>
        <w:w w:val="99"/>
        <w:sz w:val="24"/>
        <w:szCs w:val="24"/>
      </w:rPr>
    </w:lvl>
    <w:lvl w:ilvl="1">
      <w:start w:val="1"/>
      <w:numFmt w:val="lowerRoman"/>
      <w:lvlText w:val="(%2)"/>
      <w:lvlJc w:val="left"/>
      <w:pPr>
        <w:ind w:left="2498" w:hanging="348"/>
        <w:jc w:val="left"/>
      </w:pPr>
      <w:rPr>
        <w:rFonts w:hint="default"/>
        <w:i/>
        <w:spacing w:val="-30"/>
        <w:w w:val="100"/>
      </w:rPr>
    </w:lvl>
    <w:lvl w:ilvl="2">
      <w:start w:val="1"/>
      <w:numFmt w:val="lowerLetter"/>
      <w:lvlText w:val="(%3)"/>
      <w:lvlJc w:val="left"/>
      <w:pPr>
        <w:ind w:left="2705" w:hanging="348"/>
        <w:jc w:val="left"/>
      </w:pPr>
      <w:rPr>
        <w:rFonts w:hint="default" w:ascii="Garamond" w:hAnsi="Garamond" w:eastAsia="Garamond" w:cs="Garamond"/>
        <w:i/>
        <w:spacing w:val="-3"/>
        <w:w w:val="100"/>
        <w:sz w:val="24"/>
        <w:szCs w:val="24"/>
      </w:rPr>
    </w:lvl>
    <w:lvl w:ilvl="3">
      <w:start w:val="0"/>
      <w:numFmt w:val="bullet"/>
      <w:lvlText w:val="•"/>
      <w:lvlJc w:val="left"/>
      <w:pPr>
        <w:ind w:left="2700" w:hanging="348"/>
      </w:pPr>
      <w:rPr>
        <w:rFonts w:hint="default"/>
      </w:rPr>
    </w:lvl>
    <w:lvl w:ilvl="4">
      <w:start w:val="0"/>
      <w:numFmt w:val="bullet"/>
      <w:lvlText w:val="•"/>
      <w:lvlJc w:val="left"/>
      <w:pPr>
        <w:ind w:left="4015" w:hanging="348"/>
      </w:pPr>
      <w:rPr>
        <w:rFonts w:hint="default"/>
      </w:rPr>
    </w:lvl>
    <w:lvl w:ilvl="5">
      <w:start w:val="0"/>
      <w:numFmt w:val="bullet"/>
      <w:lvlText w:val="•"/>
      <w:lvlJc w:val="left"/>
      <w:pPr>
        <w:ind w:left="5330" w:hanging="348"/>
      </w:pPr>
      <w:rPr>
        <w:rFonts w:hint="default"/>
      </w:rPr>
    </w:lvl>
    <w:lvl w:ilvl="6">
      <w:start w:val="0"/>
      <w:numFmt w:val="bullet"/>
      <w:lvlText w:val="•"/>
      <w:lvlJc w:val="left"/>
      <w:pPr>
        <w:ind w:left="6645" w:hanging="348"/>
      </w:pPr>
      <w:rPr>
        <w:rFonts w:hint="default"/>
      </w:rPr>
    </w:lvl>
    <w:lvl w:ilvl="7">
      <w:start w:val="0"/>
      <w:numFmt w:val="bullet"/>
      <w:lvlText w:val="•"/>
      <w:lvlJc w:val="left"/>
      <w:pPr>
        <w:ind w:left="7960" w:hanging="348"/>
      </w:pPr>
      <w:rPr>
        <w:rFonts w:hint="default"/>
      </w:rPr>
    </w:lvl>
    <w:lvl w:ilvl="8">
      <w:start w:val="0"/>
      <w:numFmt w:val="bullet"/>
      <w:lvlText w:val="•"/>
      <w:lvlJc w:val="left"/>
      <w:pPr>
        <w:ind w:left="9276" w:hanging="348"/>
      </w:pPr>
      <w:rPr>
        <w:rFonts w:hint="default"/>
      </w:rPr>
    </w:lvl>
  </w:abstractNum>
  <w:abstractNum w:abstractNumId="97">
    <w:multiLevelType w:val="hybridMultilevel"/>
    <w:lvl w:ilvl="0">
      <w:start w:val="0"/>
      <w:numFmt w:val="bullet"/>
      <w:lvlText w:val="-"/>
      <w:lvlJc w:val="left"/>
      <w:pPr>
        <w:ind w:left="1589" w:hanging="67"/>
      </w:pPr>
      <w:rPr>
        <w:rFonts w:hint="default" w:ascii="Times New Roman" w:hAnsi="Times New Roman" w:eastAsia="Times New Roman" w:cs="Times New Roman"/>
        <w:w w:val="100"/>
        <w:sz w:val="11"/>
        <w:szCs w:val="11"/>
      </w:rPr>
    </w:lvl>
    <w:lvl w:ilvl="1">
      <w:start w:val="0"/>
      <w:numFmt w:val="bullet"/>
      <w:lvlText w:val="•"/>
      <w:lvlJc w:val="left"/>
      <w:pPr>
        <w:ind w:left="2612" w:hanging="67"/>
      </w:pPr>
      <w:rPr>
        <w:rFonts w:hint="default"/>
      </w:rPr>
    </w:lvl>
    <w:lvl w:ilvl="2">
      <w:start w:val="0"/>
      <w:numFmt w:val="bullet"/>
      <w:lvlText w:val="•"/>
      <w:lvlJc w:val="left"/>
      <w:pPr>
        <w:ind w:left="3645" w:hanging="67"/>
      </w:pPr>
      <w:rPr>
        <w:rFonts w:hint="default"/>
      </w:rPr>
    </w:lvl>
    <w:lvl w:ilvl="3">
      <w:start w:val="0"/>
      <w:numFmt w:val="bullet"/>
      <w:lvlText w:val="•"/>
      <w:lvlJc w:val="left"/>
      <w:pPr>
        <w:ind w:left="4677" w:hanging="67"/>
      </w:pPr>
      <w:rPr>
        <w:rFonts w:hint="default"/>
      </w:rPr>
    </w:lvl>
    <w:lvl w:ilvl="4">
      <w:start w:val="0"/>
      <w:numFmt w:val="bullet"/>
      <w:lvlText w:val="•"/>
      <w:lvlJc w:val="left"/>
      <w:pPr>
        <w:ind w:left="5710" w:hanging="67"/>
      </w:pPr>
      <w:rPr>
        <w:rFonts w:hint="default"/>
      </w:rPr>
    </w:lvl>
    <w:lvl w:ilvl="5">
      <w:start w:val="0"/>
      <w:numFmt w:val="bullet"/>
      <w:lvlText w:val="•"/>
      <w:lvlJc w:val="left"/>
      <w:pPr>
        <w:ind w:left="6743" w:hanging="67"/>
      </w:pPr>
      <w:rPr>
        <w:rFonts w:hint="default"/>
      </w:rPr>
    </w:lvl>
    <w:lvl w:ilvl="6">
      <w:start w:val="0"/>
      <w:numFmt w:val="bullet"/>
      <w:lvlText w:val="•"/>
      <w:lvlJc w:val="left"/>
      <w:pPr>
        <w:ind w:left="7775" w:hanging="67"/>
      </w:pPr>
      <w:rPr>
        <w:rFonts w:hint="default"/>
      </w:rPr>
    </w:lvl>
    <w:lvl w:ilvl="7">
      <w:start w:val="0"/>
      <w:numFmt w:val="bullet"/>
      <w:lvlText w:val="•"/>
      <w:lvlJc w:val="left"/>
      <w:pPr>
        <w:ind w:left="8808" w:hanging="67"/>
      </w:pPr>
      <w:rPr>
        <w:rFonts w:hint="default"/>
      </w:rPr>
    </w:lvl>
    <w:lvl w:ilvl="8">
      <w:start w:val="0"/>
      <w:numFmt w:val="bullet"/>
      <w:lvlText w:val="•"/>
      <w:lvlJc w:val="left"/>
      <w:pPr>
        <w:ind w:left="9841" w:hanging="67"/>
      </w:pPr>
      <w:rPr>
        <w:rFonts w:hint="default"/>
      </w:rPr>
    </w:lvl>
  </w:abstractNum>
  <w:abstractNum w:abstractNumId="96">
    <w:multiLevelType w:val="hybridMultilevel"/>
    <w:lvl w:ilvl="0">
      <w:start w:val="0"/>
      <w:numFmt w:val="bullet"/>
      <w:lvlText w:val="-"/>
      <w:lvlJc w:val="left"/>
      <w:pPr>
        <w:ind w:left="1548" w:hanging="95"/>
      </w:pPr>
      <w:rPr>
        <w:rFonts w:hint="default"/>
        <w:w w:val="97"/>
      </w:rPr>
    </w:lvl>
    <w:lvl w:ilvl="1">
      <w:start w:val="0"/>
      <w:numFmt w:val="bullet"/>
      <w:lvlText w:val=""/>
      <w:lvlJc w:val="left"/>
      <w:pPr>
        <w:ind w:left="2126" w:hanging="288"/>
      </w:pPr>
      <w:rPr>
        <w:rFonts w:hint="default" w:ascii="Wingdings" w:hAnsi="Wingdings" w:eastAsia="Wingdings" w:cs="Wingdings"/>
        <w:w w:val="99"/>
        <w:sz w:val="24"/>
        <w:szCs w:val="24"/>
      </w:rPr>
    </w:lvl>
    <w:lvl w:ilvl="2">
      <w:start w:val="0"/>
      <w:numFmt w:val="bullet"/>
      <w:lvlText w:val="•"/>
      <w:lvlJc w:val="left"/>
      <w:pPr>
        <w:ind w:left="2200" w:hanging="288"/>
      </w:pPr>
      <w:rPr>
        <w:rFonts w:hint="default"/>
      </w:rPr>
    </w:lvl>
    <w:lvl w:ilvl="3">
      <w:start w:val="0"/>
      <w:numFmt w:val="bullet"/>
      <w:lvlText w:val="•"/>
      <w:lvlJc w:val="left"/>
      <w:pPr>
        <w:ind w:left="3413" w:hanging="288"/>
      </w:pPr>
      <w:rPr>
        <w:rFonts w:hint="default"/>
      </w:rPr>
    </w:lvl>
    <w:lvl w:ilvl="4">
      <w:start w:val="0"/>
      <w:numFmt w:val="bullet"/>
      <w:lvlText w:val="•"/>
      <w:lvlJc w:val="left"/>
      <w:pPr>
        <w:ind w:left="4626" w:hanging="288"/>
      </w:pPr>
      <w:rPr>
        <w:rFonts w:hint="default"/>
      </w:rPr>
    </w:lvl>
    <w:lvl w:ilvl="5">
      <w:start w:val="0"/>
      <w:numFmt w:val="bullet"/>
      <w:lvlText w:val="•"/>
      <w:lvlJc w:val="left"/>
      <w:pPr>
        <w:ind w:left="5839" w:hanging="288"/>
      </w:pPr>
      <w:rPr>
        <w:rFonts w:hint="default"/>
      </w:rPr>
    </w:lvl>
    <w:lvl w:ilvl="6">
      <w:start w:val="0"/>
      <w:numFmt w:val="bullet"/>
      <w:lvlText w:val="•"/>
      <w:lvlJc w:val="left"/>
      <w:pPr>
        <w:ind w:left="7053" w:hanging="288"/>
      </w:pPr>
      <w:rPr>
        <w:rFonts w:hint="default"/>
      </w:rPr>
    </w:lvl>
    <w:lvl w:ilvl="7">
      <w:start w:val="0"/>
      <w:numFmt w:val="bullet"/>
      <w:lvlText w:val="•"/>
      <w:lvlJc w:val="left"/>
      <w:pPr>
        <w:ind w:left="8266" w:hanging="288"/>
      </w:pPr>
      <w:rPr>
        <w:rFonts w:hint="default"/>
      </w:rPr>
    </w:lvl>
    <w:lvl w:ilvl="8">
      <w:start w:val="0"/>
      <w:numFmt w:val="bullet"/>
      <w:lvlText w:val="•"/>
      <w:lvlJc w:val="left"/>
      <w:pPr>
        <w:ind w:left="9479" w:hanging="288"/>
      </w:pPr>
      <w:rPr>
        <w:rFonts w:hint="default"/>
      </w:rPr>
    </w:lvl>
  </w:abstractNum>
  <w:abstractNum w:abstractNumId="95">
    <w:multiLevelType w:val="hybridMultilevel"/>
    <w:lvl w:ilvl="0">
      <w:start w:val="0"/>
      <w:numFmt w:val="bullet"/>
      <w:lvlText w:val="-"/>
      <w:lvlJc w:val="left"/>
      <w:pPr>
        <w:ind w:left="2138" w:hanging="348"/>
      </w:pPr>
      <w:rPr>
        <w:rFonts w:hint="default" w:ascii="Times New Roman" w:hAnsi="Times New Roman" w:eastAsia="Times New Roman" w:cs="Times New Roman"/>
        <w:spacing w:val="-27"/>
        <w:w w:val="100"/>
        <w:sz w:val="24"/>
        <w:szCs w:val="24"/>
      </w:rPr>
    </w:lvl>
    <w:lvl w:ilvl="1">
      <w:start w:val="0"/>
      <w:numFmt w:val="bullet"/>
      <w:lvlText w:val=""/>
      <w:lvlJc w:val="left"/>
      <w:pPr>
        <w:ind w:left="2918" w:hanging="276"/>
      </w:pPr>
      <w:rPr>
        <w:rFonts w:hint="default" w:ascii="Wingdings" w:hAnsi="Wingdings" w:eastAsia="Wingdings" w:cs="Wingdings"/>
        <w:w w:val="99"/>
        <w:sz w:val="24"/>
        <w:szCs w:val="24"/>
      </w:rPr>
    </w:lvl>
    <w:lvl w:ilvl="2">
      <w:start w:val="0"/>
      <w:numFmt w:val="bullet"/>
      <w:lvlText w:val="•"/>
      <w:lvlJc w:val="left"/>
      <w:pPr>
        <w:ind w:left="3918" w:hanging="276"/>
      </w:pPr>
      <w:rPr>
        <w:rFonts w:hint="default"/>
      </w:rPr>
    </w:lvl>
    <w:lvl w:ilvl="3">
      <w:start w:val="0"/>
      <w:numFmt w:val="bullet"/>
      <w:lvlText w:val="•"/>
      <w:lvlJc w:val="left"/>
      <w:pPr>
        <w:ind w:left="4916" w:hanging="276"/>
      </w:pPr>
      <w:rPr>
        <w:rFonts w:hint="default"/>
      </w:rPr>
    </w:lvl>
    <w:lvl w:ilvl="4">
      <w:start w:val="0"/>
      <w:numFmt w:val="bullet"/>
      <w:lvlText w:val="•"/>
      <w:lvlJc w:val="left"/>
      <w:pPr>
        <w:ind w:left="5915" w:hanging="276"/>
      </w:pPr>
      <w:rPr>
        <w:rFonts w:hint="default"/>
      </w:rPr>
    </w:lvl>
    <w:lvl w:ilvl="5">
      <w:start w:val="0"/>
      <w:numFmt w:val="bullet"/>
      <w:lvlText w:val="•"/>
      <w:lvlJc w:val="left"/>
      <w:pPr>
        <w:ind w:left="6913" w:hanging="276"/>
      </w:pPr>
      <w:rPr>
        <w:rFonts w:hint="default"/>
      </w:rPr>
    </w:lvl>
    <w:lvl w:ilvl="6">
      <w:start w:val="0"/>
      <w:numFmt w:val="bullet"/>
      <w:lvlText w:val="•"/>
      <w:lvlJc w:val="left"/>
      <w:pPr>
        <w:ind w:left="7912" w:hanging="276"/>
      </w:pPr>
      <w:rPr>
        <w:rFonts w:hint="default"/>
      </w:rPr>
    </w:lvl>
    <w:lvl w:ilvl="7">
      <w:start w:val="0"/>
      <w:numFmt w:val="bullet"/>
      <w:lvlText w:val="•"/>
      <w:lvlJc w:val="left"/>
      <w:pPr>
        <w:ind w:left="8910" w:hanging="276"/>
      </w:pPr>
      <w:rPr>
        <w:rFonts w:hint="default"/>
      </w:rPr>
    </w:lvl>
    <w:lvl w:ilvl="8">
      <w:start w:val="0"/>
      <w:numFmt w:val="bullet"/>
      <w:lvlText w:val="•"/>
      <w:lvlJc w:val="left"/>
      <w:pPr>
        <w:ind w:left="9909" w:hanging="276"/>
      </w:pPr>
      <w:rPr>
        <w:rFonts w:hint="default"/>
      </w:rPr>
    </w:lvl>
  </w:abstractNum>
  <w:abstractNum w:abstractNumId="94">
    <w:multiLevelType w:val="hybridMultilevel"/>
    <w:lvl w:ilvl="0">
      <w:start w:val="5"/>
      <w:numFmt w:val="decimal"/>
      <w:lvlText w:val="%1."/>
      <w:lvlJc w:val="left"/>
      <w:pPr>
        <w:ind w:left="1418" w:hanging="428"/>
        <w:jc w:val="left"/>
      </w:pPr>
      <w:rPr>
        <w:rFonts w:hint="default" w:ascii="Garamond" w:hAnsi="Garamond" w:eastAsia="Garamond" w:cs="Garamond"/>
        <w:b/>
        <w:bCs/>
        <w:w w:val="100"/>
        <w:sz w:val="28"/>
        <w:szCs w:val="28"/>
      </w:rPr>
    </w:lvl>
    <w:lvl w:ilvl="1">
      <w:start w:val="1"/>
      <w:numFmt w:val="decimal"/>
      <w:lvlText w:val="%1.%2"/>
      <w:lvlJc w:val="left"/>
      <w:pPr>
        <w:ind w:left="2126" w:hanging="708"/>
        <w:jc w:val="left"/>
      </w:pPr>
      <w:rPr>
        <w:rFonts w:hint="default" w:ascii="Garamond" w:hAnsi="Garamond" w:eastAsia="Garamond" w:cs="Garamond"/>
        <w:b/>
        <w:bCs/>
        <w:spacing w:val="-2"/>
        <w:w w:val="100"/>
        <w:sz w:val="24"/>
        <w:szCs w:val="24"/>
      </w:rPr>
    </w:lvl>
    <w:lvl w:ilvl="2">
      <w:start w:val="0"/>
      <w:numFmt w:val="bullet"/>
      <w:lvlText w:val="-"/>
      <w:lvlJc w:val="left"/>
      <w:pPr>
        <w:ind w:left="1589" w:hanging="67"/>
      </w:pPr>
      <w:rPr>
        <w:rFonts w:hint="default" w:ascii="Times New Roman" w:hAnsi="Times New Roman" w:eastAsia="Times New Roman" w:cs="Times New Roman"/>
        <w:w w:val="100"/>
        <w:sz w:val="11"/>
        <w:szCs w:val="11"/>
      </w:rPr>
    </w:lvl>
    <w:lvl w:ilvl="3">
      <w:start w:val="0"/>
      <w:numFmt w:val="bullet"/>
      <w:lvlText w:val="•"/>
      <w:lvlJc w:val="left"/>
      <w:pPr>
        <w:ind w:left="3343" w:hanging="67"/>
      </w:pPr>
      <w:rPr>
        <w:rFonts w:hint="default"/>
      </w:rPr>
    </w:lvl>
    <w:lvl w:ilvl="4">
      <w:start w:val="0"/>
      <w:numFmt w:val="bullet"/>
      <w:lvlText w:val="•"/>
      <w:lvlJc w:val="left"/>
      <w:pPr>
        <w:ind w:left="4566" w:hanging="67"/>
      </w:pPr>
      <w:rPr>
        <w:rFonts w:hint="default"/>
      </w:rPr>
    </w:lvl>
    <w:lvl w:ilvl="5">
      <w:start w:val="0"/>
      <w:numFmt w:val="bullet"/>
      <w:lvlText w:val="•"/>
      <w:lvlJc w:val="left"/>
      <w:pPr>
        <w:ind w:left="5789" w:hanging="67"/>
      </w:pPr>
      <w:rPr>
        <w:rFonts w:hint="default"/>
      </w:rPr>
    </w:lvl>
    <w:lvl w:ilvl="6">
      <w:start w:val="0"/>
      <w:numFmt w:val="bullet"/>
      <w:lvlText w:val="•"/>
      <w:lvlJc w:val="left"/>
      <w:pPr>
        <w:ind w:left="7013" w:hanging="67"/>
      </w:pPr>
      <w:rPr>
        <w:rFonts w:hint="default"/>
      </w:rPr>
    </w:lvl>
    <w:lvl w:ilvl="7">
      <w:start w:val="0"/>
      <w:numFmt w:val="bullet"/>
      <w:lvlText w:val="•"/>
      <w:lvlJc w:val="left"/>
      <w:pPr>
        <w:ind w:left="8236" w:hanging="67"/>
      </w:pPr>
      <w:rPr>
        <w:rFonts w:hint="default"/>
      </w:rPr>
    </w:lvl>
    <w:lvl w:ilvl="8">
      <w:start w:val="0"/>
      <w:numFmt w:val="bullet"/>
      <w:lvlText w:val="•"/>
      <w:lvlJc w:val="left"/>
      <w:pPr>
        <w:ind w:left="9459" w:hanging="67"/>
      </w:pPr>
      <w:rPr>
        <w:rFonts w:hint="default"/>
      </w:rPr>
    </w:lvl>
  </w:abstractNum>
  <w:abstractNum w:abstractNumId="93">
    <w:multiLevelType w:val="hybridMultilevel"/>
    <w:lvl w:ilvl="0">
      <w:start w:val="0"/>
      <w:numFmt w:val="bullet"/>
      <w:lvlText w:val="-"/>
      <w:lvlJc w:val="left"/>
      <w:pPr>
        <w:ind w:left="2138" w:hanging="348"/>
      </w:pPr>
      <w:rPr>
        <w:rFonts w:hint="default" w:ascii="Calibri" w:hAnsi="Calibri" w:eastAsia="Calibri" w:cs="Calibri"/>
        <w:spacing w:val="-24"/>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91">
    <w:multiLevelType w:val="hybridMultilevel"/>
    <w:lvl w:ilvl="0">
      <w:start w:val="0"/>
      <w:numFmt w:val="bullet"/>
      <w:lvlText w:val="-"/>
      <w:lvlJc w:val="left"/>
      <w:pPr>
        <w:ind w:left="1418" w:hanging="485"/>
      </w:pPr>
      <w:rPr>
        <w:rFonts w:hint="default" w:ascii="Garamond" w:hAnsi="Garamond" w:eastAsia="Garamond" w:cs="Garamond"/>
        <w:i/>
        <w:spacing w:val="-25"/>
        <w:w w:val="99"/>
        <w:sz w:val="24"/>
        <w:szCs w:val="24"/>
      </w:rPr>
    </w:lvl>
    <w:lvl w:ilvl="1">
      <w:start w:val="0"/>
      <w:numFmt w:val="bullet"/>
      <w:lvlText w:val=""/>
      <w:lvlJc w:val="left"/>
      <w:pPr>
        <w:ind w:left="2138" w:hanging="348"/>
      </w:pPr>
      <w:rPr>
        <w:rFonts w:hint="default"/>
        <w:w w:val="100"/>
      </w:rPr>
    </w:lvl>
    <w:lvl w:ilvl="2">
      <w:start w:val="0"/>
      <w:numFmt w:val="bullet"/>
      <w:lvlText w:val="•"/>
      <w:lvlJc w:val="left"/>
      <w:pPr>
        <w:ind w:left="3225" w:hanging="348"/>
      </w:pPr>
      <w:rPr>
        <w:rFonts w:hint="default"/>
      </w:rPr>
    </w:lvl>
    <w:lvl w:ilvl="3">
      <w:start w:val="0"/>
      <w:numFmt w:val="bullet"/>
      <w:lvlText w:val="•"/>
      <w:lvlJc w:val="left"/>
      <w:pPr>
        <w:ind w:left="4310" w:hanging="348"/>
      </w:pPr>
      <w:rPr>
        <w:rFonts w:hint="default"/>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90">
    <w:multiLevelType w:val="hybridMultilevel"/>
    <w:lvl w:ilvl="0">
      <w:start w:val="0"/>
      <w:numFmt w:val="bullet"/>
      <w:lvlText w:val=""/>
      <w:lvlJc w:val="left"/>
      <w:pPr>
        <w:ind w:left="2062" w:hanging="360"/>
      </w:pPr>
      <w:rPr>
        <w:rFonts w:hint="default" w:ascii="Symbol" w:hAnsi="Symbol" w:eastAsia="Symbol" w:cs="Symbol"/>
        <w:w w:val="100"/>
        <w:sz w:val="18"/>
        <w:szCs w:val="18"/>
      </w:rPr>
    </w:lvl>
    <w:lvl w:ilvl="1">
      <w:start w:val="0"/>
      <w:numFmt w:val="bullet"/>
      <w:lvlText w:val=""/>
      <w:lvlJc w:val="left"/>
      <w:pPr>
        <w:ind w:left="2126" w:hanging="348"/>
      </w:pPr>
      <w:rPr>
        <w:rFonts w:hint="default" w:ascii="Symbol" w:hAnsi="Symbol" w:eastAsia="Symbol" w:cs="Symbol"/>
        <w:w w:val="100"/>
        <w:sz w:val="18"/>
        <w:szCs w:val="18"/>
      </w:rPr>
    </w:lvl>
    <w:lvl w:ilvl="2">
      <w:start w:val="0"/>
      <w:numFmt w:val="bullet"/>
      <w:lvlText w:val="•"/>
      <w:lvlJc w:val="left"/>
      <w:pPr>
        <w:ind w:left="3207" w:hanging="348"/>
      </w:pPr>
      <w:rPr>
        <w:rFonts w:hint="default"/>
      </w:rPr>
    </w:lvl>
    <w:lvl w:ilvl="3">
      <w:start w:val="0"/>
      <w:numFmt w:val="bullet"/>
      <w:lvlText w:val="•"/>
      <w:lvlJc w:val="left"/>
      <w:pPr>
        <w:ind w:left="4294" w:hanging="348"/>
      </w:pPr>
      <w:rPr>
        <w:rFonts w:hint="default"/>
      </w:rPr>
    </w:lvl>
    <w:lvl w:ilvl="4">
      <w:start w:val="0"/>
      <w:numFmt w:val="bullet"/>
      <w:lvlText w:val="•"/>
      <w:lvlJc w:val="left"/>
      <w:pPr>
        <w:ind w:left="5382" w:hanging="348"/>
      </w:pPr>
      <w:rPr>
        <w:rFonts w:hint="default"/>
      </w:rPr>
    </w:lvl>
    <w:lvl w:ilvl="5">
      <w:start w:val="0"/>
      <w:numFmt w:val="bullet"/>
      <w:lvlText w:val="•"/>
      <w:lvlJc w:val="left"/>
      <w:pPr>
        <w:ind w:left="6469" w:hanging="348"/>
      </w:pPr>
      <w:rPr>
        <w:rFonts w:hint="default"/>
      </w:rPr>
    </w:lvl>
    <w:lvl w:ilvl="6">
      <w:start w:val="0"/>
      <w:numFmt w:val="bullet"/>
      <w:lvlText w:val="•"/>
      <w:lvlJc w:val="left"/>
      <w:pPr>
        <w:ind w:left="7556" w:hanging="348"/>
      </w:pPr>
      <w:rPr>
        <w:rFonts w:hint="default"/>
      </w:rPr>
    </w:lvl>
    <w:lvl w:ilvl="7">
      <w:start w:val="0"/>
      <w:numFmt w:val="bullet"/>
      <w:lvlText w:val="•"/>
      <w:lvlJc w:val="left"/>
      <w:pPr>
        <w:ind w:left="8644" w:hanging="348"/>
      </w:pPr>
      <w:rPr>
        <w:rFonts w:hint="default"/>
      </w:rPr>
    </w:lvl>
    <w:lvl w:ilvl="8">
      <w:start w:val="0"/>
      <w:numFmt w:val="bullet"/>
      <w:lvlText w:val="•"/>
      <w:lvlJc w:val="left"/>
      <w:pPr>
        <w:ind w:left="9731" w:hanging="348"/>
      </w:pPr>
      <w:rPr>
        <w:rFonts w:hint="default"/>
      </w:rPr>
    </w:lvl>
  </w:abstractNum>
  <w:abstractNum w:abstractNumId="89">
    <w:multiLevelType w:val="hybridMultilevel"/>
    <w:lvl w:ilvl="0">
      <w:start w:val="0"/>
      <w:numFmt w:val="bullet"/>
      <w:lvlText w:val=""/>
      <w:lvlJc w:val="left"/>
      <w:pPr>
        <w:ind w:left="2126" w:hanging="348"/>
      </w:pPr>
      <w:rPr>
        <w:rFonts w:hint="default" w:ascii="Symbol" w:hAnsi="Symbol" w:eastAsia="Symbol" w:cs="Symbol"/>
        <w:w w:val="100"/>
        <w:sz w:val="18"/>
        <w:szCs w:val="18"/>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88">
    <w:multiLevelType w:val="hybridMultilevel"/>
    <w:lvl w:ilvl="0">
      <w:start w:val="0"/>
      <w:numFmt w:val="bullet"/>
      <w:lvlText w:val=""/>
      <w:lvlJc w:val="left"/>
      <w:pPr>
        <w:ind w:left="2062" w:hanging="360"/>
      </w:pPr>
      <w:rPr>
        <w:rFonts w:hint="default" w:ascii="Symbol" w:hAnsi="Symbol" w:eastAsia="Symbol" w:cs="Symbol"/>
        <w:w w:val="100"/>
        <w:sz w:val="18"/>
        <w:szCs w:val="18"/>
      </w:rPr>
    </w:lvl>
    <w:lvl w:ilvl="1">
      <w:start w:val="0"/>
      <w:numFmt w:val="bullet"/>
      <w:lvlText w:val=""/>
      <w:lvlJc w:val="left"/>
      <w:pPr>
        <w:ind w:left="2126" w:hanging="348"/>
      </w:pPr>
      <w:rPr>
        <w:rFonts w:hint="default" w:ascii="Symbol" w:hAnsi="Symbol" w:eastAsia="Symbol" w:cs="Symbol"/>
        <w:w w:val="100"/>
        <w:sz w:val="18"/>
        <w:szCs w:val="18"/>
      </w:rPr>
    </w:lvl>
    <w:lvl w:ilvl="2">
      <w:start w:val="0"/>
      <w:numFmt w:val="bullet"/>
      <w:lvlText w:val="•"/>
      <w:lvlJc w:val="left"/>
      <w:pPr>
        <w:ind w:left="3207" w:hanging="348"/>
      </w:pPr>
      <w:rPr>
        <w:rFonts w:hint="default"/>
      </w:rPr>
    </w:lvl>
    <w:lvl w:ilvl="3">
      <w:start w:val="0"/>
      <w:numFmt w:val="bullet"/>
      <w:lvlText w:val="•"/>
      <w:lvlJc w:val="left"/>
      <w:pPr>
        <w:ind w:left="4294" w:hanging="348"/>
      </w:pPr>
      <w:rPr>
        <w:rFonts w:hint="default"/>
      </w:rPr>
    </w:lvl>
    <w:lvl w:ilvl="4">
      <w:start w:val="0"/>
      <w:numFmt w:val="bullet"/>
      <w:lvlText w:val="•"/>
      <w:lvlJc w:val="left"/>
      <w:pPr>
        <w:ind w:left="5382" w:hanging="348"/>
      </w:pPr>
      <w:rPr>
        <w:rFonts w:hint="default"/>
      </w:rPr>
    </w:lvl>
    <w:lvl w:ilvl="5">
      <w:start w:val="0"/>
      <w:numFmt w:val="bullet"/>
      <w:lvlText w:val="•"/>
      <w:lvlJc w:val="left"/>
      <w:pPr>
        <w:ind w:left="6469" w:hanging="348"/>
      </w:pPr>
      <w:rPr>
        <w:rFonts w:hint="default"/>
      </w:rPr>
    </w:lvl>
    <w:lvl w:ilvl="6">
      <w:start w:val="0"/>
      <w:numFmt w:val="bullet"/>
      <w:lvlText w:val="•"/>
      <w:lvlJc w:val="left"/>
      <w:pPr>
        <w:ind w:left="7556" w:hanging="348"/>
      </w:pPr>
      <w:rPr>
        <w:rFonts w:hint="default"/>
      </w:rPr>
    </w:lvl>
    <w:lvl w:ilvl="7">
      <w:start w:val="0"/>
      <w:numFmt w:val="bullet"/>
      <w:lvlText w:val="•"/>
      <w:lvlJc w:val="left"/>
      <w:pPr>
        <w:ind w:left="8644" w:hanging="348"/>
      </w:pPr>
      <w:rPr>
        <w:rFonts w:hint="default"/>
      </w:rPr>
    </w:lvl>
    <w:lvl w:ilvl="8">
      <w:start w:val="0"/>
      <w:numFmt w:val="bullet"/>
      <w:lvlText w:val="•"/>
      <w:lvlJc w:val="left"/>
      <w:pPr>
        <w:ind w:left="9731" w:hanging="348"/>
      </w:pPr>
      <w:rPr>
        <w:rFonts w:hint="default"/>
      </w:rPr>
    </w:lvl>
  </w:abstractNum>
  <w:abstractNum w:abstractNumId="87">
    <w:multiLevelType w:val="hybridMultilevel"/>
    <w:lvl w:ilvl="0">
      <w:start w:val="0"/>
      <w:numFmt w:val="bullet"/>
      <w:lvlText w:val="-"/>
      <w:lvlJc w:val="left"/>
      <w:pPr>
        <w:ind w:left="2138" w:hanging="348"/>
      </w:pPr>
      <w:rPr>
        <w:rFonts w:hint="default" w:ascii="Calibri" w:hAnsi="Calibri" w:eastAsia="Calibri" w:cs="Calibri"/>
        <w:spacing w:val="-3"/>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86">
    <w:multiLevelType w:val="hybridMultilevel"/>
    <w:lvl w:ilvl="0">
      <w:start w:val="0"/>
      <w:numFmt w:val="bullet"/>
      <w:lvlText w:val=""/>
      <w:lvlJc w:val="left"/>
      <w:pPr>
        <w:ind w:left="2126" w:hanging="348"/>
      </w:pPr>
      <w:rPr>
        <w:rFonts w:hint="default"/>
        <w:w w:val="100"/>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85">
    <w:multiLevelType w:val="hybridMultilevel"/>
    <w:lvl w:ilvl="0">
      <w:start w:val="0"/>
      <w:numFmt w:val="bullet"/>
      <w:lvlText w:val=""/>
      <w:lvlJc w:val="left"/>
      <w:pPr>
        <w:ind w:left="2138" w:hanging="348"/>
      </w:pPr>
      <w:rPr>
        <w:rFonts w:hint="default" w:ascii="Wingdings" w:hAnsi="Wingdings" w:eastAsia="Wingdings" w:cs="Wingdings"/>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84">
    <w:multiLevelType w:val="hybridMultilevel"/>
    <w:lvl w:ilvl="0">
      <w:start w:val="14"/>
      <w:numFmt w:val="decimal"/>
      <w:lvlText w:val="%1"/>
      <w:lvlJc w:val="left"/>
      <w:pPr>
        <w:ind w:left="1418" w:hanging="351"/>
        <w:jc w:val="left"/>
      </w:pPr>
      <w:rPr>
        <w:rFonts w:hint="default" w:ascii="Garamond" w:hAnsi="Garamond" w:eastAsia="Garamond" w:cs="Garamond"/>
        <w:spacing w:val="-2"/>
        <w:w w:val="100"/>
        <w:sz w:val="24"/>
        <w:szCs w:val="24"/>
      </w:rPr>
    </w:lvl>
    <w:lvl w:ilvl="1">
      <w:start w:val="0"/>
      <w:numFmt w:val="bullet"/>
      <w:lvlText w:val=""/>
      <w:lvlJc w:val="left"/>
      <w:pPr>
        <w:ind w:left="2138" w:hanging="348"/>
      </w:pPr>
      <w:rPr>
        <w:rFonts w:hint="default" w:ascii="Wingdings" w:hAnsi="Wingdings" w:eastAsia="Wingdings" w:cs="Wingdings"/>
        <w:w w:val="100"/>
        <w:sz w:val="24"/>
        <w:szCs w:val="24"/>
      </w:rPr>
    </w:lvl>
    <w:lvl w:ilvl="2">
      <w:start w:val="0"/>
      <w:numFmt w:val="bullet"/>
      <w:lvlText w:val="•"/>
      <w:lvlJc w:val="left"/>
      <w:pPr>
        <w:ind w:left="2320" w:hanging="348"/>
      </w:pPr>
      <w:rPr>
        <w:rFonts w:hint="default"/>
      </w:rPr>
    </w:lvl>
    <w:lvl w:ilvl="3">
      <w:start w:val="0"/>
      <w:numFmt w:val="bullet"/>
      <w:lvlText w:val="•"/>
      <w:lvlJc w:val="left"/>
      <w:pPr>
        <w:ind w:left="2620" w:hanging="348"/>
      </w:pPr>
      <w:rPr>
        <w:rFonts w:hint="default"/>
      </w:rPr>
    </w:lvl>
    <w:lvl w:ilvl="4">
      <w:start w:val="0"/>
      <w:numFmt w:val="bullet"/>
      <w:lvlText w:val="•"/>
      <w:lvlJc w:val="left"/>
      <w:pPr>
        <w:ind w:left="3946" w:hanging="348"/>
      </w:pPr>
      <w:rPr>
        <w:rFonts w:hint="default"/>
      </w:rPr>
    </w:lvl>
    <w:lvl w:ilvl="5">
      <w:start w:val="0"/>
      <w:numFmt w:val="bullet"/>
      <w:lvlText w:val="•"/>
      <w:lvlJc w:val="left"/>
      <w:pPr>
        <w:ind w:left="5273" w:hanging="348"/>
      </w:pPr>
      <w:rPr>
        <w:rFonts w:hint="default"/>
      </w:rPr>
    </w:lvl>
    <w:lvl w:ilvl="6">
      <w:start w:val="0"/>
      <w:numFmt w:val="bullet"/>
      <w:lvlText w:val="•"/>
      <w:lvlJc w:val="left"/>
      <w:pPr>
        <w:ind w:left="6599" w:hanging="348"/>
      </w:pPr>
      <w:rPr>
        <w:rFonts w:hint="default"/>
      </w:rPr>
    </w:lvl>
    <w:lvl w:ilvl="7">
      <w:start w:val="0"/>
      <w:numFmt w:val="bullet"/>
      <w:lvlText w:val="•"/>
      <w:lvlJc w:val="left"/>
      <w:pPr>
        <w:ind w:left="7926" w:hanging="348"/>
      </w:pPr>
      <w:rPr>
        <w:rFonts w:hint="default"/>
      </w:rPr>
    </w:lvl>
    <w:lvl w:ilvl="8">
      <w:start w:val="0"/>
      <w:numFmt w:val="bullet"/>
      <w:lvlText w:val="•"/>
      <w:lvlJc w:val="left"/>
      <w:pPr>
        <w:ind w:left="9253" w:hanging="348"/>
      </w:pPr>
      <w:rPr>
        <w:rFonts w:hint="default"/>
      </w:rPr>
    </w:lvl>
  </w:abstractNum>
  <w:abstractNum w:abstractNumId="83">
    <w:multiLevelType w:val="hybridMultilevel"/>
    <w:lvl w:ilvl="0">
      <w:start w:val="0"/>
      <w:numFmt w:val="bullet"/>
      <w:lvlText w:val="-"/>
      <w:lvlJc w:val="left"/>
      <w:pPr>
        <w:ind w:left="1846" w:hanging="166"/>
      </w:pPr>
      <w:rPr>
        <w:rFonts w:hint="default" w:ascii="Garamond" w:hAnsi="Garamond" w:eastAsia="Garamond" w:cs="Garamond"/>
        <w:spacing w:val="-30"/>
        <w:w w:val="100"/>
        <w:sz w:val="24"/>
        <w:szCs w:val="24"/>
      </w:rPr>
    </w:lvl>
    <w:lvl w:ilvl="1">
      <w:start w:val="0"/>
      <w:numFmt w:val="bullet"/>
      <w:lvlText w:val="•"/>
      <w:lvlJc w:val="left"/>
      <w:pPr>
        <w:ind w:left="2846" w:hanging="166"/>
      </w:pPr>
      <w:rPr>
        <w:rFonts w:hint="default"/>
      </w:rPr>
    </w:lvl>
    <w:lvl w:ilvl="2">
      <w:start w:val="0"/>
      <w:numFmt w:val="bullet"/>
      <w:lvlText w:val="•"/>
      <w:lvlJc w:val="left"/>
      <w:pPr>
        <w:ind w:left="3853" w:hanging="166"/>
      </w:pPr>
      <w:rPr>
        <w:rFonts w:hint="default"/>
      </w:rPr>
    </w:lvl>
    <w:lvl w:ilvl="3">
      <w:start w:val="0"/>
      <w:numFmt w:val="bullet"/>
      <w:lvlText w:val="•"/>
      <w:lvlJc w:val="left"/>
      <w:pPr>
        <w:ind w:left="4859" w:hanging="166"/>
      </w:pPr>
      <w:rPr>
        <w:rFonts w:hint="default"/>
      </w:rPr>
    </w:lvl>
    <w:lvl w:ilvl="4">
      <w:start w:val="0"/>
      <w:numFmt w:val="bullet"/>
      <w:lvlText w:val="•"/>
      <w:lvlJc w:val="left"/>
      <w:pPr>
        <w:ind w:left="5866" w:hanging="166"/>
      </w:pPr>
      <w:rPr>
        <w:rFonts w:hint="default"/>
      </w:rPr>
    </w:lvl>
    <w:lvl w:ilvl="5">
      <w:start w:val="0"/>
      <w:numFmt w:val="bullet"/>
      <w:lvlText w:val="•"/>
      <w:lvlJc w:val="left"/>
      <w:pPr>
        <w:ind w:left="6873" w:hanging="166"/>
      </w:pPr>
      <w:rPr>
        <w:rFonts w:hint="default"/>
      </w:rPr>
    </w:lvl>
    <w:lvl w:ilvl="6">
      <w:start w:val="0"/>
      <w:numFmt w:val="bullet"/>
      <w:lvlText w:val="•"/>
      <w:lvlJc w:val="left"/>
      <w:pPr>
        <w:ind w:left="7879" w:hanging="166"/>
      </w:pPr>
      <w:rPr>
        <w:rFonts w:hint="default"/>
      </w:rPr>
    </w:lvl>
    <w:lvl w:ilvl="7">
      <w:start w:val="0"/>
      <w:numFmt w:val="bullet"/>
      <w:lvlText w:val="•"/>
      <w:lvlJc w:val="left"/>
      <w:pPr>
        <w:ind w:left="8886" w:hanging="166"/>
      </w:pPr>
      <w:rPr>
        <w:rFonts w:hint="default"/>
      </w:rPr>
    </w:lvl>
    <w:lvl w:ilvl="8">
      <w:start w:val="0"/>
      <w:numFmt w:val="bullet"/>
      <w:lvlText w:val="•"/>
      <w:lvlJc w:val="left"/>
      <w:pPr>
        <w:ind w:left="9893" w:hanging="166"/>
      </w:pPr>
      <w:rPr>
        <w:rFonts w:hint="default"/>
      </w:rPr>
    </w:lvl>
  </w:abstractNum>
  <w:abstractNum w:abstractNumId="82">
    <w:multiLevelType w:val="hybridMultilevel"/>
    <w:lvl w:ilvl="0">
      <w:start w:val="0"/>
      <w:numFmt w:val="bullet"/>
      <w:lvlText w:val="-"/>
      <w:lvlJc w:val="left"/>
      <w:pPr>
        <w:ind w:left="2138" w:hanging="135"/>
      </w:pPr>
      <w:rPr>
        <w:rFonts w:hint="default" w:ascii="Garamond" w:hAnsi="Garamond" w:eastAsia="Garamond" w:cs="Garamond"/>
        <w:w w:val="100"/>
        <w:sz w:val="24"/>
        <w:szCs w:val="24"/>
      </w:rPr>
    </w:lvl>
    <w:lvl w:ilvl="1">
      <w:start w:val="0"/>
      <w:numFmt w:val="bullet"/>
      <w:lvlText w:val="•"/>
      <w:lvlJc w:val="left"/>
      <w:pPr>
        <w:ind w:left="3116" w:hanging="135"/>
      </w:pPr>
      <w:rPr>
        <w:rFonts w:hint="default"/>
      </w:rPr>
    </w:lvl>
    <w:lvl w:ilvl="2">
      <w:start w:val="0"/>
      <w:numFmt w:val="bullet"/>
      <w:lvlText w:val="•"/>
      <w:lvlJc w:val="left"/>
      <w:pPr>
        <w:ind w:left="4093" w:hanging="135"/>
      </w:pPr>
      <w:rPr>
        <w:rFonts w:hint="default"/>
      </w:rPr>
    </w:lvl>
    <w:lvl w:ilvl="3">
      <w:start w:val="0"/>
      <w:numFmt w:val="bullet"/>
      <w:lvlText w:val="•"/>
      <w:lvlJc w:val="left"/>
      <w:pPr>
        <w:ind w:left="5069" w:hanging="135"/>
      </w:pPr>
      <w:rPr>
        <w:rFonts w:hint="default"/>
      </w:rPr>
    </w:lvl>
    <w:lvl w:ilvl="4">
      <w:start w:val="0"/>
      <w:numFmt w:val="bullet"/>
      <w:lvlText w:val="•"/>
      <w:lvlJc w:val="left"/>
      <w:pPr>
        <w:ind w:left="6046" w:hanging="135"/>
      </w:pPr>
      <w:rPr>
        <w:rFonts w:hint="default"/>
      </w:rPr>
    </w:lvl>
    <w:lvl w:ilvl="5">
      <w:start w:val="0"/>
      <w:numFmt w:val="bullet"/>
      <w:lvlText w:val="•"/>
      <w:lvlJc w:val="left"/>
      <w:pPr>
        <w:ind w:left="7023" w:hanging="135"/>
      </w:pPr>
      <w:rPr>
        <w:rFonts w:hint="default"/>
      </w:rPr>
    </w:lvl>
    <w:lvl w:ilvl="6">
      <w:start w:val="0"/>
      <w:numFmt w:val="bullet"/>
      <w:lvlText w:val="•"/>
      <w:lvlJc w:val="left"/>
      <w:pPr>
        <w:ind w:left="7999" w:hanging="135"/>
      </w:pPr>
      <w:rPr>
        <w:rFonts w:hint="default"/>
      </w:rPr>
    </w:lvl>
    <w:lvl w:ilvl="7">
      <w:start w:val="0"/>
      <w:numFmt w:val="bullet"/>
      <w:lvlText w:val="•"/>
      <w:lvlJc w:val="left"/>
      <w:pPr>
        <w:ind w:left="8976" w:hanging="135"/>
      </w:pPr>
      <w:rPr>
        <w:rFonts w:hint="default"/>
      </w:rPr>
    </w:lvl>
    <w:lvl w:ilvl="8">
      <w:start w:val="0"/>
      <w:numFmt w:val="bullet"/>
      <w:lvlText w:val="•"/>
      <w:lvlJc w:val="left"/>
      <w:pPr>
        <w:ind w:left="9953" w:hanging="135"/>
      </w:pPr>
      <w:rPr>
        <w:rFonts w:hint="default"/>
      </w:rPr>
    </w:lvl>
  </w:abstractNum>
  <w:abstractNum w:abstractNumId="80">
    <w:multiLevelType w:val="hybridMultilevel"/>
    <w:lvl w:ilvl="0">
      <w:start w:val="0"/>
      <w:numFmt w:val="bullet"/>
      <w:lvlText w:val="-"/>
      <w:lvlJc w:val="left"/>
      <w:pPr>
        <w:ind w:left="2138" w:hanging="348"/>
      </w:pPr>
      <w:rPr>
        <w:rFonts w:hint="default" w:ascii="Calibri" w:hAnsi="Calibri" w:eastAsia="Calibri" w:cs="Calibri"/>
        <w:spacing w:val="-3"/>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79">
    <w:multiLevelType w:val="hybridMultilevel"/>
    <w:lvl w:ilvl="0">
      <w:start w:val="0"/>
      <w:numFmt w:val="bullet"/>
      <w:lvlText w:val="-"/>
      <w:lvlJc w:val="left"/>
      <w:pPr>
        <w:ind w:left="2138" w:hanging="348"/>
      </w:pPr>
      <w:rPr>
        <w:rFonts w:hint="default"/>
        <w:spacing w:val="-30"/>
        <w:w w:val="100"/>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77">
    <w:multiLevelType w:val="hybridMultilevel"/>
    <w:lvl w:ilvl="0">
      <w:start w:val="19"/>
      <w:numFmt w:val="upperLetter"/>
      <w:lvlText w:val="%1"/>
      <w:lvlJc w:val="left"/>
      <w:pPr>
        <w:ind w:left="2037" w:hanging="619"/>
        <w:jc w:val="left"/>
      </w:pPr>
      <w:rPr>
        <w:rFonts w:hint="default"/>
      </w:rPr>
    </w:lvl>
    <w:lvl w:ilvl="1">
      <w:start w:val="16"/>
      <w:numFmt w:val="lowerLetter"/>
      <w:lvlText w:val="%1.%2"/>
      <w:lvlJc w:val="left"/>
      <w:pPr>
        <w:ind w:left="2037" w:hanging="619"/>
        <w:jc w:val="left"/>
      </w:pPr>
      <w:rPr>
        <w:rFonts w:hint="default"/>
      </w:rPr>
    </w:lvl>
    <w:lvl w:ilvl="2">
      <w:start w:val="1"/>
      <w:numFmt w:val="upperLetter"/>
      <w:lvlText w:val="%1.%2.%3."/>
      <w:lvlJc w:val="left"/>
      <w:pPr>
        <w:ind w:left="2037" w:hanging="619"/>
        <w:jc w:val="left"/>
      </w:pPr>
      <w:rPr>
        <w:rFonts w:hint="default" w:ascii="Garamond" w:hAnsi="Garamond" w:eastAsia="Garamond" w:cs="Garamond"/>
        <w:spacing w:val="-3"/>
        <w:w w:val="100"/>
        <w:sz w:val="24"/>
        <w:szCs w:val="24"/>
      </w:rPr>
    </w:lvl>
    <w:lvl w:ilvl="3">
      <w:start w:val="0"/>
      <w:numFmt w:val="bullet"/>
      <w:lvlText w:val=""/>
      <w:lvlJc w:val="left"/>
      <w:pPr>
        <w:ind w:left="2138" w:hanging="348"/>
      </w:pPr>
      <w:rPr>
        <w:rFonts w:hint="default" w:ascii="Symbol" w:hAnsi="Symbol" w:eastAsia="Symbol" w:cs="Symbol"/>
        <w:w w:val="100"/>
        <w:sz w:val="24"/>
        <w:szCs w:val="24"/>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76">
    <w:multiLevelType w:val="hybridMultilevel"/>
    <w:lvl w:ilvl="0">
      <w:start w:val="0"/>
      <w:numFmt w:val="bullet"/>
      <w:lvlText w:val="-"/>
      <w:lvlJc w:val="left"/>
      <w:pPr>
        <w:ind w:left="2126" w:hanging="348"/>
      </w:pPr>
      <w:rPr>
        <w:rFonts w:hint="default" w:ascii="Calibri" w:hAnsi="Calibri" w:eastAsia="Calibri" w:cs="Calibri"/>
        <w:spacing w:val="-3"/>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75">
    <w:multiLevelType w:val="hybridMultilevel"/>
    <w:lvl w:ilvl="0">
      <w:start w:val="0"/>
      <w:numFmt w:val="bullet"/>
      <w:lvlText w:val=""/>
      <w:lvlJc w:val="left"/>
      <w:pPr>
        <w:ind w:left="2126" w:hanging="348"/>
      </w:pPr>
      <w:rPr>
        <w:rFonts w:hint="default" w:ascii="Symbol" w:hAnsi="Symbol" w:eastAsia="Symbol" w:cs="Symbol"/>
        <w:w w:val="100"/>
        <w:sz w:val="18"/>
        <w:szCs w:val="18"/>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74">
    <w:multiLevelType w:val="hybridMultilevel"/>
    <w:lvl w:ilvl="0">
      <w:start w:val="1"/>
      <w:numFmt w:val="decimal"/>
      <w:lvlText w:val="%1)"/>
      <w:lvlJc w:val="left"/>
      <w:pPr>
        <w:ind w:left="2138" w:hanging="348"/>
        <w:jc w:val="left"/>
      </w:pPr>
      <w:rPr>
        <w:rFonts w:hint="default" w:ascii="Garamond" w:hAnsi="Garamond" w:eastAsia="Garamond" w:cs="Garamond"/>
        <w:spacing w:val="-15"/>
        <w:w w:val="100"/>
        <w:sz w:val="24"/>
        <w:szCs w:val="24"/>
      </w:rPr>
    </w:lvl>
    <w:lvl w:ilvl="1">
      <w:start w:val="1"/>
      <w:numFmt w:val="lowerLetter"/>
      <w:lvlText w:val="%2)"/>
      <w:lvlJc w:val="left"/>
      <w:pPr>
        <w:ind w:left="2074" w:hanging="229"/>
        <w:jc w:val="left"/>
      </w:pPr>
      <w:rPr>
        <w:rFonts w:hint="default" w:ascii="Garamond" w:hAnsi="Garamond" w:eastAsia="Garamond" w:cs="Garamond"/>
        <w:spacing w:val="-2"/>
        <w:w w:val="100"/>
        <w:sz w:val="24"/>
        <w:szCs w:val="24"/>
      </w:rPr>
    </w:lvl>
    <w:lvl w:ilvl="2">
      <w:start w:val="0"/>
      <w:numFmt w:val="bullet"/>
      <w:lvlText w:val="•"/>
      <w:lvlJc w:val="left"/>
      <w:pPr>
        <w:ind w:left="3225" w:hanging="229"/>
      </w:pPr>
      <w:rPr>
        <w:rFonts w:hint="default"/>
      </w:rPr>
    </w:lvl>
    <w:lvl w:ilvl="3">
      <w:start w:val="0"/>
      <w:numFmt w:val="bullet"/>
      <w:lvlText w:val="•"/>
      <w:lvlJc w:val="left"/>
      <w:pPr>
        <w:ind w:left="4310" w:hanging="229"/>
      </w:pPr>
      <w:rPr>
        <w:rFonts w:hint="default"/>
      </w:rPr>
    </w:lvl>
    <w:lvl w:ilvl="4">
      <w:start w:val="0"/>
      <w:numFmt w:val="bullet"/>
      <w:lvlText w:val="•"/>
      <w:lvlJc w:val="left"/>
      <w:pPr>
        <w:ind w:left="5395" w:hanging="229"/>
      </w:pPr>
      <w:rPr>
        <w:rFonts w:hint="default"/>
      </w:rPr>
    </w:lvl>
    <w:lvl w:ilvl="5">
      <w:start w:val="0"/>
      <w:numFmt w:val="bullet"/>
      <w:lvlText w:val="•"/>
      <w:lvlJc w:val="left"/>
      <w:pPr>
        <w:ind w:left="6480" w:hanging="229"/>
      </w:pPr>
      <w:rPr>
        <w:rFonts w:hint="default"/>
      </w:rPr>
    </w:lvl>
    <w:lvl w:ilvl="6">
      <w:start w:val="0"/>
      <w:numFmt w:val="bullet"/>
      <w:lvlText w:val="•"/>
      <w:lvlJc w:val="left"/>
      <w:pPr>
        <w:ind w:left="7565" w:hanging="229"/>
      </w:pPr>
      <w:rPr>
        <w:rFonts w:hint="default"/>
      </w:rPr>
    </w:lvl>
    <w:lvl w:ilvl="7">
      <w:start w:val="0"/>
      <w:numFmt w:val="bullet"/>
      <w:lvlText w:val="•"/>
      <w:lvlJc w:val="left"/>
      <w:pPr>
        <w:ind w:left="8650" w:hanging="229"/>
      </w:pPr>
      <w:rPr>
        <w:rFonts w:hint="default"/>
      </w:rPr>
    </w:lvl>
    <w:lvl w:ilvl="8">
      <w:start w:val="0"/>
      <w:numFmt w:val="bullet"/>
      <w:lvlText w:val="•"/>
      <w:lvlJc w:val="left"/>
      <w:pPr>
        <w:ind w:left="9736" w:hanging="229"/>
      </w:pPr>
      <w:rPr>
        <w:rFonts w:hint="default"/>
      </w:rPr>
    </w:lvl>
  </w:abstractNum>
  <w:abstractNum w:abstractNumId="72">
    <w:multiLevelType w:val="hybridMultilevel"/>
    <w:lvl w:ilvl="0">
      <w:start w:val="0"/>
      <w:numFmt w:val="bullet"/>
      <w:lvlText w:val="-"/>
      <w:lvlJc w:val="left"/>
      <w:pPr>
        <w:ind w:left="2126" w:hanging="348"/>
      </w:pPr>
      <w:rPr>
        <w:rFonts w:hint="default" w:ascii="Calibri" w:hAnsi="Calibri" w:eastAsia="Calibri" w:cs="Calibri"/>
        <w:spacing w:val="-2"/>
        <w:w w:val="100"/>
        <w:sz w:val="24"/>
        <w:szCs w:val="24"/>
      </w:rPr>
    </w:lvl>
    <w:lvl w:ilvl="1">
      <w:start w:val="0"/>
      <w:numFmt w:val="bullet"/>
      <w:lvlText w:val=""/>
      <w:lvlJc w:val="left"/>
      <w:pPr>
        <w:ind w:left="2894" w:hanging="396"/>
      </w:pPr>
      <w:rPr>
        <w:rFonts w:hint="default" w:ascii="Wingdings" w:hAnsi="Wingdings" w:eastAsia="Wingdings" w:cs="Wingdings"/>
        <w:w w:val="99"/>
        <w:sz w:val="24"/>
        <w:szCs w:val="24"/>
      </w:rPr>
    </w:lvl>
    <w:lvl w:ilvl="2">
      <w:start w:val="0"/>
      <w:numFmt w:val="bullet"/>
      <w:lvlText w:val="•"/>
      <w:lvlJc w:val="left"/>
      <w:pPr>
        <w:ind w:left="3900" w:hanging="396"/>
      </w:pPr>
      <w:rPr>
        <w:rFonts w:hint="default"/>
      </w:rPr>
    </w:lvl>
    <w:lvl w:ilvl="3">
      <w:start w:val="0"/>
      <w:numFmt w:val="bullet"/>
      <w:lvlText w:val="•"/>
      <w:lvlJc w:val="left"/>
      <w:pPr>
        <w:ind w:left="4901" w:hanging="396"/>
      </w:pPr>
      <w:rPr>
        <w:rFonts w:hint="default"/>
      </w:rPr>
    </w:lvl>
    <w:lvl w:ilvl="4">
      <w:start w:val="0"/>
      <w:numFmt w:val="bullet"/>
      <w:lvlText w:val="•"/>
      <w:lvlJc w:val="left"/>
      <w:pPr>
        <w:ind w:left="5902" w:hanging="396"/>
      </w:pPr>
      <w:rPr>
        <w:rFonts w:hint="default"/>
      </w:rPr>
    </w:lvl>
    <w:lvl w:ilvl="5">
      <w:start w:val="0"/>
      <w:numFmt w:val="bullet"/>
      <w:lvlText w:val="•"/>
      <w:lvlJc w:val="left"/>
      <w:pPr>
        <w:ind w:left="6902" w:hanging="396"/>
      </w:pPr>
      <w:rPr>
        <w:rFonts w:hint="default"/>
      </w:rPr>
    </w:lvl>
    <w:lvl w:ilvl="6">
      <w:start w:val="0"/>
      <w:numFmt w:val="bullet"/>
      <w:lvlText w:val="•"/>
      <w:lvlJc w:val="left"/>
      <w:pPr>
        <w:ind w:left="7903" w:hanging="396"/>
      </w:pPr>
      <w:rPr>
        <w:rFonts w:hint="default"/>
      </w:rPr>
    </w:lvl>
    <w:lvl w:ilvl="7">
      <w:start w:val="0"/>
      <w:numFmt w:val="bullet"/>
      <w:lvlText w:val="•"/>
      <w:lvlJc w:val="left"/>
      <w:pPr>
        <w:ind w:left="8904" w:hanging="396"/>
      </w:pPr>
      <w:rPr>
        <w:rFonts w:hint="default"/>
      </w:rPr>
    </w:lvl>
    <w:lvl w:ilvl="8">
      <w:start w:val="0"/>
      <w:numFmt w:val="bullet"/>
      <w:lvlText w:val="•"/>
      <w:lvlJc w:val="left"/>
      <w:pPr>
        <w:ind w:left="9904" w:hanging="396"/>
      </w:pPr>
      <w:rPr>
        <w:rFonts w:hint="default"/>
      </w:rPr>
    </w:lvl>
  </w:abstractNum>
  <w:abstractNum w:abstractNumId="71">
    <w:multiLevelType w:val="hybridMultilevel"/>
    <w:lvl w:ilvl="0">
      <w:start w:val="0"/>
      <w:numFmt w:val="bullet"/>
      <w:lvlText w:val=""/>
      <w:lvlJc w:val="left"/>
      <w:pPr>
        <w:ind w:left="2126" w:hanging="348"/>
      </w:pPr>
      <w:rPr>
        <w:rFonts w:hint="default" w:ascii="Symbol" w:hAnsi="Symbol" w:eastAsia="Symbol" w:cs="Symbol"/>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70">
    <w:multiLevelType w:val="hybridMultilevel"/>
    <w:lvl w:ilvl="0">
      <w:start w:val="13"/>
      <w:numFmt w:val="decimal"/>
      <w:lvlText w:val="%1"/>
      <w:lvlJc w:val="left"/>
      <w:pPr>
        <w:ind w:left="2261" w:hanging="843"/>
        <w:jc w:val="left"/>
      </w:pPr>
      <w:rPr>
        <w:rFonts w:hint="default"/>
      </w:rPr>
    </w:lvl>
    <w:lvl w:ilvl="1">
      <w:start w:val="12"/>
      <w:numFmt w:val="decimal"/>
      <w:lvlText w:val="%1.%2"/>
      <w:lvlJc w:val="left"/>
      <w:pPr>
        <w:ind w:left="2261" w:hanging="843"/>
        <w:jc w:val="left"/>
      </w:pPr>
      <w:rPr>
        <w:rFonts w:hint="default"/>
      </w:rPr>
    </w:lvl>
    <w:lvl w:ilvl="2">
      <w:start w:val="17"/>
      <w:numFmt w:val="decimal"/>
      <w:lvlText w:val="%1.%2.%3"/>
      <w:lvlJc w:val="left"/>
      <w:pPr>
        <w:ind w:left="2261" w:hanging="843"/>
        <w:jc w:val="left"/>
      </w:pPr>
      <w:rPr>
        <w:rFonts w:hint="default" w:ascii="Garamond" w:hAnsi="Garamond" w:eastAsia="Garamond" w:cs="Garamond"/>
        <w:spacing w:val="-3"/>
        <w:w w:val="100"/>
        <w:sz w:val="24"/>
        <w:szCs w:val="24"/>
      </w:rPr>
    </w:lvl>
    <w:lvl w:ilvl="3">
      <w:start w:val="0"/>
      <w:numFmt w:val="bullet"/>
      <w:lvlText w:val="-"/>
      <w:lvlJc w:val="left"/>
      <w:pPr>
        <w:ind w:left="2138" w:hanging="348"/>
      </w:pPr>
      <w:rPr>
        <w:rFonts w:hint="default" w:ascii="Calibri" w:hAnsi="Calibri" w:eastAsia="Calibri" w:cs="Calibri"/>
        <w:spacing w:val="-2"/>
        <w:w w:val="100"/>
        <w:sz w:val="24"/>
        <w:szCs w:val="24"/>
      </w:rPr>
    </w:lvl>
    <w:lvl w:ilvl="4">
      <w:start w:val="0"/>
      <w:numFmt w:val="bullet"/>
      <w:lvlText w:val="•"/>
      <w:lvlJc w:val="left"/>
      <w:pPr>
        <w:ind w:left="5475" w:hanging="348"/>
      </w:pPr>
      <w:rPr>
        <w:rFonts w:hint="default"/>
      </w:rPr>
    </w:lvl>
    <w:lvl w:ilvl="5">
      <w:start w:val="0"/>
      <w:numFmt w:val="bullet"/>
      <w:lvlText w:val="•"/>
      <w:lvlJc w:val="left"/>
      <w:pPr>
        <w:ind w:left="6547" w:hanging="348"/>
      </w:pPr>
      <w:rPr>
        <w:rFonts w:hint="default"/>
      </w:rPr>
    </w:lvl>
    <w:lvl w:ilvl="6">
      <w:start w:val="0"/>
      <w:numFmt w:val="bullet"/>
      <w:lvlText w:val="•"/>
      <w:lvlJc w:val="left"/>
      <w:pPr>
        <w:ind w:left="7619" w:hanging="348"/>
      </w:pPr>
      <w:rPr>
        <w:rFonts w:hint="default"/>
      </w:rPr>
    </w:lvl>
    <w:lvl w:ilvl="7">
      <w:start w:val="0"/>
      <w:numFmt w:val="bullet"/>
      <w:lvlText w:val="•"/>
      <w:lvlJc w:val="left"/>
      <w:pPr>
        <w:ind w:left="8690" w:hanging="348"/>
      </w:pPr>
      <w:rPr>
        <w:rFonts w:hint="default"/>
      </w:rPr>
    </w:lvl>
    <w:lvl w:ilvl="8">
      <w:start w:val="0"/>
      <w:numFmt w:val="bullet"/>
      <w:lvlText w:val="•"/>
      <w:lvlJc w:val="left"/>
      <w:pPr>
        <w:ind w:left="9762" w:hanging="348"/>
      </w:pPr>
      <w:rPr>
        <w:rFonts w:hint="default"/>
      </w:rPr>
    </w:lvl>
  </w:abstractNum>
  <w:abstractNum w:abstractNumId="69">
    <w:multiLevelType w:val="hybridMultilevel"/>
    <w:lvl w:ilvl="0">
      <w:start w:val="0"/>
      <w:numFmt w:val="bullet"/>
      <w:lvlText w:val=""/>
      <w:lvlJc w:val="left"/>
      <w:pPr>
        <w:ind w:left="2126" w:hanging="348"/>
      </w:pPr>
      <w:rPr>
        <w:rFonts w:hint="default" w:ascii="Symbol" w:hAnsi="Symbol" w:eastAsia="Symbol" w:cs="Symbol"/>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68">
    <w:multiLevelType w:val="hybridMultilevel"/>
    <w:lvl w:ilvl="0">
      <w:start w:val="0"/>
      <w:numFmt w:val="bullet"/>
      <w:lvlText w:val="-"/>
      <w:lvlJc w:val="left"/>
      <w:pPr>
        <w:ind w:left="2138" w:hanging="348"/>
      </w:pPr>
      <w:rPr>
        <w:rFonts w:hint="default" w:ascii="Calibri" w:hAnsi="Calibri" w:eastAsia="Calibri" w:cs="Calibri"/>
        <w:spacing w:val="-3"/>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67">
    <w:multiLevelType w:val="hybridMultilevel"/>
    <w:lvl w:ilvl="0">
      <w:start w:val="19"/>
      <w:numFmt w:val="upperLetter"/>
      <w:lvlText w:val="%1"/>
      <w:lvlJc w:val="left"/>
      <w:pPr>
        <w:ind w:left="1418" w:hanging="631"/>
        <w:jc w:val="left"/>
      </w:pPr>
      <w:rPr>
        <w:rFonts w:hint="default"/>
      </w:rPr>
    </w:lvl>
    <w:lvl w:ilvl="1">
      <w:start w:val="16"/>
      <w:numFmt w:val="lowerLetter"/>
      <w:lvlText w:val="%1.%2"/>
      <w:lvlJc w:val="left"/>
      <w:pPr>
        <w:ind w:left="1418" w:hanging="631"/>
        <w:jc w:val="left"/>
      </w:pPr>
      <w:rPr>
        <w:rFonts w:hint="default"/>
      </w:rPr>
    </w:lvl>
    <w:lvl w:ilvl="2">
      <w:start w:val="1"/>
      <w:numFmt w:val="upperLetter"/>
      <w:lvlText w:val="%1.%2.%3."/>
      <w:lvlJc w:val="left"/>
      <w:pPr>
        <w:ind w:left="1418" w:hanging="631"/>
        <w:jc w:val="left"/>
      </w:pPr>
      <w:rPr>
        <w:rFonts w:hint="default" w:ascii="Garamond" w:hAnsi="Garamond" w:eastAsia="Garamond" w:cs="Garamond"/>
        <w:w w:val="100"/>
        <w:sz w:val="24"/>
        <w:szCs w:val="24"/>
      </w:rPr>
    </w:lvl>
    <w:lvl w:ilvl="3">
      <w:start w:val="0"/>
      <w:numFmt w:val="bullet"/>
      <w:lvlText w:val=""/>
      <w:lvlJc w:val="left"/>
      <w:pPr>
        <w:ind w:left="2126" w:hanging="298"/>
      </w:pPr>
      <w:rPr>
        <w:rFonts w:hint="default" w:ascii="Symbol" w:hAnsi="Symbol" w:eastAsia="Symbol" w:cs="Symbol"/>
        <w:w w:val="100"/>
        <w:sz w:val="24"/>
        <w:szCs w:val="24"/>
      </w:rPr>
    </w:lvl>
    <w:lvl w:ilvl="4">
      <w:start w:val="0"/>
      <w:numFmt w:val="bullet"/>
      <w:lvlText w:val="•"/>
      <w:lvlJc w:val="left"/>
      <w:pPr>
        <w:ind w:left="5382" w:hanging="298"/>
      </w:pPr>
      <w:rPr>
        <w:rFonts w:hint="default"/>
      </w:rPr>
    </w:lvl>
    <w:lvl w:ilvl="5">
      <w:start w:val="0"/>
      <w:numFmt w:val="bullet"/>
      <w:lvlText w:val="•"/>
      <w:lvlJc w:val="left"/>
      <w:pPr>
        <w:ind w:left="6469" w:hanging="298"/>
      </w:pPr>
      <w:rPr>
        <w:rFonts w:hint="default"/>
      </w:rPr>
    </w:lvl>
    <w:lvl w:ilvl="6">
      <w:start w:val="0"/>
      <w:numFmt w:val="bullet"/>
      <w:lvlText w:val="•"/>
      <w:lvlJc w:val="left"/>
      <w:pPr>
        <w:ind w:left="7556" w:hanging="298"/>
      </w:pPr>
      <w:rPr>
        <w:rFonts w:hint="default"/>
      </w:rPr>
    </w:lvl>
    <w:lvl w:ilvl="7">
      <w:start w:val="0"/>
      <w:numFmt w:val="bullet"/>
      <w:lvlText w:val="•"/>
      <w:lvlJc w:val="left"/>
      <w:pPr>
        <w:ind w:left="8644" w:hanging="298"/>
      </w:pPr>
      <w:rPr>
        <w:rFonts w:hint="default"/>
      </w:rPr>
    </w:lvl>
    <w:lvl w:ilvl="8">
      <w:start w:val="0"/>
      <w:numFmt w:val="bullet"/>
      <w:lvlText w:val="•"/>
      <w:lvlJc w:val="left"/>
      <w:pPr>
        <w:ind w:left="9731" w:hanging="298"/>
      </w:pPr>
      <w:rPr>
        <w:rFonts w:hint="default"/>
      </w:rPr>
    </w:lvl>
  </w:abstractNum>
  <w:abstractNum w:abstractNumId="65">
    <w:multiLevelType w:val="hybridMultilevel"/>
    <w:lvl w:ilvl="0">
      <w:start w:val="0"/>
      <w:numFmt w:val="bullet"/>
      <w:lvlText w:val="-"/>
      <w:lvlJc w:val="left"/>
      <w:pPr>
        <w:ind w:left="2126" w:hanging="348"/>
      </w:pPr>
      <w:rPr>
        <w:rFonts w:hint="default" w:ascii="Calibri" w:hAnsi="Calibri" w:eastAsia="Calibri" w:cs="Calibri"/>
        <w:spacing w:val="-2"/>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64">
    <w:multiLevelType w:val="hybridMultilevel"/>
    <w:lvl w:ilvl="0">
      <w:start w:val="19"/>
      <w:numFmt w:val="upperLetter"/>
      <w:lvlText w:val="%1"/>
      <w:lvlJc w:val="left"/>
      <w:pPr>
        <w:ind w:left="1418" w:hanging="626"/>
        <w:jc w:val="left"/>
      </w:pPr>
      <w:rPr>
        <w:rFonts w:hint="default"/>
      </w:rPr>
    </w:lvl>
    <w:lvl w:ilvl="1">
      <w:start w:val="16"/>
      <w:numFmt w:val="lowerLetter"/>
      <w:lvlText w:val="%1.%2"/>
      <w:lvlJc w:val="left"/>
      <w:pPr>
        <w:ind w:left="1418" w:hanging="626"/>
        <w:jc w:val="left"/>
      </w:pPr>
      <w:rPr>
        <w:rFonts w:hint="default"/>
      </w:rPr>
    </w:lvl>
    <w:lvl w:ilvl="2">
      <w:start w:val="1"/>
      <w:numFmt w:val="upperLetter"/>
      <w:lvlText w:val="%1.%2.%3."/>
      <w:lvlJc w:val="left"/>
      <w:pPr>
        <w:ind w:left="1418" w:hanging="626"/>
        <w:jc w:val="left"/>
      </w:pPr>
      <w:rPr>
        <w:rFonts w:hint="default" w:ascii="Garamond" w:hAnsi="Garamond" w:eastAsia="Garamond" w:cs="Garamond"/>
        <w:w w:val="99"/>
        <w:sz w:val="24"/>
        <w:szCs w:val="24"/>
      </w:rPr>
    </w:lvl>
    <w:lvl w:ilvl="3">
      <w:start w:val="0"/>
      <w:numFmt w:val="bullet"/>
      <w:lvlText w:val=""/>
      <w:lvlJc w:val="left"/>
      <w:pPr>
        <w:ind w:left="2126" w:hanging="348"/>
      </w:pPr>
      <w:rPr>
        <w:rFonts w:hint="default"/>
        <w:w w:val="100"/>
      </w:rPr>
    </w:lvl>
    <w:lvl w:ilvl="4">
      <w:start w:val="0"/>
      <w:numFmt w:val="bullet"/>
      <w:lvlText w:val="•"/>
      <w:lvlJc w:val="left"/>
      <w:pPr>
        <w:ind w:left="5382" w:hanging="348"/>
      </w:pPr>
      <w:rPr>
        <w:rFonts w:hint="default"/>
      </w:rPr>
    </w:lvl>
    <w:lvl w:ilvl="5">
      <w:start w:val="0"/>
      <w:numFmt w:val="bullet"/>
      <w:lvlText w:val="•"/>
      <w:lvlJc w:val="left"/>
      <w:pPr>
        <w:ind w:left="6469" w:hanging="348"/>
      </w:pPr>
      <w:rPr>
        <w:rFonts w:hint="default"/>
      </w:rPr>
    </w:lvl>
    <w:lvl w:ilvl="6">
      <w:start w:val="0"/>
      <w:numFmt w:val="bullet"/>
      <w:lvlText w:val="•"/>
      <w:lvlJc w:val="left"/>
      <w:pPr>
        <w:ind w:left="7556" w:hanging="348"/>
      </w:pPr>
      <w:rPr>
        <w:rFonts w:hint="default"/>
      </w:rPr>
    </w:lvl>
    <w:lvl w:ilvl="7">
      <w:start w:val="0"/>
      <w:numFmt w:val="bullet"/>
      <w:lvlText w:val="•"/>
      <w:lvlJc w:val="left"/>
      <w:pPr>
        <w:ind w:left="8644" w:hanging="348"/>
      </w:pPr>
      <w:rPr>
        <w:rFonts w:hint="default"/>
      </w:rPr>
    </w:lvl>
    <w:lvl w:ilvl="8">
      <w:start w:val="0"/>
      <w:numFmt w:val="bullet"/>
      <w:lvlText w:val="•"/>
      <w:lvlJc w:val="left"/>
      <w:pPr>
        <w:ind w:left="9731" w:hanging="348"/>
      </w:pPr>
      <w:rPr>
        <w:rFonts w:hint="default"/>
      </w:rPr>
    </w:lvl>
  </w:abstractNum>
  <w:abstractNum w:abstractNumId="62">
    <w:multiLevelType w:val="hybridMultilevel"/>
    <w:lvl w:ilvl="0">
      <w:start w:val="0"/>
      <w:numFmt w:val="bullet"/>
      <w:lvlText w:val="-"/>
      <w:lvlJc w:val="left"/>
      <w:pPr>
        <w:ind w:left="2138" w:hanging="348"/>
      </w:pPr>
      <w:rPr>
        <w:rFonts w:hint="default" w:ascii="Calibri" w:hAnsi="Calibri" w:eastAsia="Calibri" w:cs="Calibri"/>
        <w:spacing w:val="-3"/>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61">
    <w:multiLevelType w:val="hybridMultilevel"/>
    <w:lvl w:ilvl="0">
      <w:start w:val="0"/>
      <w:numFmt w:val="bullet"/>
      <w:lvlText w:val="-"/>
      <w:lvlJc w:val="left"/>
      <w:pPr>
        <w:ind w:left="1418" w:hanging="159"/>
      </w:pPr>
      <w:rPr>
        <w:rFonts w:hint="default" w:ascii="Garamond" w:hAnsi="Garamond" w:eastAsia="Garamond" w:cs="Garamond"/>
        <w:w w:val="100"/>
        <w:sz w:val="24"/>
        <w:szCs w:val="24"/>
      </w:rPr>
    </w:lvl>
    <w:lvl w:ilvl="1">
      <w:start w:val="0"/>
      <w:numFmt w:val="bullet"/>
      <w:lvlText w:val="-"/>
      <w:lvlJc w:val="left"/>
      <w:pPr>
        <w:ind w:left="2138" w:hanging="348"/>
      </w:pPr>
      <w:rPr>
        <w:rFonts w:hint="default" w:ascii="Calibri" w:hAnsi="Calibri" w:eastAsia="Calibri" w:cs="Calibri"/>
        <w:spacing w:val="-4"/>
        <w:w w:val="96"/>
        <w:sz w:val="24"/>
        <w:szCs w:val="24"/>
      </w:rPr>
    </w:lvl>
    <w:lvl w:ilvl="2">
      <w:start w:val="0"/>
      <w:numFmt w:val="bullet"/>
      <w:lvlText w:val="•"/>
      <w:lvlJc w:val="left"/>
      <w:pPr>
        <w:ind w:left="3225" w:hanging="348"/>
      </w:pPr>
      <w:rPr>
        <w:rFonts w:hint="default"/>
      </w:rPr>
    </w:lvl>
    <w:lvl w:ilvl="3">
      <w:start w:val="0"/>
      <w:numFmt w:val="bullet"/>
      <w:lvlText w:val="•"/>
      <w:lvlJc w:val="left"/>
      <w:pPr>
        <w:ind w:left="4310" w:hanging="348"/>
      </w:pPr>
      <w:rPr>
        <w:rFonts w:hint="default"/>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58">
    <w:multiLevelType w:val="hybridMultilevel"/>
    <w:lvl w:ilvl="0">
      <w:start w:val="0"/>
      <w:numFmt w:val="bullet"/>
      <w:lvlText w:val="-"/>
      <w:lvlJc w:val="left"/>
      <w:pPr>
        <w:ind w:left="2126" w:hanging="348"/>
      </w:pPr>
      <w:rPr>
        <w:rFonts w:hint="default" w:ascii="Calibri" w:hAnsi="Calibri" w:eastAsia="Calibri" w:cs="Calibri"/>
        <w:spacing w:val="-3"/>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57">
    <w:multiLevelType w:val="hybridMultilevel"/>
    <w:lvl w:ilvl="0">
      <w:start w:val="0"/>
      <w:numFmt w:val="bullet"/>
      <w:lvlText w:val=""/>
      <w:lvlJc w:val="left"/>
      <w:pPr>
        <w:ind w:left="2126" w:hanging="348"/>
      </w:pPr>
      <w:rPr>
        <w:rFonts w:hint="default" w:ascii="Symbol" w:hAnsi="Symbol" w:eastAsia="Symbol" w:cs="Symbol"/>
        <w:w w:val="100"/>
        <w:sz w:val="18"/>
        <w:szCs w:val="18"/>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54">
    <w:multiLevelType w:val="hybridMultilevel"/>
    <w:lvl w:ilvl="0">
      <w:start w:val="1"/>
      <w:numFmt w:val="decimal"/>
      <w:lvlText w:val="%1."/>
      <w:lvlJc w:val="left"/>
      <w:pPr>
        <w:ind w:left="1702" w:hanging="284"/>
        <w:jc w:val="left"/>
      </w:pPr>
      <w:rPr>
        <w:rFonts w:hint="default" w:ascii="Garamond" w:hAnsi="Garamond" w:eastAsia="Garamond" w:cs="Garamond"/>
        <w:spacing w:val="-3"/>
        <w:w w:val="100"/>
        <w:sz w:val="24"/>
        <w:szCs w:val="24"/>
      </w:rPr>
    </w:lvl>
    <w:lvl w:ilvl="1">
      <w:start w:val="1"/>
      <w:numFmt w:val="lowerLetter"/>
      <w:lvlText w:val="%2."/>
      <w:lvlJc w:val="left"/>
      <w:pPr>
        <w:ind w:left="2422" w:hanging="437"/>
        <w:jc w:val="right"/>
      </w:pPr>
      <w:rPr>
        <w:rFonts w:hint="default" w:ascii="Garamond" w:hAnsi="Garamond" w:eastAsia="Garamond" w:cs="Garamond"/>
        <w:spacing w:val="-15"/>
        <w:w w:val="100"/>
        <w:sz w:val="24"/>
        <w:szCs w:val="24"/>
      </w:rPr>
    </w:lvl>
    <w:lvl w:ilvl="2">
      <w:start w:val="0"/>
      <w:numFmt w:val="bullet"/>
      <w:lvlText w:val="-"/>
      <w:lvlJc w:val="left"/>
      <w:pPr>
        <w:ind w:left="2551" w:hanging="135"/>
      </w:pPr>
      <w:rPr>
        <w:rFonts w:hint="default" w:ascii="Garamond" w:hAnsi="Garamond" w:eastAsia="Garamond" w:cs="Garamond"/>
        <w:w w:val="100"/>
        <w:sz w:val="24"/>
        <w:szCs w:val="24"/>
      </w:rPr>
    </w:lvl>
    <w:lvl w:ilvl="3">
      <w:start w:val="0"/>
      <w:numFmt w:val="bullet"/>
      <w:lvlText w:val="•"/>
      <w:lvlJc w:val="left"/>
      <w:pPr>
        <w:ind w:left="3728" w:hanging="135"/>
      </w:pPr>
      <w:rPr>
        <w:rFonts w:hint="default"/>
      </w:rPr>
    </w:lvl>
    <w:lvl w:ilvl="4">
      <w:start w:val="0"/>
      <w:numFmt w:val="bullet"/>
      <w:lvlText w:val="•"/>
      <w:lvlJc w:val="left"/>
      <w:pPr>
        <w:ind w:left="4896" w:hanging="135"/>
      </w:pPr>
      <w:rPr>
        <w:rFonts w:hint="default"/>
      </w:rPr>
    </w:lvl>
    <w:lvl w:ilvl="5">
      <w:start w:val="0"/>
      <w:numFmt w:val="bullet"/>
      <w:lvlText w:val="•"/>
      <w:lvlJc w:val="left"/>
      <w:pPr>
        <w:ind w:left="6064" w:hanging="135"/>
      </w:pPr>
      <w:rPr>
        <w:rFonts w:hint="default"/>
      </w:rPr>
    </w:lvl>
    <w:lvl w:ilvl="6">
      <w:start w:val="0"/>
      <w:numFmt w:val="bullet"/>
      <w:lvlText w:val="•"/>
      <w:lvlJc w:val="left"/>
      <w:pPr>
        <w:ind w:left="7233" w:hanging="135"/>
      </w:pPr>
      <w:rPr>
        <w:rFonts w:hint="default"/>
      </w:rPr>
    </w:lvl>
    <w:lvl w:ilvl="7">
      <w:start w:val="0"/>
      <w:numFmt w:val="bullet"/>
      <w:lvlText w:val="•"/>
      <w:lvlJc w:val="left"/>
      <w:pPr>
        <w:ind w:left="8401" w:hanging="135"/>
      </w:pPr>
      <w:rPr>
        <w:rFonts w:hint="default"/>
      </w:rPr>
    </w:lvl>
    <w:lvl w:ilvl="8">
      <w:start w:val="0"/>
      <w:numFmt w:val="bullet"/>
      <w:lvlText w:val="•"/>
      <w:lvlJc w:val="left"/>
      <w:pPr>
        <w:ind w:left="9569" w:hanging="135"/>
      </w:pPr>
      <w:rPr>
        <w:rFonts w:hint="default"/>
      </w:rPr>
    </w:lvl>
  </w:abstractNum>
  <w:abstractNum w:abstractNumId="53">
    <w:multiLevelType w:val="hybridMultilevel"/>
    <w:lvl w:ilvl="0">
      <w:start w:val="0"/>
      <w:numFmt w:val="bullet"/>
      <w:lvlText w:val="-"/>
      <w:lvlJc w:val="left"/>
      <w:pPr>
        <w:ind w:left="2138" w:hanging="348"/>
      </w:pPr>
      <w:rPr>
        <w:rFonts w:hint="default" w:ascii="Calibri" w:hAnsi="Calibri" w:eastAsia="Calibri" w:cs="Calibri"/>
        <w:spacing w:val="-3"/>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52">
    <w:multiLevelType w:val="hybridMultilevel"/>
    <w:lvl w:ilvl="0">
      <w:start w:val="1"/>
      <w:numFmt w:val="lowerLetter"/>
      <w:lvlText w:val="%1)"/>
      <w:lvlJc w:val="left"/>
      <w:pPr>
        <w:ind w:left="1675" w:hanging="257"/>
        <w:jc w:val="left"/>
      </w:pPr>
      <w:rPr>
        <w:rFonts w:hint="default" w:ascii="Garamond" w:hAnsi="Garamond" w:eastAsia="Garamond" w:cs="Garamond"/>
        <w:w w:val="100"/>
        <w:sz w:val="24"/>
        <w:szCs w:val="24"/>
      </w:rPr>
    </w:lvl>
    <w:lvl w:ilvl="1">
      <w:start w:val="0"/>
      <w:numFmt w:val="bullet"/>
      <w:lvlText w:val="•"/>
      <w:lvlJc w:val="left"/>
      <w:pPr>
        <w:ind w:left="2702" w:hanging="257"/>
      </w:pPr>
      <w:rPr>
        <w:rFonts w:hint="default"/>
      </w:rPr>
    </w:lvl>
    <w:lvl w:ilvl="2">
      <w:start w:val="0"/>
      <w:numFmt w:val="bullet"/>
      <w:lvlText w:val="•"/>
      <w:lvlJc w:val="left"/>
      <w:pPr>
        <w:ind w:left="3725" w:hanging="257"/>
      </w:pPr>
      <w:rPr>
        <w:rFonts w:hint="default"/>
      </w:rPr>
    </w:lvl>
    <w:lvl w:ilvl="3">
      <w:start w:val="0"/>
      <w:numFmt w:val="bullet"/>
      <w:lvlText w:val="•"/>
      <w:lvlJc w:val="left"/>
      <w:pPr>
        <w:ind w:left="4747" w:hanging="257"/>
      </w:pPr>
      <w:rPr>
        <w:rFonts w:hint="default"/>
      </w:rPr>
    </w:lvl>
    <w:lvl w:ilvl="4">
      <w:start w:val="0"/>
      <w:numFmt w:val="bullet"/>
      <w:lvlText w:val="•"/>
      <w:lvlJc w:val="left"/>
      <w:pPr>
        <w:ind w:left="5770" w:hanging="257"/>
      </w:pPr>
      <w:rPr>
        <w:rFonts w:hint="default"/>
      </w:rPr>
    </w:lvl>
    <w:lvl w:ilvl="5">
      <w:start w:val="0"/>
      <w:numFmt w:val="bullet"/>
      <w:lvlText w:val="•"/>
      <w:lvlJc w:val="left"/>
      <w:pPr>
        <w:ind w:left="6793" w:hanging="257"/>
      </w:pPr>
      <w:rPr>
        <w:rFonts w:hint="default"/>
      </w:rPr>
    </w:lvl>
    <w:lvl w:ilvl="6">
      <w:start w:val="0"/>
      <w:numFmt w:val="bullet"/>
      <w:lvlText w:val="•"/>
      <w:lvlJc w:val="left"/>
      <w:pPr>
        <w:ind w:left="7815" w:hanging="257"/>
      </w:pPr>
      <w:rPr>
        <w:rFonts w:hint="default"/>
      </w:rPr>
    </w:lvl>
    <w:lvl w:ilvl="7">
      <w:start w:val="0"/>
      <w:numFmt w:val="bullet"/>
      <w:lvlText w:val="•"/>
      <w:lvlJc w:val="left"/>
      <w:pPr>
        <w:ind w:left="8838" w:hanging="257"/>
      </w:pPr>
      <w:rPr>
        <w:rFonts w:hint="default"/>
      </w:rPr>
    </w:lvl>
    <w:lvl w:ilvl="8">
      <w:start w:val="0"/>
      <w:numFmt w:val="bullet"/>
      <w:lvlText w:val="•"/>
      <w:lvlJc w:val="left"/>
      <w:pPr>
        <w:ind w:left="9861" w:hanging="257"/>
      </w:pPr>
      <w:rPr>
        <w:rFonts w:hint="default"/>
      </w:rPr>
    </w:lvl>
  </w:abstractNum>
  <w:abstractNum w:abstractNumId="51">
    <w:multiLevelType w:val="hybridMultilevel"/>
    <w:lvl w:ilvl="0">
      <w:start w:val="1"/>
      <w:numFmt w:val="lowerLetter"/>
      <w:lvlText w:val="%1)"/>
      <w:lvlJc w:val="left"/>
      <w:pPr>
        <w:ind w:left="1418" w:hanging="279"/>
        <w:jc w:val="left"/>
      </w:pPr>
      <w:rPr>
        <w:rFonts w:hint="default" w:ascii="Garamond" w:hAnsi="Garamond" w:eastAsia="Garamond" w:cs="Garamond"/>
        <w:spacing w:val="-13"/>
        <w:w w:val="100"/>
        <w:sz w:val="24"/>
        <w:szCs w:val="24"/>
      </w:rPr>
    </w:lvl>
    <w:lvl w:ilvl="1">
      <w:start w:val="0"/>
      <w:numFmt w:val="bullet"/>
      <w:lvlText w:val="•"/>
      <w:lvlJc w:val="left"/>
      <w:pPr>
        <w:ind w:left="2468" w:hanging="279"/>
      </w:pPr>
      <w:rPr>
        <w:rFonts w:hint="default"/>
      </w:rPr>
    </w:lvl>
    <w:lvl w:ilvl="2">
      <w:start w:val="0"/>
      <w:numFmt w:val="bullet"/>
      <w:lvlText w:val="•"/>
      <w:lvlJc w:val="left"/>
      <w:pPr>
        <w:ind w:left="3517" w:hanging="279"/>
      </w:pPr>
      <w:rPr>
        <w:rFonts w:hint="default"/>
      </w:rPr>
    </w:lvl>
    <w:lvl w:ilvl="3">
      <w:start w:val="0"/>
      <w:numFmt w:val="bullet"/>
      <w:lvlText w:val="•"/>
      <w:lvlJc w:val="left"/>
      <w:pPr>
        <w:ind w:left="4565" w:hanging="279"/>
      </w:pPr>
      <w:rPr>
        <w:rFonts w:hint="default"/>
      </w:rPr>
    </w:lvl>
    <w:lvl w:ilvl="4">
      <w:start w:val="0"/>
      <w:numFmt w:val="bullet"/>
      <w:lvlText w:val="•"/>
      <w:lvlJc w:val="left"/>
      <w:pPr>
        <w:ind w:left="5614" w:hanging="279"/>
      </w:pPr>
      <w:rPr>
        <w:rFonts w:hint="default"/>
      </w:rPr>
    </w:lvl>
    <w:lvl w:ilvl="5">
      <w:start w:val="0"/>
      <w:numFmt w:val="bullet"/>
      <w:lvlText w:val="•"/>
      <w:lvlJc w:val="left"/>
      <w:pPr>
        <w:ind w:left="6663" w:hanging="279"/>
      </w:pPr>
      <w:rPr>
        <w:rFonts w:hint="default"/>
      </w:rPr>
    </w:lvl>
    <w:lvl w:ilvl="6">
      <w:start w:val="0"/>
      <w:numFmt w:val="bullet"/>
      <w:lvlText w:val="•"/>
      <w:lvlJc w:val="left"/>
      <w:pPr>
        <w:ind w:left="7711" w:hanging="279"/>
      </w:pPr>
      <w:rPr>
        <w:rFonts w:hint="default"/>
      </w:rPr>
    </w:lvl>
    <w:lvl w:ilvl="7">
      <w:start w:val="0"/>
      <w:numFmt w:val="bullet"/>
      <w:lvlText w:val="•"/>
      <w:lvlJc w:val="left"/>
      <w:pPr>
        <w:ind w:left="8760" w:hanging="279"/>
      </w:pPr>
      <w:rPr>
        <w:rFonts w:hint="default"/>
      </w:rPr>
    </w:lvl>
    <w:lvl w:ilvl="8">
      <w:start w:val="0"/>
      <w:numFmt w:val="bullet"/>
      <w:lvlText w:val="•"/>
      <w:lvlJc w:val="left"/>
      <w:pPr>
        <w:ind w:left="9809" w:hanging="279"/>
      </w:pPr>
      <w:rPr>
        <w:rFonts w:hint="default"/>
      </w:rPr>
    </w:lvl>
  </w:abstractNum>
  <w:abstractNum w:abstractNumId="50">
    <w:multiLevelType w:val="hybridMultilevel"/>
    <w:lvl w:ilvl="0">
      <w:start w:val="1"/>
      <w:numFmt w:val="lowerLetter"/>
      <w:lvlText w:val="%1)"/>
      <w:lvlJc w:val="left"/>
      <w:pPr>
        <w:ind w:left="1418" w:hanging="245"/>
        <w:jc w:val="left"/>
      </w:pPr>
      <w:rPr>
        <w:rFonts w:hint="default" w:ascii="Garamond" w:hAnsi="Garamond" w:eastAsia="Garamond" w:cs="Garamond"/>
        <w:w w:val="100"/>
        <w:sz w:val="24"/>
        <w:szCs w:val="24"/>
      </w:rPr>
    </w:lvl>
    <w:lvl w:ilvl="1">
      <w:start w:val="0"/>
      <w:numFmt w:val="bullet"/>
      <w:lvlText w:val="•"/>
      <w:lvlJc w:val="left"/>
      <w:pPr>
        <w:ind w:left="2468" w:hanging="245"/>
      </w:pPr>
      <w:rPr>
        <w:rFonts w:hint="default"/>
      </w:rPr>
    </w:lvl>
    <w:lvl w:ilvl="2">
      <w:start w:val="0"/>
      <w:numFmt w:val="bullet"/>
      <w:lvlText w:val="•"/>
      <w:lvlJc w:val="left"/>
      <w:pPr>
        <w:ind w:left="3517" w:hanging="245"/>
      </w:pPr>
      <w:rPr>
        <w:rFonts w:hint="default"/>
      </w:rPr>
    </w:lvl>
    <w:lvl w:ilvl="3">
      <w:start w:val="0"/>
      <w:numFmt w:val="bullet"/>
      <w:lvlText w:val="•"/>
      <w:lvlJc w:val="left"/>
      <w:pPr>
        <w:ind w:left="4565" w:hanging="245"/>
      </w:pPr>
      <w:rPr>
        <w:rFonts w:hint="default"/>
      </w:rPr>
    </w:lvl>
    <w:lvl w:ilvl="4">
      <w:start w:val="0"/>
      <w:numFmt w:val="bullet"/>
      <w:lvlText w:val="•"/>
      <w:lvlJc w:val="left"/>
      <w:pPr>
        <w:ind w:left="5614" w:hanging="245"/>
      </w:pPr>
      <w:rPr>
        <w:rFonts w:hint="default"/>
      </w:rPr>
    </w:lvl>
    <w:lvl w:ilvl="5">
      <w:start w:val="0"/>
      <w:numFmt w:val="bullet"/>
      <w:lvlText w:val="•"/>
      <w:lvlJc w:val="left"/>
      <w:pPr>
        <w:ind w:left="6663" w:hanging="245"/>
      </w:pPr>
      <w:rPr>
        <w:rFonts w:hint="default"/>
      </w:rPr>
    </w:lvl>
    <w:lvl w:ilvl="6">
      <w:start w:val="0"/>
      <w:numFmt w:val="bullet"/>
      <w:lvlText w:val="•"/>
      <w:lvlJc w:val="left"/>
      <w:pPr>
        <w:ind w:left="7711" w:hanging="245"/>
      </w:pPr>
      <w:rPr>
        <w:rFonts w:hint="default"/>
      </w:rPr>
    </w:lvl>
    <w:lvl w:ilvl="7">
      <w:start w:val="0"/>
      <w:numFmt w:val="bullet"/>
      <w:lvlText w:val="•"/>
      <w:lvlJc w:val="left"/>
      <w:pPr>
        <w:ind w:left="8760" w:hanging="245"/>
      </w:pPr>
      <w:rPr>
        <w:rFonts w:hint="default"/>
      </w:rPr>
    </w:lvl>
    <w:lvl w:ilvl="8">
      <w:start w:val="0"/>
      <w:numFmt w:val="bullet"/>
      <w:lvlText w:val="•"/>
      <w:lvlJc w:val="left"/>
      <w:pPr>
        <w:ind w:left="9809" w:hanging="245"/>
      </w:pPr>
      <w:rPr>
        <w:rFonts w:hint="default"/>
      </w:rPr>
    </w:lvl>
  </w:abstractNum>
  <w:abstractNum w:abstractNumId="49">
    <w:multiLevelType w:val="hybridMultilevel"/>
    <w:lvl w:ilvl="0">
      <w:start w:val="1"/>
      <w:numFmt w:val="lowerLetter"/>
      <w:lvlText w:val="%1)"/>
      <w:lvlJc w:val="left"/>
      <w:pPr>
        <w:ind w:left="1418" w:hanging="238"/>
        <w:jc w:val="left"/>
      </w:pPr>
      <w:rPr>
        <w:rFonts w:hint="default" w:ascii="Garamond" w:hAnsi="Garamond" w:eastAsia="Garamond" w:cs="Garamond"/>
        <w:w w:val="100"/>
        <w:sz w:val="24"/>
        <w:szCs w:val="24"/>
      </w:rPr>
    </w:lvl>
    <w:lvl w:ilvl="1">
      <w:start w:val="0"/>
      <w:numFmt w:val="bullet"/>
      <w:lvlText w:val="•"/>
      <w:lvlJc w:val="left"/>
      <w:pPr>
        <w:ind w:left="2468" w:hanging="238"/>
      </w:pPr>
      <w:rPr>
        <w:rFonts w:hint="default"/>
      </w:rPr>
    </w:lvl>
    <w:lvl w:ilvl="2">
      <w:start w:val="0"/>
      <w:numFmt w:val="bullet"/>
      <w:lvlText w:val="•"/>
      <w:lvlJc w:val="left"/>
      <w:pPr>
        <w:ind w:left="3517" w:hanging="238"/>
      </w:pPr>
      <w:rPr>
        <w:rFonts w:hint="default"/>
      </w:rPr>
    </w:lvl>
    <w:lvl w:ilvl="3">
      <w:start w:val="0"/>
      <w:numFmt w:val="bullet"/>
      <w:lvlText w:val="•"/>
      <w:lvlJc w:val="left"/>
      <w:pPr>
        <w:ind w:left="4565" w:hanging="238"/>
      </w:pPr>
      <w:rPr>
        <w:rFonts w:hint="default"/>
      </w:rPr>
    </w:lvl>
    <w:lvl w:ilvl="4">
      <w:start w:val="0"/>
      <w:numFmt w:val="bullet"/>
      <w:lvlText w:val="•"/>
      <w:lvlJc w:val="left"/>
      <w:pPr>
        <w:ind w:left="5614" w:hanging="238"/>
      </w:pPr>
      <w:rPr>
        <w:rFonts w:hint="default"/>
      </w:rPr>
    </w:lvl>
    <w:lvl w:ilvl="5">
      <w:start w:val="0"/>
      <w:numFmt w:val="bullet"/>
      <w:lvlText w:val="•"/>
      <w:lvlJc w:val="left"/>
      <w:pPr>
        <w:ind w:left="6663" w:hanging="238"/>
      </w:pPr>
      <w:rPr>
        <w:rFonts w:hint="default"/>
      </w:rPr>
    </w:lvl>
    <w:lvl w:ilvl="6">
      <w:start w:val="0"/>
      <w:numFmt w:val="bullet"/>
      <w:lvlText w:val="•"/>
      <w:lvlJc w:val="left"/>
      <w:pPr>
        <w:ind w:left="7711" w:hanging="238"/>
      </w:pPr>
      <w:rPr>
        <w:rFonts w:hint="default"/>
      </w:rPr>
    </w:lvl>
    <w:lvl w:ilvl="7">
      <w:start w:val="0"/>
      <w:numFmt w:val="bullet"/>
      <w:lvlText w:val="•"/>
      <w:lvlJc w:val="left"/>
      <w:pPr>
        <w:ind w:left="8760" w:hanging="238"/>
      </w:pPr>
      <w:rPr>
        <w:rFonts w:hint="default"/>
      </w:rPr>
    </w:lvl>
    <w:lvl w:ilvl="8">
      <w:start w:val="0"/>
      <w:numFmt w:val="bullet"/>
      <w:lvlText w:val="•"/>
      <w:lvlJc w:val="left"/>
      <w:pPr>
        <w:ind w:left="9809" w:hanging="238"/>
      </w:pPr>
      <w:rPr>
        <w:rFonts w:hint="default"/>
      </w:rPr>
    </w:lvl>
  </w:abstractNum>
  <w:abstractNum w:abstractNumId="48">
    <w:multiLevelType w:val="hybridMultilevel"/>
    <w:lvl w:ilvl="0">
      <w:start w:val="1"/>
      <w:numFmt w:val="lowerLetter"/>
      <w:lvlText w:val="%1)"/>
      <w:lvlJc w:val="left"/>
      <w:pPr>
        <w:ind w:left="1647" w:hanging="229"/>
        <w:jc w:val="left"/>
      </w:pPr>
      <w:rPr>
        <w:rFonts w:hint="default" w:ascii="Garamond" w:hAnsi="Garamond" w:eastAsia="Garamond" w:cs="Garamond"/>
        <w:spacing w:val="-3"/>
        <w:w w:val="100"/>
        <w:sz w:val="24"/>
        <w:szCs w:val="24"/>
      </w:rPr>
    </w:lvl>
    <w:lvl w:ilvl="1">
      <w:start w:val="0"/>
      <w:numFmt w:val="bullet"/>
      <w:lvlText w:val="-"/>
      <w:lvlJc w:val="left"/>
      <w:pPr>
        <w:ind w:left="1846" w:hanging="135"/>
      </w:pPr>
      <w:rPr>
        <w:rFonts w:hint="default" w:ascii="Garamond" w:hAnsi="Garamond" w:eastAsia="Garamond" w:cs="Garamond"/>
        <w:w w:val="100"/>
        <w:sz w:val="24"/>
        <w:szCs w:val="24"/>
      </w:rPr>
    </w:lvl>
    <w:lvl w:ilvl="2">
      <w:start w:val="0"/>
      <w:numFmt w:val="bullet"/>
      <w:lvlText w:val="•"/>
      <w:lvlJc w:val="left"/>
      <w:pPr>
        <w:ind w:left="2958" w:hanging="135"/>
      </w:pPr>
      <w:rPr>
        <w:rFonts w:hint="default"/>
      </w:rPr>
    </w:lvl>
    <w:lvl w:ilvl="3">
      <w:start w:val="0"/>
      <w:numFmt w:val="bullet"/>
      <w:lvlText w:val="•"/>
      <w:lvlJc w:val="left"/>
      <w:pPr>
        <w:ind w:left="4076" w:hanging="135"/>
      </w:pPr>
      <w:rPr>
        <w:rFonts w:hint="default"/>
      </w:rPr>
    </w:lvl>
    <w:lvl w:ilvl="4">
      <w:start w:val="0"/>
      <w:numFmt w:val="bullet"/>
      <w:lvlText w:val="•"/>
      <w:lvlJc w:val="left"/>
      <w:pPr>
        <w:ind w:left="5195" w:hanging="135"/>
      </w:pPr>
      <w:rPr>
        <w:rFonts w:hint="default"/>
      </w:rPr>
    </w:lvl>
    <w:lvl w:ilvl="5">
      <w:start w:val="0"/>
      <w:numFmt w:val="bullet"/>
      <w:lvlText w:val="•"/>
      <w:lvlJc w:val="left"/>
      <w:pPr>
        <w:ind w:left="6313" w:hanging="135"/>
      </w:pPr>
      <w:rPr>
        <w:rFonts w:hint="default"/>
      </w:rPr>
    </w:lvl>
    <w:lvl w:ilvl="6">
      <w:start w:val="0"/>
      <w:numFmt w:val="bullet"/>
      <w:lvlText w:val="•"/>
      <w:lvlJc w:val="left"/>
      <w:pPr>
        <w:ind w:left="7432" w:hanging="135"/>
      </w:pPr>
      <w:rPr>
        <w:rFonts w:hint="default"/>
      </w:rPr>
    </w:lvl>
    <w:lvl w:ilvl="7">
      <w:start w:val="0"/>
      <w:numFmt w:val="bullet"/>
      <w:lvlText w:val="•"/>
      <w:lvlJc w:val="left"/>
      <w:pPr>
        <w:ind w:left="8550" w:hanging="135"/>
      </w:pPr>
      <w:rPr>
        <w:rFonts w:hint="default"/>
      </w:rPr>
    </w:lvl>
    <w:lvl w:ilvl="8">
      <w:start w:val="0"/>
      <w:numFmt w:val="bullet"/>
      <w:lvlText w:val="•"/>
      <w:lvlJc w:val="left"/>
      <w:pPr>
        <w:ind w:left="9669" w:hanging="135"/>
      </w:pPr>
      <w:rPr>
        <w:rFonts w:hint="default"/>
      </w:rPr>
    </w:lvl>
  </w:abstractNum>
  <w:abstractNum w:abstractNumId="47">
    <w:multiLevelType w:val="hybridMultilevel"/>
    <w:lvl w:ilvl="0">
      <w:start w:val="1"/>
      <w:numFmt w:val="lowerLetter"/>
      <w:lvlText w:val="%1)"/>
      <w:lvlJc w:val="left"/>
      <w:pPr>
        <w:ind w:left="1418" w:hanging="238"/>
        <w:jc w:val="left"/>
      </w:pPr>
      <w:rPr>
        <w:rFonts w:hint="default" w:ascii="Garamond" w:hAnsi="Garamond" w:eastAsia="Garamond" w:cs="Garamond"/>
        <w:w w:val="100"/>
        <w:sz w:val="24"/>
        <w:szCs w:val="24"/>
      </w:rPr>
    </w:lvl>
    <w:lvl w:ilvl="1">
      <w:start w:val="0"/>
      <w:numFmt w:val="bullet"/>
      <w:lvlText w:val="-"/>
      <w:lvlJc w:val="left"/>
      <w:pPr>
        <w:ind w:left="1846" w:hanging="135"/>
      </w:pPr>
      <w:rPr>
        <w:rFonts w:hint="default" w:ascii="Garamond" w:hAnsi="Garamond" w:eastAsia="Garamond" w:cs="Garamond"/>
        <w:w w:val="100"/>
        <w:sz w:val="24"/>
        <w:szCs w:val="24"/>
      </w:rPr>
    </w:lvl>
    <w:lvl w:ilvl="2">
      <w:start w:val="0"/>
      <w:numFmt w:val="bullet"/>
      <w:lvlText w:val="•"/>
      <w:lvlJc w:val="left"/>
      <w:pPr>
        <w:ind w:left="2958" w:hanging="135"/>
      </w:pPr>
      <w:rPr>
        <w:rFonts w:hint="default"/>
      </w:rPr>
    </w:lvl>
    <w:lvl w:ilvl="3">
      <w:start w:val="0"/>
      <w:numFmt w:val="bullet"/>
      <w:lvlText w:val="•"/>
      <w:lvlJc w:val="left"/>
      <w:pPr>
        <w:ind w:left="4076" w:hanging="135"/>
      </w:pPr>
      <w:rPr>
        <w:rFonts w:hint="default"/>
      </w:rPr>
    </w:lvl>
    <w:lvl w:ilvl="4">
      <w:start w:val="0"/>
      <w:numFmt w:val="bullet"/>
      <w:lvlText w:val="•"/>
      <w:lvlJc w:val="left"/>
      <w:pPr>
        <w:ind w:left="5195" w:hanging="135"/>
      </w:pPr>
      <w:rPr>
        <w:rFonts w:hint="default"/>
      </w:rPr>
    </w:lvl>
    <w:lvl w:ilvl="5">
      <w:start w:val="0"/>
      <w:numFmt w:val="bullet"/>
      <w:lvlText w:val="•"/>
      <w:lvlJc w:val="left"/>
      <w:pPr>
        <w:ind w:left="6313" w:hanging="135"/>
      </w:pPr>
      <w:rPr>
        <w:rFonts w:hint="default"/>
      </w:rPr>
    </w:lvl>
    <w:lvl w:ilvl="6">
      <w:start w:val="0"/>
      <w:numFmt w:val="bullet"/>
      <w:lvlText w:val="•"/>
      <w:lvlJc w:val="left"/>
      <w:pPr>
        <w:ind w:left="7432" w:hanging="135"/>
      </w:pPr>
      <w:rPr>
        <w:rFonts w:hint="default"/>
      </w:rPr>
    </w:lvl>
    <w:lvl w:ilvl="7">
      <w:start w:val="0"/>
      <w:numFmt w:val="bullet"/>
      <w:lvlText w:val="•"/>
      <w:lvlJc w:val="left"/>
      <w:pPr>
        <w:ind w:left="8550" w:hanging="135"/>
      </w:pPr>
      <w:rPr>
        <w:rFonts w:hint="default"/>
      </w:rPr>
    </w:lvl>
    <w:lvl w:ilvl="8">
      <w:start w:val="0"/>
      <w:numFmt w:val="bullet"/>
      <w:lvlText w:val="•"/>
      <w:lvlJc w:val="left"/>
      <w:pPr>
        <w:ind w:left="9669" w:hanging="135"/>
      </w:pPr>
      <w:rPr>
        <w:rFonts w:hint="default"/>
      </w:rPr>
    </w:lvl>
  </w:abstractNum>
  <w:abstractNum w:abstractNumId="46">
    <w:multiLevelType w:val="hybridMultilevel"/>
    <w:lvl w:ilvl="0">
      <w:start w:val="1"/>
      <w:numFmt w:val="lowerLetter"/>
      <w:lvlText w:val="%1)"/>
      <w:lvlJc w:val="left"/>
      <w:pPr>
        <w:ind w:left="1418" w:hanging="300"/>
        <w:jc w:val="left"/>
      </w:pPr>
      <w:rPr>
        <w:rFonts w:hint="default" w:ascii="Garamond" w:hAnsi="Garamond" w:eastAsia="Garamond" w:cs="Garamond"/>
        <w:spacing w:val="-3"/>
        <w:w w:val="100"/>
        <w:sz w:val="24"/>
        <w:szCs w:val="24"/>
      </w:rPr>
    </w:lvl>
    <w:lvl w:ilvl="1">
      <w:start w:val="0"/>
      <w:numFmt w:val="bullet"/>
      <w:lvlText w:val="•"/>
      <w:lvlJc w:val="left"/>
      <w:pPr>
        <w:ind w:left="2468" w:hanging="300"/>
      </w:pPr>
      <w:rPr>
        <w:rFonts w:hint="default"/>
      </w:rPr>
    </w:lvl>
    <w:lvl w:ilvl="2">
      <w:start w:val="0"/>
      <w:numFmt w:val="bullet"/>
      <w:lvlText w:val="•"/>
      <w:lvlJc w:val="left"/>
      <w:pPr>
        <w:ind w:left="3517" w:hanging="300"/>
      </w:pPr>
      <w:rPr>
        <w:rFonts w:hint="default"/>
      </w:rPr>
    </w:lvl>
    <w:lvl w:ilvl="3">
      <w:start w:val="0"/>
      <w:numFmt w:val="bullet"/>
      <w:lvlText w:val="•"/>
      <w:lvlJc w:val="left"/>
      <w:pPr>
        <w:ind w:left="4565" w:hanging="300"/>
      </w:pPr>
      <w:rPr>
        <w:rFonts w:hint="default"/>
      </w:rPr>
    </w:lvl>
    <w:lvl w:ilvl="4">
      <w:start w:val="0"/>
      <w:numFmt w:val="bullet"/>
      <w:lvlText w:val="•"/>
      <w:lvlJc w:val="left"/>
      <w:pPr>
        <w:ind w:left="5614" w:hanging="300"/>
      </w:pPr>
      <w:rPr>
        <w:rFonts w:hint="default"/>
      </w:rPr>
    </w:lvl>
    <w:lvl w:ilvl="5">
      <w:start w:val="0"/>
      <w:numFmt w:val="bullet"/>
      <w:lvlText w:val="•"/>
      <w:lvlJc w:val="left"/>
      <w:pPr>
        <w:ind w:left="6663" w:hanging="300"/>
      </w:pPr>
      <w:rPr>
        <w:rFonts w:hint="default"/>
      </w:rPr>
    </w:lvl>
    <w:lvl w:ilvl="6">
      <w:start w:val="0"/>
      <w:numFmt w:val="bullet"/>
      <w:lvlText w:val="•"/>
      <w:lvlJc w:val="left"/>
      <w:pPr>
        <w:ind w:left="7711" w:hanging="300"/>
      </w:pPr>
      <w:rPr>
        <w:rFonts w:hint="default"/>
      </w:rPr>
    </w:lvl>
    <w:lvl w:ilvl="7">
      <w:start w:val="0"/>
      <w:numFmt w:val="bullet"/>
      <w:lvlText w:val="•"/>
      <w:lvlJc w:val="left"/>
      <w:pPr>
        <w:ind w:left="8760" w:hanging="300"/>
      </w:pPr>
      <w:rPr>
        <w:rFonts w:hint="default"/>
      </w:rPr>
    </w:lvl>
    <w:lvl w:ilvl="8">
      <w:start w:val="0"/>
      <w:numFmt w:val="bullet"/>
      <w:lvlText w:val="•"/>
      <w:lvlJc w:val="left"/>
      <w:pPr>
        <w:ind w:left="9809" w:hanging="300"/>
      </w:pPr>
      <w:rPr>
        <w:rFonts w:hint="default"/>
      </w:rPr>
    </w:lvl>
  </w:abstractNum>
  <w:abstractNum w:abstractNumId="45">
    <w:multiLevelType w:val="hybridMultilevel"/>
    <w:lvl w:ilvl="0">
      <w:start w:val="0"/>
      <w:numFmt w:val="bullet"/>
      <w:lvlText w:val="-"/>
      <w:lvlJc w:val="left"/>
      <w:pPr>
        <w:ind w:left="2138" w:hanging="348"/>
      </w:pPr>
      <w:rPr>
        <w:rFonts w:hint="default" w:ascii="Calibri" w:hAnsi="Calibri" w:eastAsia="Calibri" w:cs="Calibri"/>
        <w:spacing w:val="-27"/>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44">
    <w:multiLevelType w:val="hybridMultilevel"/>
    <w:lvl w:ilvl="0">
      <w:start w:val="0"/>
      <w:numFmt w:val="bullet"/>
      <w:lvlText w:val="-"/>
      <w:lvlJc w:val="left"/>
      <w:pPr>
        <w:ind w:left="2138" w:hanging="348"/>
      </w:pPr>
      <w:rPr>
        <w:rFonts w:hint="default" w:ascii="Calibri" w:hAnsi="Calibri" w:eastAsia="Calibri" w:cs="Calibri"/>
        <w:spacing w:val="-30"/>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43">
    <w:multiLevelType w:val="hybridMultilevel"/>
    <w:lvl w:ilvl="0">
      <w:start w:val="0"/>
      <w:numFmt w:val="bullet"/>
      <w:lvlText w:val=""/>
      <w:lvlJc w:val="left"/>
      <w:pPr>
        <w:ind w:left="2126" w:hanging="348"/>
      </w:pPr>
      <w:rPr>
        <w:rFonts w:hint="default" w:ascii="Symbol" w:hAnsi="Symbol" w:eastAsia="Symbol" w:cs="Symbol"/>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41">
    <w:multiLevelType w:val="hybridMultilevel"/>
    <w:lvl w:ilvl="0">
      <w:start w:val="0"/>
      <w:numFmt w:val="bullet"/>
      <w:lvlText w:val="-"/>
      <w:lvlJc w:val="left"/>
      <w:pPr>
        <w:ind w:left="2138" w:hanging="348"/>
      </w:pPr>
      <w:rPr>
        <w:rFonts w:hint="default" w:ascii="Calibri" w:hAnsi="Calibri" w:eastAsia="Calibri" w:cs="Calibri"/>
        <w:spacing w:val="-27"/>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40">
    <w:multiLevelType w:val="hybridMultilevel"/>
    <w:lvl w:ilvl="0">
      <w:start w:val="1"/>
      <w:numFmt w:val="decimal"/>
      <w:lvlText w:val="%1"/>
      <w:lvlJc w:val="left"/>
      <w:pPr>
        <w:ind w:left="2374" w:hanging="956"/>
        <w:jc w:val="left"/>
      </w:pPr>
      <w:rPr>
        <w:rFonts w:hint="default"/>
      </w:rPr>
    </w:lvl>
    <w:lvl w:ilvl="1">
      <w:start w:val="500"/>
      <w:numFmt w:val="decimal"/>
      <w:lvlText w:val="%1.%2"/>
      <w:lvlJc w:val="left"/>
      <w:pPr>
        <w:ind w:left="2374" w:hanging="956"/>
        <w:jc w:val="left"/>
      </w:pPr>
      <w:rPr>
        <w:rFonts w:hint="default"/>
      </w:rPr>
    </w:lvl>
    <w:lvl w:ilvl="2">
      <w:start w:val="0"/>
      <w:numFmt w:val="decimal"/>
      <w:lvlText w:val="%1.%2.%3"/>
      <w:lvlJc w:val="left"/>
      <w:pPr>
        <w:ind w:left="2374" w:hanging="956"/>
        <w:jc w:val="left"/>
      </w:pPr>
      <w:rPr>
        <w:rFonts w:hint="default" w:ascii="Garamond" w:hAnsi="Garamond" w:eastAsia="Garamond" w:cs="Garamond"/>
        <w:spacing w:val="-3"/>
        <w:w w:val="100"/>
        <w:sz w:val="24"/>
        <w:szCs w:val="24"/>
      </w:rPr>
    </w:lvl>
    <w:lvl w:ilvl="3">
      <w:start w:val="0"/>
      <w:numFmt w:val="bullet"/>
      <w:lvlText w:val=""/>
      <w:lvlJc w:val="left"/>
      <w:pPr>
        <w:ind w:left="2126" w:hanging="348"/>
      </w:pPr>
      <w:rPr>
        <w:rFonts w:hint="default" w:ascii="Symbol" w:hAnsi="Symbol" w:eastAsia="Symbol" w:cs="Symbol"/>
        <w:w w:val="100"/>
        <w:sz w:val="24"/>
        <w:szCs w:val="24"/>
      </w:rPr>
    </w:lvl>
    <w:lvl w:ilvl="4">
      <w:start w:val="0"/>
      <w:numFmt w:val="bullet"/>
      <w:lvlText w:val="•"/>
      <w:lvlJc w:val="left"/>
      <w:pPr>
        <w:ind w:left="5555" w:hanging="348"/>
      </w:pPr>
      <w:rPr>
        <w:rFonts w:hint="default"/>
      </w:rPr>
    </w:lvl>
    <w:lvl w:ilvl="5">
      <w:start w:val="0"/>
      <w:numFmt w:val="bullet"/>
      <w:lvlText w:val="•"/>
      <w:lvlJc w:val="left"/>
      <w:pPr>
        <w:ind w:left="6613" w:hanging="348"/>
      </w:pPr>
      <w:rPr>
        <w:rFonts w:hint="default"/>
      </w:rPr>
    </w:lvl>
    <w:lvl w:ilvl="6">
      <w:start w:val="0"/>
      <w:numFmt w:val="bullet"/>
      <w:lvlText w:val="•"/>
      <w:lvlJc w:val="left"/>
      <w:pPr>
        <w:ind w:left="7672" w:hanging="348"/>
      </w:pPr>
      <w:rPr>
        <w:rFonts w:hint="default"/>
      </w:rPr>
    </w:lvl>
    <w:lvl w:ilvl="7">
      <w:start w:val="0"/>
      <w:numFmt w:val="bullet"/>
      <w:lvlText w:val="•"/>
      <w:lvlJc w:val="left"/>
      <w:pPr>
        <w:ind w:left="8730" w:hanging="348"/>
      </w:pPr>
      <w:rPr>
        <w:rFonts w:hint="default"/>
      </w:rPr>
    </w:lvl>
    <w:lvl w:ilvl="8">
      <w:start w:val="0"/>
      <w:numFmt w:val="bullet"/>
      <w:lvlText w:val="•"/>
      <w:lvlJc w:val="left"/>
      <w:pPr>
        <w:ind w:left="9789" w:hanging="348"/>
      </w:pPr>
      <w:rPr>
        <w:rFonts w:hint="default"/>
      </w:rPr>
    </w:lvl>
  </w:abstractNum>
  <w:abstractNum w:abstractNumId="39">
    <w:multiLevelType w:val="hybridMultilevel"/>
    <w:lvl w:ilvl="0">
      <w:start w:val="0"/>
      <w:numFmt w:val="bullet"/>
      <w:lvlText w:val=""/>
      <w:lvlJc w:val="left"/>
      <w:pPr>
        <w:ind w:left="2126" w:hanging="348"/>
      </w:pPr>
      <w:rPr>
        <w:rFonts w:hint="default" w:ascii="Symbol" w:hAnsi="Symbol" w:eastAsia="Symbol" w:cs="Symbol"/>
        <w:w w:val="100"/>
        <w:sz w:val="18"/>
        <w:szCs w:val="18"/>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38">
    <w:multiLevelType w:val="hybridMultilevel"/>
    <w:lvl w:ilvl="0">
      <w:start w:val="0"/>
      <w:numFmt w:val="bullet"/>
      <w:lvlText w:val="-"/>
      <w:lvlJc w:val="left"/>
      <w:pPr>
        <w:ind w:left="1418" w:hanging="137"/>
      </w:pPr>
      <w:rPr>
        <w:rFonts w:hint="default" w:ascii="Garamond" w:hAnsi="Garamond" w:eastAsia="Garamond" w:cs="Garamond"/>
        <w:i/>
        <w:w w:val="100"/>
        <w:sz w:val="24"/>
        <w:szCs w:val="24"/>
      </w:rPr>
    </w:lvl>
    <w:lvl w:ilvl="1">
      <w:start w:val="0"/>
      <w:numFmt w:val="bullet"/>
      <w:lvlText w:val="-"/>
      <w:lvlJc w:val="left"/>
      <w:pPr>
        <w:ind w:left="2138" w:hanging="348"/>
      </w:pPr>
      <w:rPr>
        <w:rFonts w:hint="default" w:ascii="Calibri" w:hAnsi="Calibri" w:eastAsia="Calibri" w:cs="Calibri"/>
        <w:spacing w:val="-30"/>
        <w:w w:val="99"/>
        <w:sz w:val="24"/>
        <w:szCs w:val="24"/>
      </w:rPr>
    </w:lvl>
    <w:lvl w:ilvl="2">
      <w:start w:val="0"/>
      <w:numFmt w:val="bullet"/>
      <w:lvlText w:val="•"/>
      <w:lvlJc w:val="left"/>
      <w:pPr>
        <w:ind w:left="3225" w:hanging="348"/>
      </w:pPr>
      <w:rPr>
        <w:rFonts w:hint="default"/>
      </w:rPr>
    </w:lvl>
    <w:lvl w:ilvl="3">
      <w:start w:val="0"/>
      <w:numFmt w:val="bullet"/>
      <w:lvlText w:val="•"/>
      <w:lvlJc w:val="left"/>
      <w:pPr>
        <w:ind w:left="4310" w:hanging="348"/>
      </w:pPr>
      <w:rPr>
        <w:rFonts w:hint="default"/>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37">
    <w:multiLevelType w:val="hybridMultilevel"/>
    <w:lvl w:ilvl="0">
      <w:start w:val="0"/>
      <w:numFmt w:val="bullet"/>
      <w:lvlText w:val="-"/>
      <w:lvlJc w:val="left"/>
      <w:pPr>
        <w:ind w:left="1846" w:hanging="360"/>
      </w:pPr>
      <w:rPr>
        <w:rFonts w:hint="default" w:ascii="Calibri" w:hAnsi="Calibri" w:eastAsia="Calibri" w:cs="Calibri"/>
        <w:spacing w:val="-4"/>
        <w:w w:val="99"/>
        <w:sz w:val="24"/>
        <w:szCs w:val="24"/>
      </w:rPr>
    </w:lvl>
    <w:lvl w:ilvl="1">
      <w:start w:val="0"/>
      <w:numFmt w:val="bullet"/>
      <w:lvlText w:val="•"/>
      <w:lvlJc w:val="left"/>
      <w:pPr>
        <w:ind w:left="2846" w:hanging="360"/>
      </w:pPr>
      <w:rPr>
        <w:rFonts w:hint="default"/>
      </w:rPr>
    </w:lvl>
    <w:lvl w:ilvl="2">
      <w:start w:val="0"/>
      <w:numFmt w:val="bullet"/>
      <w:lvlText w:val="•"/>
      <w:lvlJc w:val="left"/>
      <w:pPr>
        <w:ind w:left="3853" w:hanging="360"/>
      </w:pPr>
      <w:rPr>
        <w:rFonts w:hint="default"/>
      </w:rPr>
    </w:lvl>
    <w:lvl w:ilvl="3">
      <w:start w:val="0"/>
      <w:numFmt w:val="bullet"/>
      <w:lvlText w:val="•"/>
      <w:lvlJc w:val="left"/>
      <w:pPr>
        <w:ind w:left="4859" w:hanging="360"/>
      </w:pPr>
      <w:rPr>
        <w:rFonts w:hint="default"/>
      </w:rPr>
    </w:lvl>
    <w:lvl w:ilvl="4">
      <w:start w:val="0"/>
      <w:numFmt w:val="bullet"/>
      <w:lvlText w:val="•"/>
      <w:lvlJc w:val="left"/>
      <w:pPr>
        <w:ind w:left="5866" w:hanging="360"/>
      </w:pPr>
      <w:rPr>
        <w:rFonts w:hint="default"/>
      </w:rPr>
    </w:lvl>
    <w:lvl w:ilvl="5">
      <w:start w:val="0"/>
      <w:numFmt w:val="bullet"/>
      <w:lvlText w:val="•"/>
      <w:lvlJc w:val="left"/>
      <w:pPr>
        <w:ind w:left="6873" w:hanging="360"/>
      </w:pPr>
      <w:rPr>
        <w:rFonts w:hint="default"/>
      </w:rPr>
    </w:lvl>
    <w:lvl w:ilvl="6">
      <w:start w:val="0"/>
      <w:numFmt w:val="bullet"/>
      <w:lvlText w:val="•"/>
      <w:lvlJc w:val="left"/>
      <w:pPr>
        <w:ind w:left="7879" w:hanging="360"/>
      </w:pPr>
      <w:rPr>
        <w:rFonts w:hint="default"/>
      </w:rPr>
    </w:lvl>
    <w:lvl w:ilvl="7">
      <w:start w:val="0"/>
      <w:numFmt w:val="bullet"/>
      <w:lvlText w:val="•"/>
      <w:lvlJc w:val="left"/>
      <w:pPr>
        <w:ind w:left="8886" w:hanging="360"/>
      </w:pPr>
      <w:rPr>
        <w:rFonts w:hint="default"/>
      </w:rPr>
    </w:lvl>
    <w:lvl w:ilvl="8">
      <w:start w:val="0"/>
      <w:numFmt w:val="bullet"/>
      <w:lvlText w:val="•"/>
      <w:lvlJc w:val="left"/>
      <w:pPr>
        <w:ind w:left="9893" w:hanging="360"/>
      </w:pPr>
      <w:rPr>
        <w:rFonts w:hint="default"/>
      </w:rPr>
    </w:lvl>
  </w:abstractNum>
  <w:abstractNum w:abstractNumId="36">
    <w:multiLevelType w:val="hybridMultilevel"/>
    <w:lvl w:ilvl="0">
      <w:start w:val="0"/>
      <w:numFmt w:val="bullet"/>
      <w:lvlText w:val="-"/>
      <w:lvlJc w:val="left"/>
      <w:pPr>
        <w:ind w:left="2138" w:hanging="348"/>
      </w:pPr>
      <w:rPr>
        <w:rFonts w:hint="default" w:ascii="Calibri" w:hAnsi="Calibri" w:eastAsia="Calibri" w:cs="Calibri"/>
        <w:spacing w:val="-23"/>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34">
    <w:multiLevelType w:val="hybridMultilevel"/>
    <w:lvl w:ilvl="0">
      <w:start w:val="0"/>
      <w:numFmt w:val="bullet"/>
      <w:lvlText w:val="-"/>
      <w:lvlJc w:val="left"/>
      <w:pPr>
        <w:ind w:left="2138" w:hanging="348"/>
      </w:pPr>
      <w:rPr>
        <w:rFonts w:hint="default" w:ascii="Calibri" w:hAnsi="Calibri" w:eastAsia="Calibri" w:cs="Calibri"/>
        <w:spacing w:val="-28"/>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32">
    <w:multiLevelType w:val="hybridMultilevel"/>
    <w:lvl w:ilvl="0">
      <w:start w:val="0"/>
      <w:numFmt w:val="bullet"/>
      <w:lvlText w:val="-"/>
      <w:lvlJc w:val="left"/>
      <w:pPr>
        <w:ind w:left="2126" w:hanging="348"/>
      </w:pPr>
      <w:rPr>
        <w:rFonts w:hint="default" w:ascii="Calibri" w:hAnsi="Calibri" w:eastAsia="Calibri" w:cs="Calibri"/>
        <w:spacing w:val="-3"/>
        <w:w w:val="100"/>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31">
    <w:multiLevelType w:val="hybridMultilevel"/>
    <w:lvl w:ilvl="0">
      <w:start w:val="6"/>
      <w:numFmt w:val="decimal"/>
      <w:lvlText w:val="%1"/>
      <w:lvlJc w:val="left"/>
      <w:pPr>
        <w:ind w:left="2374" w:hanging="956"/>
        <w:jc w:val="left"/>
      </w:pPr>
      <w:rPr>
        <w:rFonts w:hint="default"/>
      </w:rPr>
    </w:lvl>
    <w:lvl w:ilvl="1">
      <w:start w:val="400"/>
      <w:numFmt w:val="decimal"/>
      <w:lvlText w:val="%1.%2"/>
      <w:lvlJc w:val="left"/>
      <w:pPr>
        <w:ind w:left="2374" w:hanging="956"/>
        <w:jc w:val="left"/>
      </w:pPr>
      <w:rPr>
        <w:rFonts w:hint="default"/>
      </w:rPr>
    </w:lvl>
    <w:lvl w:ilvl="2">
      <w:start w:val="0"/>
      <w:numFmt w:val="decimal"/>
      <w:lvlText w:val="%1.%2.%3"/>
      <w:lvlJc w:val="left"/>
      <w:pPr>
        <w:ind w:left="2374" w:hanging="956"/>
        <w:jc w:val="left"/>
      </w:pPr>
      <w:rPr>
        <w:rFonts w:hint="default" w:ascii="Garamond" w:hAnsi="Garamond" w:eastAsia="Garamond" w:cs="Garamond"/>
        <w:w w:val="100"/>
        <w:sz w:val="24"/>
        <w:szCs w:val="24"/>
      </w:rPr>
    </w:lvl>
    <w:lvl w:ilvl="3">
      <w:start w:val="0"/>
      <w:numFmt w:val="bullet"/>
      <w:lvlText w:val=""/>
      <w:lvlJc w:val="left"/>
      <w:pPr>
        <w:ind w:left="2126" w:hanging="348"/>
      </w:pPr>
      <w:rPr>
        <w:rFonts w:hint="default" w:ascii="Symbol" w:hAnsi="Symbol" w:eastAsia="Symbol" w:cs="Symbol"/>
        <w:w w:val="100"/>
        <w:sz w:val="24"/>
        <w:szCs w:val="24"/>
      </w:rPr>
    </w:lvl>
    <w:lvl w:ilvl="4">
      <w:start w:val="0"/>
      <w:numFmt w:val="bullet"/>
      <w:lvlText w:val="•"/>
      <w:lvlJc w:val="left"/>
      <w:pPr>
        <w:ind w:left="5555" w:hanging="348"/>
      </w:pPr>
      <w:rPr>
        <w:rFonts w:hint="default"/>
      </w:rPr>
    </w:lvl>
    <w:lvl w:ilvl="5">
      <w:start w:val="0"/>
      <w:numFmt w:val="bullet"/>
      <w:lvlText w:val="•"/>
      <w:lvlJc w:val="left"/>
      <w:pPr>
        <w:ind w:left="6613" w:hanging="348"/>
      </w:pPr>
      <w:rPr>
        <w:rFonts w:hint="default"/>
      </w:rPr>
    </w:lvl>
    <w:lvl w:ilvl="6">
      <w:start w:val="0"/>
      <w:numFmt w:val="bullet"/>
      <w:lvlText w:val="•"/>
      <w:lvlJc w:val="left"/>
      <w:pPr>
        <w:ind w:left="7672" w:hanging="348"/>
      </w:pPr>
      <w:rPr>
        <w:rFonts w:hint="default"/>
      </w:rPr>
    </w:lvl>
    <w:lvl w:ilvl="7">
      <w:start w:val="0"/>
      <w:numFmt w:val="bullet"/>
      <w:lvlText w:val="•"/>
      <w:lvlJc w:val="left"/>
      <w:pPr>
        <w:ind w:left="8730" w:hanging="348"/>
      </w:pPr>
      <w:rPr>
        <w:rFonts w:hint="default"/>
      </w:rPr>
    </w:lvl>
    <w:lvl w:ilvl="8">
      <w:start w:val="0"/>
      <w:numFmt w:val="bullet"/>
      <w:lvlText w:val="•"/>
      <w:lvlJc w:val="left"/>
      <w:pPr>
        <w:ind w:left="9789" w:hanging="348"/>
      </w:pPr>
      <w:rPr>
        <w:rFonts w:hint="default"/>
      </w:rPr>
    </w:lvl>
  </w:abstractNum>
  <w:abstractNum w:abstractNumId="30">
    <w:multiLevelType w:val="hybridMultilevel"/>
    <w:lvl w:ilvl="0">
      <w:start w:val="0"/>
      <w:numFmt w:val="bullet"/>
      <w:lvlText w:val="-"/>
      <w:lvlJc w:val="left"/>
      <w:pPr>
        <w:ind w:left="2138" w:hanging="348"/>
      </w:pPr>
      <w:rPr>
        <w:rFonts w:hint="default" w:ascii="Calibri" w:hAnsi="Calibri" w:eastAsia="Calibri" w:cs="Calibri"/>
        <w:spacing w:val="-3"/>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29">
    <w:multiLevelType w:val="hybridMultilevel"/>
    <w:lvl w:ilvl="0">
      <w:start w:val="0"/>
      <w:numFmt w:val="bullet"/>
      <w:lvlText w:val=""/>
      <w:lvlJc w:val="left"/>
      <w:pPr>
        <w:ind w:left="2126" w:hanging="348"/>
      </w:pPr>
      <w:rPr>
        <w:rFonts w:hint="default" w:ascii="Wingdings" w:hAnsi="Wingdings" w:eastAsia="Wingdings" w:cs="Wingdings"/>
        <w:w w:val="99"/>
        <w:sz w:val="24"/>
        <w:szCs w:val="24"/>
      </w:rPr>
    </w:lvl>
    <w:lvl w:ilvl="1">
      <w:start w:val="0"/>
      <w:numFmt w:val="bullet"/>
      <w:lvlText w:val="•"/>
      <w:lvlJc w:val="left"/>
      <w:pPr>
        <w:ind w:left="3098" w:hanging="348"/>
      </w:pPr>
      <w:rPr>
        <w:rFonts w:hint="default"/>
      </w:rPr>
    </w:lvl>
    <w:lvl w:ilvl="2">
      <w:start w:val="0"/>
      <w:numFmt w:val="bullet"/>
      <w:lvlText w:val="•"/>
      <w:lvlJc w:val="left"/>
      <w:pPr>
        <w:ind w:left="4077" w:hanging="348"/>
      </w:pPr>
      <w:rPr>
        <w:rFonts w:hint="default"/>
      </w:rPr>
    </w:lvl>
    <w:lvl w:ilvl="3">
      <w:start w:val="0"/>
      <w:numFmt w:val="bullet"/>
      <w:lvlText w:val="•"/>
      <w:lvlJc w:val="left"/>
      <w:pPr>
        <w:ind w:left="5055" w:hanging="348"/>
      </w:pPr>
      <w:rPr>
        <w:rFonts w:hint="default"/>
      </w:rPr>
    </w:lvl>
    <w:lvl w:ilvl="4">
      <w:start w:val="0"/>
      <w:numFmt w:val="bullet"/>
      <w:lvlText w:val="•"/>
      <w:lvlJc w:val="left"/>
      <w:pPr>
        <w:ind w:left="6034" w:hanging="348"/>
      </w:pPr>
      <w:rPr>
        <w:rFonts w:hint="default"/>
      </w:rPr>
    </w:lvl>
    <w:lvl w:ilvl="5">
      <w:start w:val="0"/>
      <w:numFmt w:val="bullet"/>
      <w:lvlText w:val="•"/>
      <w:lvlJc w:val="left"/>
      <w:pPr>
        <w:ind w:left="7013" w:hanging="348"/>
      </w:pPr>
      <w:rPr>
        <w:rFonts w:hint="default"/>
      </w:rPr>
    </w:lvl>
    <w:lvl w:ilvl="6">
      <w:start w:val="0"/>
      <w:numFmt w:val="bullet"/>
      <w:lvlText w:val="•"/>
      <w:lvlJc w:val="left"/>
      <w:pPr>
        <w:ind w:left="7991" w:hanging="348"/>
      </w:pPr>
      <w:rPr>
        <w:rFonts w:hint="default"/>
      </w:rPr>
    </w:lvl>
    <w:lvl w:ilvl="7">
      <w:start w:val="0"/>
      <w:numFmt w:val="bullet"/>
      <w:lvlText w:val="•"/>
      <w:lvlJc w:val="left"/>
      <w:pPr>
        <w:ind w:left="8970" w:hanging="348"/>
      </w:pPr>
      <w:rPr>
        <w:rFonts w:hint="default"/>
      </w:rPr>
    </w:lvl>
    <w:lvl w:ilvl="8">
      <w:start w:val="0"/>
      <w:numFmt w:val="bullet"/>
      <w:lvlText w:val="•"/>
      <w:lvlJc w:val="left"/>
      <w:pPr>
        <w:ind w:left="9949" w:hanging="348"/>
      </w:pPr>
      <w:rPr>
        <w:rFonts w:hint="default"/>
      </w:rPr>
    </w:lvl>
  </w:abstractNum>
  <w:abstractNum w:abstractNumId="28">
    <w:multiLevelType w:val="hybridMultilevel"/>
    <w:lvl w:ilvl="0">
      <w:start w:val="21"/>
      <w:numFmt w:val="decimal"/>
      <w:lvlText w:val="%1"/>
      <w:lvlJc w:val="left"/>
      <w:pPr>
        <w:ind w:left="1418" w:hanging="1128"/>
        <w:jc w:val="left"/>
      </w:pPr>
      <w:rPr>
        <w:rFonts w:hint="default"/>
      </w:rPr>
    </w:lvl>
    <w:lvl w:ilvl="1">
      <w:start w:val="447"/>
      <w:numFmt w:val="decimal"/>
      <w:lvlText w:val="%1.%2"/>
      <w:lvlJc w:val="left"/>
      <w:pPr>
        <w:ind w:left="1418" w:hanging="1128"/>
        <w:jc w:val="left"/>
      </w:pPr>
      <w:rPr>
        <w:rFonts w:hint="default"/>
      </w:rPr>
    </w:lvl>
    <w:lvl w:ilvl="2">
      <w:start w:val="126"/>
      <w:numFmt w:val="decimal"/>
      <w:lvlText w:val="%1.%2.%3"/>
      <w:lvlJc w:val="left"/>
      <w:pPr>
        <w:ind w:left="1418" w:hanging="1128"/>
        <w:jc w:val="left"/>
      </w:pPr>
      <w:rPr>
        <w:rFonts w:hint="default" w:ascii="Garamond" w:hAnsi="Garamond" w:eastAsia="Garamond" w:cs="Garamond"/>
        <w:spacing w:val="-3"/>
        <w:w w:val="99"/>
        <w:sz w:val="24"/>
        <w:szCs w:val="24"/>
      </w:rPr>
    </w:lvl>
    <w:lvl w:ilvl="3">
      <w:start w:val="0"/>
      <w:numFmt w:val="bullet"/>
      <w:lvlText w:val=""/>
      <w:lvlJc w:val="left"/>
      <w:pPr>
        <w:ind w:left="2126" w:hanging="348"/>
      </w:pPr>
      <w:rPr>
        <w:rFonts w:hint="default" w:ascii="Symbol" w:hAnsi="Symbol" w:eastAsia="Symbol" w:cs="Symbol"/>
        <w:w w:val="100"/>
        <w:sz w:val="24"/>
        <w:szCs w:val="24"/>
      </w:rPr>
    </w:lvl>
    <w:lvl w:ilvl="4">
      <w:start w:val="0"/>
      <w:numFmt w:val="bullet"/>
      <w:lvlText w:val="•"/>
      <w:lvlJc w:val="left"/>
      <w:pPr>
        <w:ind w:left="5382" w:hanging="348"/>
      </w:pPr>
      <w:rPr>
        <w:rFonts w:hint="default"/>
      </w:rPr>
    </w:lvl>
    <w:lvl w:ilvl="5">
      <w:start w:val="0"/>
      <w:numFmt w:val="bullet"/>
      <w:lvlText w:val="•"/>
      <w:lvlJc w:val="left"/>
      <w:pPr>
        <w:ind w:left="6469" w:hanging="348"/>
      </w:pPr>
      <w:rPr>
        <w:rFonts w:hint="default"/>
      </w:rPr>
    </w:lvl>
    <w:lvl w:ilvl="6">
      <w:start w:val="0"/>
      <w:numFmt w:val="bullet"/>
      <w:lvlText w:val="•"/>
      <w:lvlJc w:val="left"/>
      <w:pPr>
        <w:ind w:left="7556" w:hanging="348"/>
      </w:pPr>
      <w:rPr>
        <w:rFonts w:hint="default"/>
      </w:rPr>
    </w:lvl>
    <w:lvl w:ilvl="7">
      <w:start w:val="0"/>
      <w:numFmt w:val="bullet"/>
      <w:lvlText w:val="•"/>
      <w:lvlJc w:val="left"/>
      <w:pPr>
        <w:ind w:left="8644" w:hanging="348"/>
      </w:pPr>
      <w:rPr>
        <w:rFonts w:hint="default"/>
      </w:rPr>
    </w:lvl>
    <w:lvl w:ilvl="8">
      <w:start w:val="0"/>
      <w:numFmt w:val="bullet"/>
      <w:lvlText w:val="•"/>
      <w:lvlJc w:val="left"/>
      <w:pPr>
        <w:ind w:left="9731" w:hanging="348"/>
      </w:pPr>
      <w:rPr>
        <w:rFonts w:hint="default"/>
      </w:rPr>
    </w:lvl>
  </w:abstractNum>
  <w:abstractNum w:abstractNumId="27">
    <w:multiLevelType w:val="hybridMultilevel"/>
    <w:lvl w:ilvl="0">
      <w:start w:val="0"/>
      <w:numFmt w:val="bullet"/>
      <w:lvlText w:val="-"/>
      <w:lvlJc w:val="left"/>
      <w:pPr>
        <w:ind w:left="2138" w:hanging="348"/>
      </w:pPr>
      <w:rPr>
        <w:rFonts w:hint="default" w:ascii="Calibri" w:hAnsi="Calibri" w:eastAsia="Calibri" w:cs="Calibri"/>
        <w:spacing w:val="-24"/>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26">
    <w:multiLevelType w:val="hybridMultilevel"/>
    <w:lvl w:ilvl="0">
      <w:start w:val="0"/>
      <w:numFmt w:val="bullet"/>
      <w:lvlText w:val="-"/>
      <w:lvlJc w:val="left"/>
      <w:pPr>
        <w:ind w:left="2126" w:hanging="708"/>
      </w:pPr>
      <w:rPr>
        <w:rFonts w:hint="default" w:ascii="Garamond" w:hAnsi="Garamond" w:eastAsia="Garamond" w:cs="Garamond"/>
        <w:spacing w:val="-3"/>
        <w:w w:val="99"/>
        <w:sz w:val="24"/>
        <w:szCs w:val="24"/>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25">
    <w:multiLevelType w:val="hybridMultilevel"/>
    <w:lvl w:ilvl="0">
      <w:start w:val="0"/>
      <w:numFmt w:val="bullet"/>
      <w:lvlText w:val="-"/>
      <w:lvlJc w:val="left"/>
      <w:pPr>
        <w:ind w:left="2138" w:hanging="348"/>
      </w:pPr>
      <w:rPr>
        <w:rFonts w:hint="default" w:ascii="Calibri" w:hAnsi="Calibri" w:eastAsia="Calibri" w:cs="Calibri"/>
        <w:spacing w:val="-4"/>
        <w:w w:val="99"/>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24">
    <w:multiLevelType w:val="hybridMultilevel"/>
    <w:lvl w:ilvl="0">
      <w:start w:val="4"/>
      <w:numFmt w:val="decimal"/>
      <w:lvlText w:val="%1"/>
      <w:lvlJc w:val="left"/>
      <w:pPr>
        <w:ind w:left="2126" w:hanging="708"/>
        <w:jc w:val="left"/>
      </w:pPr>
      <w:rPr>
        <w:rFonts w:hint="default"/>
      </w:rPr>
    </w:lvl>
    <w:lvl w:ilvl="1">
      <w:start w:val="1"/>
      <w:numFmt w:val="decimal"/>
      <w:lvlText w:val="%1.%2"/>
      <w:lvlJc w:val="left"/>
      <w:pPr>
        <w:ind w:left="2126" w:hanging="708"/>
        <w:jc w:val="left"/>
      </w:pPr>
      <w:rPr>
        <w:rFonts w:hint="default" w:ascii="Garamond" w:hAnsi="Garamond" w:eastAsia="Garamond" w:cs="Garamond"/>
        <w:b/>
        <w:bCs/>
        <w:spacing w:val="-2"/>
        <w:w w:val="100"/>
        <w:sz w:val="24"/>
        <w:szCs w:val="24"/>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23">
    <w:multiLevelType w:val="hybridMultilevel"/>
    <w:lvl w:ilvl="0">
      <w:start w:val="1"/>
      <w:numFmt w:val="decimal"/>
      <w:lvlText w:val="%1."/>
      <w:lvlJc w:val="left"/>
      <w:pPr>
        <w:ind w:left="2126" w:hanging="708"/>
        <w:jc w:val="right"/>
      </w:pPr>
      <w:rPr>
        <w:rFonts w:hint="default"/>
        <w:spacing w:val="-3"/>
        <w:w w:val="100"/>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22">
    <w:multiLevelType w:val="hybridMultilevel"/>
    <w:lvl w:ilvl="0">
      <w:start w:val="1"/>
      <w:numFmt w:val="decimal"/>
      <w:lvlText w:val="%1."/>
      <w:lvlJc w:val="left"/>
      <w:pPr>
        <w:ind w:left="2126" w:hanging="708"/>
        <w:jc w:val="left"/>
      </w:pPr>
      <w:rPr>
        <w:rFonts w:hint="default" w:ascii="Garamond" w:hAnsi="Garamond" w:eastAsia="Garamond" w:cs="Garamond"/>
        <w:spacing w:val="-3"/>
        <w:w w:val="100"/>
        <w:sz w:val="24"/>
        <w:szCs w:val="24"/>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21">
    <w:multiLevelType w:val="hybridMultilevel"/>
    <w:lvl w:ilvl="0">
      <w:start w:val="0"/>
      <w:numFmt w:val="bullet"/>
      <w:lvlText w:val=""/>
      <w:lvlJc w:val="left"/>
      <w:pPr>
        <w:ind w:left="2126" w:hanging="708"/>
      </w:pPr>
      <w:rPr>
        <w:rFonts w:hint="default" w:ascii="Wingdings" w:hAnsi="Wingdings" w:eastAsia="Wingdings" w:cs="Wingdings"/>
        <w:w w:val="100"/>
        <w:sz w:val="24"/>
        <w:szCs w:val="24"/>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20">
    <w:multiLevelType w:val="hybridMultilevel"/>
    <w:lvl w:ilvl="0">
      <w:start w:val="1"/>
      <w:numFmt w:val="decimal"/>
      <w:lvlText w:val="%1."/>
      <w:lvlJc w:val="left"/>
      <w:pPr>
        <w:ind w:left="2126" w:hanging="708"/>
        <w:jc w:val="left"/>
      </w:pPr>
      <w:rPr>
        <w:rFonts w:hint="default" w:ascii="Garamond" w:hAnsi="Garamond" w:eastAsia="Garamond" w:cs="Garamond"/>
        <w:i/>
        <w:spacing w:val="-2"/>
        <w:w w:val="99"/>
        <w:sz w:val="18"/>
        <w:szCs w:val="18"/>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19">
    <w:multiLevelType w:val="hybridMultilevel"/>
    <w:lvl w:ilvl="0">
      <w:start w:val="1"/>
      <w:numFmt w:val="decimal"/>
      <w:lvlText w:val="%1."/>
      <w:lvlJc w:val="left"/>
      <w:pPr>
        <w:ind w:left="1846" w:hanging="428"/>
        <w:jc w:val="left"/>
      </w:pPr>
      <w:rPr>
        <w:rFonts w:hint="default" w:ascii="Garamond" w:hAnsi="Garamond" w:eastAsia="Garamond" w:cs="Garamond"/>
        <w:spacing w:val="-25"/>
        <w:w w:val="100"/>
        <w:sz w:val="24"/>
        <w:szCs w:val="24"/>
      </w:rPr>
    </w:lvl>
    <w:lvl w:ilvl="1">
      <w:start w:val="0"/>
      <w:numFmt w:val="bullet"/>
      <w:lvlText w:val="•"/>
      <w:lvlJc w:val="left"/>
      <w:pPr>
        <w:ind w:left="2846" w:hanging="428"/>
      </w:pPr>
      <w:rPr>
        <w:rFonts w:hint="default"/>
      </w:rPr>
    </w:lvl>
    <w:lvl w:ilvl="2">
      <w:start w:val="0"/>
      <w:numFmt w:val="bullet"/>
      <w:lvlText w:val="•"/>
      <w:lvlJc w:val="left"/>
      <w:pPr>
        <w:ind w:left="3853" w:hanging="428"/>
      </w:pPr>
      <w:rPr>
        <w:rFonts w:hint="default"/>
      </w:rPr>
    </w:lvl>
    <w:lvl w:ilvl="3">
      <w:start w:val="0"/>
      <w:numFmt w:val="bullet"/>
      <w:lvlText w:val="•"/>
      <w:lvlJc w:val="left"/>
      <w:pPr>
        <w:ind w:left="4859" w:hanging="428"/>
      </w:pPr>
      <w:rPr>
        <w:rFonts w:hint="default"/>
      </w:rPr>
    </w:lvl>
    <w:lvl w:ilvl="4">
      <w:start w:val="0"/>
      <w:numFmt w:val="bullet"/>
      <w:lvlText w:val="•"/>
      <w:lvlJc w:val="left"/>
      <w:pPr>
        <w:ind w:left="5866" w:hanging="428"/>
      </w:pPr>
      <w:rPr>
        <w:rFonts w:hint="default"/>
      </w:rPr>
    </w:lvl>
    <w:lvl w:ilvl="5">
      <w:start w:val="0"/>
      <w:numFmt w:val="bullet"/>
      <w:lvlText w:val="•"/>
      <w:lvlJc w:val="left"/>
      <w:pPr>
        <w:ind w:left="6873" w:hanging="428"/>
      </w:pPr>
      <w:rPr>
        <w:rFonts w:hint="default"/>
      </w:rPr>
    </w:lvl>
    <w:lvl w:ilvl="6">
      <w:start w:val="0"/>
      <w:numFmt w:val="bullet"/>
      <w:lvlText w:val="•"/>
      <w:lvlJc w:val="left"/>
      <w:pPr>
        <w:ind w:left="7879" w:hanging="428"/>
      </w:pPr>
      <w:rPr>
        <w:rFonts w:hint="default"/>
      </w:rPr>
    </w:lvl>
    <w:lvl w:ilvl="7">
      <w:start w:val="0"/>
      <w:numFmt w:val="bullet"/>
      <w:lvlText w:val="•"/>
      <w:lvlJc w:val="left"/>
      <w:pPr>
        <w:ind w:left="8886" w:hanging="428"/>
      </w:pPr>
      <w:rPr>
        <w:rFonts w:hint="default"/>
      </w:rPr>
    </w:lvl>
    <w:lvl w:ilvl="8">
      <w:start w:val="0"/>
      <w:numFmt w:val="bullet"/>
      <w:lvlText w:val="•"/>
      <w:lvlJc w:val="left"/>
      <w:pPr>
        <w:ind w:left="9893" w:hanging="428"/>
      </w:pPr>
      <w:rPr>
        <w:rFonts w:hint="default"/>
      </w:rPr>
    </w:lvl>
  </w:abstractNum>
  <w:abstractNum w:abstractNumId="18">
    <w:multiLevelType w:val="hybridMultilevel"/>
    <w:lvl w:ilvl="0">
      <w:start w:val="0"/>
      <w:numFmt w:val="bullet"/>
      <w:lvlText w:val="-"/>
      <w:lvlJc w:val="left"/>
      <w:pPr>
        <w:ind w:left="2126" w:hanging="708"/>
      </w:pPr>
      <w:rPr>
        <w:rFonts w:hint="default" w:ascii="Calibri" w:hAnsi="Calibri" w:eastAsia="Calibri" w:cs="Calibri"/>
        <w:spacing w:val="-17"/>
        <w:w w:val="99"/>
        <w:sz w:val="24"/>
        <w:szCs w:val="24"/>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17">
    <w:multiLevelType w:val="hybridMultilevel"/>
    <w:lvl w:ilvl="0">
      <w:start w:val="0"/>
      <w:numFmt w:val="bullet"/>
      <w:lvlText w:val="-"/>
      <w:lvlJc w:val="left"/>
      <w:pPr>
        <w:ind w:left="2126" w:hanging="708"/>
      </w:pPr>
      <w:rPr>
        <w:rFonts w:hint="default" w:ascii="Garamond" w:hAnsi="Garamond" w:eastAsia="Garamond" w:cs="Garamond"/>
        <w:spacing w:val="-2"/>
        <w:w w:val="99"/>
        <w:sz w:val="24"/>
        <w:szCs w:val="24"/>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16">
    <w:multiLevelType w:val="hybridMultilevel"/>
    <w:lvl w:ilvl="0">
      <w:start w:val="0"/>
      <w:numFmt w:val="bullet"/>
      <w:lvlText w:val="-"/>
      <w:lvlJc w:val="left"/>
      <w:pPr>
        <w:ind w:left="1418" w:hanging="361"/>
      </w:pPr>
      <w:rPr>
        <w:rFonts w:hint="default" w:ascii="Calibri" w:hAnsi="Calibri" w:eastAsia="Calibri" w:cs="Calibri"/>
        <w:spacing w:val="-3"/>
        <w:w w:val="100"/>
        <w:sz w:val="24"/>
        <w:szCs w:val="24"/>
      </w:rPr>
    </w:lvl>
    <w:lvl w:ilvl="1">
      <w:start w:val="0"/>
      <w:numFmt w:val="bullet"/>
      <w:lvlText w:val=""/>
      <w:lvlJc w:val="left"/>
      <w:pPr>
        <w:ind w:left="2138" w:hanging="348"/>
      </w:pPr>
      <w:rPr>
        <w:rFonts w:hint="default" w:ascii="Wingdings" w:hAnsi="Wingdings" w:eastAsia="Wingdings" w:cs="Wingdings"/>
        <w:w w:val="100"/>
        <w:sz w:val="24"/>
        <w:szCs w:val="24"/>
      </w:rPr>
    </w:lvl>
    <w:lvl w:ilvl="2">
      <w:start w:val="0"/>
      <w:numFmt w:val="bullet"/>
      <w:lvlText w:val="•"/>
      <w:lvlJc w:val="left"/>
      <w:pPr>
        <w:ind w:left="3225" w:hanging="348"/>
      </w:pPr>
      <w:rPr>
        <w:rFonts w:hint="default"/>
      </w:rPr>
    </w:lvl>
    <w:lvl w:ilvl="3">
      <w:start w:val="0"/>
      <w:numFmt w:val="bullet"/>
      <w:lvlText w:val="•"/>
      <w:lvlJc w:val="left"/>
      <w:pPr>
        <w:ind w:left="4310" w:hanging="348"/>
      </w:pPr>
      <w:rPr>
        <w:rFonts w:hint="default"/>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15">
    <w:multiLevelType w:val="hybridMultilevel"/>
    <w:lvl w:ilvl="0">
      <w:start w:val="0"/>
      <w:numFmt w:val="bullet"/>
      <w:lvlText w:val="-"/>
      <w:lvlJc w:val="left"/>
      <w:pPr>
        <w:ind w:left="2270" w:hanging="144"/>
      </w:pPr>
      <w:rPr>
        <w:rFonts w:hint="default" w:ascii="Calibri" w:hAnsi="Calibri" w:eastAsia="Calibri" w:cs="Calibri"/>
        <w:w w:val="100"/>
        <w:sz w:val="24"/>
        <w:szCs w:val="24"/>
      </w:rPr>
    </w:lvl>
    <w:lvl w:ilvl="1">
      <w:start w:val="0"/>
      <w:numFmt w:val="bullet"/>
      <w:lvlText w:val="•"/>
      <w:lvlJc w:val="left"/>
      <w:pPr>
        <w:ind w:left="3242" w:hanging="144"/>
      </w:pPr>
      <w:rPr>
        <w:rFonts w:hint="default"/>
      </w:rPr>
    </w:lvl>
    <w:lvl w:ilvl="2">
      <w:start w:val="0"/>
      <w:numFmt w:val="bullet"/>
      <w:lvlText w:val="•"/>
      <w:lvlJc w:val="left"/>
      <w:pPr>
        <w:ind w:left="4205" w:hanging="144"/>
      </w:pPr>
      <w:rPr>
        <w:rFonts w:hint="default"/>
      </w:rPr>
    </w:lvl>
    <w:lvl w:ilvl="3">
      <w:start w:val="0"/>
      <w:numFmt w:val="bullet"/>
      <w:lvlText w:val="•"/>
      <w:lvlJc w:val="left"/>
      <w:pPr>
        <w:ind w:left="5167" w:hanging="144"/>
      </w:pPr>
      <w:rPr>
        <w:rFonts w:hint="default"/>
      </w:rPr>
    </w:lvl>
    <w:lvl w:ilvl="4">
      <w:start w:val="0"/>
      <w:numFmt w:val="bullet"/>
      <w:lvlText w:val="•"/>
      <w:lvlJc w:val="left"/>
      <w:pPr>
        <w:ind w:left="6130" w:hanging="144"/>
      </w:pPr>
      <w:rPr>
        <w:rFonts w:hint="default"/>
      </w:rPr>
    </w:lvl>
    <w:lvl w:ilvl="5">
      <w:start w:val="0"/>
      <w:numFmt w:val="bullet"/>
      <w:lvlText w:val="•"/>
      <w:lvlJc w:val="left"/>
      <w:pPr>
        <w:ind w:left="7093" w:hanging="144"/>
      </w:pPr>
      <w:rPr>
        <w:rFonts w:hint="default"/>
      </w:rPr>
    </w:lvl>
    <w:lvl w:ilvl="6">
      <w:start w:val="0"/>
      <w:numFmt w:val="bullet"/>
      <w:lvlText w:val="•"/>
      <w:lvlJc w:val="left"/>
      <w:pPr>
        <w:ind w:left="8055" w:hanging="144"/>
      </w:pPr>
      <w:rPr>
        <w:rFonts w:hint="default"/>
      </w:rPr>
    </w:lvl>
    <w:lvl w:ilvl="7">
      <w:start w:val="0"/>
      <w:numFmt w:val="bullet"/>
      <w:lvlText w:val="•"/>
      <w:lvlJc w:val="left"/>
      <w:pPr>
        <w:ind w:left="9018" w:hanging="144"/>
      </w:pPr>
      <w:rPr>
        <w:rFonts w:hint="default"/>
      </w:rPr>
    </w:lvl>
    <w:lvl w:ilvl="8">
      <w:start w:val="0"/>
      <w:numFmt w:val="bullet"/>
      <w:lvlText w:val="•"/>
      <w:lvlJc w:val="left"/>
      <w:pPr>
        <w:ind w:left="9981" w:hanging="144"/>
      </w:pPr>
      <w:rPr>
        <w:rFonts w:hint="default"/>
      </w:rPr>
    </w:lvl>
  </w:abstractNum>
  <w:abstractNum w:abstractNumId="14">
    <w:multiLevelType w:val="hybridMultilevel"/>
    <w:lvl w:ilvl="0">
      <w:start w:val="0"/>
      <w:numFmt w:val="bullet"/>
      <w:lvlText w:val="-"/>
      <w:lvlJc w:val="left"/>
      <w:pPr>
        <w:ind w:left="2126" w:hanging="708"/>
      </w:pPr>
      <w:rPr>
        <w:rFonts w:hint="default" w:ascii="Calibri" w:hAnsi="Calibri" w:eastAsia="Calibri" w:cs="Calibri"/>
        <w:spacing w:val="-3"/>
        <w:w w:val="100"/>
        <w:sz w:val="24"/>
        <w:szCs w:val="24"/>
      </w:rPr>
    </w:lvl>
    <w:lvl w:ilvl="1">
      <w:start w:val="0"/>
      <w:numFmt w:val="bullet"/>
      <w:lvlText w:val="-"/>
      <w:lvlJc w:val="left"/>
      <w:pPr>
        <w:ind w:left="2126" w:hanging="567"/>
      </w:pPr>
      <w:rPr>
        <w:rFonts w:hint="default" w:ascii="Calibri" w:hAnsi="Calibri" w:eastAsia="Calibri" w:cs="Calibri"/>
        <w:spacing w:val="-2"/>
        <w:w w:val="100"/>
        <w:sz w:val="24"/>
        <w:szCs w:val="24"/>
      </w:rPr>
    </w:lvl>
    <w:lvl w:ilvl="2">
      <w:start w:val="0"/>
      <w:numFmt w:val="bullet"/>
      <w:lvlText w:val=""/>
      <w:lvlJc w:val="left"/>
      <w:pPr>
        <w:ind w:left="2858" w:hanging="336"/>
      </w:pPr>
      <w:rPr>
        <w:rFonts w:hint="default" w:ascii="Wingdings" w:hAnsi="Wingdings" w:eastAsia="Wingdings" w:cs="Wingdings"/>
        <w:w w:val="100"/>
        <w:sz w:val="24"/>
        <w:szCs w:val="24"/>
      </w:rPr>
    </w:lvl>
    <w:lvl w:ilvl="3">
      <w:start w:val="0"/>
      <w:numFmt w:val="bullet"/>
      <w:lvlText w:val=""/>
      <w:lvlJc w:val="left"/>
      <w:pPr>
        <w:ind w:left="3579" w:hanging="324"/>
      </w:pPr>
      <w:rPr>
        <w:rFonts w:hint="default" w:ascii="Symbol" w:hAnsi="Symbol" w:eastAsia="Symbol" w:cs="Symbol"/>
        <w:w w:val="100"/>
        <w:sz w:val="24"/>
        <w:szCs w:val="24"/>
      </w:rPr>
    </w:lvl>
    <w:lvl w:ilvl="4">
      <w:start w:val="0"/>
      <w:numFmt w:val="bullet"/>
      <w:lvlText w:val="•"/>
      <w:lvlJc w:val="left"/>
      <w:pPr>
        <w:ind w:left="4769" w:hanging="324"/>
      </w:pPr>
      <w:rPr>
        <w:rFonts w:hint="default"/>
      </w:rPr>
    </w:lvl>
    <w:lvl w:ilvl="5">
      <w:start w:val="0"/>
      <w:numFmt w:val="bullet"/>
      <w:lvlText w:val="•"/>
      <w:lvlJc w:val="left"/>
      <w:pPr>
        <w:ind w:left="5958" w:hanging="324"/>
      </w:pPr>
      <w:rPr>
        <w:rFonts w:hint="default"/>
      </w:rPr>
    </w:lvl>
    <w:lvl w:ilvl="6">
      <w:start w:val="0"/>
      <w:numFmt w:val="bullet"/>
      <w:lvlText w:val="•"/>
      <w:lvlJc w:val="left"/>
      <w:pPr>
        <w:ind w:left="7148" w:hanging="324"/>
      </w:pPr>
      <w:rPr>
        <w:rFonts w:hint="default"/>
      </w:rPr>
    </w:lvl>
    <w:lvl w:ilvl="7">
      <w:start w:val="0"/>
      <w:numFmt w:val="bullet"/>
      <w:lvlText w:val="•"/>
      <w:lvlJc w:val="left"/>
      <w:pPr>
        <w:ind w:left="8337" w:hanging="324"/>
      </w:pPr>
      <w:rPr>
        <w:rFonts w:hint="default"/>
      </w:rPr>
    </w:lvl>
    <w:lvl w:ilvl="8">
      <w:start w:val="0"/>
      <w:numFmt w:val="bullet"/>
      <w:lvlText w:val="•"/>
      <w:lvlJc w:val="left"/>
      <w:pPr>
        <w:ind w:left="9527" w:hanging="324"/>
      </w:pPr>
      <w:rPr>
        <w:rFonts w:hint="default"/>
      </w:rPr>
    </w:lvl>
  </w:abstractNum>
  <w:abstractNum w:abstractNumId="12">
    <w:multiLevelType w:val="hybridMultilevel"/>
    <w:lvl w:ilvl="0">
      <w:start w:val="2"/>
      <w:numFmt w:val="decimal"/>
      <w:lvlText w:val="%1"/>
      <w:lvlJc w:val="left"/>
      <w:pPr>
        <w:ind w:left="1846" w:hanging="428"/>
        <w:jc w:val="left"/>
      </w:pPr>
      <w:rPr>
        <w:rFonts w:hint="default"/>
      </w:rPr>
    </w:lvl>
    <w:lvl w:ilvl="1">
      <w:start w:val="3"/>
      <w:numFmt w:val="decimal"/>
      <w:lvlText w:val="%1.%2"/>
      <w:lvlJc w:val="left"/>
      <w:pPr>
        <w:ind w:left="1846" w:hanging="428"/>
        <w:jc w:val="left"/>
      </w:pPr>
      <w:rPr>
        <w:rFonts w:hint="default" w:ascii="Garamond" w:hAnsi="Garamond" w:eastAsia="Garamond" w:cs="Garamond"/>
        <w:b/>
        <w:bCs/>
        <w:spacing w:val="-3"/>
        <w:w w:val="100"/>
        <w:sz w:val="24"/>
        <w:szCs w:val="24"/>
      </w:rPr>
    </w:lvl>
    <w:lvl w:ilvl="2">
      <w:start w:val="1"/>
      <w:numFmt w:val="decimal"/>
      <w:lvlText w:val="%1.%2.%3."/>
      <w:lvlJc w:val="left"/>
      <w:pPr>
        <w:ind w:left="1418" w:hanging="708"/>
        <w:jc w:val="left"/>
      </w:pPr>
      <w:rPr>
        <w:rFonts w:hint="default" w:ascii="Garamond" w:hAnsi="Garamond" w:eastAsia="Garamond" w:cs="Garamond"/>
        <w:b/>
        <w:bCs/>
        <w:spacing w:val="-2"/>
        <w:w w:val="100"/>
        <w:sz w:val="24"/>
        <w:szCs w:val="24"/>
      </w:rPr>
    </w:lvl>
    <w:lvl w:ilvl="3">
      <w:start w:val="0"/>
      <w:numFmt w:val="bullet"/>
      <w:lvlText w:val="•"/>
      <w:lvlJc w:val="left"/>
      <w:pPr>
        <w:ind w:left="4076" w:hanging="708"/>
      </w:pPr>
      <w:rPr>
        <w:rFonts w:hint="default"/>
      </w:rPr>
    </w:lvl>
    <w:lvl w:ilvl="4">
      <w:start w:val="0"/>
      <w:numFmt w:val="bullet"/>
      <w:lvlText w:val="•"/>
      <w:lvlJc w:val="left"/>
      <w:pPr>
        <w:ind w:left="5195" w:hanging="708"/>
      </w:pPr>
      <w:rPr>
        <w:rFonts w:hint="default"/>
      </w:rPr>
    </w:lvl>
    <w:lvl w:ilvl="5">
      <w:start w:val="0"/>
      <w:numFmt w:val="bullet"/>
      <w:lvlText w:val="•"/>
      <w:lvlJc w:val="left"/>
      <w:pPr>
        <w:ind w:left="6313" w:hanging="708"/>
      </w:pPr>
      <w:rPr>
        <w:rFonts w:hint="default"/>
      </w:rPr>
    </w:lvl>
    <w:lvl w:ilvl="6">
      <w:start w:val="0"/>
      <w:numFmt w:val="bullet"/>
      <w:lvlText w:val="•"/>
      <w:lvlJc w:val="left"/>
      <w:pPr>
        <w:ind w:left="7432" w:hanging="708"/>
      </w:pPr>
      <w:rPr>
        <w:rFonts w:hint="default"/>
      </w:rPr>
    </w:lvl>
    <w:lvl w:ilvl="7">
      <w:start w:val="0"/>
      <w:numFmt w:val="bullet"/>
      <w:lvlText w:val="•"/>
      <w:lvlJc w:val="left"/>
      <w:pPr>
        <w:ind w:left="8550" w:hanging="708"/>
      </w:pPr>
      <w:rPr>
        <w:rFonts w:hint="default"/>
      </w:rPr>
    </w:lvl>
    <w:lvl w:ilvl="8">
      <w:start w:val="0"/>
      <w:numFmt w:val="bullet"/>
      <w:lvlText w:val="•"/>
      <w:lvlJc w:val="left"/>
      <w:pPr>
        <w:ind w:left="9669" w:hanging="708"/>
      </w:pPr>
      <w:rPr>
        <w:rFonts w:hint="default"/>
      </w:rPr>
    </w:lvl>
  </w:abstractNum>
  <w:abstractNum w:abstractNumId="11">
    <w:multiLevelType w:val="hybridMultilevel"/>
    <w:lvl w:ilvl="0">
      <w:start w:val="0"/>
      <w:numFmt w:val="bullet"/>
      <w:lvlText w:val=""/>
      <w:lvlJc w:val="left"/>
      <w:pPr>
        <w:ind w:left="2138" w:hanging="348"/>
      </w:pPr>
      <w:rPr>
        <w:rFonts w:hint="default" w:ascii="Symbol" w:hAnsi="Symbol" w:eastAsia="Symbol" w:cs="Symbol"/>
        <w:w w:val="100"/>
        <w:sz w:val="24"/>
        <w:szCs w:val="24"/>
      </w:rPr>
    </w:lvl>
    <w:lvl w:ilvl="1">
      <w:start w:val="0"/>
      <w:numFmt w:val="bullet"/>
      <w:lvlText w:val="•"/>
      <w:lvlJc w:val="left"/>
      <w:pPr>
        <w:ind w:left="3116" w:hanging="348"/>
      </w:pPr>
      <w:rPr>
        <w:rFonts w:hint="default"/>
      </w:rPr>
    </w:lvl>
    <w:lvl w:ilvl="2">
      <w:start w:val="0"/>
      <w:numFmt w:val="bullet"/>
      <w:lvlText w:val="•"/>
      <w:lvlJc w:val="left"/>
      <w:pPr>
        <w:ind w:left="4093" w:hanging="348"/>
      </w:pPr>
      <w:rPr>
        <w:rFonts w:hint="default"/>
      </w:rPr>
    </w:lvl>
    <w:lvl w:ilvl="3">
      <w:start w:val="0"/>
      <w:numFmt w:val="bullet"/>
      <w:lvlText w:val="•"/>
      <w:lvlJc w:val="left"/>
      <w:pPr>
        <w:ind w:left="5069" w:hanging="348"/>
      </w:pPr>
      <w:rPr>
        <w:rFonts w:hint="default"/>
      </w:rPr>
    </w:lvl>
    <w:lvl w:ilvl="4">
      <w:start w:val="0"/>
      <w:numFmt w:val="bullet"/>
      <w:lvlText w:val="•"/>
      <w:lvlJc w:val="left"/>
      <w:pPr>
        <w:ind w:left="6046" w:hanging="348"/>
      </w:pPr>
      <w:rPr>
        <w:rFonts w:hint="default"/>
      </w:rPr>
    </w:lvl>
    <w:lvl w:ilvl="5">
      <w:start w:val="0"/>
      <w:numFmt w:val="bullet"/>
      <w:lvlText w:val="•"/>
      <w:lvlJc w:val="left"/>
      <w:pPr>
        <w:ind w:left="7023" w:hanging="348"/>
      </w:pPr>
      <w:rPr>
        <w:rFonts w:hint="default"/>
      </w:rPr>
    </w:lvl>
    <w:lvl w:ilvl="6">
      <w:start w:val="0"/>
      <w:numFmt w:val="bullet"/>
      <w:lvlText w:val="•"/>
      <w:lvlJc w:val="left"/>
      <w:pPr>
        <w:ind w:left="7999" w:hanging="348"/>
      </w:pPr>
      <w:rPr>
        <w:rFonts w:hint="default"/>
      </w:rPr>
    </w:lvl>
    <w:lvl w:ilvl="7">
      <w:start w:val="0"/>
      <w:numFmt w:val="bullet"/>
      <w:lvlText w:val="•"/>
      <w:lvlJc w:val="left"/>
      <w:pPr>
        <w:ind w:left="8976" w:hanging="348"/>
      </w:pPr>
      <w:rPr>
        <w:rFonts w:hint="default"/>
      </w:rPr>
    </w:lvl>
    <w:lvl w:ilvl="8">
      <w:start w:val="0"/>
      <w:numFmt w:val="bullet"/>
      <w:lvlText w:val="•"/>
      <w:lvlJc w:val="left"/>
      <w:pPr>
        <w:ind w:left="9953" w:hanging="348"/>
      </w:pPr>
      <w:rPr>
        <w:rFonts w:hint="default"/>
      </w:rPr>
    </w:lvl>
  </w:abstractNum>
  <w:abstractNum w:abstractNumId="10">
    <w:multiLevelType w:val="hybridMultilevel"/>
    <w:lvl w:ilvl="0">
      <w:start w:val="0"/>
      <w:numFmt w:val="bullet"/>
      <w:lvlText w:val=""/>
      <w:lvlJc w:val="left"/>
      <w:pPr>
        <w:ind w:left="1846" w:hanging="428"/>
      </w:pPr>
      <w:rPr>
        <w:rFonts w:hint="default" w:ascii="Symbol" w:hAnsi="Symbol" w:eastAsia="Symbol" w:cs="Symbol"/>
        <w:w w:val="100"/>
        <w:sz w:val="24"/>
        <w:szCs w:val="24"/>
      </w:rPr>
    </w:lvl>
    <w:lvl w:ilvl="1">
      <w:start w:val="0"/>
      <w:numFmt w:val="bullet"/>
      <w:lvlText w:val="-"/>
      <w:lvlJc w:val="left"/>
      <w:pPr>
        <w:ind w:left="2126" w:hanging="348"/>
      </w:pPr>
      <w:rPr>
        <w:rFonts w:hint="default" w:ascii="Garamond" w:hAnsi="Garamond" w:eastAsia="Garamond" w:cs="Garamond"/>
        <w:spacing w:val="-2"/>
        <w:w w:val="100"/>
        <w:sz w:val="24"/>
        <w:szCs w:val="24"/>
      </w:rPr>
    </w:lvl>
    <w:lvl w:ilvl="2">
      <w:start w:val="0"/>
      <w:numFmt w:val="bullet"/>
      <w:lvlText w:val="•"/>
      <w:lvlJc w:val="left"/>
      <w:pPr>
        <w:ind w:left="3207" w:hanging="348"/>
      </w:pPr>
      <w:rPr>
        <w:rFonts w:hint="default"/>
      </w:rPr>
    </w:lvl>
    <w:lvl w:ilvl="3">
      <w:start w:val="0"/>
      <w:numFmt w:val="bullet"/>
      <w:lvlText w:val="•"/>
      <w:lvlJc w:val="left"/>
      <w:pPr>
        <w:ind w:left="4294" w:hanging="348"/>
      </w:pPr>
      <w:rPr>
        <w:rFonts w:hint="default"/>
      </w:rPr>
    </w:lvl>
    <w:lvl w:ilvl="4">
      <w:start w:val="0"/>
      <w:numFmt w:val="bullet"/>
      <w:lvlText w:val="•"/>
      <w:lvlJc w:val="left"/>
      <w:pPr>
        <w:ind w:left="5382" w:hanging="348"/>
      </w:pPr>
      <w:rPr>
        <w:rFonts w:hint="default"/>
      </w:rPr>
    </w:lvl>
    <w:lvl w:ilvl="5">
      <w:start w:val="0"/>
      <w:numFmt w:val="bullet"/>
      <w:lvlText w:val="•"/>
      <w:lvlJc w:val="left"/>
      <w:pPr>
        <w:ind w:left="6469" w:hanging="348"/>
      </w:pPr>
      <w:rPr>
        <w:rFonts w:hint="default"/>
      </w:rPr>
    </w:lvl>
    <w:lvl w:ilvl="6">
      <w:start w:val="0"/>
      <w:numFmt w:val="bullet"/>
      <w:lvlText w:val="•"/>
      <w:lvlJc w:val="left"/>
      <w:pPr>
        <w:ind w:left="7556" w:hanging="348"/>
      </w:pPr>
      <w:rPr>
        <w:rFonts w:hint="default"/>
      </w:rPr>
    </w:lvl>
    <w:lvl w:ilvl="7">
      <w:start w:val="0"/>
      <w:numFmt w:val="bullet"/>
      <w:lvlText w:val="•"/>
      <w:lvlJc w:val="left"/>
      <w:pPr>
        <w:ind w:left="8644" w:hanging="348"/>
      </w:pPr>
      <w:rPr>
        <w:rFonts w:hint="default"/>
      </w:rPr>
    </w:lvl>
    <w:lvl w:ilvl="8">
      <w:start w:val="0"/>
      <w:numFmt w:val="bullet"/>
      <w:lvlText w:val="•"/>
      <w:lvlJc w:val="left"/>
      <w:pPr>
        <w:ind w:left="9731" w:hanging="348"/>
      </w:pPr>
      <w:rPr>
        <w:rFonts w:hint="default"/>
      </w:rPr>
    </w:lvl>
  </w:abstractNum>
  <w:abstractNum w:abstractNumId="9">
    <w:multiLevelType w:val="hybridMultilevel"/>
    <w:lvl w:ilvl="0">
      <w:start w:val="0"/>
      <w:numFmt w:val="bullet"/>
      <w:lvlText w:val="-"/>
      <w:lvlJc w:val="left"/>
      <w:pPr>
        <w:ind w:left="1418" w:hanging="708"/>
      </w:pPr>
      <w:rPr>
        <w:rFonts w:hint="default" w:ascii="Garamond" w:hAnsi="Garamond" w:eastAsia="Garamond" w:cs="Garamond"/>
        <w:spacing w:val="-15"/>
        <w:w w:val="99"/>
        <w:sz w:val="24"/>
        <w:szCs w:val="24"/>
      </w:rPr>
    </w:lvl>
    <w:lvl w:ilvl="1">
      <w:start w:val="0"/>
      <w:numFmt w:val="bullet"/>
      <w:lvlText w:val="•"/>
      <w:lvlJc w:val="left"/>
      <w:pPr>
        <w:ind w:left="2468" w:hanging="708"/>
      </w:pPr>
      <w:rPr>
        <w:rFonts w:hint="default"/>
      </w:rPr>
    </w:lvl>
    <w:lvl w:ilvl="2">
      <w:start w:val="0"/>
      <w:numFmt w:val="bullet"/>
      <w:lvlText w:val="•"/>
      <w:lvlJc w:val="left"/>
      <w:pPr>
        <w:ind w:left="3517" w:hanging="708"/>
      </w:pPr>
      <w:rPr>
        <w:rFonts w:hint="default"/>
      </w:rPr>
    </w:lvl>
    <w:lvl w:ilvl="3">
      <w:start w:val="0"/>
      <w:numFmt w:val="bullet"/>
      <w:lvlText w:val="•"/>
      <w:lvlJc w:val="left"/>
      <w:pPr>
        <w:ind w:left="4565" w:hanging="708"/>
      </w:pPr>
      <w:rPr>
        <w:rFonts w:hint="default"/>
      </w:rPr>
    </w:lvl>
    <w:lvl w:ilvl="4">
      <w:start w:val="0"/>
      <w:numFmt w:val="bullet"/>
      <w:lvlText w:val="•"/>
      <w:lvlJc w:val="left"/>
      <w:pPr>
        <w:ind w:left="5614" w:hanging="708"/>
      </w:pPr>
      <w:rPr>
        <w:rFonts w:hint="default"/>
      </w:rPr>
    </w:lvl>
    <w:lvl w:ilvl="5">
      <w:start w:val="0"/>
      <w:numFmt w:val="bullet"/>
      <w:lvlText w:val="•"/>
      <w:lvlJc w:val="left"/>
      <w:pPr>
        <w:ind w:left="6663" w:hanging="708"/>
      </w:pPr>
      <w:rPr>
        <w:rFonts w:hint="default"/>
      </w:rPr>
    </w:lvl>
    <w:lvl w:ilvl="6">
      <w:start w:val="0"/>
      <w:numFmt w:val="bullet"/>
      <w:lvlText w:val="•"/>
      <w:lvlJc w:val="left"/>
      <w:pPr>
        <w:ind w:left="7711" w:hanging="708"/>
      </w:pPr>
      <w:rPr>
        <w:rFonts w:hint="default"/>
      </w:rPr>
    </w:lvl>
    <w:lvl w:ilvl="7">
      <w:start w:val="0"/>
      <w:numFmt w:val="bullet"/>
      <w:lvlText w:val="•"/>
      <w:lvlJc w:val="left"/>
      <w:pPr>
        <w:ind w:left="8760" w:hanging="708"/>
      </w:pPr>
      <w:rPr>
        <w:rFonts w:hint="default"/>
      </w:rPr>
    </w:lvl>
    <w:lvl w:ilvl="8">
      <w:start w:val="0"/>
      <w:numFmt w:val="bullet"/>
      <w:lvlText w:val="•"/>
      <w:lvlJc w:val="left"/>
      <w:pPr>
        <w:ind w:left="9809" w:hanging="708"/>
      </w:pPr>
      <w:rPr>
        <w:rFonts w:hint="default"/>
      </w:rPr>
    </w:lvl>
  </w:abstractNum>
  <w:abstractNum w:abstractNumId="8">
    <w:multiLevelType w:val="hybridMultilevel"/>
    <w:lvl w:ilvl="0">
      <w:start w:val="2"/>
      <w:numFmt w:val="decimal"/>
      <w:lvlText w:val="%1"/>
      <w:lvlJc w:val="left"/>
      <w:pPr>
        <w:ind w:left="1846" w:hanging="428"/>
        <w:jc w:val="left"/>
      </w:pPr>
      <w:rPr>
        <w:rFonts w:hint="default"/>
      </w:rPr>
    </w:lvl>
    <w:lvl w:ilvl="1">
      <w:start w:val="1"/>
      <w:numFmt w:val="decimal"/>
      <w:lvlText w:val="%1.%2"/>
      <w:lvlJc w:val="left"/>
      <w:pPr>
        <w:ind w:left="1846" w:hanging="428"/>
        <w:jc w:val="left"/>
      </w:pPr>
      <w:rPr>
        <w:rFonts w:hint="default" w:ascii="Garamond" w:hAnsi="Garamond" w:eastAsia="Garamond" w:cs="Garamond"/>
        <w:b/>
        <w:bCs/>
        <w:spacing w:val="-23"/>
        <w:w w:val="99"/>
        <w:sz w:val="24"/>
        <w:szCs w:val="24"/>
      </w:rPr>
    </w:lvl>
    <w:lvl w:ilvl="2">
      <w:start w:val="0"/>
      <w:numFmt w:val="bullet"/>
      <w:lvlText w:val=""/>
      <w:lvlJc w:val="left"/>
      <w:pPr>
        <w:ind w:left="2138" w:hanging="348"/>
      </w:pPr>
      <w:rPr>
        <w:rFonts w:hint="default" w:ascii="Symbol" w:hAnsi="Symbol" w:eastAsia="Symbol" w:cs="Symbol"/>
        <w:w w:val="100"/>
        <w:sz w:val="24"/>
        <w:szCs w:val="24"/>
      </w:rPr>
    </w:lvl>
    <w:lvl w:ilvl="3">
      <w:start w:val="0"/>
      <w:numFmt w:val="bullet"/>
      <w:lvlText w:val="•"/>
      <w:lvlJc w:val="left"/>
      <w:pPr>
        <w:ind w:left="4310" w:hanging="348"/>
      </w:pPr>
      <w:rPr>
        <w:rFonts w:hint="default"/>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6">
    <w:multiLevelType w:val="hybridMultilevel"/>
    <w:lvl w:ilvl="0">
      <w:start w:val="2"/>
      <w:numFmt w:val="upperLetter"/>
      <w:lvlText w:val="%1)"/>
      <w:lvlJc w:val="left"/>
      <w:pPr>
        <w:ind w:left="1418" w:hanging="295"/>
        <w:jc w:val="left"/>
      </w:pPr>
      <w:rPr>
        <w:rFonts w:hint="default" w:ascii="Garamond" w:hAnsi="Garamond" w:eastAsia="Garamond" w:cs="Garamond"/>
        <w:i/>
        <w:spacing w:val="-26"/>
        <w:w w:val="99"/>
        <w:sz w:val="24"/>
        <w:szCs w:val="24"/>
      </w:rPr>
    </w:lvl>
    <w:lvl w:ilvl="1">
      <w:start w:val="0"/>
      <w:numFmt w:val="bullet"/>
      <w:lvlText w:val="•"/>
      <w:lvlJc w:val="left"/>
      <w:pPr>
        <w:ind w:left="2468" w:hanging="295"/>
      </w:pPr>
      <w:rPr>
        <w:rFonts w:hint="default"/>
      </w:rPr>
    </w:lvl>
    <w:lvl w:ilvl="2">
      <w:start w:val="0"/>
      <w:numFmt w:val="bullet"/>
      <w:lvlText w:val="•"/>
      <w:lvlJc w:val="left"/>
      <w:pPr>
        <w:ind w:left="3517" w:hanging="295"/>
      </w:pPr>
      <w:rPr>
        <w:rFonts w:hint="default"/>
      </w:rPr>
    </w:lvl>
    <w:lvl w:ilvl="3">
      <w:start w:val="0"/>
      <w:numFmt w:val="bullet"/>
      <w:lvlText w:val="•"/>
      <w:lvlJc w:val="left"/>
      <w:pPr>
        <w:ind w:left="4565" w:hanging="295"/>
      </w:pPr>
      <w:rPr>
        <w:rFonts w:hint="default"/>
      </w:rPr>
    </w:lvl>
    <w:lvl w:ilvl="4">
      <w:start w:val="0"/>
      <w:numFmt w:val="bullet"/>
      <w:lvlText w:val="•"/>
      <w:lvlJc w:val="left"/>
      <w:pPr>
        <w:ind w:left="5614" w:hanging="295"/>
      </w:pPr>
      <w:rPr>
        <w:rFonts w:hint="default"/>
      </w:rPr>
    </w:lvl>
    <w:lvl w:ilvl="5">
      <w:start w:val="0"/>
      <w:numFmt w:val="bullet"/>
      <w:lvlText w:val="•"/>
      <w:lvlJc w:val="left"/>
      <w:pPr>
        <w:ind w:left="6663" w:hanging="295"/>
      </w:pPr>
      <w:rPr>
        <w:rFonts w:hint="default"/>
      </w:rPr>
    </w:lvl>
    <w:lvl w:ilvl="6">
      <w:start w:val="0"/>
      <w:numFmt w:val="bullet"/>
      <w:lvlText w:val="•"/>
      <w:lvlJc w:val="left"/>
      <w:pPr>
        <w:ind w:left="7711" w:hanging="295"/>
      </w:pPr>
      <w:rPr>
        <w:rFonts w:hint="default"/>
      </w:rPr>
    </w:lvl>
    <w:lvl w:ilvl="7">
      <w:start w:val="0"/>
      <w:numFmt w:val="bullet"/>
      <w:lvlText w:val="•"/>
      <w:lvlJc w:val="left"/>
      <w:pPr>
        <w:ind w:left="8760" w:hanging="295"/>
      </w:pPr>
      <w:rPr>
        <w:rFonts w:hint="default"/>
      </w:rPr>
    </w:lvl>
    <w:lvl w:ilvl="8">
      <w:start w:val="0"/>
      <w:numFmt w:val="bullet"/>
      <w:lvlText w:val="•"/>
      <w:lvlJc w:val="left"/>
      <w:pPr>
        <w:ind w:left="9809" w:hanging="295"/>
      </w:pPr>
      <w:rPr>
        <w:rFonts w:hint="default"/>
      </w:rPr>
    </w:lvl>
  </w:abstractNum>
  <w:abstractNum w:abstractNumId="5">
    <w:multiLevelType w:val="hybridMultilevel"/>
    <w:lvl w:ilvl="0">
      <w:start w:val="0"/>
      <w:numFmt w:val="bullet"/>
      <w:lvlText w:val=""/>
      <w:lvlJc w:val="left"/>
      <w:pPr>
        <w:ind w:left="1702" w:hanging="284"/>
      </w:pPr>
      <w:rPr>
        <w:rFonts w:hint="default" w:ascii="Wingdings" w:hAnsi="Wingdings" w:eastAsia="Wingdings" w:cs="Wingdings"/>
        <w:w w:val="100"/>
        <w:sz w:val="24"/>
        <w:szCs w:val="24"/>
      </w:rPr>
    </w:lvl>
    <w:lvl w:ilvl="1">
      <w:start w:val="0"/>
      <w:numFmt w:val="bullet"/>
      <w:lvlText w:val="-"/>
      <w:lvlJc w:val="left"/>
      <w:pPr>
        <w:ind w:left="2270" w:hanging="154"/>
      </w:pPr>
      <w:rPr>
        <w:rFonts w:hint="default" w:ascii="Garamond" w:hAnsi="Garamond" w:eastAsia="Garamond" w:cs="Garamond"/>
        <w:w w:val="100"/>
        <w:sz w:val="24"/>
        <w:szCs w:val="24"/>
      </w:rPr>
    </w:lvl>
    <w:lvl w:ilvl="2">
      <w:start w:val="0"/>
      <w:numFmt w:val="bullet"/>
      <w:lvlText w:val="•"/>
      <w:lvlJc w:val="left"/>
      <w:pPr>
        <w:ind w:left="3349" w:hanging="154"/>
      </w:pPr>
      <w:rPr>
        <w:rFonts w:hint="default"/>
      </w:rPr>
    </w:lvl>
    <w:lvl w:ilvl="3">
      <w:start w:val="0"/>
      <w:numFmt w:val="bullet"/>
      <w:lvlText w:val="•"/>
      <w:lvlJc w:val="left"/>
      <w:pPr>
        <w:ind w:left="4419" w:hanging="154"/>
      </w:pPr>
      <w:rPr>
        <w:rFonts w:hint="default"/>
      </w:rPr>
    </w:lvl>
    <w:lvl w:ilvl="4">
      <w:start w:val="0"/>
      <w:numFmt w:val="bullet"/>
      <w:lvlText w:val="•"/>
      <w:lvlJc w:val="left"/>
      <w:pPr>
        <w:ind w:left="5488" w:hanging="154"/>
      </w:pPr>
      <w:rPr>
        <w:rFonts w:hint="default"/>
      </w:rPr>
    </w:lvl>
    <w:lvl w:ilvl="5">
      <w:start w:val="0"/>
      <w:numFmt w:val="bullet"/>
      <w:lvlText w:val="•"/>
      <w:lvlJc w:val="left"/>
      <w:pPr>
        <w:ind w:left="6558" w:hanging="154"/>
      </w:pPr>
      <w:rPr>
        <w:rFonts w:hint="default"/>
      </w:rPr>
    </w:lvl>
    <w:lvl w:ilvl="6">
      <w:start w:val="0"/>
      <w:numFmt w:val="bullet"/>
      <w:lvlText w:val="•"/>
      <w:lvlJc w:val="left"/>
      <w:pPr>
        <w:ind w:left="7628" w:hanging="154"/>
      </w:pPr>
      <w:rPr>
        <w:rFonts w:hint="default"/>
      </w:rPr>
    </w:lvl>
    <w:lvl w:ilvl="7">
      <w:start w:val="0"/>
      <w:numFmt w:val="bullet"/>
      <w:lvlText w:val="•"/>
      <w:lvlJc w:val="left"/>
      <w:pPr>
        <w:ind w:left="8697" w:hanging="154"/>
      </w:pPr>
      <w:rPr>
        <w:rFonts w:hint="default"/>
      </w:rPr>
    </w:lvl>
    <w:lvl w:ilvl="8">
      <w:start w:val="0"/>
      <w:numFmt w:val="bullet"/>
      <w:lvlText w:val="•"/>
      <w:lvlJc w:val="left"/>
      <w:pPr>
        <w:ind w:left="9767" w:hanging="154"/>
      </w:pPr>
      <w:rPr>
        <w:rFonts w:hint="default"/>
      </w:rPr>
    </w:lvl>
  </w:abstractNum>
  <w:abstractNum w:abstractNumId="4">
    <w:multiLevelType w:val="hybridMultilevel"/>
    <w:lvl w:ilvl="0">
      <w:start w:val="1"/>
      <w:numFmt w:val="lowerLetter"/>
      <w:lvlText w:val="%1)"/>
      <w:lvlJc w:val="left"/>
      <w:pPr>
        <w:ind w:left="1418" w:hanging="303"/>
        <w:jc w:val="left"/>
      </w:pPr>
      <w:rPr>
        <w:rFonts w:hint="default"/>
        <w:b/>
        <w:bCs/>
        <w:spacing w:val="-28"/>
        <w:w w:val="99"/>
      </w:rPr>
    </w:lvl>
    <w:lvl w:ilvl="1">
      <w:start w:val="0"/>
      <w:numFmt w:val="bullet"/>
      <w:lvlText w:val=""/>
      <w:lvlJc w:val="left"/>
      <w:pPr>
        <w:ind w:left="2138" w:hanging="348"/>
      </w:pPr>
      <w:rPr>
        <w:rFonts w:hint="default" w:ascii="Wingdings" w:hAnsi="Wingdings" w:eastAsia="Wingdings" w:cs="Wingdings"/>
        <w:w w:val="100"/>
        <w:sz w:val="24"/>
        <w:szCs w:val="24"/>
      </w:rPr>
    </w:lvl>
    <w:lvl w:ilvl="2">
      <w:start w:val="0"/>
      <w:numFmt w:val="bullet"/>
      <w:lvlText w:val="•"/>
      <w:lvlJc w:val="left"/>
      <w:pPr>
        <w:ind w:left="3225" w:hanging="348"/>
      </w:pPr>
      <w:rPr>
        <w:rFonts w:hint="default"/>
      </w:rPr>
    </w:lvl>
    <w:lvl w:ilvl="3">
      <w:start w:val="0"/>
      <w:numFmt w:val="bullet"/>
      <w:lvlText w:val="•"/>
      <w:lvlJc w:val="left"/>
      <w:pPr>
        <w:ind w:left="4310" w:hanging="348"/>
      </w:pPr>
      <w:rPr>
        <w:rFonts w:hint="default"/>
      </w:rPr>
    </w:lvl>
    <w:lvl w:ilvl="4">
      <w:start w:val="0"/>
      <w:numFmt w:val="bullet"/>
      <w:lvlText w:val="•"/>
      <w:lvlJc w:val="left"/>
      <w:pPr>
        <w:ind w:left="5395" w:hanging="348"/>
      </w:pPr>
      <w:rPr>
        <w:rFonts w:hint="default"/>
      </w:rPr>
    </w:lvl>
    <w:lvl w:ilvl="5">
      <w:start w:val="0"/>
      <w:numFmt w:val="bullet"/>
      <w:lvlText w:val="•"/>
      <w:lvlJc w:val="left"/>
      <w:pPr>
        <w:ind w:left="6480" w:hanging="348"/>
      </w:pPr>
      <w:rPr>
        <w:rFonts w:hint="default"/>
      </w:rPr>
    </w:lvl>
    <w:lvl w:ilvl="6">
      <w:start w:val="0"/>
      <w:numFmt w:val="bullet"/>
      <w:lvlText w:val="•"/>
      <w:lvlJc w:val="left"/>
      <w:pPr>
        <w:ind w:left="7565" w:hanging="348"/>
      </w:pPr>
      <w:rPr>
        <w:rFonts w:hint="default"/>
      </w:rPr>
    </w:lvl>
    <w:lvl w:ilvl="7">
      <w:start w:val="0"/>
      <w:numFmt w:val="bullet"/>
      <w:lvlText w:val="•"/>
      <w:lvlJc w:val="left"/>
      <w:pPr>
        <w:ind w:left="8650" w:hanging="348"/>
      </w:pPr>
      <w:rPr>
        <w:rFonts w:hint="default"/>
      </w:rPr>
    </w:lvl>
    <w:lvl w:ilvl="8">
      <w:start w:val="0"/>
      <w:numFmt w:val="bullet"/>
      <w:lvlText w:val="•"/>
      <w:lvlJc w:val="left"/>
      <w:pPr>
        <w:ind w:left="9736" w:hanging="348"/>
      </w:pPr>
      <w:rPr>
        <w:rFonts w:hint="default"/>
      </w:rPr>
    </w:lvl>
  </w:abstractNum>
  <w:abstractNum w:abstractNumId="3">
    <w:multiLevelType w:val="hybridMultilevel"/>
    <w:lvl w:ilvl="0">
      <w:start w:val="1"/>
      <w:numFmt w:val="lowerLetter"/>
      <w:lvlText w:val="%1)"/>
      <w:lvlJc w:val="left"/>
      <w:pPr>
        <w:ind w:left="2126" w:hanging="708"/>
        <w:jc w:val="left"/>
      </w:pPr>
      <w:rPr>
        <w:rFonts w:hint="default" w:ascii="Garamond" w:hAnsi="Garamond" w:eastAsia="Garamond" w:cs="Garamond"/>
        <w:spacing w:val="-2"/>
        <w:w w:val="99"/>
        <w:sz w:val="24"/>
        <w:szCs w:val="24"/>
      </w:rPr>
    </w:lvl>
    <w:lvl w:ilvl="1">
      <w:start w:val="0"/>
      <w:numFmt w:val="bullet"/>
      <w:lvlText w:val="•"/>
      <w:lvlJc w:val="left"/>
      <w:pPr>
        <w:ind w:left="3098" w:hanging="708"/>
      </w:pPr>
      <w:rPr>
        <w:rFonts w:hint="default"/>
      </w:rPr>
    </w:lvl>
    <w:lvl w:ilvl="2">
      <w:start w:val="0"/>
      <w:numFmt w:val="bullet"/>
      <w:lvlText w:val="•"/>
      <w:lvlJc w:val="left"/>
      <w:pPr>
        <w:ind w:left="4077" w:hanging="708"/>
      </w:pPr>
      <w:rPr>
        <w:rFonts w:hint="default"/>
      </w:rPr>
    </w:lvl>
    <w:lvl w:ilvl="3">
      <w:start w:val="0"/>
      <w:numFmt w:val="bullet"/>
      <w:lvlText w:val="•"/>
      <w:lvlJc w:val="left"/>
      <w:pPr>
        <w:ind w:left="5055" w:hanging="708"/>
      </w:pPr>
      <w:rPr>
        <w:rFonts w:hint="default"/>
      </w:rPr>
    </w:lvl>
    <w:lvl w:ilvl="4">
      <w:start w:val="0"/>
      <w:numFmt w:val="bullet"/>
      <w:lvlText w:val="•"/>
      <w:lvlJc w:val="left"/>
      <w:pPr>
        <w:ind w:left="6034" w:hanging="708"/>
      </w:pPr>
      <w:rPr>
        <w:rFonts w:hint="default"/>
      </w:rPr>
    </w:lvl>
    <w:lvl w:ilvl="5">
      <w:start w:val="0"/>
      <w:numFmt w:val="bullet"/>
      <w:lvlText w:val="•"/>
      <w:lvlJc w:val="left"/>
      <w:pPr>
        <w:ind w:left="7013" w:hanging="708"/>
      </w:pPr>
      <w:rPr>
        <w:rFonts w:hint="default"/>
      </w:rPr>
    </w:lvl>
    <w:lvl w:ilvl="6">
      <w:start w:val="0"/>
      <w:numFmt w:val="bullet"/>
      <w:lvlText w:val="•"/>
      <w:lvlJc w:val="left"/>
      <w:pPr>
        <w:ind w:left="7991" w:hanging="708"/>
      </w:pPr>
      <w:rPr>
        <w:rFonts w:hint="default"/>
      </w:rPr>
    </w:lvl>
    <w:lvl w:ilvl="7">
      <w:start w:val="0"/>
      <w:numFmt w:val="bullet"/>
      <w:lvlText w:val="•"/>
      <w:lvlJc w:val="left"/>
      <w:pPr>
        <w:ind w:left="8970" w:hanging="708"/>
      </w:pPr>
      <w:rPr>
        <w:rFonts w:hint="default"/>
      </w:rPr>
    </w:lvl>
    <w:lvl w:ilvl="8">
      <w:start w:val="0"/>
      <w:numFmt w:val="bullet"/>
      <w:lvlText w:val="•"/>
      <w:lvlJc w:val="left"/>
      <w:pPr>
        <w:ind w:left="9949" w:hanging="708"/>
      </w:pPr>
      <w:rPr>
        <w:rFonts w:hint="default"/>
      </w:rPr>
    </w:lvl>
  </w:abstractNum>
  <w:abstractNum w:abstractNumId="2">
    <w:multiLevelType w:val="hybridMultilevel"/>
    <w:lvl w:ilvl="0">
      <w:start w:val="1"/>
      <w:numFmt w:val="decimal"/>
      <w:lvlText w:val="%1."/>
      <w:lvlJc w:val="left"/>
      <w:pPr>
        <w:ind w:left="1846" w:hanging="428"/>
        <w:jc w:val="left"/>
      </w:pPr>
      <w:rPr>
        <w:rFonts w:hint="default" w:ascii="Garamond" w:hAnsi="Garamond" w:eastAsia="Garamond" w:cs="Garamond"/>
        <w:b/>
        <w:bCs/>
        <w:spacing w:val="-1"/>
        <w:w w:val="100"/>
        <w:sz w:val="28"/>
        <w:szCs w:val="28"/>
      </w:rPr>
    </w:lvl>
    <w:lvl w:ilvl="1">
      <w:start w:val="1"/>
      <w:numFmt w:val="decimal"/>
      <w:lvlText w:val="%1.%2"/>
      <w:lvlJc w:val="left"/>
      <w:pPr>
        <w:ind w:left="2126" w:hanging="708"/>
        <w:jc w:val="left"/>
      </w:pPr>
      <w:rPr>
        <w:rFonts w:hint="default" w:ascii="Garamond" w:hAnsi="Garamond" w:eastAsia="Garamond" w:cs="Garamond"/>
        <w:b/>
        <w:bCs/>
        <w:spacing w:val="-2"/>
        <w:w w:val="99"/>
        <w:sz w:val="24"/>
        <w:szCs w:val="24"/>
      </w:rPr>
    </w:lvl>
    <w:lvl w:ilvl="2">
      <w:start w:val="1"/>
      <w:numFmt w:val="decimal"/>
      <w:lvlText w:val="%1.%2.%3"/>
      <w:lvlJc w:val="left"/>
      <w:pPr>
        <w:ind w:left="2126" w:hanging="708"/>
        <w:jc w:val="left"/>
      </w:pPr>
      <w:rPr>
        <w:rFonts w:hint="default" w:ascii="Garamond" w:hAnsi="Garamond" w:eastAsia="Garamond" w:cs="Garamond"/>
        <w:b/>
        <w:bCs/>
        <w:spacing w:val="-21"/>
        <w:w w:val="100"/>
        <w:sz w:val="24"/>
        <w:szCs w:val="24"/>
      </w:rPr>
    </w:lvl>
    <w:lvl w:ilvl="3">
      <w:start w:val="0"/>
      <w:numFmt w:val="bullet"/>
      <w:lvlText w:val=""/>
      <w:lvlJc w:val="left"/>
      <w:pPr>
        <w:ind w:left="2138" w:hanging="348"/>
      </w:pPr>
      <w:rPr>
        <w:rFonts w:hint="default" w:ascii="Wingdings" w:hAnsi="Wingdings" w:eastAsia="Wingdings" w:cs="Wingdings"/>
        <w:w w:val="99"/>
        <w:sz w:val="24"/>
        <w:szCs w:val="24"/>
      </w:rPr>
    </w:lvl>
    <w:lvl w:ilvl="4">
      <w:start w:val="0"/>
      <w:numFmt w:val="bullet"/>
      <w:lvlText w:val="•"/>
      <w:lvlJc w:val="left"/>
      <w:pPr>
        <w:ind w:left="4581" w:hanging="348"/>
      </w:pPr>
      <w:rPr>
        <w:rFonts w:hint="default"/>
      </w:rPr>
    </w:lvl>
    <w:lvl w:ilvl="5">
      <w:start w:val="0"/>
      <w:numFmt w:val="bullet"/>
      <w:lvlText w:val="•"/>
      <w:lvlJc w:val="left"/>
      <w:pPr>
        <w:ind w:left="5802" w:hanging="348"/>
      </w:pPr>
      <w:rPr>
        <w:rFonts w:hint="default"/>
      </w:rPr>
    </w:lvl>
    <w:lvl w:ilvl="6">
      <w:start w:val="0"/>
      <w:numFmt w:val="bullet"/>
      <w:lvlText w:val="•"/>
      <w:lvlJc w:val="left"/>
      <w:pPr>
        <w:ind w:left="7023" w:hanging="348"/>
      </w:pPr>
      <w:rPr>
        <w:rFonts w:hint="default"/>
      </w:rPr>
    </w:lvl>
    <w:lvl w:ilvl="7">
      <w:start w:val="0"/>
      <w:numFmt w:val="bullet"/>
      <w:lvlText w:val="•"/>
      <w:lvlJc w:val="left"/>
      <w:pPr>
        <w:ind w:left="8244" w:hanging="348"/>
      </w:pPr>
      <w:rPr>
        <w:rFonts w:hint="default"/>
      </w:rPr>
    </w:lvl>
    <w:lvl w:ilvl="8">
      <w:start w:val="0"/>
      <w:numFmt w:val="bullet"/>
      <w:lvlText w:val="•"/>
      <w:lvlJc w:val="left"/>
      <w:pPr>
        <w:ind w:left="9464" w:hanging="348"/>
      </w:pPr>
      <w:rPr>
        <w:rFonts w:hint="default"/>
      </w:rPr>
    </w:lvl>
  </w:abstractNum>
  <w:abstractNum w:abstractNumId="1">
    <w:multiLevelType w:val="hybridMultilevel"/>
    <w:lvl w:ilvl="0">
      <w:start w:val="2"/>
      <w:numFmt w:val="decimal"/>
      <w:lvlText w:val="%1"/>
      <w:lvlJc w:val="left"/>
      <w:pPr>
        <w:ind w:left="2695" w:hanging="838"/>
        <w:jc w:val="left"/>
      </w:pPr>
      <w:rPr>
        <w:rFonts w:hint="default"/>
      </w:rPr>
    </w:lvl>
    <w:lvl w:ilvl="1">
      <w:start w:val="3"/>
      <w:numFmt w:val="decimal"/>
      <w:lvlText w:val="%1.%2"/>
      <w:lvlJc w:val="left"/>
      <w:pPr>
        <w:ind w:left="2695" w:hanging="838"/>
        <w:jc w:val="left"/>
      </w:pPr>
      <w:rPr>
        <w:rFonts w:hint="default"/>
      </w:rPr>
    </w:lvl>
    <w:lvl w:ilvl="2">
      <w:start w:val="1"/>
      <w:numFmt w:val="decimal"/>
      <w:lvlText w:val="%1.%2.%3."/>
      <w:lvlJc w:val="left"/>
      <w:pPr>
        <w:ind w:left="2695" w:hanging="838"/>
        <w:jc w:val="left"/>
      </w:pPr>
      <w:rPr>
        <w:rFonts w:hint="default" w:ascii="Garamond" w:hAnsi="Garamond" w:eastAsia="Garamond" w:cs="Garamond"/>
        <w:spacing w:val="-3"/>
        <w:w w:val="100"/>
        <w:sz w:val="24"/>
        <w:szCs w:val="24"/>
      </w:rPr>
    </w:lvl>
    <w:lvl w:ilvl="3">
      <w:start w:val="0"/>
      <w:numFmt w:val="bullet"/>
      <w:lvlText w:val="•"/>
      <w:lvlJc w:val="left"/>
      <w:pPr>
        <w:ind w:left="5461" w:hanging="838"/>
      </w:pPr>
      <w:rPr>
        <w:rFonts w:hint="default"/>
      </w:rPr>
    </w:lvl>
    <w:lvl w:ilvl="4">
      <w:start w:val="0"/>
      <w:numFmt w:val="bullet"/>
      <w:lvlText w:val="•"/>
      <w:lvlJc w:val="left"/>
      <w:pPr>
        <w:ind w:left="6382" w:hanging="838"/>
      </w:pPr>
      <w:rPr>
        <w:rFonts w:hint="default"/>
      </w:rPr>
    </w:lvl>
    <w:lvl w:ilvl="5">
      <w:start w:val="0"/>
      <w:numFmt w:val="bullet"/>
      <w:lvlText w:val="•"/>
      <w:lvlJc w:val="left"/>
      <w:pPr>
        <w:ind w:left="7303" w:hanging="838"/>
      </w:pPr>
      <w:rPr>
        <w:rFonts w:hint="default"/>
      </w:rPr>
    </w:lvl>
    <w:lvl w:ilvl="6">
      <w:start w:val="0"/>
      <w:numFmt w:val="bullet"/>
      <w:lvlText w:val="•"/>
      <w:lvlJc w:val="left"/>
      <w:pPr>
        <w:ind w:left="8223" w:hanging="838"/>
      </w:pPr>
      <w:rPr>
        <w:rFonts w:hint="default"/>
      </w:rPr>
    </w:lvl>
    <w:lvl w:ilvl="7">
      <w:start w:val="0"/>
      <w:numFmt w:val="bullet"/>
      <w:lvlText w:val="•"/>
      <w:lvlJc w:val="left"/>
      <w:pPr>
        <w:ind w:left="9144" w:hanging="838"/>
      </w:pPr>
      <w:rPr>
        <w:rFonts w:hint="default"/>
      </w:rPr>
    </w:lvl>
    <w:lvl w:ilvl="8">
      <w:start w:val="0"/>
      <w:numFmt w:val="bullet"/>
      <w:lvlText w:val="•"/>
      <w:lvlJc w:val="left"/>
      <w:pPr>
        <w:ind w:left="10065" w:hanging="838"/>
      </w:pPr>
      <w:rPr>
        <w:rFonts w:hint="default"/>
      </w:rPr>
    </w:lvl>
  </w:abstractNum>
  <w:abstractNum w:abstractNumId="0">
    <w:multiLevelType w:val="hybridMultilevel"/>
    <w:lvl w:ilvl="0">
      <w:start w:val="1"/>
      <w:numFmt w:val="decimal"/>
      <w:lvlText w:val="%1."/>
      <w:lvlJc w:val="left"/>
      <w:pPr>
        <w:ind w:left="2695" w:hanging="1277"/>
        <w:jc w:val="left"/>
      </w:pPr>
      <w:rPr>
        <w:rFonts w:hint="default" w:ascii="Garamond" w:hAnsi="Garamond" w:eastAsia="Garamond" w:cs="Garamond"/>
        <w:spacing w:val="-2"/>
        <w:w w:val="100"/>
        <w:sz w:val="24"/>
        <w:szCs w:val="24"/>
      </w:rPr>
    </w:lvl>
    <w:lvl w:ilvl="1">
      <w:start w:val="1"/>
      <w:numFmt w:val="decimal"/>
      <w:lvlText w:val="%1.%2"/>
      <w:lvlJc w:val="left"/>
      <w:pPr>
        <w:ind w:left="2695" w:hanging="1056"/>
        <w:jc w:val="left"/>
      </w:pPr>
      <w:rPr>
        <w:rFonts w:hint="default" w:ascii="Garamond" w:hAnsi="Garamond" w:eastAsia="Garamond" w:cs="Garamond"/>
        <w:spacing w:val="-2"/>
        <w:w w:val="99"/>
        <w:sz w:val="24"/>
        <w:szCs w:val="24"/>
      </w:rPr>
    </w:lvl>
    <w:lvl w:ilvl="2">
      <w:start w:val="1"/>
      <w:numFmt w:val="decimal"/>
      <w:lvlText w:val="%1.%2.%3"/>
      <w:lvlJc w:val="left"/>
      <w:pPr>
        <w:ind w:left="2695" w:hanging="838"/>
        <w:jc w:val="left"/>
      </w:pPr>
      <w:rPr>
        <w:rFonts w:hint="default" w:ascii="Garamond" w:hAnsi="Garamond" w:eastAsia="Garamond" w:cs="Garamond"/>
        <w:spacing w:val="-2"/>
        <w:w w:val="100"/>
        <w:sz w:val="24"/>
        <w:szCs w:val="24"/>
      </w:rPr>
    </w:lvl>
    <w:lvl w:ilvl="3">
      <w:start w:val="0"/>
      <w:numFmt w:val="bullet"/>
      <w:lvlText w:val="•"/>
      <w:lvlJc w:val="left"/>
      <w:pPr>
        <w:ind w:left="5461" w:hanging="838"/>
      </w:pPr>
      <w:rPr>
        <w:rFonts w:hint="default"/>
      </w:rPr>
    </w:lvl>
    <w:lvl w:ilvl="4">
      <w:start w:val="0"/>
      <w:numFmt w:val="bullet"/>
      <w:lvlText w:val="•"/>
      <w:lvlJc w:val="left"/>
      <w:pPr>
        <w:ind w:left="6382" w:hanging="838"/>
      </w:pPr>
      <w:rPr>
        <w:rFonts w:hint="default"/>
      </w:rPr>
    </w:lvl>
    <w:lvl w:ilvl="5">
      <w:start w:val="0"/>
      <w:numFmt w:val="bullet"/>
      <w:lvlText w:val="•"/>
      <w:lvlJc w:val="left"/>
      <w:pPr>
        <w:ind w:left="7303" w:hanging="838"/>
      </w:pPr>
      <w:rPr>
        <w:rFonts w:hint="default"/>
      </w:rPr>
    </w:lvl>
    <w:lvl w:ilvl="6">
      <w:start w:val="0"/>
      <w:numFmt w:val="bullet"/>
      <w:lvlText w:val="•"/>
      <w:lvlJc w:val="left"/>
      <w:pPr>
        <w:ind w:left="8223" w:hanging="838"/>
      </w:pPr>
      <w:rPr>
        <w:rFonts w:hint="default"/>
      </w:rPr>
    </w:lvl>
    <w:lvl w:ilvl="7">
      <w:start w:val="0"/>
      <w:numFmt w:val="bullet"/>
      <w:lvlText w:val="•"/>
      <w:lvlJc w:val="left"/>
      <w:pPr>
        <w:ind w:left="9144" w:hanging="838"/>
      </w:pPr>
      <w:rPr>
        <w:rFonts w:hint="default"/>
      </w:rPr>
    </w:lvl>
    <w:lvl w:ilvl="8">
      <w:start w:val="0"/>
      <w:numFmt w:val="bullet"/>
      <w:lvlText w:val="•"/>
      <w:lvlJc w:val="left"/>
      <w:pPr>
        <w:ind w:left="10065" w:hanging="838"/>
      </w:pPr>
      <w:rPr>
        <w:rFonts w:hint="default"/>
      </w:rPr>
    </w:lvl>
  </w:abstractNum>
  <w:num w:numId="104">
    <w:abstractNumId w:val="103"/>
  </w:num>
  <w:num w:numId="99">
    <w:abstractNumId w:val="98"/>
  </w:num>
  <w:num w:numId="93">
    <w:abstractNumId w:val="92"/>
  </w:num>
  <w:num w:numId="82">
    <w:abstractNumId w:val="81"/>
  </w:num>
  <w:num w:numId="79">
    <w:abstractNumId w:val="78"/>
  </w:num>
  <w:num w:numId="74">
    <w:abstractNumId w:val="73"/>
  </w:num>
  <w:num w:numId="67">
    <w:abstractNumId w:val="66"/>
  </w:num>
  <w:num w:numId="64">
    <w:abstractNumId w:val="63"/>
  </w:num>
  <w:num w:numId="61">
    <w:abstractNumId w:val="60"/>
  </w:num>
  <w:num w:numId="60">
    <w:abstractNumId w:val="59"/>
  </w:num>
  <w:num w:numId="57">
    <w:abstractNumId w:val="56"/>
  </w:num>
  <w:num w:numId="56">
    <w:abstractNumId w:val="55"/>
  </w:num>
  <w:num w:numId="43">
    <w:abstractNumId w:val="42"/>
  </w:num>
  <w:num w:numId="36">
    <w:abstractNumId w:val="35"/>
  </w:num>
  <w:num w:numId="34">
    <w:abstractNumId w:val="33"/>
  </w:num>
  <w:num w:numId="14">
    <w:abstractNumId w:val="13"/>
  </w:num>
  <w:num w:numId="8">
    <w:abstractNumId w:val="7"/>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3">
    <w:abstractNumId w:val="102"/>
  </w:num>
  <w:num w:numId="102">
    <w:abstractNumId w:val="101"/>
  </w:num>
  <w:num w:numId="101">
    <w:abstractNumId w:val="100"/>
  </w:num>
  <w:num w:numId="100">
    <w:abstractNumId w:val="99"/>
  </w:num>
  <w:num w:numId="98">
    <w:abstractNumId w:val="97"/>
  </w:num>
  <w:num w:numId="97">
    <w:abstractNumId w:val="96"/>
  </w:num>
  <w:num w:numId="96">
    <w:abstractNumId w:val="95"/>
  </w:num>
  <w:num w:numId="95">
    <w:abstractNumId w:val="94"/>
  </w:num>
  <w:num w:numId="94">
    <w:abstractNumId w:val="93"/>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1">
    <w:abstractNumId w:val="80"/>
  </w:num>
  <w:num w:numId="80">
    <w:abstractNumId w:val="79"/>
  </w:num>
  <w:num w:numId="78">
    <w:abstractNumId w:val="77"/>
  </w:num>
  <w:num w:numId="77">
    <w:abstractNumId w:val="76"/>
  </w:num>
  <w:num w:numId="76">
    <w:abstractNumId w:val="75"/>
  </w:num>
  <w:num w:numId="75">
    <w:abstractNumId w:val="74"/>
  </w:num>
  <w:num w:numId="73">
    <w:abstractNumId w:val="72"/>
  </w:num>
  <w:num w:numId="72">
    <w:abstractNumId w:val="71"/>
  </w:num>
  <w:num w:numId="71">
    <w:abstractNumId w:val="70"/>
  </w:num>
  <w:num w:numId="70">
    <w:abstractNumId w:val="69"/>
  </w:num>
  <w:num w:numId="69">
    <w:abstractNumId w:val="68"/>
  </w:num>
  <w:num w:numId="68">
    <w:abstractNumId w:val="67"/>
  </w:num>
  <w:num w:numId="66">
    <w:abstractNumId w:val="65"/>
  </w:num>
  <w:num w:numId="65">
    <w:abstractNumId w:val="64"/>
  </w:num>
  <w:num w:numId="63">
    <w:abstractNumId w:val="62"/>
  </w:num>
  <w:num w:numId="62">
    <w:abstractNumId w:val="61"/>
  </w:num>
  <w:num w:numId="59">
    <w:abstractNumId w:val="58"/>
  </w:num>
  <w:num w:numId="58">
    <w:abstractNumId w:val="57"/>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2">
    <w:abstractNumId w:val="41"/>
  </w:num>
  <w:num w:numId="41">
    <w:abstractNumId w:val="40"/>
  </w:num>
  <w:num w:numId="40">
    <w:abstractNumId w:val="39"/>
  </w:num>
  <w:num w:numId="39">
    <w:abstractNumId w:val="38"/>
  </w:num>
  <w:num w:numId="38">
    <w:abstractNumId w:val="37"/>
  </w:num>
  <w:num w:numId="37">
    <w:abstractNumId w:val="36"/>
  </w:num>
  <w:num w:numId="35">
    <w:abstractNumId w:val="34"/>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3">
    <w:abstractNumId w:val="12"/>
  </w:num>
  <w:num w:numId="12">
    <w:abstractNumId w:val="11"/>
  </w:num>
  <w:num w:numId="11">
    <w:abstractNumId w:val="10"/>
  </w:num>
  <w:num w:numId="10">
    <w:abstractNumId w:val="9"/>
  </w:num>
  <w:num w:numId="9">
    <w:abstractNumId w:val="8"/>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aramond" w:hAnsi="Garamond" w:eastAsia="Garamond" w:cs="Garamond"/>
    </w:rPr>
  </w:style>
  <w:style w:styleId="TOC1" w:type="paragraph">
    <w:name w:val="TOC 1"/>
    <w:basedOn w:val="Normal"/>
    <w:uiPriority w:val="1"/>
    <w:qFormat/>
    <w:pPr>
      <w:spacing w:before="99"/>
      <w:ind w:left="2695" w:hanging="1277"/>
    </w:pPr>
    <w:rPr>
      <w:rFonts w:ascii="Garamond" w:hAnsi="Garamond" w:eastAsia="Garamond" w:cs="Garamond"/>
      <w:sz w:val="24"/>
      <w:szCs w:val="24"/>
    </w:rPr>
  </w:style>
  <w:style w:styleId="TOC2" w:type="paragraph">
    <w:name w:val="TOC 2"/>
    <w:basedOn w:val="Normal"/>
    <w:uiPriority w:val="1"/>
    <w:qFormat/>
    <w:pPr>
      <w:spacing w:before="140"/>
      <w:ind w:left="2695" w:hanging="1056"/>
    </w:pPr>
    <w:rPr>
      <w:rFonts w:ascii="Garamond" w:hAnsi="Garamond" w:eastAsia="Garamond" w:cs="Garamond"/>
      <w:sz w:val="24"/>
      <w:szCs w:val="24"/>
    </w:rPr>
  </w:style>
  <w:style w:styleId="TOC3" w:type="paragraph">
    <w:name w:val="TOC 3"/>
    <w:basedOn w:val="Normal"/>
    <w:uiPriority w:val="1"/>
    <w:qFormat/>
    <w:pPr>
      <w:spacing w:before="140"/>
      <w:ind w:left="2695" w:hanging="837"/>
    </w:pPr>
    <w:rPr>
      <w:rFonts w:ascii="Garamond" w:hAnsi="Garamond" w:eastAsia="Garamond" w:cs="Garamond"/>
      <w:sz w:val="24"/>
      <w:szCs w:val="24"/>
    </w:rPr>
  </w:style>
  <w:style w:styleId="BodyText" w:type="paragraph">
    <w:name w:val="Body Text"/>
    <w:basedOn w:val="Normal"/>
    <w:uiPriority w:val="1"/>
    <w:qFormat/>
    <w:pPr/>
    <w:rPr>
      <w:rFonts w:ascii="Garamond" w:hAnsi="Garamond" w:eastAsia="Garamond" w:cs="Garamond"/>
      <w:sz w:val="24"/>
      <w:szCs w:val="24"/>
    </w:rPr>
  </w:style>
  <w:style w:styleId="Heading1" w:type="paragraph">
    <w:name w:val="Heading 1"/>
    <w:basedOn w:val="Normal"/>
    <w:uiPriority w:val="1"/>
    <w:qFormat/>
    <w:pPr>
      <w:ind w:left="1846" w:hanging="428"/>
      <w:jc w:val="both"/>
      <w:outlineLvl w:val="1"/>
    </w:pPr>
    <w:rPr>
      <w:rFonts w:ascii="Garamond" w:hAnsi="Garamond" w:eastAsia="Garamond" w:cs="Garamond"/>
      <w:b/>
      <w:bCs/>
      <w:sz w:val="28"/>
      <w:szCs w:val="28"/>
    </w:rPr>
  </w:style>
  <w:style w:styleId="Heading2" w:type="paragraph">
    <w:name w:val="Heading 2"/>
    <w:basedOn w:val="Normal"/>
    <w:uiPriority w:val="1"/>
    <w:qFormat/>
    <w:pPr>
      <w:ind w:left="1418"/>
      <w:outlineLvl w:val="2"/>
    </w:pPr>
    <w:rPr>
      <w:rFonts w:ascii="Garamond" w:hAnsi="Garamond" w:eastAsia="Garamond" w:cs="Garamond"/>
      <w:b/>
      <w:bCs/>
      <w:sz w:val="24"/>
      <w:szCs w:val="24"/>
    </w:rPr>
  </w:style>
  <w:style w:styleId="ListParagraph" w:type="paragraph">
    <w:name w:val="List Paragraph"/>
    <w:basedOn w:val="Normal"/>
    <w:uiPriority w:val="1"/>
    <w:qFormat/>
    <w:pPr>
      <w:ind w:left="2126" w:hanging="360"/>
    </w:pPr>
    <w:rPr>
      <w:rFonts w:ascii="Garamond" w:hAnsi="Garamond" w:eastAsia="Garamond" w:cs="Garamond"/>
    </w:rPr>
  </w:style>
  <w:style w:styleId="TableParagraph" w:type="paragraph">
    <w:name w:val="Table Paragraph"/>
    <w:basedOn w:val="Normal"/>
    <w:uiPriority w:val="1"/>
    <w:qFormat/>
    <w:pPr>
      <w:spacing w:before="13"/>
      <w:jc w:val="right"/>
    </w:pPr>
    <w:rPr>
      <w:rFonts w:ascii="Garamond" w:hAnsi="Garamond" w:eastAsia="Garamond" w:cs="Garamond"/>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image" Target="media/image1.pn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image" Target="media/image8.png"/><Relationship Id="rId20" Type="http://schemas.openxmlformats.org/officeDocument/2006/relationships/image" Target="media/image9.png"/><Relationship Id="rId21" Type="http://schemas.openxmlformats.org/officeDocument/2006/relationships/image" Target="media/image10.png"/><Relationship Id="rId22" Type="http://schemas.openxmlformats.org/officeDocument/2006/relationships/image" Target="media/image11.png"/><Relationship Id="rId23" Type="http://schemas.openxmlformats.org/officeDocument/2006/relationships/image" Target="media/image12.png"/><Relationship Id="rId24" Type="http://schemas.openxmlformats.org/officeDocument/2006/relationships/image" Target="media/image13.png"/><Relationship Id="rId25" Type="http://schemas.openxmlformats.org/officeDocument/2006/relationships/image" Target="media/image14.png"/><Relationship Id="rId26" Type="http://schemas.openxmlformats.org/officeDocument/2006/relationships/image" Target="media/image15.png"/><Relationship Id="rId27" Type="http://schemas.openxmlformats.org/officeDocument/2006/relationships/image" Target="media/image16.png"/><Relationship Id="rId28" Type="http://schemas.openxmlformats.org/officeDocument/2006/relationships/image" Target="media/image17.png"/><Relationship Id="rId29" Type="http://schemas.openxmlformats.org/officeDocument/2006/relationships/image" Target="media/image18.png"/><Relationship Id="rId30" Type="http://schemas.openxmlformats.org/officeDocument/2006/relationships/image" Target="media/image19.png"/><Relationship Id="rId31" Type="http://schemas.openxmlformats.org/officeDocument/2006/relationships/image" Target="media/image20.png"/><Relationship Id="rId32" Type="http://schemas.openxmlformats.org/officeDocument/2006/relationships/image" Target="media/image21.png"/><Relationship Id="rId33" Type="http://schemas.openxmlformats.org/officeDocument/2006/relationships/image" Target="media/image22.png"/><Relationship Id="rId34" Type="http://schemas.openxmlformats.org/officeDocument/2006/relationships/image" Target="media/image23.png"/><Relationship Id="rId35" Type="http://schemas.openxmlformats.org/officeDocument/2006/relationships/image" Target="media/image24.png"/><Relationship Id="rId36" Type="http://schemas.openxmlformats.org/officeDocument/2006/relationships/image" Target="media/image25.png"/><Relationship Id="rId37" Type="http://schemas.openxmlformats.org/officeDocument/2006/relationships/image" Target="media/image26.png"/><Relationship Id="rId38" Type="http://schemas.openxmlformats.org/officeDocument/2006/relationships/image" Target="media/image27.png"/><Relationship Id="rId39" Type="http://schemas.openxmlformats.org/officeDocument/2006/relationships/image" Target="media/image28.png"/><Relationship Id="rId40" Type="http://schemas.openxmlformats.org/officeDocument/2006/relationships/image" Target="media/image29.png"/><Relationship Id="rId41" Type="http://schemas.openxmlformats.org/officeDocument/2006/relationships/image" Target="media/image30.png"/><Relationship Id="rId42" Type="http://schemas.openxmlformats.org/officeDocument/2006/relationships/image" Target="media/image31.png"/><Relationship Id="rId43" Type="http://schemas.openxmlformats.org/officeDocument/2006/relationships/image" Target="media/image32.png"/><Relationship Id="rId44" Type="http://schemas.openxmlformats.org/officeDocument/2006/relationships/image" Target="media/image33.png"/><Relationship Id="rId45" Type="http://schemas.openxmlformats.org/officeDocument/2006/relationships/image" Target="media/image34.png"/><Relationship Id="rId46" Type="http://schemas.openxmlformats.org/officeDocument/2006/relationships/image" Target="media/image35.png"/><Relationship Id="rId47" Type="http://schemas.openxmlformats.org/officeDocument/2006/relationships/header" Target="header3.xml"/><Relationship Id="rId48" Type="http://schemas.openxmlformats.org/officeDocument/2006/relationships/footer" Target="footer6.xml"/><Relationship Id="rId49" Type="http://schemas.openxmlformats.org/officeDocument/2006/relationships/header" Target="header4.xml"/><Relationship Id="rId50" Type="http://schemas.openxmlformats.org/officeDocument/2006/relationships/footer" Target="footer7.xml"/><Relationship Id="rId51" Type="http://schemas.openxmlformats.org/officeDocument/2006/relationships/footer" Target="footer8.xml"/><Relationship Id="rId52" Type="http://schemas.openxmlformats.org/officeDocument/2006/relationships/image" Target="media/image36.jpeg"/><Relationship Id="rId53" Type="http://schemas.openxmlformats.org/officeDocument/2006/relationships/image" Target="media/image37.png"/><Relationship Id="rId54" Type="http://schemas.openxmlformats.org/officeDocument/2006/relationships/image" Target="media/image38.png"/><Relationship Id="rId55" Type="http://schemas.openxmlformats.org/officeDocument/2006/relationships/image" Target="media/image39.png"/><Relationship Id="rId56" Type="http://schemas.openxmlformats.org/officeDocument/2006/relationships/image" Target="media/image40.png"/><Relationship Id="rId57" Type="http://schemas.openxmlformats.org/officeDocument/2006/relationships/image" Target="media/image41.png"/><Relationship Id="rId58" Type="http://schemas.openxmlformats.org/officeDocument/2006/relationships/image" Target="media/image42.png"/><Relationship Id="rId59" Type="http://schemas.openxmlformats.org/officeDocument/2006/relationships/image" Target="media/image43.jpeg"/><Relationship Id="rId60" Type="http://schemas.openxmlformats.org/officeDocument/2006/relationships/footer" Target="footer9.xml"/><Relationship Id="rId61" Type="http://schemas.openxmlformats.org/officeDocument/2006/relationships/footer" Target="footer10.xml"/><Relationship Id="rId62" Type="http://schemas.openxmlformats.org/officeDocument/2006/relationships/image" Target="media/image44.jpeg"/><Relationship Id="rId63" Type="http://schemas.openxmlformats.org/officeDocument/2006/relationships/image" Target="media/image45.jpeg"/><Relationship Id="rId6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spassalacqua</dc:creator>
  <dc:title>Evicar S.r.L. attestazione ex art.161,co.3, L.F.</dc:title>
  <dcterms:created xsi:type="dcterms:W3CDTF">2018-11-05T14:20:58Z</dcterms:created>
  <dcterms:modified xsi:type="dcterms:W3CDTF">2018-11-05T14:20:58Z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2018-04-23T00:00:00Z</vt:filetime>
  </property>
  <property fmtid="{D5CDD505-2E9C-101B-9397-08002B2CF9AE}" pid="3" name="Creator">
    <vt:lpwstr>Microsoft® Word 2016</vt:lpwstr>
  </property>
  <property fmtid="{D5CDD505-2E9C-101B-9397-08002B2CF9AE}" pid="4" name="LastSaved">
    <vt:filetime>2018-11-05T00:00:00Z</vt:filetime>
  </property>
</Properties>
</file>